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2.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oter3.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5.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fldChar w:fldCharType="begin">
          <w:ffData>
            <w:name w:val="ПолеСоСписком3"/>
            <w:enabled/>
            <w:calcOnExit w:val="0"/>
            <w:ddList/>
          </w:ffData>
        </w:fldChar>
      </w:r>
      <w:bookmarkStart w:id="0" w:name="ПолеСоСписком3"/>
      <w:r>
        <w:rPr>
          <w:noProof/>
          <w:sz w:val="2"/>
          <w:lang w:val="en-US"/>
        </w:rPr>
        <w:instrText xml:space="preserve"> FORMDROPDOWN </w:instrText>
      </w:r>
      <w:r>
        <w:rPr>
          <w:noProof/>
          <w:sz w:val="2"/>
          <w:lang w:val="en-US"/>
        </w:rPr>
      </w:r>
      <w:r>
        <w:rPr>
          <w:noProof/>
          <w:sz w:val="2"/>
          <w:lang w:val="en-US"/>
        </w:rPr>
        <w:fldChar w:fldCharType="end"/>
      </w:r>
      <w:bookmarkEnd w:id="0"/>
      <w:r>
        <w:rPr>
          <w:noProof/>
          <w:sz w:val="2"/>
          <w:lang w:val="en-US"/>
        </w:rPr>
        <w:pict>
          <v:shapetype id="_x0000_t202" coordsize="21600,21600" o:spt="202" path="m,l,21600r21600,l21600,xe">
            <v:stroke joinstyle="miter"/>
            <v:path gradientshapeok="t" o:connecttype="rect"/>
          </v:shapetype>
          <v:shape id="_x0000_s2050" type="#_x0000_t202" style="position:absolute;margin-left:84.85pt;margin-top:731.65pt;width:207.2pt;height:18pt;z-index:1;mso-wrap-distance-top:56.7pt;mso-wrap-distance-bottom:56.7pt;mso-position-horizontal-relative:page;mso-position-vertical-relative:text" filled="f" stroked="f" strokecolor="white">
            <v:textbox style="mso-next-textbox:#_x0000_s2050" inset="0,0,0,0">
              <w:txbxContent>
                <w:p w:rsidR="00000000" w:rsidRDefault="00000000">
                  <w:pPr>
                    <w:rPr>
                      <w:lang w:val="en-US"/>
                    </w:rPr>
                  </w:pPr>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40678</w:t>
                  </w:r>
                  <w:r>
                    <w:rPr>
                      <w:lang w:val="en-US"/>
                    </w:rPr>
                    <w:fldChar w:fldCharType="end"/>
                  </w:r>
                  <w:r>
                    <w:rPr>
                      <w:lang w:val="en-US"/>
                    </w:rPr>
                    <w:t xml:space="preserve">   (R)    060707    </w:t>
                  </w:r>
                  <w:r>
                    <w:t>19</w:t>
                  </w:r>
                  <w:r>
                    <w:rPr>
                      <w:lang w:val="en-US"/>
                    </w:rPr>
                    <w:t>0707</w:t>
                  </w:r>
                </w:p>
              </w:txbxContent>
            </v:textbox>
            <w10:wrap type="topAndBottom" anchorx="page"/>
            <w10:anchorlock/>
          </v:shape>
        </w:pict>
      </w:r>
    </w:p>
    <w:tbl>
      <w:tblPr>
        <w:tblW w:w="9356" w:type="dxa"/>
        <w:tblInd w:w="8" w:type="dxa"/>
        <w:tblBorders>
          <w:bottom w:val="single" w:sz="4" w:space="0" w:color="auto"/>
        </w:tblBorders>
        <w:tblLayout w:type="fixed"/>
        <w:tblCellMar>
          <w:left w:w="0" w:type="dxa"/>
          <w:right w:w="0" w:type="dxa"/>
        </w:tblCellMar>
        <w:tblLook w:val="0000" w:firstRow="0" w:lastRow="0" w:firstColumn="0" w:lastColumn="0" w:noHBand="0" w:noVBand="0"/>
      </w:tblPr>
      <w:tblGrid>
        <w:gridCol w:w="4821"/>
        <w:gridCol w:w="4535"/>
      </w:tblGrid>
      <w:tr w:rsidR="00000000">
        <w:tblPrEx>
          <w:tblCellMar>
            <w:top w:w="0" w:type="dxa"/>
            <w:left w:w="0" w:type="dxa"/>
            <w:bottom w:w="0" w:type="dxa"/>
            <w:right w:w="0" w:type="dxa"/>
          </w:tblCellMar>
        </w:tblPrEx>
        <w:trPr>
          <w:trHeight w:hRule="exact" w:val="780"/>
        </w:trPr>
        <w:tc>
          <w:tcPr>
            <w:tcW w:w="4821" w:type="dxa"/>
          </w:tcPr>
          <w:p w:rsidR="00000000" w:rsidRDefault="00000000">
            <w:pPr>
              <w:tabs>
                <w:tab w:val="left" w:pos="0"/>
                <w:tab w:val="left" w:pos="7086"/>
              </w:tabs>
              <w:suppressAutoHyphens/>
              <w:spacing w:line="216" w:lineRule="auto"/>
              <w:rPr>
                <w:b/>
                <w:sz w:val="6"/>
                <w:lang w:val="en-US"/>
              </w:rPr>
            </w:pPr>
          </w:p>
          <w:p w:rsidR="00000000" w:rsidRDefault="00000000">
            <w:pPr>
              <w:tabs>
                <w:tab w:val="left" w:pos="0"/>
                <w:tab w:val="left" w:pos="7086"/>
              </w:tabs>
              <w:suppressAutoHyphens/>
              <w:spacing w:line="216" w:lineRule="auto"/>
              <w:rPr>
                <w:b/>
                <w:sz w:val="28"/>
              </w:rPr>
            </w:pPr>
            <w:r>
              <w:rPr>
                <w:rFonts w:ascii="Arial" w:hAnsi="Arial" w:cs="Arial"/>
                <w:b/>
                <w:sz w:val="28"/>
              </w:rPr>
              <w:t xml:space="preserve">ОРГАНИЗАЦИЯ </w:t>
            </w:r>
            <w:r>
              <w:rPr>
                <w:rFonts w:ascii="Arial" w:hAnsi="Arial" w:cs="Arial"/>
                <w:b/>
                <w:sz w:val="28"/>
              </w:rPr>
              <w:br/>
              <w:t>ОБЪЕДИНЕННЫХ НАЦИЙ</w:t>
            </w:r>
          </w:p>
        </w:tc>
        <w:tc>
          <w:tcPr>
            <w:tcW w:w="4535" w:type="dxa"/>
            <w:tcMar>
              <w:bottom w:w="57" w:type="dxa"/>
            </w:tcMar>
            <w:vAlign w:val="center"/>
          </w:tcPr>
          <w:p w:rsidR="00000000" w:rsidRDefault="00000000">
            <w:pPr>
              <w:pStyle w:val="Heading4"/>
              <w:tabs>
                <w:tab w:val="left" w:pos="4418"/>
              </w:tabs>
              <w:spacing w:after="120"/>
              <w:jc w:val="right"/>
              <w:rPr>
                <w:rFonts w:ascii="Arial" w:hAnsi="Arial" w:cs="Arial"/>
                <w:i w:val="0"/>
                <w:iCs/>
                <w:sz w:val="68"/>
              </w:rPr>
            </w:pPr>
            <w:r>
              <w:rPr>
                <w:rFonts w:ascii="Arial" w:hAnsi="Arial" w:cs="Arial"/>
                <w:i w:val="0"/>
                <w:iCs/>
                <w:sz w:val="68"/>
              </w:rPr>
              <w:t xml:space="preserve">E  </w:t>
            </w:r>
          </w:p>
        </w:tc>
      </w:tr>
    </w:tbl>
    <w:p w:rsidR="00000000" w:rsidRDefault="00000000">
      <w:pPr>
        <w:tabs>
          <w:tab w:val="left" w:pos="0"/>
          <w:tab w:val="left" w:pos="7086"/>
        </w:tabs>
        <w:suppressAutoHyphens/>
        <w:spacing w:line="216" w:lineRule="auto"/>
        <w:rPr>
          <w:sz w:val="20"/>
        </w:rPr>
      </w:pPr>
    </w:p>
    <w:tbl>
      <w:tblPr>
        <w:tblW w:w="0" w:type="auto"/>
        <w:tblBorders>
          <w:bottom w:val="single" w:sz="36" w:space="0" w:color="auto"/>
        </w:tblBorders>
        <w:tblLayout w:type="fixed"/>
        <w:tblCellMar>
          <w:left w:w="28" w:type="dxa"/>
          <w:right w:w="28" w:type="dxa"/>
        </w:tblCellMar>
        <w:tblLook w:val="0000" w:firstRow="0" w:lastRow="0" w:firstColumn="0" w:lastColumn="0" w:noHBand="0" w:noVBand="0"/>
      </w:tblPr>
      <w:tblGrid>
        <w:gridCol w:w="1558"/>
        <w:gridCol w:w="4706"/>
        <w:gridCol w:w="3120"/>
      </w:tblGrid>
      <w:tr w:rsidR="00000000">
        <w:tblPrEx>
          <w:tblCellMar>
            <w:top w:w="0" w:type="dxa"/>
            <w:bottom w:w="0" w:type="dxa"/>
          </w:tblCellMar>
        </w:tblPrEx>
        <w:tc>
          <w:tcPr>
            <w:tcW w:w="1558" w:type="dxa"/>
          </w:tcPr>
          <w:p w:rsidR="00000000" w:rsidRDefault="00000000">
            <w:pPr>
              <w:tabs>
                <w:tab w:val="left" w:pos="0"/>
                <w:tab w:val="left" w:pos="7086"/>
              </w:tabs>
              <w:suppressAutoHyphens/>
              <w:ind w:left="30" w:right="270"/>
              <w:rPr>
                <w:sz w:val="2"/>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o:allowoverlap="f">
                  <v:imagedata r:id="rId7" o:title=""/>
                </v:shape>
                <o:OLEObject Type="Embed" ProgID="Word.Picture.8" ShapeID="_x0000_i1025" DrawAspect="Content" ObjectID="_1394904851"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Pr>
          <w:p w:rsidR="00000000" w:rsidRDefault="00000000">
            <w:pPr>
              <w:tabs>
                <w:tab w:val="left" w:pos="0"/>
                <w:tab w:val="left" w:pos="7086"/>
              </w:tabs>
              <w:suppressAutoHyphens/>
              <w:ind w:right="255"/>
              <w:rPr>
                <w:b/>
                <w:sz w:val="10"/>
              </w:rPr>
            </w:pPr>
          </w:p>
          <w:p w:rsidR="00000000" w:rsidRDefault="00000000">
            <w:pPr>
              <w:tabs>
                <w:tab w:val="left" w:pos="0"/>
                <w:tab w:val="left" w:pos="7086"/>
              </w:tabs>
              <w:suppressAutoHyphens/>
              <w:spacing w:line="240" w:lineRule="auto"/>
              <w:ind w:right="255"/>
              <w:rPr>
                <w:rFonts w:ascii="Arial" w:hAnsi="Arial" w:cs="Arial"/>
                <w:sz w:val="32"/>
              </w:rPr>
            </w:pPr>
            <w:r>
              <w:rPr>
                <w:rFonts w:ascii="Arial" w:hAnsi="Arial" w:cs="Arial"/>
                <w:b/>
                <w:sz w:val="34"/>
              </w:rPr>
              <w:t>Экономический</w:t>
            </w:r>
            <w:r>
              <w:rPr>
                <w:rFonts w:ascii="Arial" w:hAnsi="Arial" w:cs="Arial"/>
                <w:b/>
                <w:sz w:val="16"/>
              </w:rPr>
              <w:br/>
            </w:r>
            <w:r>
              <w:rPr>
                <w:rFonts w:ascii="Arial" w:hAnsi="Arial" w:cs="Arial"/>
                <w:b/>
                <w:sz w:val="34"/>
              </w:rPr>
              <w:t>и Социальный Совет</w:t>
            </w:r>
          </w:p>
        </w:tc>
        <w:tc>
          <w:tcPr>
            <w:tcW w:w="3120" w:type="dxa"/>
          </w:tcPr>
          <w:p w:rsidR="00000000" w:rsidRDefault="00000000">
            <w:pPr>
              <w:spacing w:line="216" w:lineRule="auto"/>
            </w:pPr>
            <w:r>
              <w:rPr>
                <w:lang w:val="en-US"/>
              </w:rPr>
              <w:t>Distr</w:t>
            </w:r>
            <w:r>
              <w:t>.</w:t>
            </w:r>
          </w:p>
          <w:p w:rsidR="00000000" w:rsidRDefault="00000000">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1"/>
          </w:p>
          <w:p w:rsidR="00000000" w:rsidRDefault="00000000">
            <w:pPr>
              <w:spacing w:line="216" w:lineRule="auto"/>
            </w:pPr>
          </w:p>
          <w:p w:rsidR="00000000" w:rsidRDefault="00000000">
            <w:pPr>
              <w:spacing w:line="216" w:lineRule="auto"/>
              <w:rPr>
                <w:lang w:val="en-US"/>
              </w:rPr>
            </w:pPr>
            <w:r>
              <w:rPr>
                <w:lang w:val="en-US"/>
              </w:rPr>
              <w:fldChar w:fldCharType="begin"/>
            </w:r>
            <w:r>
              <w:rPr>
                <w:lang w:val="en-US"/>
              </w:rPr>
              <w:instrText xml:space="preserve"> FILLIN  "</w:instrText>
            </w:r>
            <w:r>
              <w:instrText>Введите</w:instrText>
            </w:r>
            <w:r>
              <w:rPr>
                <w:lang w:val="en-US"/>
              </w:rPr>
              <w:instrText xml:space="preserve"> </w:instrText>
            </w:r>
            <w:r>
              <w:instrText>символ</w:instrText>
            </w:r>
            <w:r>
              <w:rPr>
                <w:lang w:val="en-US"/>
              </w:rPr>
              <w:instrText xml:space="preserve"> </w:instrText>
            </w:r>
            <w:r>
              <w:instrText>документа</w:instrText>
            </w:r>
            <w:r>
              <w:rPr>
                <w:lang w:val="en-US"/>
              </w:rPr>
              <w:instrText xml:space="preserve">" \* MERGEFORMAT </w:instrText>
            </w:r>
            <w:r>
              <w:rPr>
                <w:lang w:val="en-US"/>
              </w:rPr>
              <w:fldChar w:fldCharType="separate"/>
            </w:r>
            <w:r>
              <w:rPr>
                <w:lang w:val="en-US"/>
              </w:rPr>
              <w:t>E/C.12/PRY/3</w:t>
            </w:r>
            <w:r>
              <w:rPr>
                <w:lang w:val="en-US"/>
              </w:rPr>
              <w:fldChar w:fldCharType="end"/>
            </w:r>
          </w:p>
          <w:p w:rsidR="00000000" w:rsidRDefault="00000000">
            <w:pPr>
              <w:spacing w:line="216" w:lineRule="auto"/>
            </w:pPr>
            <w:r>
              <w:rPr>
                <w:lang w:val="en-US"/>
              </w:rPr>
              <w:fldChar w:fldCharType="begin"/>
            </w:r>
            <w:r>
              <w:instrText xml:space="preserve"> </w:instrText>
            </w:r>
            <w:r>
              <w:rPr>
                <w:lang w:val="en-US"/>
              </w:rPr>
              <w:instrText>FILLIN</w:instrText>
            </w:r>
            <w:r>
              <w:instrText xml:space="preserve">  "Введите дату документа" \* </w:instrText>
            </w:r>
            <w:r>
              <w:rPr>
                <w:lang w:val="en-US"/>
              </w:rPr>
              <w:instrText>MERGEFORMAT</w:instrText>
            </w:r>
            <w:r>
              <w:instrText xml:space="preserve"> </w:instrText>
            </w:r>
            <w:r>
              <w:rPr>
                <w:lang w:val="en-US"/>
              </w:rPr>
              <w:fldChar w:fldCharType="separate"/>
            </w:r>
            <w:r>
              <w:rPr>
                <w:lang w:val="en-US"/>
              </w:rPr>
              <w:t>26 February 2007</w:t>
            </w:r>
            <w:r>
              <w:rPr>
                <w:lang w:val="en-US"/>
              </w:rPr>
              <w:fldChar w:fldCharType="end"/>
            </w:r>
          </w:p>
          <w:p w:rsidR="00000000" w:rsidRDefault="00000000">
            <w:pPr>
              <w:spacing w:line="216" w:lineRule="auto"/>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result w:val="2"/>
                    <w:listEntry w:val="ENGLISH"/>
                    <w:listEntry w:val="FRENCH"/>
                    <w:listEntry w:val="SPANISH"/>
                    <w:listEntry w:val="ARABIC"/>
                    <w:listEntry w:val="CHINESE"/>
                    <w:listEntry w:val="ENGLISH/FRENCH"/>
                    <w:listEntry w:val="ENGLISH and FRENCH"/>
                  </w:ddList>
                </w:ffData>
              </w:fldChar>
            </w:r>
            <w:bookmarkStart w:id="2"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2"/>
          </w:p>
          <w:p w:rsidR="00000000" w:rsidRDefault="00000000">
            <w:pPr>
              <w:spacing w:line="216" w:lineRule="auto"/>
              <w:rPr>
                <w:sz w:val="16"/>
              </w:rPr>
            </w:pPr>
          </w:p>
          <w:p w:rsidR="00000000" w:rsidRDefault="00000000">
            <w:pPr>
              <w:tabs>
                <w:tab w:val="left" w:pos="0"/>
                <w:tab w:val="left" w:pos="7086"/>
              </w:tabs>
              <w:suppressAutoHyphens/>
              <w:spacing w:line="216" w:lineRule="auto"/>
              <w:ind w:left="255"/>
              <w:rPr>
                <w:sz w:val="22"/>
              </w:rPr>
            </w:pPr>
          </w:p>
        </w:tc>
      </w:tr>
    </w:tbl>
    <w:p w:rsidR="00000000" w:rsidRDefault="00000000">
      <w:pPr>
        <w:rPr>
          <w:lang w:val="en-US"/>
        </w:rPr>
      </w:pPr>
    </w:p>
    <w:p w:rsidR="00000000" w:rsidRDefault="00000000">
      <w:r>
        <w:t>Основная сессия 2007 года</w:t>
      </w:r>
    </w:p>
    <w:p w:rsidR="00000000" w:rsidRDefault="00000000"/>
    <w:p w:rsidR="00000000" w:rsidRDefault="00000000">
      <w:pPr>
        <w:jc w:val="center"/>
        <w:rPr>
          <w:b/>
          <w:bCs/>
        </w:rPr>
      </w:pPr>
      <w:r>
        <w:rPr>
          <w:b/>
          <w:bCs/>
        </w:rPr>
        <w:t>ОСУЩЕСТВЛЕНИЕ МЕЖДУНАРОДНОГО ПАКТА ОБ ЭКОНОМИЧЕСКИХ, СОЦИАЛЬНЫХ И КУЛЬТУРНЫХ ПРАВАХ</w:t>
      </w:r>
    </w:p>
    <w:p w:rsidR="00000000" w:rsidRDefault="00000000">
      <w:pPr>
        <w:jc w:val="center"/>
        <w:rPr>
          <w:b/>
          <w:bCs/>
        </w:rPr>
      </w:pPr>
    </w:p>
    <w:p w:rsidR="00000000" w:rsidRDefault="00000000">
      <w:pPr>
        <w:jc w:val="center"/>
        <w:rPr>
          <w:b/>
          <w:bCs/>
        </w:rPr>
      </w:pPr>
      <w:r>
        <w:rPr>
          <w:b/>
          <w:bCs/>
        </w:rPr>
        <w:t>Вторые и третьи периодические доклады, представляемые государствами-участниками в соответствии со статьями 16 и 17 Пакта</w:t>
      </w:r>
    </w:p>
    <w:p w:rsidR="00000000" w:rsidRDefault="00000000">
      <w:pPr>
        <w:jc w:val="center"/>
        <w:rPr>
          <w:b/>
          <w:bCs/>
        </w:rPr>
      </w:pPr>
    </w:p>
    <w:p w:rsidR="00000000" w:rsidRDefault="00000000">
      <w:pPr>
        <w:jc w:val="center"/>
      </w:pPr>
      <w:r>
        <w:rPr>
          <w:b/>
          <w:bCs/>
        </w:rPr>
        <w:t>ПАРАГВАЙ</w:t>
      </w:r>
      <w:r>
        <w:rPr>
          <w:rStyle w:val="FootnoteReference"/>
          <w:b w:val="0"/>
          <w:bCs/>
        </w:rPr>
        <w:footnoteReference w:customMarkFollows="1" w:id="1"/>
        <w:t>*</w:t>
      </w:r>
      <w:r>
        <w:rPr>
          <w:bCs/>
        </w:rPr>
        <w:t xml:space="preserve"> </w:t>
      </w:r>
      <w:r>
        <w:rPr>
          <w:rStyle w:val="FootnoteReference"/>
          <w:bCs/>
        </w:rPr>
        <w:footnoteReference w:customMarkFollows="1" w:id="2"/>
        <w:t>**</w:t>
      </w:r>
      <w:r>
        <w:rPr>
          <w:bCs/>
        </w:rPr>
        <w:t xml:space="preserve"> </w:t>
      </w:r>
      <w:r>
        <w:rPr>
          <w:rStyle w:val="FootnoteReference"/>
          <w:bCs/>
        </w:rPr>
        <w:footnoteReference w:customMarkFollows="1" w:id="3"/>
        <w:t>***</w:t>
      </w:r>
    </w:p>
    <w:p w:rsidR="00000000" w:rsidRDefault="00000000">
      <w:pPr>
        <w:jc w:val="center"/>
      </w:pPr>
    </w:p>
    <w:p w:rsidR="00000000" w:rsidRDefault="00000000">
      <w:pPr>
        <w:jc w:val="right"/>
        <w:rPr>
          <w:bCs/>
        </w:rPr>
      </w:pPr>
      <w:r>
        <w:rPr>
          <w:bCs/>
        </w:rPr>
        <w:t>[1994-2006 годы]</w:t>
      </w:r>
    </w:p>
    <w:p w:rsidR="00000000" w:rsidRDefault="00000000">
      <w:pPr>
        <w:spacing w:line="240" w:lineRule="auto"/>
        <w:jc w:val="center"/>
      </w:pPr>
      <w:r>
        <w:br w:type="page"/>
        <w:t>СОДЕРЖАНИЕ</w:t>
      </w:r>
    </w:p>
    <w:p w:rsidR="00000000" w:rsidRDefault="00000000">
      <w:pPr>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rPr>
          <w:i/>
          <w:iCs/>
        </w:rPr>
      </w:pPr>
      <w:r>
        <w:tab/>
      </w:r>
      <w:r>
        <w:tab/>
      </w:r>
      <w:r>
        <w:tab/>
      </w:r>
      <w:r>
        <w:tab/>
      </w:r>
      <w:r>
        <w:tab/>
      </w:r>
      <w:r>
        <w:rPr>
          <w:i/>
          <w:iCs/>
        </w:rPr>
        <w:t>Пункты</w:t>
      </w:r>
      <w:r>
        <w:rPr>
          <w:i/>
          <w:iCs/>
        </w:rPr>
        <w:tab/>
        <w:t>Стр.</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decimal" w:pos="8039"/>
          <w:tab w:val="center" w:pos="9122"/>
        </w:tabs>
        <w:spacing w:after="80" w:line="216" w:lineRule="auto"/>
      </w:pPr>
      <w:r>
        <w:tab/>
      </w:r>
      <w:r>
        <w:rPr>
          <w:lang w:val="en-US"/>
        </w:rPr>
        <w:t>I</w:t>
      </w:r>
      <w:r>
        <w:t>.</w:t>
      </w:r>
      <w:r>
        <w:tab/>
        <w:t>ТЕРРИТОРИЯ И НАСЕЛЕНИЕ</w:t>
      </w:r>
      <w:r>
        <w:tab/>
      </w:r>
      <w:r>
        <w:tab/>
        <w:t>1 - 49</w:t>
      </w:r>
      <w:r>
        <w:tab/>
        <w:t>4</w:t>
      </w:r>
    </w:p>
    <w:p w:rsidR="00000000" w:rsidRDefault="00000000">
      <w:pPr>
        <w:tabs>
          <w:tab w:val="clear" w:pos="6237"/>
          <w:tab w:val="decimal" w:pos="567"/>
          <w:tab w:val="left" w:pos="1134"/>
          <w:tab w:val="left" w:pos="1701"/>
          <w:tab w:val="left" w:pos="2268"/>
          <w:tab w:val="right" w:leader="dot" w:pos="7172"/>
          <w:tab w:val="decimal" w:pos="8039"/>
          <w:tab w:val="center" w:pos="9122"/>
        </w:tabs>
        <w:spacing w:after="80" w:line="216" w:lineRule="auto"/>
        <w:ind w:left="1701" w:hanging="567"/>
      </w:pPr>
      <w:r>
        <w:rPr>
          <w:lang w:val="en-US"/>
        </w:rPr>
        <w:t>A</w:t>
      </w:r>
      <w:r>
        <w:t>.</w:t>
      </w:r>
      <w:r>
        <w:tab/>
        <w:t>Общая характеристика страны</w:t>
      </w:r>
      <w:r>
        <w:tab/>
      </w:r>
      <w:r>
        <w:tab/>
        <w:t>1 - 3</w:t>
      </w:r>
      <w: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after="80" w:line="216" w:lineRule="auto"/>
        <w:ind w:left="1701" w:hanging="567"/>
      </w:pPr>
      <w:r>
        <w:rPr>
          <w:lang w:val="en-US"/>
        </w:rPr>
        <w:t>B</w:t>
      </w:r>
      <w:r>
        <w:t>.</w:t>
      </w:r>
      <w:r>
        <w:tab/>
        <w:t>Этническая характеристика</w:t>
      </w:r>
      <w:r>
        <w:tab/>
      </w:r>
      <w:r>
        <w:tab/>
        <w:t>4</w:t>
      </w:r>
      <w:r>
        <w:tab/>
        <w:t>5</w:t>
      </w:r>
    </w:p>
    <w:p w:rsidR="00000000" w:rsidRDefault="00000000">
      <w:pPr>
        <w:tabs>
          <w:tab w:val="clear" w:pos="6237"/>
          <w:tab w:val="decimal" w:pos="567"/>
          <w:tab w:val="left" w:pos="1134"/>
          <w:tab w:val="left" w:pos="1701"/>
          <w:tab w:val="left" w:pos="2268"/>
          <w:tab w:val="right" w:leader="dot" w:pos="7172"/>
          <w:tab w:val="decimal" w:pos="8040"/>
          <w:tab w:val="center" w:pos="9122"/>
        </w:tabs>
        <w:spacing w:after="80" w:line="216" w:lineRule="auto"/>
        <w:ind w:left="1701" w:hanging="567"/>
      </w:pPr>
      <w:r>
        <w:rPr>
          <w:lang w:val="en-US"/>
        </w:rPr>
        <w:t>C</w:t>
      </w:r>
      <w:r>
        <w:t>.</w:t>
      </w:r>
      <w:r>
        <w:tab/>
        <w:t>Этническая характеристика коренного населения</w:t>
      </w:r>
      <w:r>
        <w:tab/>
      </w:r>
      <w:r>
        <w:tab/>
        <w:t>5 - 8</w:t>
      </w:r>
      <w:r>
        <w:tab/>
        <w:t>5</w:t>
      </w:r>
    </w:p>
    <w:p w:rsidR="00000000" w:rsidRDefault="00000000">
      <w:pPr>
        <w:tabs>
          <w:tab w:val="clear" w:pos="6237"/>
          <w:tab w:val="decimal" w:pos="567"/>
          <w:tab w:val="left" w:pos="1134"/>
          <w:tab w:val="left" w:pos="1701"/>
          <w:tab w:val="left" w:pos="2268"/>
          <w:tab w:val="right" w:leader="dot" w:pos="7172"/>
          <w:tab w:val="decimal" w:pos="8040"/>
          <w:tab w:val="center" w:pos="9122"/>
        </w:tabs>
        <w:spacing w:after="80" w:line="216" w:lineRule="auto"/>
        <w:ind w:left="1701" w:hanging="567"/>
      </w:pPr>
      <w:r>
        <w:rPr>
          <w:lang w:val="en-US"/>
        </w:rPr>
        <w:t>D</w:t>
      </w:r>
      <w:r>
        <w:t>.</w:t>
      </w:r>
      <w:r>
        <w:tab/>
        <w:t>Демографическая характеристика страны и ее</w:t>
      </w:r>
      <w:r>
        <w:br/>
        <w:t>населения</w:t>
      </w:r>
      <w:r>
        <w:tab/>
      </w:r>
      <w:r>
        <w:tab/>
        <w:t>9 - 33</w:t>
      </w:r>
      <w:r>
        <w:tab/>
        <w:t>7</w:t>
      </w:r>
    </w:p>
    <w:p w:rsidR="00000000" w:rsidRDefault="00000000">
      <w:pPr>
        <w:tabs>
          <w:tab w:val="clear" w:pos="6237"/>
          <w:tab w:val="decimal" w:pos="567"/>
          <w:tab w:val="left" w:pos="1134"/>
          <w:tab w:val="left" w:pos="1701"/>
          <w:tab w:val="left" w:pos="2268"/>
          <w:tab w:val="right" w:leader="dot" w:pos="7172"/>
          <w:tab w:val="decimal" w:pos="8040"/>
          <w:tab w:val="center" w:pos="9122"/>
        </w:tabs>
        <w:spacing w:after="80" w:line="216" w:lineRule="auto"/>
        <w:ind w:left="1701" w:hanging="567"/>
      </w:pPr>
      <w:r>
        <w:rPr>
          <w:lang w:val="en-US"/>
        </w:rPr>
        <w:t>E</w:t>
      </w:r>
      <w:r>
        <w:t>.</w:t>
      </w:r>
      <w:r>
        <w:tab/>
        <w:t>Социально-экономические показатели</w:t>
      </w:r>
      <w:r>
        <w:tab/>
      </w:r>
      <w:r>
        <w:tab/>
        <w:t>34 - 41</w:t>
      </w:r>
      <w:r>
        <w:tab/>
        <w:t>19</w:t>
      </w:r>
    </w:p>
    <w:p w:rsidR="00000000" w:rsidRDefault="00000000">
      <w:pPr>
        <w:tabs>
          <w:tab w:val="clear" w:pos="6237"/>
          <w:tab w:val="decimal" w:pos="567"/>
          <w:tab w:val="left" w:pos="1134"/>
          <w:tab w:val="left" w:pos="1701"/>
          <w:tab w:val="left" w:pos="2268"/>
          <w:tab w:val="right" w:leader="dot" w:pos="7172"/>
          <w:tab w:val="decimal" w:pos="8040"/>
          <w:tab w:val="center" w:pos="9122"/>
        </w:tabs>
        <w:spacing w:after="80" w:line="216" w:lineRule="auto"/>
        <w:ind w:left="1701" w:hanging="567"/>
      </w:pPr>
      <w:r>
        <w:rPr>
          <w:lang w:val="en-US"/>
        </w:rPr>
        <w:t>F</w:t>
      </w:r>
      <w:r>
        <w:t>.</w:t>
      </w:r>
      <w:r>
        <w:tab/>
        <w:t xml:space="preserve">Показатели в области культуры </w:t>
      </w:r>
      <w:r>
        <w:tab/>
      </w:r>
      <w:r>
        <w:tab/>
        <w:t>42 - 49</w:t>
      </w:r>
      <w:r>
        <w:tab/>
        <w:t>26</w:t>
      </w:r>
    </w:p>
    <w:p w:rsidR="00000000" w:rsidRDefault="00000000">
      <w:pPr>
        <w:tabs>
          <w:tab w:val="clear" w:pos="6237"/>
          <w:tab w:val="decimal" w:pos="567"/>
          <w:tab w:val="left" w:pos="1134"/>
          <w:tab w:val="left" w:pos="1701"/>
          <w:tab w:val="left" w:pos="2268"/>
          <w:tab w:val="right" w:leader="dot" w:pos="7172"/>
          <w:tab w:val="decimal" w:pos="8040"/>
          <w:tab w:val="center" w:pos="9122"/>
        </w:tabs>
        <w:spacing w:after="80" w:line="216" w:lineRule="auto"/>
        <w:ind w:left="1134" w:hanging="1134"/>
      </w:pPr>
      <w:r>
        <w:tab/>
      </w:r>
      <w:r>
        <w:rPr>
          <w:lang w:val="en-US"/>
        </w:rPr>
        <w:t>II</w:t>
      </w:r>
      <w:r>
        <w:t>.</w:t>
      </w:r>
      <w:r>
        <w:tab/>
        <w:t xml:space="preserve">КРАТКИЙ АНАЛИЗ СОЦИАЛЬНО-ПОЛИТИЧЕСКОЙ </w:t>
      </w:r>
      <w:r>
        <w:br/>
        <w:t>СИТУАЦИИ В ПАРАГВАЕ (1994-2006 годы)</w:t>
      </w:r>
      <w:r>
        <w:tab/>
      </w:r>
      <w:r>
        <w:tab/>
        <w:t>50 - 103</w:t>
      </w:r>
      <w:r>
        <w:tab/>
        <w:t>32</w:t>
      </w:r>
    </w:p>
    <w:p w:rsidR="00000000" w:rsidRDefault="00000000">
      <w:pPr>
        <w:tabs>
          <w:tab w:val="clear" w:pos="6237"/>
          <w:tab w:val="decimal" w:pos="567"/>
          <w:tab w:val="left" w:pos="1134"/>
          <w:tab w:val="left" w:pos="1701"/>
          <w:tab w:val="left" w:pos="2268"/>
          <w:tab w:val="right" w:leader="dot" w:pos="7172"/>
          <w:tab w:val="decimal" w:pos="8040"/>
          <w:tab w:val="center" w:pos="9122"/>
        </w:tabs>
        <w:spacing w:after="80" w:line="216" w:lineRule="auto"/>
        <w:ind w:left="1701" w:hanging="567"/>
      </w:pPr>
      <w:r>
        <w:rPr>
          <w:lang w:val="en-US"/>
        </w:rPr>
        <w:t>A</w:t>
      </w:r>
      <w:r>
        <w:t>.</w:t>
      </w:r>
      <w:r>
        <w:tab/>
        <w:t>Развитие политической ситуации</w:t>
      </w:r>
      <w:r>
        <w:tab/>
      </w:r>
      <w:r>
        <w:tab/>
        <w:t>50 - 61</w:t>
      </w:r>
      <w:r>
        <w:tab/>
        <w:t>32</w:t>
      </w:r>
    </w:p>
    <w:p w:rsidR="00000000" w:rsidRDefault="00000000">
      <w:pPr>
        <w:tabs>
          <w:tab w:val="clear" w:pos="6237"/>
          <w:tab w:val="decimal" w:pos="567"/>
          <w:tab w:val="left" w:pos="1134"/>
          <w:tab w:val="left" w:pos="1701"/>
          <w:tab w:val="left" w:pos="2268"/>
          <w:tab w:val="right" w:leader="dot" w:pos="7172"/>
          <w:tab w:val="decimal" w:pos="8040"/>
          <w:tab w:val="center" w:pos="9122"/>
        </w:tabs>
        <w:spacing w:after="80" w:line="216" w:lineRule="auto"/>
        <w:ind w:left="1701" w:hanging="567"/>
      </w:pPr>
      <w:r>
        <w:rPr>
          <w:lang w:val="en-US"/>
        </w:rPr>
        <w:t>B</w:t>
      </w:r>
      <w:r>
        <w:t>.</w:t>
      </w:r>
      <w:r>
        <w:tab/>
        <w:t>Управляемость и недостатки институциональной</w:t>
      </w:r>
      <w:r>
        <w:br/>
        <w:t>системы</w:t>
      </w:r>
      <w:r>
        <w:tab/>
      </w:r>
      <w:r>
        <w:tab/>
        <w:t>62 - 65</w:t>
      </w:r>
      <w:r>
        <w:tab/>
        <w:t>34</w:t>
      </w:r>
    </w:p>
    <w:p w:rsidR="00000000" w:rsidRDefault="00000000">
      <w:pPr>
        <w:tabs>
          <w:tab w:val="clear" w:pos="6237"/>
          <w:tab w:val="decimal" w:pos="567"/>
          <w:tab w:val="left" w:pos="1134"/>
          <w:tab w:val="left" w:pos="1701"/>
          <w:tab w:val="left" w:pos="2268"/>
          <w:tab w:val="right" w:leader="dot" w:pos="7172"/>
          <w:tab w:val="decimal" w:pos="8040"/>
          <w:tab w:val="center" w:pos="9122"/>
        </w:tabs>
        <w:spacing w:after="80" w:line="216" w:lineRule="auto"/>
        <w:ind w:left="1701" w:hanging="567"/>
      </w:pPr>
      <w:r>
        <w:rPr>
          <w:lang w:val="en-US"/>
        </w:rPr>
        <w:t>C</w:t>
      </w:r>
      <w:r>
        <w:t>.</w:t>
      </w:r>
      <w:r>
        <w:tab/>
        <w:t>Показатели экономической деятельности</w:t>
      </w:r>
      <w:r>
        <w:tab/>
      </w:r>
      <w:r>
        <w:tab/>
        <w:t>66 - 84</w:t>
      </w:r>
      <w:r>
        <w:tab/>
        <w:t>36</w:t>
      </w:r>
    </w:p>
    <w:p w:rsidR="00000000" w:rsidRDefault="00000000">
      <w:pPr>
        <w:tabs>
          <w:tab w:val="clear" w:pos="6237"/>
          <w:tab w:val="decimal" w:pos="567"/>
          <w:tab w:val="left" w:pos="1134"/>
          <w:tab w:val="left" w:pos="1701"/>
          <w:tab w:val="left" w:pos="2268"/>
          <w:tab w:val="right" w:leader="dot" w:pos="7172"/>
          <w:tab w:val="decimal" w:pos="8040"/>
          <w:tab w:val="center" w:pos="9122"/>
        </w:tabs>
        <w:spacing w:after="80" w:line="216" w:lineRule="auto"/>
        <w:ind w:left="1701" w:hanging="567"/>
      </w:pPr>
      <w:r>
        <w:rPr>
          <w:lang w:val="en-US"/>
        </w:rPr>
        <w:t>D</w:t>
      </w:r>
      <w:r>
        <w:t>.</w:t>
      </w:r>
      <w:r>
        <w:tab/>
        <w:t>Задачи, возникающие в процессе развития</w:t>
      </w:r>
      <w:r>
        <w:br/>
        <w:t>Парагвая</w:t>
      </w:r>
      <w:r>
        <w:tab/>
      </w:r>
      <w:r>
        <w:tab/>
        <w:t>85 - 96</w:t>
      </w:r>
      <w:r>
        <w:tab/>
        <w:t>40</w:t>
      </w:r>
    </w:p>
    <w:p w:rsidR="00000000" w:rsidRDefault="00000000">
      <w:pPr>
        <w:tabs>
          <w:tab w:val="clear" w:pos="6237"/>
          <w:tab w:val="decimal" w:pos="567"/>
          <w:tab w:val="left" w:pos="1134"/>
          <w:tab w:val="left" w:pos="1701"/>
          <w:tab w:val="left" w:pos="2268"/>
          <w:tab w:val="right" w:leader="dot" w:pos="7172"/>
          <w:tab w:val="decimal" w:pos="8040"/>
          <w:tab w:val="center" w:pos="9122"/>
        </w:tabs>
        <w:spacing w:after="120" w:line="216" w:lineRule="auto"/>
        <w:ind w:left="1701" w:hanging="567"/>
      </w:pPr>
      <w:r>
        <w:rPr>
          <w:lang w:val="en-US"/>
        </w:rPr>
        <w:t>E</w:t>
      </w:r>
      <w:r>
        <w:t>.</w:t>
      </w:r>
      <w:r>
        <w:tab/>
        <w:t>Стратегия развития правительства</w:t>
      </w:r>
      <w:r>
        <w:tab/>
      </w:r>
      <w:r>
        <w:tab/>
        <w:t>97 - 103</w:t>
      </w:r>
      <w:r>
        <w:tab/>
        <w:t>43</w:t>
      </w:r>
    </w:p>
    <w:p w:rsidR="00000000" w:rsidRDefault="00000000">
      <w:pPr>
        <w:tabs>
          <w:tab w:val="clear" w:pos="1701"/>
          <w:tab w:val="clear" w:pos="2268"/>
          <w:tab w:val="clear" w:pos="6237"/>
          <w:tab w:val="decimal" w:pos="567"/>
          <w:tab w:val="left" w:pos="1134"/>
          <w:tab w:val="right" w:leader="dot" w:pos="7172"/>
          <w:tab w:val="decimal" w:pos="8040"/>
          <w:tab w:val="center" w:pos="9122"/>
        </w:tabs>
        <w:spacing w:after="120" w:line="216" w:lineRule="auto"/>
        <w:ind w:left="1134" w:hanging="1134"/>
      </w:pPr>
      <w:r>
        <w:tab/>
      </w:r>
      <w:r>
        <w:rPr>
          <w:lang w:val="en-US"/>
        </w:rPr>
        <w:t>III</w:t>
      </w:r>
      <w:r>
        <w:t>.</w:t>
      </w:r>
      <w:r>
        <w:tab/>
        <w:t>ДОКЛАД УПРАВЛЕНИЯ ЗАЩИТНИКА НАРОДА</w:t>
      </w:r>
      <w:r>
        <w:tab/>
      </w:r>
      <w:r>
        <w:tab/>
        <w:t>104 - 114</w:t>
      </w:r>
      <w:r>
        <w:tab/>
        <w:t>47</w:t>
      </w:r>
    </w:p>
    <w:p w:rsidR="00000000" w:rsidRDefault="00000000">
      <w:pPr>
        <w:tabs>
          <w:tab w:val="clear" w:pos="6237"/>
          <w:tab w:val="decimal" w:pos="567"/>
          <w:tab w:val="left" w:pos="1134"/>
          <w:tab w:val="left" w:pos="1701"/>
          <w:tab w:val="left" w:pos="2268"/>
          <w:tab w:val="right" w:leader="dot" w:pos="7172"/>
          <w:tab w:val="decimal" w:pos="8040"/>
          <w:tab w:val="center" w:pos="9122"/>
        </w:tabs>
        <w:spacing w:after="80" w:line="216" w:lineRule="auto"/>
        <w:ind w:left="1701" w:hanging="567"/>
      </w:pPr>
      <w:r>
        <w:rPr>
          <w:lang w:val="en-US"/>
        </w:rPr>
        <w:t>A</w:t>
      </w:r>
      <w:r>
        <w:t>.</w:t>
      </w:r>
      <w:r>
        <w:tab/>
      </w:r>
      <w:r>
        <w:rPr>
          <w:lang w:val="en-US"/>
        </w:rPr>
        <w:t>C</w:t>
      </w:r>
      <w:r>
        <w:t>овершенствование государственной гендерной</w:t>
      </w:r>
      <w:r>
        <w:br/>
        <w:t>политики</w:t>
      </w:r>
      <w:r>
        <w:tab/>
      </w:r>
      <w:r>
        <w:tab/>
        <w:t>105 - 109</w:t>
      </w:r>
      <w:r>
        <w:tab/>
        <w:t>47</w:t>
      </w:r>
    </w:p>
    <w:p w:rsidR="00000000" w:rsidRDefault="00000000">
      <w:pPr>
        <w:tabs>
          <w:tab w:val="clear" w:pos="6237"/>
          <w:tab w:val="decimal" w:pos="567"/>
          <w:tab w:val="left" w:pos="1134"/>
          <w:tab w:val="left" w:pos="1701"/>
          <w:tab w:val="left" w:pos="2268"/>
          <w:tab w:val="right" w:leader="dot" w:pos="7172"/>
          <w:tab w:val="center" w:pos="8040"/>
          <w:tab w:val="center" w:pos="9122"/>
        </w:tabs>
        <w:spacing w:after="80" w:line="216" w:lineRule="auto"/>
        <w:ind w:left="1701" w:hanging="567"/>
      </w:pPr>
      <w:r>
        <w:rPr>
          <w:lang w:val="en-US"/>
        </w:rPr>
        <w:t>B</w:t>
      </w:r>
      <w:r>
        <w:t>.</w:t>
      </w:r>
      <w:r>
        <w:tab/>
        <w:t>Разработка государственной политики в отношении</w:t>
      </w:r>
      <w:r>
        <w:br/>
        <w:t>разных поколений:  детей, молодежи и лиц</w:t>
      </w:r>
      <w:r>
        <w:br/>
        <w:t>пожилого возраста</w:t>
      </w:r>
      <w:r>
        <w:tab/>
      </w:r>
      <w:r>
        <w:tab/>
        <w:t>110</w:t>
      </w:r>
      <w:r>
        <w:tab/>
        <w:t>49</w:t>
      </w:r>
    </w:p>
    <w:p w:rsidR="00000000" w:rsidRDefault="00000000">
      <w:pPr>
        <w:tabs>
          <w:tab w:val="clear" w:pos="6237"/>
          <w:tab w:val="decimal" w:pos="567"/>
          <w:tab w:val="left" w:pos="1134"/>
          <w:tab w:val="left" w:pos="1701"/>
          <w:tab w:val="left" w:pos="2268"/>
          <w:tab w:val="right" w:leader="dot" w:pos="7172"/>
          <w:tab w:val="center" w:pos="8040"/>
          <w:tab w:val="center" w:pos="9122"/>
        </w:tabs>
        <w:spacing w:after="80" w:line="216" w:lineRule="auto"/>
        <w:ind w:left="1701" w:hanging="567"/>
      </w:pPr>
      <w:r>
        <w:rPr>
          <w:lang w:val="en-US"/>
        </w:rPr>
        <w:t>C</w:t>
      </w:r>
      <w:r>
        <w:t>.</w:t>
      </w:r>
      <w:r>
        <w:tab/>
        <w:t>Политика обеспечения равенства в сфере труда</w:t>
      </w:r>
      <w:r>
        <w:br/>
        <w:t>и занятости</w:t>
      </w:r>
      <w:r>
        <w:tab/>
      </w:r>
      <w:r>
        <w:tab/>
        <w:t>111</w:t>
      </w:r>
      <w:r>
        <w:tab/>
        <w:t>50</w:t>
      </w:r>
    </w:p>
    <w:p w:rsidR="00000000" w:rsidRDefault="00000000">
      <w:pPr>
        <w:tabs>
          <w:tab w:val="clear" w:pos="6237"/>
          <w:tab w:val="decimal" w:pos="567"/>
          <w:tab w:val="left" w:pos="1134"/>
          <w:tab w:val="left" w:pos="1701"/>
          <w:tab w:val="left" w:pos="2268"/>
          <w:tab w:val="right" w:leader="dot" w:pos="7172"/>
          <w:tab w:val="decimal" w:pos="8040"/>
          <w:tab w:val="center" w:pos="9122"/>
        </w:tabs>
        <w:spacing w:after="80" w:line="216" w:lineRule="auto"/>
        <w:ind w:left="1701" w:hanging="567"/>
      </w:pPr>
      <w:r>
        <w:rPr>
          <w:lang w:val="en-US"/>
        </w:rPr>
        <w:t>D</w:t>
      </w:r>
      <w:r>
        <w:t>.</w:t>
      </w:r>
      <w:r>
        <w:tab/>
        <w:t>Переориентация и оживление экономики, преодоление</w:t>
      </w:r>
      <w:r>
        <w:br/>
        <w:t>нищеты, интеграция и устойчивое развитие людских</w:t>
      </w:r>
      <w:r>
        <w:br/>
        <w:t>ресурсов с полномасштабным охватом женщин</w:t>
      </w:r>
      <w:r>
        <w:tab/>
      </w:r>
      <w:r>
        <w:tab/>
        <w:t>112 - 113</w:t>
      </w:r>
      <w:r>
        <w:tab/>
        <w:t>50</w:t>
      </w:r>
    </w:p>
    <w:p w:rsidR="00000000" w:rsidRDefault="00000000">
      <w:pPr>
        <w:tabs>
          <w:tab w:val="clear" w:pos="6237"/>
          <w:tab w:val="decimal" w:pos="567"/>
          <w:tab w:val="left" w:pos="1134"/>
          <w:tab w:val="left" w:pos="1701"/>
          <w:tab w:val="left" w:pos="2268"/>
          <w:tab w:val="right" w:leader="dot" w:pos="7172"/>
          <w:tab w:val="center" w:pos="8040"/>
          <w:tab w:val="center" w:pos="9122"/>
        </w:tabs>
        <w:spacing w:after="120" w:line="216" w:lineRule="auto"/>
        <w:ind w:left="1701" w:hanging="567"/>
      </w:pPr>
      <w:r>
        <w:rPr>
          <w:lang w:val="en-US"/>
        </w:rPr>
        <w:t>E</w:t>
      </w:r>
      <w:r>
        <w:t>.</w:t>
      </w:r>
      <w:r>
        <w:tab/>
        <w:t>Стимулирование доступа женщин к руководящим</w:t>
      </w:r>
      <w:r>
        <w:br/>
        <w:t>постам в целях обеспечения равенства в сфере труда</w:t>
      </w:r>
      <w:r>
        <w:tab/>
      </w:r>
      <w:r>
        <w:tab/>
        <w:t>114</w:t>
      </w:r>
      <w:r>
        <w:tab/>
        <w:t>51</w:t>
      </w:r>
    </w:p>
    <w:p w:rsidR="00000000" w:rsidRDefault="00000000">
      <w:pPr>
        <w:tabs>
          <w:tab w:val="clear" w:pos="6237"/>
          <w:tab w:val="decimal" w:pos="567"/>
          <w:tab w:val="left" w:pos="1134"/>
          <w:tab w:val="left" w:pos="1701"/>
          <w:tab w:val="left" w:pos="2268"/>
          <w:tab w:val="right" w:leader="dot" w:pos="7172"/>
          <w:tab w:val="center" w:pos="8039"/>
          <w:tab w:val="center" w:pos="9122"/>
        </w:tabs>
        <w:spacing w:after="120" w:line="216" w:lineRule="auto"/>
      </w:pPr>
      <w:r>
        <w:tab/>
      </w:r>
      <w:r>
        <w:rPr>
          <w:lang w:val="en-US"/>
        </w:rPr>
        <w:t>IV</w:t>
      </w:r>
      <w:r>
        <w:t>.</w:t>
      </w:r>
      <w:r>
        <w:tab/>
        <w:t>НОРМАТИВНЫЕ РАМКИ ЗАЩИТЫ ПРАВ ЧЕЛОВЕКА</w:t>
      </w:r>
      <w:r>
        <w:tab/>
      </w:r>
      <w:r>
        <w:tab/>
        <w:t>115</w:t>
      </w:r>
      <w:r>
        <w:tab/>
        <w:t>52</w:t>
      </w:r>
    </w:p>
    <w:p w:rsidR="00000000" w:rsidRDefault="00000000">
      <w:pPr>
        <w:tabs>
          <w:tab w:val="clear" w:pos="6237"/>
          <w:tab w:val="decimal" w:pos="567"/>
          <w:tab w:val="left" w:pos="1134"/>
          <w:tab w:val="left" w:pos="1701"/>
          <w:tab w:val="left" w:pos="2268"/>
          <w:tab w:val="right" w:leader="dot" w:pos="7172"/>
          <w:tab w:val="center" w:pos="8039"/>
          <w:tab w:val="center" w:pos="9122"/>
        </w:tabs>
        <w:spacing w:after="80" w:line="216" w:lineRule="auto"/>
        <w:ind w:left="1134" w:hanging="1134"/>
      </w:pPr>
      <w:r>
        <w:tab/>
      </w:r>
      <w:r>
        <w:rPr>
          <w:lang w:val="en-US"/>
        </w:rPr>
        <w:t>V</w:t>
      </w:r>
      <w:r>
        <w:t>.</w:t>
      </w:r>
      <w:r>
        <w:tab/>
        <w:t>ВТОРАЯ ЧАСТЬ:  ОТВЕТЫ НА ВОПРОСНИК В</w:t>
      </w:r>
      <w:r>
        <w:br/>
        <w:t>ОТНОШЕНИИ ЭКОНОМИЧЕСКИХ, СОЦИАЛЬНЫХ</w:t>
      </w:r>
      <w:r>
        <w:br/>
        <w:t>И КУЛЬТУРНЫХ ПРАВ</w:t>
      </w:r>
      <w:r>
        <w:tab/>
      </w:r>
      <w:r>
        <w:tab/>
        <w:t>116 - 632</w:t>
      </w:r>
      <w:r>
        <w:tab/>
        <w:t>52</w:t>
      </w:r>
    </w:p>
    <w:p w:rsidR="00000000" w:rsidRDefault="00000000">
      <w:pPr>
        <w:tabs>
          <w:tab w:val="clear" w:pos="2268"/>
          <w:tab w:val="clear" w:pos="6237"/>
          <w:tab w:val="decimal" w:pos="567"/>
          <w:tab w:val="left" w:pos="1134"/>
          <w:tab w:val="left" w:pos="1701"/>
          <w:tab w:val="right" w:leader="dot" w:pos="7172"/>
          <w:tab w:val="center" w:pos="8039"/>
          <w:tab w:val="center" w:pos="9122"/>
        </w:tabs>
        <w:ind w:left="1701" w:hanging="567"/>
      </w:pPr>
      <w:r>
        <w:t>Статья 1</w:t>
      </w:r>
      <w:r>
        <w:tab/>
      </w:r>
      <w:r>
        <w:tab/>
        <w:t>116 - 127</w:t>
      </w:r>
      <w:r>
        <w:tab/>
        <w:t>52</w:t>
      </w:r>
    </w:p>
    <w:p w:rsidR="00000000" w:rsidRDefault="00000000">
      <w:pPr>
        <w:tabs>
          <w:tab w:val="clear" w:pos="2268"/>
          <w:tab w:val="clear" w:pos="6237"/>
          <w:tab w:val="decimal" w:pos="567"/>
          <w:tab w:val="left" w:pos="1134"/>
          <w:tab w:val="left" w:pos="1701"/>
          <w:tab w:val="right" w:leader="dot" w:pos="7172"/>
          <w:tab w:val="center" w:pos="8039"/>
          <w:tab w:val="center" w:pos="9122"/>
        </w:tabs>
        <w:ind w:left="1701" w:hanging="567"/>
      </w:pPr>
      <w:r>
        <w:t>Статья 2</w:t>
      </w:r>
      <w:r>
        <w:tab/>
      </w:r>
      <w:r>
        <w:tab/>
        <w:t>128 - 133</w:t>
      </w:r>
      <w:r>
        <w:tab/>
        <w:t>56</w:t>
      </w:r>
    </w:p>
    <w:p w:rsidR="00000000" w:rsidRDefault="00000000">
      <w:pPr>
        <w:tabs>
          <w:tab w:val="clear" w:pos="2268"/>
          <w:tab w:val="clear" w:pos="6237"/>
          <w:tab w:val="decimal" w:pos="567"/>
          <w:tab w:val="left" w:pos="1134"/>
          <w:tab w:val="left" w:pos="1701"/>
          <w:tab w:val="right" w:leader="dot" w:pos="7172"/>
          <w:tab w:val="center" w:pos="8039"/>
          <w:tab w:val="center" w:pos="9122"/>
        </w:tabs>
        <w:ind w:left="1701" w:hanging="567"/>
      </w:pPr>
      <w:r>
        <w:t>Статья 3</w:t>
      </w:r>
      <w:r>
        <w:tab/>
      </w:r>
      <w:r>
        <w:tab/>
        <w:t>134 - 159</w:t>
      </w:r>
      <w:r>
        <w:tab/>
        <w:t>59</w:t>
      </w:r>
    </w:p>
    <w:p w:rsidR="00000000" w:rsidRDefault="00000000">
      <w:pPr>
        <w:tabs>
          <w:tab w:val="clear" w:pos="2268"/>
          <w:tab w:val="clear" w:pos="6237"/>
          <w:tab w:val="decimal" w:pos="567"/>
          <w:tab w:val="left" w:pos="1134"/>
          <w:tab w:val="left" w:pos="1701"/>
          <w:tab w:val="right" w:leader="dot" w:pos="7172"/>
          <w:tab w:val="center" w:pos="8039"/>
          <w:tab w:val="center" w:pos="9122"/>
        </w:tabs>
        <w:ind w:left="1701" w:hanging="567"/>
      </w:pPr>
      <w:r>
        <w:t>Статьи 4-6</w:t>
      </w:r>
      <w:r>
        <w:tab/>
      </w:r>
      <w:r>
        <w:tab/>
        <w:t>160 - 193</w:t>
      </w:r>
      <w:r>
        <w:tab/>
        <w:t>68</w:t>
      </w:r>
    </w:p>
    <w:p w:rsidR="00000000" w:rsidRDefault="00000000">
      <w:pPr>
        <w:tabs>
          <w:tab w:val="clear" w:pos="2268"/>
          <w:tab w:val="clear" w:pos="6237"/>
          <w:tab w:val="decimal" w:pos="567"/>
          <w:tab w:val="left" w:pos="1134"/>
          <w:tab w:val="left" w:pos="1701"/>
          <w:tab w:val="right" w:leader="dot" w:pos="7172"/>
          <w:tab w:val="center" w:pos="8039"/>
          <w:tab w:val="center" w:pos="9122"/>
        </w:tabs>
        <w:ind w:left="1701" w:hanging="567"/>
      </w:pPr>
      <w:r>
        <w:t>Статья 7</w:t>
      </w:r>
      <w:r>
        <w:tab/>
      </w:r>
      <w:r>
        <w:tab/>
        <w:t>194 - 240</w:t>
      </w:r>
      <w:r>
        <w:tab/>
        <w:t>79</w:t>
      </w:r>
    </w:p>
    <w:p w:rsidR="00000000" w:rsidRDefault="00000000">
      <w:pPr>
        <w:jc w:val="center"/>
        <w:rPr>
          <w:lang w:val="en-US"/>
        </w:rPr>
      </w:pPr>
      <w:r>
        <w:br w:type="page"/>
        <w:t>СОДЕРЖАНИЕ</w:t>
      </w:r>
      <w:r>
        <w:rPr>
          <w:lang w:val="en-US"/>
        </w:rPr>
        <w:t xml:space="preserve"> </w:t>
      </w:r>
      <w:r>
        <w:t>(продолжение)</w:t>
      </w:r>
    </w:p>
    <w:p w:rsidR="00000000" w:rsidRDefault="00000000">
      <w:pPr>
        <w:jc w:val="center"/>
        <w:rPr>
          <w:lang w:val="en-US"/>
        </w:rPr>
      </w:pPr>
    </w:p>
    <w:p w:rsidR="00000000" w:rsidRDefault="00000000">
      <w:pPr>
        <w:tabs>
          <w:tab w:val="clear" w:pos="6237"/>
          <w:tab w:val="left" w:pos="567"/>
          <w:tab w:val="left" w:pos="1134"/>
          <w:tab w:val="left" w:pos="1701"/>
          <w:tab w:val="left" w:pos="2268"/>
          <w:tab w:val="center" w:pos="8039"/>
          <w:tab w:val="center" w:pos="9122"/>
        </w:tabs>
        <w:spacing w:line="240" w:lineRule="auto"/>
        <w:rPr>
          <w:i/>
          <w:iCs/>
        </w:rPr>
      </w:pPr>
      <w:r>
        <w:tab/>
      </w:r>
      <w:r>
        <w:tab/>
      </w:r>
      <w:r>
        <w:tab/>
      </w:r>
      <w:r>
        <w:tab/>
      </w:r>
      <w:r>
        <w:tab/>
      </w:r>
      <w:r>
        <w:rPr>
          <w:i/>
          <w:iCs/>
        </w:rPr>
        <w:t>Пункты</w:t>
      </w:r>
      <w:r>
        <w:rPr>
          <w:i/>
          <w:iCs/>
        </w:rPr>
        <w:tab/>
        <w:t>Стр.</w:t>
      </w:r>
    </w:p>
    <w:p w:rsidR="00000000" w:rsidRDefault="00000000">
      <w:pPr>
        <w:tabs>
          <w:tab w:val="clear" w:pos="1701"/>
          <w:tab w:val="clear" w:pos="2268"/>
          <w:tab w:val="clear" w:pos="6237"/>
          <w:tab w:val="decimal" w:pos="567"/>
          <w:tab w:val="left" w:pos="1134"/>
          <w:tab w:val="right" w:leader="dot" w:pos="7172"/>
          <w:tab w:val="center" w:pos="8039"/>
          <w:tab w:val="center" w:pos="9122"/>
        </w:tabs>
        <w:rPr>
          <w:lang w:val="en-US"/>
        </w:rPr>
      </w:pPr>
    </w:p>
    <w:p w:rsidR="00000000" w:rsidRDefault="00000000">
      <w:pPr>
        <w:tabs>
          <w:tab w:val="clear" w:pos="2268"/>
          <w:tab w:val="clear" w:pos="6237"/>
          <w:tab w:val="decimal" w:pos="567"/>
          <w:tab w:val="left" w:pos="1134"/>
          <w:tab w:val="left" w:pos="1701"/>
          <w:tab w:val="right" w:leader="dot" w:pos="7172"/>
          <w:tab w:val="center" w:pos="8039"/>
          <w:tab w:val="center" w:pos="9122"/>
        </w:tabs>
        <w:ind w:left="1701" w:hanging="567"/>
      </w:pPr>
      <w:r>
        <w:t>Статья 8</w:t>
      </w:r>
      <w:r>
        <w:tab/>
      </w:r>
      <w:r>
        <w:tab/>
        <w:t>241 - 246</w:t>
      </w:r>
      <w:r>
        <w:tab/>
        <w:t>107</w:t>
      </w:r>
    </w:p>
    <w:p w:rsidR="00000000" w:rsidRDefault="00000000">
      <w:pPr>
        <w:tabs>
          <w:tab w:val="clear" w:pos="2268"/>
          <w:tab w:val="clear" w:pos="6237"/>
          <w:tab w:val="decimal" w:pos="567"/>
          <w:tab w:val="left" w:pos="1134"/>
          <w:tab w:val="left" w:pos="1701"/>
          <w:tab w:val="right" w:leader="dot" w:pos="7172"/>
          <w:tab w:val="center" w:pos="8039"/>
          <w:tab w:val="center" w:pos="9122"/>
        </w:tabs>
        <w:ind w:left="1701" w:hanging="567"/>
      </w:pPr>
      <w:r>
        <w:t>Статья 9</w:t>
      </w:r>
      <w:r>
        <w:tab/>
      </w:r>
      <w:r>
        <w:tab/>
        <w:t>247 - 278</w:t>
      </w:r>
      <w:r>
        <w:tab/>
        <w:t>117</w:t>
      </w:r>
    </w:p>
    <w:p w:rsidR="00000000" w:rsidRDefault="00000000">
      <w:pPr>
        <w:tabs>
          <w:tab w:val="clear" w:pos="2268"/>
          <w:tab w:val="clear" w:pos="6237"/>
          <w:tab w:val="decimal" w:pos="567"/>
          <w:tab w:val="left" w:pos="1134"/>
          <w:tab w:val="left" w:pos="1701"/>
          <w:tab w:val="right" w:leader="dot" w:pos="7172"/>
          <w:tab w:val="center" w:pos="8039"/>
          <w:tab w:val="center" w:pos="9122"/>
        </w:tabs>
        <w:ind w:left="1701" w:hanging="567"/>
      </w:pPr>
      <w:r>
        <w:t>Статья 10</w:t>
      </w:r>
      <w:r>
        <w:tab/>
      </w:r>
      <w:r>
        <w:tab/>
        <w:t>279 - 379</w:t>
      </w:r>
      <w:r>
        <w:tab/>
        <w:t>131</w:t>
      </w:r>
    </w:p>
    <w:p w:rsidR="00000000" w:rsidRDefault="00000000">
      <w:pPr>
        <w:tabs>
          <w:tab w:val="clear" w:pos="2268"/>
          <w:tab w:val="clear" w:pos="6237"/>
          <w:tab w:val="decimal" w:pos="567"/>
          <w:tab w:val="left" w:pos="1134"/>
          <w:tab w:val="left" w:pos="1701"/>
          <w:tab w:val="right" w:leader="dot" w:pos="7172"/>
          <w:tab w:val="center" w:pos="8039"/>
          <w:tab w:val="center" w:pos="9122"/>
        </w:tabs>
        <w:ind w:left="1701" w:hanging="567"/>
      </w:pPr>
      <w:r>
        <w:t>Статья 11</w:t>
      </w:r>
      <w:r>
        <w:tab/>
      </w:r>
      <w:r>
        <w:tab/>
        <w:t>380 - 454</w:t>
      </w:r>
      <w:r>
        <w:tab/>
        <w:t>164</w:t>
      </w:r>
    </w:p>
    <w:p w:rsidR="00000000" w:rsidRDefault="00000000">
      <w:pPr>
        <w:tabs>
          <w:tab w:val="clear" w:pos="2268"/>
          <w:tab w:val="clear" w:pos="6237"/>
          <w:tab w:val="decimal" w:pos="567"/>
          <w:tab w:val="left" w:pos="1134"/>
          <w:tab w:val="left" w:pos="1701"/>
          <w:tab w:val="right" w:leader="dot" w:pos="7172"/>
          <w:tab w:val="center" w:pos="8039"/>
          <w:tab w:val="center" w:pos="9122"/>
        </w:tabs>
        <w:ind w:left="1701" w:hanging="567"/>
      </w:pPr>
      <w:r>
        <w:t>Статья 12</w:t>
      </w:r>
      <w:r>
        <w:tab/>
      </w:r>
      <w:r>
        <w:tab/>
        <w:t>455 -</w:t>
      </w:r>
      <w:r>
        <w:rPr>
          <w:lang w:val="en-US"/>
        </w:rPr>
        <w:t xml:space="preserve"> </w:t>
      </w:r>
      <w:r>
        <w:t>552</w:t>
      </w:r>
      <w:r>
        <w:tab/>
        <w:t>205</w:t>
      </w:r>
    </w:p>
    <w:p w:rsidR="00000000" w:rsidRDefault="00000000">
      <w:pPr>
        <w:tabs>
          <w:tab w:val="clear" w:pos="2268"/>
          <w:tab w:val="clear" w:pos="6237"/>
          <w:tab w:val="decimal" w:pos="567"/>
          <w:tab w:val="left" w:pos="1134"/>
          <w:tab w:val="left" w:pos="1701"/>
          <w:tab w:val="right" w:leader="dot" w:pos="7172"/>
          <w:tab w:val="center" w:pos="8039"/>
          <w:tab w:val="center" w:pos="9122"/>
        </w:tabs>
        <w:ind w:left="1701" w:hanging="567"/>
      </w:pPr>
      <w:r>
        <w:t>Статья 13</w:t>
      </w:r>
      <w:r>
        <w:tab/>
      </w:r>
      <w:r>
        <w:tab/>
        <w:t>553 - 610</w:t>
      </w:r>
      <w:r>
        <w:tab/>
        <w:t>239</w:t>
      </w:r>
    </w:p>
    <w:p w:rsidR="00000000" w:rsidRDefault="00000000">
      <w:pPr>
        <w:tabs>
          <w:tab w:val="clear" w:pos="2268"/>
          <w:tab w:val="clear" w:pos="6237"/>
          <w:tab w:val="decimal" w:pos="567"/>
          <w:tab w:val="left" w:pos="1134"/>
          <w:tab w:val="left" w:pos="1701"/>
          <w:tab w:val="right" w:leader="dot" w:pos="7172"/>
          <w:tab w:val="center" w:pos="8039"/>
          <w:tab w:val="center" w:pos="9122"/>
        </w:tabs>
        <w:ind w:left="1701" w:hanging="567"/>
      </w:pPr>
      <w:r>
        <w:t>Статья 14</w:t>
      </w:r>
      <w:r>
        <w:tab/>
      </w:r>
      <w:r>
        <w:tab/>
        <w:t>611 - 613</w:t>
      </w:r>
      <w:r>
        <w:tab/>
        <w:t>261</w:t>
      </w:r>
    </w:p>
    <w:p w:rsidR="00000000" w:rsidRDefault="00000000">
      <w:pPr>
        <w:tabs>
          <w:tab w:val="clear" w:pos="2268"/>
          <w:tab w:val="clear" w:pos="6237"/>
          <w:tab w:val="decimal" w:pos="567"/>
          <w:tab w:val="left" w:pos="1134"/>
          <w:tab w:val="left" w:pos="1701"/>
          <w:tab w:val="right" w:leader="dot" w:pos="7172"/>
          <w:tab w:val="center" w:pos="8039"/>
          <w:tab w:val="center" w:pos="9122"/>
        </w:tabs>
        <w:ind w:left="1701" w:hanging="567"/>
      </w:pPr>
      <w:r>
        <w:t>Статья 15</w:t>
      </w:r>
      <w:r>
        <w:tab/>
      </w:r>
      <w:r>
        <w:tab/>
        <w:t>614 - 638</w:t>
      </w:r>
      <w:r>
        <w:tab/>
        <w:t>262</w:t>
      </w:r>
    </w:p>
    <w:p w:rsidR="00000000" w:rsidRDefault="00000000">
      <w:pPr>
        <w:spacing w:line="240" w:lineRule="auto"/>
        <w:jc w:val="center"/>
      </w:pPr>
    </w:p>
    <w:p w:rsidR="00000000" w:rsidRDefault="00000000">
      <w:pPr>
        <w:spacing w:line="240" w:lineRule="auto"/>
        <w:jc w:val="center"/>
        <w:rPr>
          <w:i/>
          <w:iCs/>
        </w:rPr>
      </w:pPr>
      <w:r>
        <w:rPr>
          <w:i/>
          <w:iCs/>
        </w:rPr>
        <w:t>Приложения</w:t>
      </w:r>
    </w:p>
    <w:p w:rsidR="00000000" w:rsidRDefault="00000000">
      <w:pPr>
        <w:jc w:val="center"/>
      </w:pPr>
    </w:p>
    <w:p w:rsidR="00000000" w:rsidRDefault="00000000">
      <w:pPr>
        <w:tabs>
          <w:tab w:val="clear" w:pos="1701"/>
          <w:tab w:val="clear" w:pos="2268"/>
          <w:tab w:val="clear" w:pos="6237"/>
          <w:tab w:val="decimal" w:pos="567"/>
          <w:tab w:val="left" w:pos="1134"/>
          <w:tab w:val="right" w:leader="dot" w:pos="8505"/>
          <w:tab w:val="center" w:pos="9122"/>
        </w:tabs>
        <w:ind w:left="1134" w:hanging="1134"/>
      </w:pPr>
      <w:r>
        <w:tab/>
        <w:t>I.</w:t>
      </w:r>
      <w:r>
        <w:tab/>
        <w:t>Статистические данные в отношении грамотности</w:t>
      </w:r>
      <w:r>
        <w:tab/>
      </w:r>
      <w:r>
        <w:tab/>
      </w:r>
    </w:p>
    <w:p w:rsidR="00000000" w:rsidRDefault="00000000">
      <w:pPr>
        <w:tabs>
          <w:tab w:val="clear" w:pos="1701"/>
          <w:tab w:val="clear" w:pos="2268"/>
          <w:tab w:val="clear" w:pos="6237"/>
          <w:tab w:val="decimal" w:pos="567"/>
          <w:tab w:val="left" w:pos="1134"/>
          <w:tab w:val="right" w:leader="dot" w:pos="8505"/>
          <w:tab w:val="center" w:pos="9122"/>
        </w:tabs>
        <w:ind w:left="1134" w:hanging="1134"/>
      </w:pPr>
    </w:p>
    <w:p w:rsidR="00000000" w:rsidRDefault="00000000">
      <w:pPr>
        <w:tabs>
          <w:tab w:val="clear" w:pos="1701"/>
          <w:tab w:val="clear" w:pos="2268"/>
          <w:tab w:val="clear" w:pos="6237"/>
          <w:tab w:val="decimal" w:pos="567"/>
          <w:tab w:val="left" w:pos="1134"/>
          <w:tab w:val="right" w:leader="dot" w:pos="8505"/>
          <w:tab w:val="center" w:pos="9122"/>
        </w:tabs>
        <w:ind w:left="1134" w:hanging="1134"/>
      </w:pPr>
      <w:r>
        <w:tab/>
        <w:t>II.</w:t>
      </w:r>
      <w:r>
        <w:tab/>
        <w:t>Нормативные рамки защиты прав человека</w:t>
      </w:r>
      <w:r>
        <w:tab/>
      </w:r>
      <w:r>
        <w:tab/>
      </w:r>
    </w:p>
    <w:p w:rsidR="00000000" w:rsidRDefault="00000000">
      <w:pPr>
        <w:tabs>
          <w:tab w:val="clear" w:pos="1701"/>
          <w:tab w:val="clear" w:pos="2268"/>
          <w:tab w:val="clear" w:pos="6237"/>
          <w:tab w:val="decimal" w:pos="567"/>
          <w:tab w:val="left" w:pos="1134"/>
          <w:tab w:val="right" w:leader="dot" w:pos="8505"/>
          <w:tab w:val="center" w:pos="9122"/>
        </w:tabs>
        <w:ind w:left="1134" w:hanging="1134"/>
      </w:pPr>
    </w:p>
    <w:p w:rsidR="00000000" w:rsidRDefault="00000000">
      <w:pPr>
        <w:tabs>
          <w:tab w:val="clear" w:pos="1701"/>
          <w:tab w:val="clear" w:pos="2268"/>
          <w:tab w:val="clear" w:pos="6237"/>
          <w:tab w:val="decimal" w:pos="567"/>
          <w:tab w:val="left" w:pos="1134"/>
          <w:tab w:val="right" w:leader="dot" w:pos="8505"/>
          <w:tab w:val="center" w:pos="9122"/>
        </w:tabs>
        <w:ind w:left="1134" w:hanging="1134"/>
      </w:pPr>
      <w:r>
        <w:tab/>
        <w:t>III.</w:t>
      </w:r>
      <w:r>
        <w:tab/>
        <w:t>Земли, приобретенные Парагвайским институтом коренного населения</w:t>
      </w:r>
      <w:r>
        <w:br/>
        <w:t>(ИНДИ) для расселения представителей общин коренного населения</w:t>
      </w:r>
      <w:r>
        <w:tab/>
      </w:r>
      <w:r>
        <w:tab/>
      </w:r>
    </w:p>
    <w:p w:rsidR="00000000" w:rsidRDefault="00000000">
      <w:pPr>
        <w:tabs>
          <w:tab w:val="clear" w:pos="1701"/>
          <w:tab w:val="clear" w:pos="2268"/>
          <w:tab w:val="clear" w:pos="6237"/>
          <w:tab w:val="decimal" w:pos="567"/>
          <w:tab w:val="left" w:pos="1134"/>
          <w:tab w:val="right" w:leader="dot" w:pos="8505"/>
          <w:tab w:val="center" w:pos="9122"/>
        </w:tabs>
        <w:ind w:left="1134" w:hanging="1134"/>
      </w:pPr>
    </w:p>
    <w:p w:rsidR="00000000" w:rsidRDefault="00000000">
      <w:pPr>
        <w:tabs>
          <w:tab w:val="clear" w:pos="1701"/>
          <w:tab w:val="clear" w:pos="2268"/>
          <w:tab w:val="clear" w:pos="6237"/>
          <w:tab w:val="decimal" w:pos="567"/>
          <w:tab w:val="left" w:pos="1134"/>
          <w:tab w:val="right" w:leader="dot" w:pos="8505"/>
          <w:tab w:val="center" w:pos="9122"/>
        </w:tabs>
        <w:ind w:left="1134" w:hanging="1134"/>
      </w:pPr>
      <w:r>
        <w:tab/>
        <w:t>IV.</w:t>
      </w:r>
      <w:r>
        <w:tab/>
        <w:t>Деятельность, осуществляемая парагвайским контингентом в составе миссий Организации Объединенных Наций</w:t>
      </w:r>
      <w:r>
        <w:tab/>
      </w:r>
      <w:r>
        <w:tab/>
      </w:r>
    </w:p>
    <w:p w:rsidR="00000000" w:rsidRDefault="00000000">
      <w:pPr>
        <w:tabs>
          <w:tab w:val="clear" w:pos="1701"/>
          <w:tab w:val="clear" w:pos="2268"/>
          <w:tab w:val="clear" w:pos="6237"/>
          <w:tab w:val="decimal" w:pos="567"/>
          <w:tab w:val="left" w:pos="1134"/>
          <w:tab w:val="right" w:leader="dot" w:pos="8505"/>
          <w:tab w:val="center" w:pos="9122"/>
        </w:tabs>
        <w:ind w:left="1134" w:hanging="1134"/>
      </w:pPr>
    </w:p>
    <w:p w:rsidR="00000000" w:rsidRDefault="00000000">
      <w:pPr>
        <w:tabs>
          <w:tab w:val="clear" w:pos="1701"/>
          <w:tab w:val="clear" w:pos="2268"/>
          <w:tab w:val="clear" w:pos="6237"/>
          <w:tab w:val="decimal" w:pos="567"/>
          <w:tab w:val="left" w:pos="1134"/>
          <w:tab w:val="right" w:leader="dot" w:pos="8505"/>
          <w:tab w:val="center" w:pos="9122"/>
        </w:tabs>
        <w:ind w:left="1134" w:hanging="1134"/>
      </w:pPr>
      <w:r>
        <w:tab/>
        <w:t>V.</w:t>
      </w:r>
      <w:r>
        <w:tab/>
        <w:t>Краткое изложение Национального плана действий в отношении детей и подростков</w:t>
      </w:r>
      <w:r>
        <w:tab/>
      </w:r>
      <w:r>
        <w:tab/>
      </w:r>
    </w:p>
    <w:p w:rsidR="00000000" w:rsidRDefault="00000000">
      <w:pPr>
        <w:tabs>
          <w:tab w:val="clear" w:pos="1701"/>
          <w:tab w:val="clear" w:pos="2268"/>
          <w:tab w:val="clear" w:pos="6237"/>
          <w:tab w:val="decimal" w:pos="567"/>
          <w:tab w:val="left" w:pos="1134"/>
          <w:tab w:val="right" w:leader="dot" w:pos="8505"/>
          <w:tab w:val="center" w:pos="9122"/>
        </w:tabs>
        <w:ind w:left="1134" w:hanging="1134"/>
      </w:pPr>
    </w:p>
    <w:p w:rsidR="00000000" w:rsidRDefault="00000000">
      <w:pPr>
        <w:tabs>
          <w:tab w:val="clear" w:pos="1701"/>
          <w:tab w:val="clear" w:pos="2268"/>
          <w:tab w:val="clear" w:pos="6237"/>
          <w:tab w:val="decimal" w:pos="567"/>
          <w:tab w:val="left" w:pos="1134"/>
          <w:tab w:val="right" w:leader="dot" w:pos="8505"/>
          <w:tab w:val="center" w:pos="9122"/>
        </w:tabs>
        <w:ind w:left="1134" w:hanging="1134"/>
      </w:pPr>
      <w:r>
        <w:tab/>
        <w:t>VI.</w:t>
      </w:r>
      <w:r>
        <w:tab/>
        <w:t>Годовые доклады Секретариата по окружающей среде (2001-2005 годы)</w:t>
      </w:r>
      <w:r>
        <w:tab/>
      </w:r>
    </w:p>
    <w:p w:rsidR="00000000" w:rsidRDefault="00000000">
      <w:pPr>
        <w:tabs>
          <w:tab w:val="clear" w:pos="1701"/>
          <w:tab w:val="clear" w:pos="2268"/>
          <w:tab w:val="clear" w:pos="6237"/>
          <w:tab w:val="decimal" w:pos="567"/>
          <w:tab w:val="left" w:pos="1134"/>
          <w:tab w:val="right" w:leader="dot" w:pos="8505"/>
          <w:tab w:val="center" w:pos="9122"/>
        </w:tabs>
        <w:ind w:left="1134" w:hanging="1134"/>
      </w:pPr>
    </w:p>
    <w:p w:rsidR="00000000" w:rsidRDefault="00000000">
      <w:pPr>
        <w:tabs>
          <w:tab w:val="clear" w:pos="1701"/>
          <w:tab w:val="clear" w:pos="2268"/>
          <w:tab w:val="clear" w:pos="6237"/>
          <w:tab w:val="decimal" w:pos="567"/>
          <w:tab w:val="left" w:pos="1134"/>
          <w:tab w:val="right" w:leader="dot" w:pos="8505"/>
          <w:tab w:val="center" w:pos="9122"/>
        </w:tabs>
        <w:ind w:left="1134" w:hanging="1134"/>
      </w:pPr>
      <w:r>
        <w:tab/>
        <w:t>VII.</w:t>
      </w:r>
      <w:r>
        <w:tab/>
        <w:t>Доклад о деятельности КОНАСИТ в 2005 году</w:t>
      </w:r>
      <w:r>
        <w:tab/>
      </w:r>
      <w:r>
        <w:tab/>
      </w:r>
    </w:p>
    <w:p w:rsidR="00000000" w:rsidRDefault="00000000">
      <w:pPr>
        <w:tabs>
          <w:tab w:val="clear" w:pos="1701"/>
          <w:tab w:val="clear" w:pos="2268"/>
          <w:tab w:val="clear" w:pos="6237"/>
          <w:tab w:val="decimal" w:pos="567"/>
          <w:tab w:val="left" w:pos="1134"/>
          <w:tab w:val="right" w:leader="dot" w:pos="8505"/>
          <w:tab w:val="center" w:pos="9122"/>
        </w:tabs>
        <w:ind w:left="1134" w:hanging="1134"/>
      </w:pPr>
    </w:p>
    <w:p w:rsidR="00000000" w:rsidRDefault="00000000">
      <w:pPr>
        <w:tabs>
          <w:tab w:val="clear" w:pos="1701"/>
          <w:tab w:val="clear" w:pos="2268"/>
          <w:tab w:val="clear" w:pos="6237"/>
          <w:tab w:val="decimal" w:pos="567"/>
          <w:tab w:val="left" w:pos="1134"/>
          <w:tab w:val="right" w:leader="dot" w:pos="8505"/>
          <w:tab w:val="center" w:pos="9122"/>
        </w:tabs>
        <w:ind w:left="1134" w:hanging="1134"/>
      </w:pPr>
      <w:r>
        <w:tab/>
        <w:t>VIII.</w:t>
      </w:r>
      <w:r>
        <w:tab/>
        <w:t>Роль международного сотрудничества в осуществлении экономических, социальных и культурных прав</w:t>
      </w:r>
      <w:r>
        <w:tab/>
      </w:r>
      <w:r>
        <w:tab/>
      </w:r>
    </w:p>
    <w:p w:rsidR="00000000" w:rsidRDefault="00000000">
      <w:pPr>
        <w:tabs>
          <w:tab w:val="clear" w:pos="1701"/>
          <w:tab w:val="clear" w:pos="2268"/>
          <w:tab w:val="clear" w:pos="6237"/>
          <w:tab w:val="decimal" w:pos="567"/>
          <w:tab w:val="left" w:pos="1134"/>
          <w:tab w:val="right" w:leader="dot" w:pos="8505"/>
          <w:tab w:val="center" w:pos="9122"/>
        </w:tabs>
        <w:ind w:left="1134" w:hanging="1134"/>
      </w:pPr>
    </w:p>
    <w:p w:rsidR="00000000" w:rsidRDefault="00000000">
      <w:pPr>
        <w:jc w:val="center"/>
        <w:rPr>
          <w:b/>
          <w:bCs/>
        </w:rPr>
      </w:pPr>
      <w:r>
        <w:br w:type="page"/>
      </w:r>
      <w:r>
        <w:rPr>
          <w:b/>
          <w:bCs/>
          <w:lang w:val="en-US"/>
        </w:rPr>
        <w:t>I</w:t>
      </w:r>
      <w:r>
        <w:rPr>
          <w:b/>
          <w:bCs/>
        </w:rPr>
        <w:t>.</w:t>
      </w:r>
      <w:r>
        <w:rPr>
          <w:b/>
          <w:bCs/>
        </w:rPr>
        <w:tab/>
        <w:t>ТЕРРИТОРИЯ И НАСЕЛЕНИЕ</w:t>
      </w:r>
    </w:p>
    <w:p w:rsidR="00000000" w:rsidRDefault="00000000">
      <w:pPr>
        <w:jc w:val="center"/>
        <w:rPr>
          <w:b/>
          <w:bCs/>
        </w:rPr>
      </w:pPr>
    </w:p>
    <w:p w:rsidR="00000000" w:rsidRDefault="00000000">
      <w:pPr>
        <w:jc w:val="center"/>
        <w:rPr>
          <w:b/>
          <w:bCs/>
          <w:u w:val="single"/>
        </w:rPr>
      </w:pPr>
      <w:r>
        <w:rPr>
          <w:b/>
          <w:bCs/>
        </w:rPr>
        <w:t>А.</w:t>
      </w:r>
      <w:r>
        <w:rPr>
          <w:b/>
          <w:bCs/>
        </w:rPr>
        <w:tab/>
        <w:t>Общая характеристика страны</w:t>
      </w:r>
    </w:p>
    <w:p w:rsidR="00000000" w:rsidRDefault="00000000">
      <w:pPr>
        <w:jc w:val="center"/>
        <w:rPr>
          <w:b/>
          <w:bCs/>
          <w:u w:val="single"/>
        </w:rPr>
      </w:pPr>
    </w:p>
    <w:p w:rsidR="00000000" w:rsidRDefault="00000000">
      <w:r>
        <w:t>1.</w:t>
      </w:r>
      <w:r>
        <w:tab/>
        <w:t>Парагвай, численность населения которого, по оценкам, составила в 2005 году 5 701 675 человек, продолжает оставаться страной с низкой плотностью населения и территорией, которая заселена неравномерно.  Средняя плотность населения в стране составляет 12,7 жителя на км</w:t>
      </w:r>
      <w:r>
        <w:rPr>
          <w:vertAlign w:val="superscript"/>
        </w:rPr>
        <w:t>2</w:t>
      </w:r>
      <w:r>
        <w:t>.  Вместе с тем можно отметить стабилизацию социально-демографических показателей.  Темпы роста численности населения снизились с 3,2% в</w:t>
      </w:r>
      <w:r>
        <w:rPr>
          <w:lang w:val="en-US"/>
        </w:rPr>
        <w:t> </w:t>
      </w:r>
      <w:r>
        <w:t>1982-1992 годах до 2,2% в 1992-2002 годах.  Кроме того, если плотность населения в целом по стране остается на относительно низком уровне (12,7 жителя на км</w:t>
      </w:r>
      <w:r>
        <w:rPr>
          <w:vertAlign w:val="superscript"/>
        </w:rPr>
        <w:t>2</w:t>
      </w:r>
      <w:r>
        <w:t>), то в Восточном районе, где проживает 97,3% населения страны, она составляет 31,5 жителя на км</w:t>
      </w:r>
      <w:r>
        <w:rPr>
          <w:vertAlign w:val="superscript"/>
        </w:rPr>
        <w:t>2</w:t>
      </w:r>
      <w:r>
        <w:t>, а в Западном районе или Чако, который занимает 60% территории страны, плотность населения составляет 0,5 жителя на км</w:t>
      </w:r>
      <w:r>
        <w:rPr>
          <w:vertAlign w:val="superscript"/>
        </w:rPr>
        <w:t>2</w:t>
      </w:r>
      <w:r>
        <w:t xml:space="preserve">.  Главным видом экономической деятельности является экстенсивное скотоводство, однако при этом в центральной части района, менонитских колониях, развиты смешанные формы сельского хозяйства и земледелия.  Восточный район, который составляет 39% территории страны, имеет холмистый рельеф местности, и в нем осуществляется основная часть экономической деятельности страны, главное место в которой занимает сельское хозяйство, заготовка древесины, а также функционирование важных коммерческих центров. </w:t>
      </w:r>
    </w:p>
    <w:p w:rsidR="00000000" w:rsidRDefault="00000000">
      <w:pPr>
        <w:spacing w:line="216" w:lineRule="auto"/>
      </w:pPr>
    </w:p>
    <w:p w:rsidR="00000000" w:rsidRDefault="00000000">
      <w:pPr>
        <w:spacing w:line="240" w:lineRule="auto"/>
        <w:jc w:val="center"/>
        <w:rPr>
          <w:b/>
          <w:bCs/>
        </w:rPr>
      </w:pPr>
      <w:r>
        <w:rPr>
          <w:b/>
          <w:bCs/>
        </w:rPr>
        <w:t xml:space="preserve">Парагвай:  численность и плотность населения с разбивкой </w:t>
      </w:r>
    </w:p>
    <w:p w:rsidR="00000000" w:rsidRDefault="00000000">
      <w:pPr>
        <w:spacing w:line="240" w:lineRule="auto"/>
        <w:jc w:val="center"/>
        <w:rPr>
          <w:b/>
          <w:bCs/>
          <w:lang w:val="en-US"/>
        </w:rPr>
      </w:pPr>
      <w:r>
        <w:rPr>
          <w:b/>
          <w:bCs/>
        </w:rPr>
        <w:t>по районам (Восточному и Западному) в 1992-2002 годах</w:t>
      </w:r>
    </w:p>
    <w:p w:rsidR="00000000" w:rsidRDefault="00000000">
      <w:pPr>
        <w:spacing w:line="216" w:lineRule="auto"/>
        <w:jc w:val="center"/>
        <w:rPr>
          <w:b/>
          <w:bCs/>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07"/>
        <w:gridCol w:w="1656"/>
        <w:gridCol w:w="1418"/>
        <w:gridCol w:w="922"/>
        <w:gridCol w:w="1433"/>
        <w:gridCol w:w="838"/>
        <w:gridCol w:w="926"/>
        <w:gridCol w:w="984"/>
      </w:tblGrid>
      <w:tr w:rsidR="00000000">
        <w:trPr>
          <w:cantSplit/>
        </w:trPr>
        <w:tc>
          <w:tcPr>
            <w:tcW w:w="1207" w:type="dxa"/>
            <w:vMerge w:val="restart"/>
            <w:noWrap/>
            <w:vAlign w:val="center"/>
          </w:tcPr>
          <w:p w:rsidR="00000000" w:rsidRDefault="00000000">
            <w:pPr>
              <w:spacing w:beforeLines="40" w:before="96" w:afterLines="40" w:after="96" w:line="240" w:lineRule="auto"/>
              <w:jc w:val="center"/>
              <w:rPr>
                <w:b/>
                <w:bCs/>
                <w:sz w:val="22"/>
              </w:rPr>
            </w:pPr>
            <w:r>
              <w:rPr>
                <w:b/>
                <w:bCs/>
                <w:sz w:val="22"/>
              </w:rPr>
              <w:t>Район</w:t>
            </w:r>
          </w:p>
        </w:tc>
        <w:tc>
          <w:tcPr>
            <w:tcW w:w="1656" w:type="dxa"/>
            <w:vMerge w:val="restart"/>
            <w:vAlign w:val="center"/>
          </w:tcPr>
          <w:p w:rsidR="00000000" w:rsidRDefault="00000000">
            <w:pPr>
              <w:spacing w:beforeLines="40" w:before="96" w:afterLines="40" w:after="96" w:line="240" w:lineRule="auto"/>
              <w:jc w:val="center"/>
              <w:rPr>
                <w:b/>
                <w:bCs/>
                <w:sz w:val="22"/>
              </w:rPr>
            </w:pPr>
            <w:r>
              <w:rPr>
                <w:b/>
                <w:bCs/>
                <w:sz w:val="22"/>
              </w:rPr>
              <w:t>Площадь в км</w:t>
            </w:r>
            <w:r>
              <w:rPr>
                <w:b/>
                <w:bCs/>
                <w:sz w:val="22"/>
                <w:vertAlign w:val="superscript"/>
              </w:rPr>
              <w:t>2</w:t>
            </w:r>
          </w:p>
        </w:tc>
        <w:tc>
          <w:tcPr>
            <w:tcW w:w="4611" w:type="dxa"/>
            <w:gridSpan w:val="4"/>
            <w:noWrap/>
            <w:vAlign w:val="center"/>
          </w:tcPr>
          <w:p w:rsidR="00000000" w:rsidRDefault="00000000">
            <w:pPr>
              <w:spacing w:beforeLines="40" w:before="96" w:afterLines="40" w:after="96" w:line="240" w:lineRule="auto"/>
              <w:jc w:val="center"/>
              <w:rPr>
                <w:b/>
                <w:bCs/>
                <w:sz w:val="22"/>
              </w:rPr>
            </w:pPr>
            <w:r>
              <w:rPr>
                <w:b/>
                <w:bCs/>
                <w:sz w:val="22"/>
              </w:rPr>
              <w:t>Численность населения</w:t>
            </w:r>
          </w:p>
        </w:tc>
        <w:tc>
          <w:tcPr>
            <w:tcW w:w="1910" w:type="dxa"/>
            <w:gridSpan w:val="2"/>
            <w:vMerge w:val="restart"/>
            <w:vAlign w:val="center"/>
          </w:tcPr>
          <w:p w:rsidR="00000000" w:rsidRDefault="00000000">
            <w:pPr>
              <w:spacing w:beforeLines="40" w:before="96" w:afterLines="40" w:after="96" w:line="240" w:lineRule="auto"/>
              <w:jc w:val="center"/>
              <w:rPr>
                <w:b/>
                <w:bCs/>
                <w:sz w:val="22"/>
              </w:rPr>
            </w:pPr>
            <w:r>
              <w:rPr>
                <w:b/>
                <w:bCs/>
                <w:sz w:val="22"/>
              </w:rPr>
              <w:t>Плотность населения (число жителей на км</w:t>
            </w:r>
            <w:r>
              <w:rPr>
                <w:b/>
                <w:bCs/>
                <w:sz w:val="22"/>
                <w:vertAlign w:val="superscript"/>
              </w:rPr>
              <w:t>2</w:t>
            </w:r>
            <w:r>
              <w:rPr>
                <w:b/>
                <w:bCs/>
                <w:sz w:val="22"/>
              </w:rPr>
              <w:t>)</w:t>
            </w:r>
          </w:p>
        </w:tc>
      </w:tr>
      <w:tr w:rsidR="00000000">
        <w:trPr>
          <w:cantSplit/>
        </w:trPr>
        <w:tc>
          <w:tcPr>
            <w:tcW w:w="1207" w:type="dxa"/>
            <w:vMerge/>
            <w:vAlign w:val="center"/>
          </w:tcPr>
          <w:p w:rsidR="00000000" w:rsidRDefault="00000000">
            <w:pPr>
              <w:spacing w:beforeLines="40" w:before="96" w:afterLines="40" w:after="96" w:line="240" w:lineRule="auto"/>
              <w:jc w:val="center"/>
              <w:rPr>
                <w:b/>
                <w:bCs/>
                <w:sz w:val="22"/>
              </w:rPr>
            </w:pPr>
          </w:p>
        </w:tc>
        <w:tc>
          <w:tcPr>
            <w:tcW w:w="1656" w:type="dxa"/>
            <w:vMerge/>
            <w:vAlign w:val="center"/>
          </w:tcPr>
          <w:p w:rsidR="00000000" w:rsidRDefault="00000000">
            <w:pPr>
              <w:spacing w:beforeLines="40" w:before="96" w:afterLines="40" w:after="96" w:line="240" w:lineRule="auto"/>
              <w:jc w:val="center"/>
              <w:rPr>
                <w:b/>
                <w:bCs/>
                <w:sz w:val="22"/>
              </w:rPr>
            </w:pPr>
          </w:p>
        </w:tc>
        <w:tc>
          <w:tcPr>
            <w:tcW w:w="2340" w:type="dxa"/>
            <w:gridSpan w:val="2"/>
            <w:noWrap/>
            <w:vAlign w:val="center"/>
          </w:tcPr>
          <w:p w:rsidR="00000000" w:rsidRDefault="00000000">
            <w:pPr>
              <w:spacing w:beforeLines="40" w:before="96" w:afterLines="40" w:after="96" w:line="240" w:lineRule="auto"/>
              <w:jc w:val="center"/>
              <w:rPr>
                <w:b/>
                <w:bCs/>
                <w:sz w:val="22"/>
              </w:rPr>
            </w:pPr>
            <w:r>
              <w:rPr>
                <w:b/>
                <w:bCs/>
                <w:sz w:val="22"/>
              </w:rPr>
              <w:t>1992 год</w:t>
            </w:r>
          </w:p>
        </w:tc>
        <w:tc>
          <w:tcPr>
            <w:tcW w:w="2271" w:type="dxa"/>
            <w:gridSpan w:val="2"/>
            <w:noWrap/>
            <w:vAlign w:val="center"/>
          </w:tcPr>
          <w:p w:rsidR="00000000" w:rsidRDefault="00000000">
            <w:pPr>
              <w:spacing w:beforeLines="40" w:before="96" w:afterLines="40" w:after="96" w:line="240" w:lineRule="auto"/>
              <w:jc w:val="center"/>
              <w:rPr>
                <w:b/>
                <w:bCs/>
                <w:sz w:val="22"/>
              </w:rPr>
            </w:pPr>
            <w:r>
              <w:rPr>
                <w:b/>
                <w:bCs/>
                <w:sz w:val="22"/>
              </w:rPr>
              <w:t>2002 год</w:t>
            </w:r>
          </w:p>
        </w:tc>
        <w:tc>
          <w:tcPr>
            <w:tcW w:w="1910" w:type="dxa"/>
            <w:gridSpan w:val="2"/>
            <w:vMerge/>
            <w:vAlign w:val="center"/>
          </w:tcPr>
          <w:p w:rsidR="00000000" w:rsidRDefault="00000000">
            <w:pPr>
              <w:spacing w:beforeLines="40" w:before="96" w:afterLines="40" w:after="96" w:line="240" w:lineRule="auto"/>
              <w:jc w:val="center"/>
              <w:rPr>
                <w:b/>
                <w:bCs/>
                <w:sz w:val="22"/>
              </w:rPr>
            </w:pPr>
          </w:p>
        </w:tc>
      </w:tr>
      <w:tr w:rsidR="00000000">
        <w:trPr>
          <w:cantSplit/>
        </w:trPr>
        <w:tc>
          <w:tcPr>
            <w:tcW w:w="1207" w:type="dxa"/>
            <w:vMerge/>
            <w:vAlign w:val="center"/>
          </w:tcPr>
          <w:p w:rsidR="00000000" w:rsidRDefault="00000000">
            <w:pPr>
              <w:spacing w:beforeLines="40" w:before="96" w:afterLines="40" w:after="96" w:line="240" w:lineRule="auto"/>
              <w:jc w:val="center"/>
              <w:rPr>
                <w:b/>
                <w:bCs/>
                <w:sz w:val="22"/>
              </w:rPr>
            </w:pPr>
          </w:p>
        </w:tc>
        <w:tc>
          <w:tcPr>
            <w:tcW w:w="1656" w:type="dxa"/>
            <w:vMerge/>
            <w:vAlign w:val="center"/>
          </w:tcPr>
          <w:p w:rsidR="00000000" w:rsidRDefault="00000000">
            <w:pPr>
              <w:spacing w:beforeLines="40" w:before="96" w:afterLines="40" w:after="96" w:line="240" w:lineRule="auto"/>
              <w:jc w:val="center"/>
              <w:rPr>
                <w:b/>
                <w:bCs/>
                <w:sz w:val="22"/>
              </w:rPr>
            </w:pPr>
          </w:p>
        </w:tc>
        <w:tc>
          <w:tcPr>
            <w:tcW w:w="1418" w:type="dxa"/>
            <w:noWrap/>
            <w:vAlign w:val="center"/>
          </w:tcPr>
          <w:p w:rsidR="00000000" w:rsidRDefault="00000000">
            <w:pPr>
              <w:spacing w:beforeLines="40" w:before="96" w:afterLines="40" w:after="96" w:line="240" w:lineRule="auto"/>
              <w:jc w:val="center"/>
              <w:rPr>
                <w:b/>
                <w:bCs/>
                <w:sz w:val="22"/>
              </w:rPr>
            </w:pPr>
            <w:r>
              <w:rPr>
                <w:b/>
                <w:bCs/>
                <w:sz w:val="22"/>
              </w:rPr>
              <w:t>Число жителей</w:t>
            </w:r>
          </w:p>
        </w:tc>
        <w:tc>
          <w:tcPr>
            <w:tcW w:w="922" w:type="dxa"/>
            <w:noWrap/>
            <w:vAlign w:val="center"/>
          </w:tcPr>
          <w:p w:rsidR="00000000" w:rsidRDefault="00000000">
            <w:pPr>
              <w:spacing w:line="240" w:lineRule="auto"/>
              <w:jc w:val="center"/>
              <w:rPr>
                <w:b/>
                <w:bCs/>
                <w:sz w:val="22"/>
              </w:rPr>
            </w:pPr>
            <w:r>
              <w:rPr>
                <w:b/>
                <w:bCs/>
                <w:sz w:val="22"/>
              </w:rPr>
              <w:t xml:space="preserve">Доля </w:t>
            </w:r>
          </w:p>
          <w:p w:rsidR="00000000" w:rsidRDefault="00000000">
            <w:pPr>
              <w:spacing w:line="240" w:lineRule="auto"/>
              <w:jc w:val="center"/>
              <w:rPr>
                <w:b/>
                <w:bCs/>
                <w:sz w:val="22"/>
              </w:rPr>
            </w:pPr>
            <w:r>
              <w:rPr>
                <w:b/>
                <w:bCs/>
                <w:sz w:val="22"/>
              </w:rPr>
              <w:t>в %</w:t>
            </w:r>
          </w:p>
        </w:tc>
        <w:tc>
          <w:tcPr>
            <w:tcW w:w="1433" w:type="dxa"/>
            <w:noWrap/>
            <w:vAlign w:val="center"/>
          </w:tcPr>
          <w:p w:rsidR="00000000" w:rsidRDefault="00000000">
            <w:pPr>
              <w:spacing w:beforeLines="40" w:before="96" w:afterLines="40" w:after="96" w:line="240" w:lineRule="auto"/>
              <w:jc w:val="center"/>
              <w:rPr>
                <w:b/>
                <w:bCs/>
                <w:sz w:val="22"/>
              </w:rPr>
            </w:pPr>
            <w:r>
              <w:rPr>
                <w:b/>
                <w:bCs/>
                <w:sz w:val="22"/>
              </w:rPr>
              <w:t>Число жителей</w:t>
            </w:r>
          </w:p>
        </w:tc>
        <w:tc>
          <w:tcPr>
            <w:tcW w:w="838" w:type="dxa"/>
            <w:noWrap/>
            <w:vAlign w:val="center"/>
          </w:tcPr>
          <w:p w:rsidR="00000000" w:rsidRDefault="00000000">
            <w:pPr>
              <w:spacing w:line="240" w:lineRule="auto"/>
              <w:jc w:val="center"/>
              <w:rPr>
                <w:b/>
                <w:bCs/>
                <w:sz w:val="22"/>
              </w:rPr>
            </w:pPr>
            <w:r>
              <w:rPr>
                <w:b/>
                <w:bCs/>
                <w:sz w:val="22"/>
              </w:rPr>
              <w:t xml:space="preserve">Доля </w:t>
            </w:r>
          </w:p>
          <w:p w:rsidR="00000000" w:rsidRDefault="00000000">
            <w:pPr>
              <w:spacing w:line="240" w:lineRule="auto"/>
              <w:jc w:val="center"/>
              <w:rPr>
                <w:b/>
                <w:bCs/>
                <w:sz w:val="22"/>
              </w:rPr>
            </w:pPr>
            <w:r>
              <w:rPr>
                <w:b/>
                <w:bCs/>
                <w:sz w:val="22"/>
              </w:rPr>
              <w:t>в %</w:t>
            </w:r>
          </w:p>
        </w:tc>
        <w:tc>
          <w:tcPr>
            <w:tcW w:w="926" w:type="dxa"/>
            <w:noWrap/>
            <w:vAlign w:val="center"/>
          </w:tcPr>
          <w:p w:rsidR="00000000" w:rsidRDefault="00000000">
            <w:pPr>
              <w:spacing w:beforeLines="40" w:before="96" w:afterLines="40" w:after="96" w:line="240" w:lineRule="auto"/>
              <w:jc w:val="center"/>
              <w:rPr>
                <w:b/>
                <w:bCs/>
                <w:sz w:val="22"/>
              </w:rPr>
            </w:pPr>
            <w:r>
              <w:rPr>
                <w:b/>
                <w:bCs/>
                <w:sz w:val="22"/>
              </w:rPr>
              <w:t>1992 год</w:t>
            </w:r>
          </w:p>
        </w:tc>
        <w:tc>
          <w:tcPr>
            <w:tcW w:w="984" w:type="dxa"/>
            <w:noWrap/>
            <w:vAlign w:val="center"/>
          </w:tcPr>
          <w:p w:rsidR="00000000" w:rsidRDefault="00000000">
            <w:pPr>
              <w:spacing w:beforeLines="40" w:before="96" w:afterLines="40" w:after="96" w:line="240" w:lineRule="auto"/>
              <w:jc w:val="center"/>
              <w:rPr>
                <w:b/>
                <w:bCs/>
                <w:sz w:val="22"/>
              </w:rPr>
            </w:pPr>
            <w:r>
              <w:rPr>
                <w:b/>
                <w:bCs/>
                <w:sz w:val="22"/>
              </w:rPr>
              <w:t>2002 год</w:t>
            </w:r>
          </w:p>
        </w:tc>
      </w:tr>
      <w:tr w:rsidR="00000000">
        <w:trPr>
          <w:cantSplit/>
        </w:trPr>
        <w:tc>
          <w:tcPr>
            <w:tcW w:w="1207" w:type="dxa"/>
            <w:noWrap/>
            <w:vAlign w:val="bottom"/>
          </w:tcPr>
          <w:p w:rsidR="00000000" w:rsidRDefault="00000000">
            <w:pPr>
              <w:spacing w:beforeLines="40" w:before="96" w:afterLines="40" w:after="96"/>
              <w:rPr>
                <w:sz w:val="22"/>
              </w:rPr>
            </w:pPr>
            <w:r>
              <w:rPr>
                <w:sz w:val="22"/>
              </w:rPr>
              <w:t>Восточный</w:t>
            </w:r>
          </w:p>
        </w:tc>
        <w:tc>
          <w:tcPr>
            <w:tcW w:w="1656" w:type="dxa"/>
            <w:noWrap/>
            <w:vAlign w:val="bottom"/>
          </w:tcPr>
          <w:p w:rsidR="00000000" w:rsidRDefault="00000000">
            <w:pPr>
              <w:tabs>
                <w:tab w:val="clear" w:pos="1134"/>
                <w:tab w:val="clear" w:pos="1701"/>
              </w:tabs>
              <w:spacing w:beforeLines="40" w:before="96" w:afterLines="40" w:after="96"/>
              <w:jc w:val="right"/>
              <w:rPr>
                <w:sz w:val="22"/>
                <w:lang w:val="fr-FR"/>
              </w:rPr>
            </w:pPr>
            <w:r>
              <w:rPr>
                <w:sz w:val="22"/>
                <w:lang w:val="fr-FR"/>
              </w:rPr>
              <w:t>159 827</w:t>
            </w:r>
          </w:p>
        </w:tc>
        <w:tc>
          <w:tcPr>
            <w:tcW w:w="1418" w:type="dxa"/>
            <w:noWrap/>
            <w:vAlign w:val="bottom"/>
          </w:tcPr>
          <w:p w:rsidR="00000000" w:rsidRDefault="00000000">
            <w:pPr>
              <w:tabs>
                <w:tab w:val="clear" w:pos="1134"/>
              </w:tabs>
              <w:spacing w:beforeLines="40" w:before="96" w:afterLines="40" w:after="96"/>
              <w:jc w:val="right"/>
              <w:rPr>
                <w:sz w:val="22"/>
                <w:lang w:val="fr-FR"/>
              </w:rPr>
            </w:pPr>
            <w:r>
              <w:rPr>
                <w:sz w:val="22"/>
                <w:lang w:val="fr-FR"/>
              </w:rPr>
              <w:t>4 046 955</w:t>
            </w:r>
          </w:p>
        </w:tc>
        <w:tc>
          <w:tcPr>
            <w:tcW w:w="922" w:type="dxa"/>
            <w:noWrap/>
            <w:tcMar>
              <w:right w:w="284" w:type="dxa"/>
            </w:tcMar>
            <w:vAlign w:val="bottom"/>
          </w:tcPr>
          <w:p w:rsidR="00000000" w:rsidRDefault="00000000">
            <w:pPr>
              <w:tabs>
                <w:tab w:val="clear" w:pos="567"/>
              </w:tabs>
              <w:spacing w:beforeLines="40" w:before="96" w:afterLines="40" w:after="96"/>
              <w:jc w:val="right"/>
              <w:rPr>
                <w:sz w:val="22"/>
                <w:lang w:val="fr-FR"/>
              </w:rPr>
            </w:pPr>
            <w:r>
              <w:rPr>
                <w:sz w:val="22"/>
                <w:lang w:val="fr-FR"/>
              </w:rPr>
              <w:t>97,5</w:t>
            </w:r>
          </w:p>
        </w:tc>
        <w:tc>
          <w:tcPr>
            <w:tcW w:w="1433" w:type="dxa"/>
            <w:noWrap/>
            <w:vAlign w:val="bottom"/>
          </w:tcPr>
          <w:p w:rsidR="00000000" w:rsidRDefault="00000000">
            <w:pPr>
              <w:tabs>
                <w:tab w:val="clear" w:pos="1134"/>
              </w:tabs>
              <w:spacing w:beforeLines="40" w:before="96" w:afterLines="40" w:after="96"/>
              <w:jc w:val="right"/>
              <w:rPr>
                <w:sz w:val="22"/>
                <w:lang w:val="fr-FR"/>
              </w:rPr>
            </w:pPr>
            <w:r>
              <w:rPr>
                <w:sz w:val="22"/>
                <w:lang w:val="fr-FR"/>
              </w:rPr>
              <w:t>5 028 012</w:t>
            </w:r>
          </w:p>
        </w:tc>
        <w:tc>
          <w:tcPr>
            <w:tcW w:w="838" w:type="dxa"/>
            <w:noWrap/>
            <w:tcMar>
              <w:right w:w="284" w:type="dxa"/>
            </w:tcMar>
            <w:vAlign w:val="bottom"/>
          </w:tcPr>
          <w:p w:rsidR="00000000" w:rsidRDefault="00000000">
            <w:pPr>
              <w:tabs>
                <w:tab w:val="clear" w:pos="567"/>
              </w:tabs>
              <w:spacing w:beforeLines="40" w:before="96" w:afterLines="40" w:after="96"/>
              <w:jc w:val="right"/>
              <w:rPr>
                <w:sz w:val="22"/>
                <w:lang w:val="fr-FR"/>
              </w:rPr>
            </w:pPr>
            <w:r>
              <w:rPr>
                <w:sz w:val="22"/>
                <w:lang w:val="fr-FR"/>
              </w:rPr>
              <w:t>97,4</w:t>
            </w:r>
          </w:p>
        </w:tc>
        <w:tc>
          <w:tcPr>
            <w:tcW w:w="926" w:type="dxa"/>
            <w:noWrap/>
            <w:tcMar>
              <w:right w:w="284" w:type="dxa"/>
            </w:tcMar>
            <w:vAlign w:val="bottom"/>
          </w:tcPr>
          <w:p w:rsidR="00000000" w:rsidRDefault="00000000">
            <w:pPr>
              <w:tabs>
                <w:tab w:val="clear" w:pos="567"/>
              </w:tabs>
              <w:spacing w:beforeLines="40" w:before="96" w:afterLines="40" w:after="96"/>
              <w:jc w:val="right"/>
              <w:rPr>
                <w:sz w:val="22"/>
                <w:lang w:val="fr-FR"/>
              </w:rPr>
            </w:pPr>
            <w:r>
              <w:rPr>
                <w:sz w:val="22"/>
                <w:lang w:val="fr-FR"/>
              </w:rPr>
              <w:t>25,3</w:t>
            </w:r>
          </w:p>
        </w:tc>
        <w:tc>
          <w:tcPr>
            <w:tcW w:w="984" w:type="dxa"/>
            <w:noWrap/>
            <w:tcMar>
              <w:right w:w="284" w:type="dxa"/>
            </w:tcMar>
            <w:vAlign w:val="bottom"/>
          </w:tcPr>
          <w:p w:rsidR="00000000" w:rsidRDefault="00000000">
            <w:pPr>
              <w:tabs>
                <w:tab w:val="clear" w:pos="567"/>
              </w:tabs>
              <w:spacing w:beforeLines="40" w:before="96" w:afterLines="40" w:after="96"/>
              <w:jc w:val="right"/>
              <w:rPr>
                <w:sz w:val="22"/>
                <w:lang w:val="fr-FR"/>
              </w:rPr>
            </w:pPr>
            <w:r>
              <w:rPr>
                <w:sz w:val="22"/>
                <w:lang w:val="fr-FR"/>
              </w:rPr>
              <w:t>31,5</w:t>
            </w:r>
          </w:p>
        </w:tc>
      </w:tr>
      <w:tr w:rsidR="00000000">
        <w:trPr>
          <w:cantSplit/>
        </w:trPr>
        <w:tc>
          <w:tcPr>
            <w:tcW w:w="1207" w:type="dxa"/>
            <w:noWrap/>
            <w:vAlign w:val="bottom"/>
          </w:tcPr>
          <w:p w:rsidR="00000000" w:rsidRDefault="00000000">
            <w:pPr>
              <w:spacing w:beforeLines="40" w:before="96" w:afterLines="40" w:after="96"/>
              <w:rPr>
                <w:sz w:val="22"/>
              </w:rPr>
            </w:pPr>
            <w:r>
              <w:rPr>
                <w:sz w:val="22"/>
              </w:rPr>
              <w:t>Западный</w:t>
            </w:r>
          </w:p>
        </w:tc>
        <w:tc>
          <w:tcPr>
            <w:tcW w:w="1656" w:type="dxa"/>
            <w:noWrap/>
            <w:vAlign w:val="bottom"/>
          </w:tcPr>
          <w:p w:rsidR="00000000" w:rsidRDefault="00000000">
            <w:pPr>
              <w:tabs>
                <w:tab w:val="clear" w:pos="1134"/>
                <w:tab w:val="clear" w:pos="1701"/>
              </w:tabs>
              <w:spacing w:beforeLines="40" w:before="96" w:afterLines="40" w:after="96"/>
              <w:jc w:val="right"/>
              <w:rPr>
                <w:sz w:val="22"/>
                <w:lang w:val="fr-FR"/>
              </w:rPr>
            </w:pPr>
            <w:r>
              <w:rPr>
                <w:sz w:val="22"/>
                <w:lang w:val="fr-FR"/>
              </w:rPr>
              <w:t>246 925</w:t>
            </w:r>
          </w:p>
        </w:tc>
        <w:tc>
          <w:tcPr>
            <w:tcW w:w="1418" w:type="dxa"/>
            <w:noWrap/>
            <w:vAlign w:val="bottom"/>
          </w:tcPr>
          <w:p w:rsidR="00000000" w:rsidRDefault="00000000">
            <w:pPr>
              <w:tabs>
                <w:tab w:val="clear" w:pos="1134"/>
              </w:tabs>
              <w:spacing w:beforeLines="40" w:before="96" w:afterLines="40" w:after="96"/>
              <w:jc w:val="right"/>
              <w:rPr>
                <w:sz w:val="22"/>
                <w:lang w:val="fr-FR"/>
              </w:rPr>
            </w:pPr>
            <w:r>
              <w:rPr>
                <w:sz w:val="22"/>
                <w:lang w:val="fr-FR"/>
              </w:rPr>
              <w:t>105 633</w:t>
            </w:r>
          </w:p>
        </w:tc>
        <w:tc>
          <w:tcPr>
            <w:tcW w:w="922" w:type="dxa"/>
            <w:noWrap/>
            <w:tcMar>
              <w:right w:w="284" w:type="dxa"/>
            </w:tcMar>
            <w:vAlign w:val="bottom"/>
          </w:tcPr>
          <w:p w:rsidR="00000000" w:rsidRDefault="00000000">
            <w:pPr>
              <w:tabs>
                <w:tab w:val="clear" w:pos="567"/>
              </w:tabs>
              <w:spacing w:beforeLines="40" w:before="96" w:afterLines="40" w:after="96"/>
              <w:jc w:val="right"/>
              <w:rPr>
                <w:sz w:val="22"/>
                <w:lang w:val="fr-FR"/>
              </w:rPr>
            </w:pPr>
            <w:r>
              <w:rPr>
                <w:sz w:val="22"/>
                <w:lang w:val="fr-FR"/>
              </w:rPr>
              <w:t>2,5</w:t>
            </w:r>
          </w:p>
        </w:tc>
        <w:tc>
          <w:tcPr>
            <w:tcW w:w="1433" w:type="dxa"/>
            <w:noWrap/>
            <w:vAlign w:val="bottom"/>
          </w:tcPr>
          <w:p w:rsidR="00000000" w:rsidRDefault="00000000">
            <w:pPr>
              <w:tabs>
                <w:tab w:val="clear" w:pos="1134"/>
              </w:tabs>
              <w:spacing w:beforeLines="40" w:before="96" w:afterLines="40" w:after="96"/>
              <w:jc w:val="right"/>
              <w:rPr>
                <w:sz w:val="22"/>
                <w:lang w:val="fr-FR"/>
              </w:rPr>
            </w:pPr>
            <w:r>
              <w:rPr>
                <w:sz w:val="22"/>
                <w:lang w:val="fr-FR"/>
              </w:rPr>
              <w:t>135 186</w:t>
            </w:r>
          </w:p>
        </w:tc>
        <w:tc>
          <w:tcPr>
            <w:tcW w:w="838" w:type="dxa"/>
            <w:noWrap/>
            <w:tcMar>
              <w:right w:w="284" w:type="dxa"/>
            </w:tcMar>
            <w:vAlign w:val="bottom"/>
          </w:tcPr>
          <w:p w:rsidR="00000000" w:rsidRDefault="00000000">
            <w:pPr>
              <w:tabs>
                <w:tab w:val="clear" w:pos="567"/>
              </w:tabs>
              <w:spacing w:beforeLines="40" w:before="96" w:afterLines="40" w:after="96"/>
              <w:jc w:val="right"/>
              <w:rPr>
                <w:sz w:val="22"/>
                <w:lang w:val="fr-FR"/>
              </w:rPr>
            </w:pPr>
            <w:r>
              <w:rPr>
                <w:sz w:val="22"/>
                <w:lang w:val="fr-FR"/>
              </w:rPr>
              <w:t>2,6</w:t>
            </w:r>
          </w:p>
        </w:tc>
        <w:tc>
          <w:tcPr>
            <w:tcW w:w="926" w:type="dxa"/>
            <w:noWrap/>
            <w:tcMar>
              <w:right w:w="284" w:type="dxa"/>
            </w:tcMar>
            <w:vAlign w:val="bottom"/>
          </w:tcPr>
          <w:p w:rsidR="00000000" w:rsidRDefault="00000000">
            <w:pPr>
              <w:tabs>
                <w:tab w:val="clear" w:pos="567"/>
              </w:tabs>
              <w:spacing w:beforeLines="40" w:before="96" w:afterLines="40" w:after="96"/>
              <w:jc w:val="right"/>
              <w:rPr>
                <w:sz w:val="22"/>
                <w:lang w:val="fr-FR"/>
              </w:rPr>
            </w:pPr>
            <w:r>
              <w:rPr>
                <w:sz w:val="22"/>
                <w:lang w:val="fr-FR"/>
              </w:rPr>
              <w:t>0,4</w:t>
            </w:r>
          </w:p>
        </w:tc>
        <w:tc>
          <w:tcPr>
            <w:tcW w:w="984" w:type="dxa"/>
            <w:noWrap/>
            <w:tcMar>
              <w:right w:w="284" w:type="dxa"/>
            </w:tcMar>
            <w:vAlign w:val="bottom"/>
          </w:tcPr>
          <w:p w:rsidR="00000000" w:rsidRDefault="00000000">
            <w:pPr>
              <w:tabs>
                <w:tab w:val="clear" w:pos="567"/>
              </w:tabs>
              <w:spacing w:beforeLines="40" w:before="96" w:afterLines="40" w:after="96"/>
              <w:jc w:val="right"/>
              <w:rPr>
                <w:sz w:val="22"/>
                <w:lang w:val="fr-FR"/>
              </w:rPr>
            </w:pPr>
            <w:r>
              <w:rPr>
                <w:sz w:val="22"/>
                <w:lang w:val="fr-FR"/>
              </w:rPr>
              <w:t>0,5</w:t>
            </w:r>
          </w:p>
        </w:tc>
      </w:tr>
      <w:tr w:rsidR="00000000">
        <w:trPr>
          <w:cantSplit/>
        </w:trPr>
        <w:tc>
          <w:tcPr>
            <w:tcW w:w="1207" w:type="dxa"/>
            <w:tcBorders>
              <w:bottom w:val="single" w:sz="4" w:space="0" w:color="auto"/>
            </w:tcBorders>
            <w:noWrap/>
            <w:vAlign w:val="bottom"/>
          </w:tcPr>
          <w:p w:rsidR="00000000" w:rsidRDefault="00000000">
            <w:pPr>
              <w:spacing w:beforeLines="40" w:before="96" w:afterLines="40" w:after="96"/>
              <w:rPr>
                <w:sz w:val="22"/>
              </w:rPr>
            </w:pPr>
            <w:r>
              <w:rPr>
                <w:sz w:val="22"/>
              </w:rPr>
              <w:t>Итого</w:t>
            </w:r>
          </w:p>
        </w:tc>
        <w:tc>
          <w:tcPr>
            <w:tcW w:w="1656" w:type="dxa"/>
            <w:tcBorders>
              <w:bottom w:val="single" w:sz="4" w:space="0" w:color="auto"/>
            </w:tcBorders>
            <w:noWrap/>
            <w:vAlign w:val="bottom"/>
          </w:tcPr>
          <w:p w:rsidR="00000000" w:rsidRDefault="00000000">
            <w:pPr>
              <w:tabs>
                <w:tab w:val="clear" w:pos="1134"/>
                <w:tab w:val="clear" w:pos="1701"/>
              </w:tabs>
              <w:spacing w:beforeLines="40" w:before="96" w:afterLines="40" w:after="96"/>
              <w:jc w:val="right"/>
              <w:rPr>
                <w:sz w:val="22"/>
                <w:lang w:val="fr-FR"/>
              </w:rPr>
            </w:pPr>
            <w:r>
              <w:rPr>
                <w:sz w:val="22"/>
                <w:lang w:val="fr-FR"/>
              </w:rPr>
              <w:t>406 752</w:t>
            </w:r>
          </w:p>
        </w:tc>
        <w:tc>
          <w:tcPr>
            <w:tcW w:w="1418" w:type="dxa"/>
            <w:tcBorders>
              <w:bottom w:val="single" w:sz="4" w:space="0" w:color="auto"/>
            </w:tcBorders>
            <w:noWrap/>
            <w:vAlign w:val="bottom"/>
          </w:tcPr>
          <w:p w:rsidR="00000000" w:rsidRDefault="00000000">
            <w:pPr>
              <w:tabs>
                <w:tab w:val="clear" w:pos="1134"/>
              </w:tabs>
              <w:spacing w:beforeLines="40" w:before="96" w:afterLines="40" w:after="96"/>
              <w:jc w:val="right"/>
              <w:rPr>
                <w:sz w:val="22"/>
                <w:lang w:val="fr-FR"/>
              </w:rPr>
            </w:pPr>
            <w:r>
              <w:rPr>
                <w:sz w:val="22"/>
                <w:lang w:val="fr-FR"/>
              </w:rPr>
              <w:t>4 152 588</w:t>
            </w:r>
          </w:p>
        </w:tc>
        <w:tc>
          <w:tcPr>
            <w:tcW w:w="922" w:type="dxa"/>
            <w:tcBorders>
              <w:bottom w:val="single" w:sz="4" w:space="0" w:color="auto"/>
            </w:tcBorders>
            <w:noWrap/>
            <w:tcMar>
              <w:right w:w="284" w:type="dxa"/>
            </w:tcMar>
            <w:vAlign w:val="bottom"/>
          </w:tcPr>
          <w:p w:rsidR="00000000" w:rsidRDefault="00000000">
            <w:pPr>
              <w:tabs>
                <w:tab w:val="clear" w:pos="567"/>
              </w:tabs>
              <w:spacing w:beforeLines="40" w:before="96" w:afterLines="40" w:after="96"/>
              <w:jc w:val="right"/>
              <w:rPr>
                <w:sz w:val="22"/>
                <w:lang w:val="fr-FR"/>
              </w:rPr>
            </w:pPr>
            <w:r>
              <w:rPr>
                <w:sz w:val="22"/>
                <w:lang w:val="fr-FR"/>
              </w:rPr>
              <w:t>100,0</w:t>
            </w:r>
          </w:p>
        </w:tc>
        <w:tc>
          <w:tcPr>
            <w:tcW w:w="1433" w:type="dxa"/>
            <w:tcBorders>
              <w:bottom w:val="single" w:sz="4" w:space="0" w:color="auto"/>
            </w:tcBorders>
            <w:noWrap/>
            <w:vAlign w:val="bottom"/>
          </w:tcPr>
          <w:p w:rsidR="00000000" w:rsidRDefault="00000000">
            <w:pPr>
              <w:tabs>
                <w:tab w:val="clear" w:pos="1134"/>
              </w:tabs>
              <w:spacing w:beforeLines="40" w:before="96" w:afterLines="40" w:after="96"/>
              <w:jc w:val="right"/>
              <w:rPr>
                <w:sz w:val="22"/>
                <w:lang w:val="fr-FR"/>
              </w:rPr>
            </w:pPr>
            <w:r>
              <w:rPr>
                <w:sz w:val="22"/>
                <w:lang w:val="fr-FR"/>
              </w:rPr>
              <w:t>5 163 198</w:t>
            </w:r>
          </w:p>
        </w:tc>
        <w:tc>
          <w:tcPr>
            <w:tcW w:w="838" w:type="dxa"/>
            <w:tcBorders>
              <w:bottom w:val="single" w:sz="4" w:space="0" w:color="auto"/>
            </w:tcBorders>
            <w:noWrap/>
            <w:tcMar>
              <w:right w:w="284" w:type="dxa"/>
            </w:tcMar>
            <w:vAlign w:val="bottom"/>
          </w:tcPr>
          <w:p w:rsidR="00000000" w:rsidRDefault="00000000">
            <w:pPr>
              <w:tabs>
                <w:tab w:val="clear" w:pos="567"/>
              </w:tabs>
              <w:spacing w:beforeLines="40" w:before="96" w:afterLines="40" w:after="96"/>
              <w:jc w:val="right"/>
              <w:rPr>
                <w:sz w:val="22"/>
                <w:lang w:val="fr-FR"/>
              </w:rPr>
            </w:pPr>
            <w:r>
              <w:rPr>
                <w:sz w:val="22"/>
                <w:lang w:val="fr-FR"/>
              </w:rPr>
              <w:t>100,0</w:t>
            </w:r>
          </w:p>
        </w:tc>
        <w:tc>
          <w:tcPr>
            <w:tcW w:w="926" w:type="dxa"/>
            <w:tcBorders>
              <w:bottom w:val="single" w:sz="4" w:space="0" w:color="auto"/>
            </w:tcBorders>
            <w:noWrap/>
            <w:tcMar>
              <w:right w:w="284" w:type="dxa"/>
            </w:tcMar>
            <w:vAlign w:val="bottom"/>
          </w:tcPr>
          <w:p w:rsidR="00000000" w:rsidRDefault="00000000">
            <w:pPr>
              <w:tabs>
                <w:tab w:val="clear" w:pos="567"/>
              </w:tabs>
              <w:spacing w:beforeLines="40" w:before="96" w:afterLines="40" w:after="96"/>
              <w:jc w:val="right"/>
              <w:rPr>
                <w:sz w:val="22"/>
                <w:lang w:val="fr-FR"/>
              </w:rPr>
            </w:pPr>
            <w:r>
              <w:rPr>
                <w:sz w:val="22"/>
                <w:lang w:val="fr-FR"/>
              </w:rPr>
              <w:t>10,2</w:t>
            </w:r>
          </w:p>
        </w:tc>
        <w:tc>
          <w:tcPr>
            <w:tcW w:w="984" w:type="dxa"/>
            <w:tcBorders>
              <w:bottom w:val="single" w:sz="4" w:space="0" w:color="auto"/>
            </w:tcBorders>
            <w:noWrap/>
            <w:tcMar>
              <w:right w:w="284" w:type="dxa"/>
            </w:tcMar>
            <w:vAlign w:val="bottom"/>
          </w:tcPr>
          <w:p w:rsidR="00000000" w:rsidRDefault="00000000">
            <w:pPr>
              <w:tabs>
                <w:tab w:val="clear" w:pos="567"/>
              </w:tabs>
              <w:spacing w:beforeLines="40" w:before="96" w:afterLines="40" w:after="96"/>
              <w:jc w:val="right"/>
              <w:rPr>
                <w:sz w:val="22"/>
                <w:lang w:val="fr-FR"/>
              </w:rPr>
            </w:pPr>
            <w:r>
              <w:rPr>
                <w:sz w:val="22"/>
                <w:lang w:val="fr-FR"/>
              </w:rPr>
              <w:t>12,7</w:t>
            </w:r>
          </w:p>
        </w:tc>
      </w:tr>
      <w:tr w:rsidR="00000000">
        <w:trPr>
          <w:cantSplit/>
        </w:trPr>
        <w:tc>
          <w:tcPr>
            <w:tcW w:w="9384" w:type="dxa"/>
            <w:gridSpan w:val="8"/>
            <w:tcBorders>
              <w:left w:val="nil"/>
              <w:bottom w:val="nil"/>
              <w:right w:val="nil"/>
            </w:tcBorders>
            <w:noWrap/>
            <w:vAlign w:val="bottom"/>
          </w:tcPr>
          <w:p w:rsidR="00000000" w:rsidRDefault="00000000">
            <w:pPr>
              <w:spacing w:beforeLines="40" w:before="96" w:afterLines="40" w:after="96"/>
              <w:rPr>
                <w:sz w:val="22"/>
              </w:rPr>
            </w:pPr>
            <w:r>
              <w:rPr>
                <w:b/>
                <w:bCs/>
                <w:sz w:val="22"/>
                <w:szCs w:val="16"/>
              </w:rPr>
              <w:t>Источник:  Главное управление статистики, обследований и переписей (ГУСОП), Национальные переписи населения и жилого фонда 1992 и 2002 годы.</w:t>
            </w:r>
          </w:p>
        </w:tc>
      </w:tr>
    </w:tbl>
    <w:p w:rsidR="00000000" w:rsidRDefault="00000000"/>
    <w:p w:rsidR="00000000" w:rsidRDefault="00000000">
      <w:r>
        <w:t>2.</w:t>
      </w:r>
      <w:r>
        <w:tab/>
        <w:t>Парагвай является полноправным членом Общего рынка стран Южного конуса (МЕРКОСУР).  В этом качестве он оказывает содействие и принимает активное участие в широком процессе развития региональной интеграции, которая осуществляется по самым разным направлениям - экономическому, социальному, культурному, политическому и торговому.  В Парагвае важным сектором экономики является агробизнес (особенно выращивание сои), а также экспорт электроэнергии, вырабатываемой на бразильско-парагвайской ГЭС в Итайпу и аргентинско-парагвайской ГЭС в Ясирете.</w:t>
      </w:r>
    </w:p>
    <w:p w:rsidR="00000000" w:rsidRDefault="00000000"/>
    <w:p w:rsidR="00000000" w:rsidRDefault="00000000">
      <w:r>
        <w:t>3.</w:t>
      </w:r>
      <w:r>
        <w:tab/>
        <w:t>В рамках МЕРКОСУР было созвано второе Специальное совещание МЕРКОСУР по проблемам женщин, в котором Парагвай принимает активное участие с момента созыва этого форума в 1998 году.  На нем вырабатываются совместные предложения, которые выносятся на рассмотрение Группы Общего рынка.</w:t>
      </w:r>
    </w:p>
    <w:p w:rsidR="00000000" w:rsidRDefault="00000000"/>
    <w:p w:rsidR="00000000" w:rsidRDefault="00000000">
      <w:pPr>
        <w:jc w:val="center"/>
        <w:rPr>
          <w:b/>
          <w:bCs/>
        </w:rPr>
      </w:pPr>
      <w:r>
        <w:rPr>
          <w:b/>
          <w:bCs/>
        </w:rPr>
        <w:t>В.</w:t>
      </w:r>
      <w:r>
        <w:rPr>
          <w:b/>
          <w:bCs/>
        </w:rPr>
        <w:tab/>
        <w:t>Этническая характеристика</w:t>
      </w:r>
    </w:p>
    <w:p w:rsidR="00000000" w:rsidRDefault="00000000">
      <w:pPr>
        <w:rPr>
          <w:u w:val="single"/>
        </w:rPr>
      </w:pPr>
    </w:p>
    <w:p w:rsidR="00000000" w:rsidRDefault="00000000">
      <w:r>
        <w:t>4.</w:t>
      </w:r>
      <w:r>
        <w:tab/>
        <w:t>Характерной особенностью населения Парагвая является его многоэтнический состав, ставший результатом смешения рас и культур, которые сосуществуют и взаимодействуют между собой.  Кроме того, демографические показатели свидетельствуют об активной демографической динамике, которая характеризуется внутренней миграцией, выездом соотечественников за рубеж и заметным притоком иммигрантов из-за рубежа, главным образом из сопредельных стран.</w:t>
      </w:r>
    </w:p>
    <w:p w:rsidR="00000000" w:rsidRDefault="00000000"/>
    <w:p w:rsidR="00000000" w:rsidRDefault="00000000">
      <w:pPr>
        <w:jc w:val="center"/>
        <w:rPr>
          <w:b/>
          <w:bCs/>
        </w:rPr>
      </w:pPr>
      <w:r>
        <w:rPr>
          <w:b/>
          <w:bCs/>
        </w:rPr>
        <w:t>С.</w:t>
      </w:r>
      <w:r>
        <w:rPr>
          <w:b/>
          <w:bCs/>
        </w:rPr>
        <w:tab/>
        <w:t>Этническая характеристика коренного населения</w:t>
      </w:r>
    </w:p>
    <w:p w:rsidR="00000000" w:rsidRDefault="00000000">
      <w:pPr>
        <w:rPr>
          <w:u w:val="single"/>
        </w:rPr>
      </w:pPr>
    </w:p>
    <w:p w:rsidR="00000000" w:rsidRDefault="00000000">
      <w:r>
        <w:t>5.</w:t>
      </w:r>
      <w:r>
        <w:tab/>
        <w:t>По результатам проведенной в 2002 году второй национальной переписи коренного населения численность зарегистрированных коренных жителей составила 87 099 человек, что составляет 1,7% от общей численности населения страны.  Данные, собранные в рамках переписи коренного населения 2002 года, указывают на то, что за последний 21 год темпы роста численности коренного населения (3,9%) превышали темпы роста численности населения страны, которая ежегодно увеличивалось на 2,7% (1982</w:t>
      </w:r>
      <w:r>
        <w:noBreakHyphen/>
        <w:t>2002 годы).  С другой стороны, чуть меньше половины коренного населения проживает в Восточном районе (44 135 человек), а остальные (42 964 человека) проживают в Западном районе.  Эти новые данные, отражающие распределение населения по районам, возможно, являются одним из наиболее важных результатов, полученных в ходе последней переписи.  Исторически так сложилось, что наблюдалась наибольшая концентрация коренного населения в Восточном районе, о чем свидетельствуют данные предыдущих переписей населения (67,2% в 1981 году и 55,8% в 1992 году).  В 2002 году доля коренного населения в Западном районе составила 49,3%.  Вместе с тем это явное увеличение следует рассматривать в свете улучшения охвата общин коренного населения в Восточном регионе в ходе переписи 2002 года, что привнесло, среди прочего, следующие позитивные моменты:  расширение доступа, разработку стратегии в области коммуникаций на различных коренных языках и эффективное участие представителей коренных народов в организации переписи.</w:t>
      </w:r>
    </w:p>
    <w:p w:rsidR="00000000" w:rsidRDefault="00000000"/>
    <w:p w:rsidR="00000000" w:rsidRDefault="00000000">
      <w:r>
        <w:t>6.</w:t>
      </w:r>
      <w:r>
        <w:tab/>
        <w:t>Для целей проведения переписи все коренное население было разбито на 20 этнических групп, из которых значительную представленность в составе населения имеют ава гуарани, паи тавитера, мбья, нивакле, энлеты северные и энчеты южные.  Менее многочисленными являются следующие этнические группы:  гуана, манхуи и томарахо.  Коренные жители Парагвая расселяются главным образом в сельских районах (91,5%).  Вместе с тем следует отметить, что пять этнических групп имеют значительную представленность среди населения городских районов:  мака (77,4%), маской (32,7%), гуарани западные (29,4%), нивакле (25,2%) и энлеты северные (24,4%).  Такая структура распределения населения свидетельствует о его перемещении в направлении городских центров и, в случае сохранения этой тенденции, этот процесс в ближайшие годы может активизироваться.</w:t>
      </w:r>
    </w:p>
    <w:p w:rsidR="00000000" w:rsidRDefault="00000000"/>
    <w:p w:rsidR="00000000" w:rsidRDefault="00000000">
      <w:r>
        <w:t>7.</w:t>
      </w:r>
      <w:r>
        <w:tab/>
        <w:t>Что касается показателей в сфере образования, то среднестатистический гражданин страны тратит на получение образования десять или более лет.  Однако существует большой контраст между населением страны в целом (7,0 лет) и коренным населением (2,2 года).  У коренных жителей городских районов этот показатель несколько выше среднего по сравнению с коренными жителями, проживающими в сельских районах (3,2 года по сравнению с 2,1 года).  У гуарани западных этот средний показатель является наиболее высоким (5 лет), в то время как у манхуи он является наиболее низким (0,7 года).  Другим показателем, который со всей убедительностью свидетельствует о неблагоприятном положении, в котором оказалось коренное население с точки зрения формального образования, является доля неграмотных.  На национальном уровне этот показатель составляет 7,1% от численности населения в возрасте от 15 лет и старше, в то время как у коренного населения этот показатель составляет 51%.  Доля неграмотных меньше среди коренных жителей городских районов, чем среди коренных жителей сельских районов (29,2% и 53,3%, соответственно).  Доля неграмотных наиболее значительна у представителей этнической группы паи тавитера (82,0%), в то время как гуарани западные находится в гораздо более благоприятном положении (12,2%).</w:t>
      </w:r>
    </w:p>
    <w:p w:rsidR="00000000" w:rsidRDefault="00000000"/>
    <w:p w:rsidR="00000000" w:rsidRDefault="00000000">
      <w:r>
        <w:t>8.</w:t>
      </w:r>
      <w:r>
        <w:tab/>
        <w:t>Что касается жилищных условий коренного населения, то из общего количества жилищ коренных жителей 5 802 жилища являются домами, 10 439 - ранчо, 678 - жилищем временного типа, 368 - бараками и 25 жилищ названо жилищами "иного типа".  Представляется, что вид жилища, в котором проживает большинство представителей коренного населения (ранчо), отражает тот факт, что основная часть коренного населения живет в сельских районах и лишена самых элементарных услуг (среди прочего электричества и питьевой воды), что является уделом коренного населения.  Что касается доступа к питьевой воде, то его имеют 2,5% коренного населения, 9,7% коренных жителей имеют электричество</w:t>
      </w:r>
      <w:r>
        <w:rPr>
          <w:rStyle w:val="FootnoteReference"/>
        </w:rPr>
        <w:footnoteReference w:id="4"/>
      </w:r>
      <w:r>
        <w:t>.</w:t>
      </w:r>
    </w:p>
    <w:p w:rsidR="00000000" w:rsidRDefault="00000000"/>
    <w:p w:rsidR="00000000" w:rsidRDefault="00000000">
      <w:pPr>
        <w:jc w:val="center"/>
        <w:rPr>
          <w:b/>
          <w:bCs/>
          <w:u w:val="single"/>
        </w:rPr>
      </w:pPr>
      <w:r>
        <w:rPr>
          <w:b/>
          <w:bCs/>
          <w:lang w:val="en-US"/>
        </w:rPr>
        <w:t>D</w:t>
      </w:r>
      <w:r>
        <w:rPr>
          <w:b/>
          <w:bCs/>
        </w:rPr>
        <w:t>.</w:t>
      </w:r>
      <w:r>
        <w:rPr>
          <w:b/>
          <w:bCs/>
        </w:rPr>
        <w:tab/>
        <w:t>Демографическая характеристика страны и ее населения</w:t>
      </w:r>
    </w:p>
    <w:p w:rsidR="00000000" w:rsidRDefault="00000000">
      <w:pPr>
        <w:rPr>
          <w:u w:val="single"/>
        </w:rPr>
      </w:pPr>
    </w:p>
    <w:p w:rsidR="00000000" w:rsidRDefault="00000000">
      <w:pPr>
        <w:rPr>
          <w:b/>
          <w:bCs/>
        </w:rPr>
      </w:pPr>
      <w:r>
        <w:rPr>
          <w:b/>
          <w:bCs/>
        </w:rPr>
        <w:t>1.</w:t>
      </w:r>
      <w:r>
        <w:rPr>
          <w:b/>
          <w:bCs/>
        </w:rPr>
        <w:tab/>
        <w:t>Средняя продолжительность предстоящей жизни при рождении</w:t>
      </w:r>
    </w:p>
    <w:p w:rsidR="00000000" w:rsidRDefault="00000000">
      <w:pPr>
        <w:rPr>
          <w:b/>
          <w:bCs/>
        </w:rPr>
      </w:pPr>
    </w:p>
    <w:p w:rsidR="00000000" w:rsidRDefault="00000000">
      <w:r>
        <w:t>9.</w:t>
      </w:r>
      <w:r>
        <w:tab/>
        <w:t>В Парагвае усиливается тенденция к увеличению продолжительности жизни.  Среди прочего, это объясняется снижением показателя детской смертности и повышением уровня информированности населения о методах ухода, профилактики и лечения болезней.  С другой стороны, это также объясняется укреплением системы здравоохранения, которую образуют учреждения государственного сектора, частные учреждения и некоммерческие организации, активно действующие в различных сферах здравоохранения по всей территории страны.</w:t>
      </w:r>
    </w:p>
    <w:p w:rsidR="00000000" w:rsidRDefault="00000000"/>
    <w:p w:rsidR="00000000" w:rsidRDefault="00000000">
      <w:r>
        <w:t>10.</w:t>
      </w:r>
      <w:r>
        <w:tab/>
        <w:t>Продолжительность жизни:  70,8 лет (мужчины и женщины).  Показатель средней продолжительности предстоящей жизни при рождении продолжает увеличиваться по всем периодам:  если по пятилетнему периоду 1950-1955 годов он составлял 62,6 года, то в период 2045-2050 годов он составит 78,44 года.  Это увеличение объясняется главным образом снижением показателя смертности в раннем возрасте, в частности, в первый год жизни.  Что касается пятилетнего периода 2000-2005 годов, то продолжительность жизни у мужчин и женщин составила 70,8 года (68,6 года у мужчин и 71,3 у женщин)</w:t>
      </w:r>
      <w:r>
        <w:rPr>
          <w:rStyle w:val="FootnoteReference"/>
        </w:rPr>
        <w:footnoteReference w:id="5"/>
      </w:r>
      <w:r>
        <w:t>.</w:t>
      </w:r>
    </w:p>
    <w:p w:rsidR="00000000" w:rsidRDefault="00000000">
      <w:pPr>
        <w:spacing w:before="100" w:beforeAutospacing="1" w:after="100" w:afterAutospacing="1" w:line="240" w:lineRule="auto"/>
        <w:jc w:val="center"/>
        <w:rPr>
          <w:b/>
          <w:bCs/>
        </w:rPr>
      </w:pPr>
      <w:r>
        <w:rPr>
          <w:b/>
        </w:rPr>
        <w:t>Показатель детской смертности и показатель средней продолжительности предстоящей</w:t>
      </w:r>
      <w:r>
        <w:rPr>
          <w:b/>
          <w:bCs/>
        </w:rPr>
        <w:t xml:space="preserve"> жизни при рождении с разбивкой по пятилетним периодам:  1995</w:t>
      </w:r>
      <w:r>
        <w:rPr>
          <w:b/>
          <w:bCs/>
        </w:rPr>
        <w:noBreakHyphen/>
        <w:t>2005 годы (всего по стране)</w:t>
      </w:r>
    </w:p>
    <w:tbl>
      <w:tblPr>
        <w:tblW w:w="9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12"/>
        <w:gridCol w:w="1479"/>
        <w:gridCol w:w="2562"/>
        <w:gridCol w:w="1272"/>
        <w:gridCol w:w="2667"/>
      </w:tblGrid>
      <w:tr w:rsidR="00000000">
        <w:trPr>
          <w:cantSplit/>
          <w:jc w:val="center"/>
        </w:trPr>
        <w:tc>
          <w:tcPr>
            <w:tcW w:w="1612" w:type="dxa"/>
            <w:vMerge w:val="restart"/>
            <w:vAlign w:val="center"/>
          </w:tcPr>
          <w:p w:rsidR="00000000" w:rsidRDefault="00000000">
            <w:pPr>
              <w:spacing w:before="100" w:beforeAutospacing="1" w:after="100" w:afterAutospacing="1" w:line="240" w:lineRule="auto"/>
              <w:jc w:val="center"/>
              <w:rPr>
                <w:b/>
                <w:bCs/>
                <w:sz w:val="20"/>
              </w:rPr>
            </w:pPr>
            <w:r>
              <w:rPr>
                <w:b/>
                <w:bCs/>
                <w:sz w:val="20"/>
              </w:rPr>
              <w:t>Пятилетний период</w:t>
            </w:r>
          </w:p>
        </w:tc>
        <w:tc>
          <w:tcPr>
            <w:tcW w:w="1479" w:type="dxa"/>
            <w:noWrap/>
            <w:vAlign w:val="center"/>
          </w:tcPr>
          <w:p w:rsidR="00000000" w:rsidRDefault="00000000">
            <w:pPr>
              <w:spacing w:before="100" w:beforeAutospacing="1" w:after="100" w:afterAutospacing="1" w:line="240" w:lineRule="auto"/>
              <w:jc w:val="center"/>
              <w:rPr>
                <w:b/>
                <w:bCs/>
                <w:sz w:val="20"/>
              </w:rPr>
            </w:pPr>
          </w:p>
        </w:tc>
        <w:tc>
          <w:tcPr>
            <w:tcW w:w="2562" w:type="dxa"/>
            <w:noWrap/>
            <w:tcMar>
              <w:left w:w="0" w:type="dxa"/>
              <w:right w:w="0" w:type="dxa"/>
            </w:tcMar>
            <w:vAlign w:val="center"/>
          </w:tcPr>
          <w:p w:rsidR="00000000" w:rsidRDefault="00000000">
            <w:pPr>
              <w:spacing w:before="100" w:beforeAutospacing="1" w:after="100" w:afterAutospacing="1" w:line="240" w:lineRule="auto"/>
              <w:jc w:val="center"/>
              <w:rPr>
                <w:b/>
                <w:bCs/>
                <w:sz w:val="20"/>
              </w:rPr>
            </w:pPr>
            <w:r>
              <w:rPr>
                <w:b/>
                <w:bCs/>
                <w:sz w:val="20"/>
              </w:rPr>
              <w:t>Продолжительность жизни</w:t>
            </w:r>
          </w:p>
        </w:tc>
        <w:tc>
          <w:tcPr>
            <w:tcW w:w="1272" w:type="dxa"/>
            <w:noWrap/>
            <w:vAlign w:val="bottom"/>
          </w:tcPr>
          <w:p w:rsidR="00000000" w:rsidRDefault="00000000">
            <w:pPr>
              <w:spacing w:before="100" w:beforeAutospacing="1" w:after="100" w:afterAutospacing="1" w:line="240" w:lineRule="auto"/>
              <w:jc w:val="center"/>
              <w:rPr>
                <w:b/>
                <w:bCs/>
                <w:sz w:val="20"/>
              </w:rPr>
            </w:pPr>
          </w:p>
        </w:tc>
        <w:tc>
          <w:tcPr>
            <w:tcW w:w="2667" w:type="dxa"/>
            <w:noWrap/>
            <w:vAlign w:val="bottom"/>
          </w:tcPr>
          <w:p w:rsidR="00000000" w:rsidRDefault="00000000">
            <w:pPr>
              <w:spacing w:before="100" w:beforeAutospacing="1" w:after="100" w:afterAutospacing="1" w:line="240" w:lineRule="auto"/>
              <w:jc w:val="center"/>
              <w:rPr>
                <w:b/>
                <w:bCs/>
                <w:sz w:val="20"/>
              </w:rPr>
            </w:pPr>
            <w:r>
              <w:rPr>
                <w:b/>
                <w:bCs/>
                <w:sz w:val="20"/>
              </w:rPr>
              <w:t>Коэффициент младенческой смертности (на тыс. живорождений)</w:t>
            </w:r>
          </w:p>
        </w:tc>
      </w:tr>
      <w:tr w:rsidR="00000000">
        <w:trPr>
          <w:cantSplit/>
          <w:jc w:val="center"/>
        </w:trPr>
        <w:tc>
          <w:tcPr>
            <w:tcW w:w="1612" w:type="dxa"/>
            <w:vMerge/>
            <w:vAlign w:val="center"/>
          </w:tcPr>
          <w:p w:rsidR="00000000" w:rsidRDefault="00000000">
            <w:pPr>
              <w:spacing w:before="100" w:beforeAutospacing="1" w:after="100" w:afterAutospacing="1" w:line="240" w:lineRule="auto"/>
              <w:rPr>
                <w:b/>
                <w:bCs/>
                <w:sz w:val="20"/>
              </w:rPr>
            </w:pPr>
          </w:p>
        </w:tc>
        <w:tc>
          <w:tcPr>
            <w:tcW w:w="1479" w:type="dxa"/>
            <w:noWrap/>
            <w:vAlign w:val="bottom"/>
          </w:tcPr>
          <w:p w:rsidR="00000000" w:rsidRDefault="00000000">
            <w:pPr>
              <w:spacing w:before="100" w:beforeAutospacing="1" w:after="100" w:afterAutospacing="1" w:line="240" w:lineRule="auto"/>
              <w:jc w:val="center"/>
              <w:rPr>
                <w:b/>
                <w:bCs/>
                <w:sz w:val="20"/>
              </w:rPr>
            </w:pPr>
            <w:r>
              <w:rPr>
                <w:b/>
                <w:bCs/>
                <w:sz w:val="20"/>
              </w:rPr>
              <w:t>Оба пола</w:t>
            </w:r>
          </w:p>
        </w:tc>
        <w:tc>
          <w:tcPr>
            <w:tcW w:w="2562" w:type="dxa"/>
            <w:noWrap/>
            <w:vAlign w:val="bottom"/>
          </w:tcPr>
          <w:p w:rsidR="00000000" w:rsidRDefault="00000000">
            <w:pPr>
              <w:spacing w:before="100" w:beforeAutospacing="1" w:after="100" w:afterAutospacing="1" w:line="240" w:lineRule="auto"/>
              <w:jc w:val="center"/>
              <w:rPr>
                <w:b/>
                <w:bCs/>
                <w:sz w:val="20"/>
              </w:rPr>
            </w:pPr>
            <w:r>
              <w:rPr>
                <w:b/>
                <w:bCs/>
                <w:sz w:val="20"/>
              </w:rPr>
              <w:t>Мужчины</w:t>
            </w:r>
          </w:p>
        </w:tc>
        <w:tc>
          <w:tcPr>
            <w:tcW w:w="1272" w:type="dxa"/>
            <w:noWrap/>
            <w:tcMar>
              <w:left w:w="0" w:type="dxa"/>
              <w:right w:w="0" w:type="dxa"/>
            </w:tcMar>
            <w:vAlign w:val="bottom"/>
          </w:tcPr>
          <w:p w:rsidR="00000000" w:rsidRDefault="00000000">
            <w:pPr>
              <w:spacing w:before="100" w:beforeAutospacing="1" w:after="100" w:afterAutospacing="1" w:line="240" w:lineRule="auto"/>
              <w:jc w:val="center"/>
              <w:rPr>
                <w:b/>
                <w:bCs/>
                <w:sz w:val="20"/>
              </w:rPr>
            </w:pPr>
            <w:r>
              <w:rPr>
                <w:b/>
                <w:bCs/>
                <w:sz w:val="20"/>
              </w:rPr>
              <w:t>Женщины</w:t>
            </w:r>
          </w:p>
        </w:tc>
        <w:tc>
          <w:tcPr>
            <w:tcW w:w="2667" w:type="dxa"/>
            <w:noWrap/>
            <w:vAlign w:val="bottom"/>
          </w:tcPr>
          <w:p w:rsidR="00000000" w:rsidRDefault="00000000">
            <w:pPr>
              <w:spacing w:before="100" w:beforeAutospacing="1" w:after="100" w:afterAutospacing="1" w:line="240" w:lineRule="auto"/>
              <w:rPr>
                <w:b/>
                <w:bCs/>
                <w:sz w:val="20"/>
              </w:rPr>
            </w:pPr>
          </w:p>
        </w:tc>
      </w:tr>
      <w:tr w:rsidR="00000000">
        <w:trPr>
          <w:cantSplit/>
          <w:jc w:val="center"/>
        </w:trPr>
        <w:tc>
          <w:tcPr>
            <w:tcW w:w="1612" w:type="dxa"/>
            <w:noWrap/>
            <w:vAlign w:val="bottom"/>
          </w:tcPr>
          <w:p w:rsidR="00000000" w:rsidRDefault="00000000">
            <w:pPr>
              <w:spacing w:before="100" w:beforeAutospacing="1" w:after="100" w:afterAutospacing="1" w:line="240" w:lineRule="auto"/>
              <w:rPr>
                <w:sz w:val="20"/>
              </w:rPr>
            </w:pPr>
            <w:r>
              <w:rPr>
                <w:sz w:val="20"/>
              </w:rPr>
              <w:t>1995-2000 годы</w:t>
            </w:r>
          </w:p>
        </w:tc>
        <w:tc>
          <w:tcPr>
            <w:tcW w:w="1479" w:type="dxa"/>
            <w:noWrap/>
            <w:vAlign w:val="bottom"/>
          </w:tcPr>
          <w:p w:rsidR="00000000" w:rsidRDefault="00000000">
            <w:pPr>
              <w:spacing w:before="100" w:beforeAutospacing="1" w:after="100" w:afterAutospacing="1" w:line="240" w:lineRule="auto"/>
              <w:jc w:val="center"/>
              <w:rPr>
                <w:sz w:val="20"/>
              </w:rPr>
            </w:pPr>
            <w:r>
              <w:rPr>
                <w:sz w:val="20"/>
              </w:rPr>
              <w:t>69,4</w:t>
            </w:r>
          </w:p>
        </w:tc>
        <w:tc>
          <w:tcPr>
            <w:tcW w:w="2562" w:type="dxa"/>
            <w:noWrap/>
            <w:vAlign w:val="bottom"/>
          </w:tcPr>
          <w:p w:rsidR="00000000" w:rsidRDefault="00000000">
            <w:pPr>
              <w:spacing w:before="100" w:beforeAutospacing="1" w:after="100" w:afterAutospacing="1" w:line="240" w:lineRule="auto"/>
              <w:jc w:val="center"/>
              <w:rPr>
                <w:sz w:val="20"/>
              </w:rPr>
            </w:pPr>
            <w:r>
              <w:rPr>
                <w:sz w:val="20"/>
              </w:rPr>
              <w:t>67,2</w:t>
            </w:r>
          </w:p>
        </w:tc>
        <w:tc>
          <w:tcPr>
            <w:tcW w:w="1272" w:type="dxa"/>
            <w:noWrap/>
            <w:vAlign w:val="bottom"/>
          </w:tcPr>
          <w:p w:rsidR="00000000" w:rsidRDefault="00000000">
            <w:pPr>
              <w:spacing w:before="100" w:beforeAutospacing="1" w:after="100" w:afterAutospacing="1" w:line="240" w:lineRule="auto"/>
              <w:jc w:val="center"/>
              <w:rPr>
                <w:sz w:val="20"/>
              </w:rPr>
            </w:pPr>
            <w:r>
              <w:rPr>
                <w:sz w:val="20"/>
              </w:rPr>
              <w:t>71,7</w:t>
            </w:r>
          </w:p>
        </w:tc>
        <w:tc>
          <w:tcPr>
            <w:tcW w:w="2667" w:type="dxa"/>
            <w:noWrap/>
            <w:vAlign w:val="bottom"/>
          </w:tcPr>
          <w:p w:rsidR="00000000" w:rsidRDefault="00000000">
            <w:pPr>
              <w:spacing w:before="100" w:beforeAutospacing="1" w:after="100" w:afterAutospacing="1" w:line="240" w:lineRule="auto"/>
              <w:jc w:val="center"/>
              <w:rPr>
                <w:sz w:val="20"/>
              </w:rPr>
            </w:pPr>
            <w:r>
              <w:rPr>
                <w:sz w:val="20"/>
              </w:rPr>
              <w:t>39,2</w:t>
            </w:r>
          </w:p>
        </w:tc>
      </w:tr>
      <w:tr w:rsidR="00000000">
        <w:trPr>
          <w:cantSplit/>
          <w:jc w:val="center"/>
        </w:trPr>
        <w:tc>
          <w:tcPr>
            <w:tcW w:w="1612" w:type="dxa"/>
            <w:tcBorders>
              <w:bottom w:val="single" w:sz="4" w:space="0" w:color="auto"/>
            </w:tcBorders>
            <w:noWrap/>
            <w:vAlign w:val="bottom"/>
          </w:tcPr>
          <w:p w:rsidR="00000000" w:rsidRDefault="00000000">
            <w:pPr>
              <w:spacing w:before="100" w:beforeAutospacing="1" w:after="100" w:afterAutospacing="1" w:line="240" w:lineRule="auto"/>
              <w:rPr>
                <w:sz w:val="20"/>
              </w:rPr>
            </w:pPr>
            <w:r>
              <w:rPr>
                <w:sz w:val="20"/>
              </w:rPr>
              <w:t>2000-2005 годы</w:t>
            </w:r>
          </w:p>
        </w:tc>
        <w:tc>
          <w:tcPr>
            <w:tcW w:w="1479" w:type="dxa"/>
            <w:tcBorders>
              <w:bottom w:val="single" w:sz="4" w:space="0" w:color="auto"/>
            </w:tcBorders>
            <w:noWrap/>
            <w:vAlign w:val="bottom"/>
          </w:tcPr>
          <w:p w:rsidR="00000000" w:rsidRDefault="00000000">
            <w:pPr>
              <w:spacing w:before="100" w:beforeAutospacing="1" w:after="100" w:afterAutospacing="1" w:line="240" w:lineRule="auto"/>
              <w:jc w:val="center"/>
              <w:rPr>
                <w:sz w:val="20"/>
              </w:rPr>
            </w:pPr>
            <w:r>
              <w:rPr>
                <w:sz w:val="20"/>
              </w:rPr>
              <w:t>70,8</w:t>
            </w:r>
          </w:p>
        </w:tc>
        <w:tc>
          <w:tcPr>
            <w:tcW w:w="2562" w:type="dxa"/>
            <w:tcBorders>
              <w:bottom w:val="single" w:sz="4" w:space="0" w:color="auto"/>
            </w:tcBorders>
            <w:noWrap/>
            <w:vAlign w:val="bottom"/>
          </w:tcPr>
          <w:p w:rsidR="00000000" w:rsidRDefault="00000000">
            <w:pPr>
              <w:spacing w:before="100" w:beforeAutospacing="1" w:after="100" w:afterAutospacing="1" w:line="240" w:lineRule="auto"/>
              <w:jc w:val="center"/>
              <w:rPr>
                <w:sz w:val="20"/>
              </w:rPr>
            </w:pPr>
            <w:r>
              <w:rPr>
                <w:sz w:val="20"/>
              </w:rPr>
              <w:t>68,7</w:t>
            </w:r>
          </w:p>
        </w:tc>
        <w:tc>
          <w:tcPr>
            <w:tcW w:w="1272" w:type="dxa"/>
            <w:tcBorders>
              <w:bottom w:val="single" w:sz="4" w:space="0" w:color="auto"/>
            </w:tcBorders>
            <w:noWrap/>
            <w:vAlign w:val="bottom"/>
          </w:tcPr>
          <w:p w:rsidR="00000000" w:rsidRDefault="00000000">
            <w:pPr>
              <w:spacing w:before="100" w:beforeAutospacing="1" w:after="100" w:afterAutospacing="1" w:line="240" w:lineRule="auto"/>
              <w:jc w:val="center"/>
              <w:rPr>
                <w:sz w:val="20"/>
              </w:rPr>
            </w:pPr>
            <w:r>
              <w:rPr>
                <w:sz w:val="20"/>
              </w:rPr>
              <w:t>72,9</w:t>
            </w:r>
          </w:p>
        </w:tc>
        <w:tc>
          <w:tcPr>
            <w:tcW w:w="2667" w:type="dxa"/>
            <w:tcBorders>
              <w:bottom w:val="single" w:sz="4" w:space="0" w:color="auto"/>
            </w:tcBorders>
            <w:noWrap/>
            <w:vAlign w:val="bottom"/>
          </w:tcPr>
          <w:p w:rsidR="00000000" w:rsidRDefault="00000000">
            <w:pPr>
              <w:spacing w:before="100" w:beforeAutospacing="1" w:after="100" w:afterAutospacing="1" w:line="240" w:lineRule="auto"/>
              <w:jc w:val="center"/>
              <w:rPr>
                <w:sz w:val="20"/>
              </w:rPr>
            </w:pPr>
            <w:r>
              <w:rPr>
                <w:sz w:val="20"/>
              </w:rPr>
              <w:t>35,5</w:t>
            </w:r>
          </w:p>
        </w:tc>
      </w:tr>
      <w:tr w:rsidR="00000000">
        <w:trPr>
          <w:cantSplit/>
          <w:jc w:val="center"/>
        </w:trPr>
        <w:tc>
          <w:tcPr>
            <w:tcW w:w="9592" w:type="dxa"/>
            <w:gridSpan w:val="5"/>
            <w:tcBorders>
              <w:left w:val="nil"/>
              <w:bottom w:val="nil"/>
              <w:right w:val="nil"/>
            </w:tcBorders>
            <w:noWrap/>
            <w:vAlign w:val="bottom"/>
          </w:tcPr>
          <w:p w:rsidR="00000000" w:rsidRDefault="00000000">
            <w:pPr>
              <w:spacing w:before="80" w:after="100" w:afterAutospacing="1" w:line="240" w:lineRule="auto"/>
              <w:rPr>
                <w:b/>
                <w:bCs/>
                <w:sz w:val="20"/>
                <w:szCs w:val="16"/>
              </w:rPr>
            </w:pPr>
            <w:r>
              <w:rPr>
                <w:b/>
                <w:bCs/>
                <w:sz w:val="20"/>
                <w:szCs w:val="16"/>
              </w:rPr>
              <w:t xml:space="preserve">Источник:  </w:t>
            </w:r>
            <w:r>
              <w:rPr>
                <w:sz w:val="20"/>
              </w:rPr>
              <w:t>Главное управление статистики, опросов и переписей, 2003 год.  Технический секретариат по вопросам планирования (ТСП), прогнозы в отношении численности населения в стране в разбивке по полу и возрасту, 1950-2050 годы.</w:t>
            </w:r>
          </w:p>
        </w:tc>
      </w:tr>
    </w:tbl>
    <w:p w:rsidR="00000000" w:rsidRDefault="00000000"/>
    <w:p w:rsidR="00000000" w:rsidRDefault="00000000">
      <w:r>
        <w:t>11.</w:t>
      </w:r>
      <w:r>
        <w:tab/>
        <w:t>За последние пять лет показатель средней продолжительности предстоящей жизни при рождении в целом по стране возрос на один год.  У мужчин он возрос на 0,5 года, а у женщин - более, чем на 1 год.</w:t>
      </w:r>
    </w:p>
    <w:p w:rsidR="00000000" w:rsidRDefault="00000000"/>
    <w:p w:rsidR="00000000" w:rsidRDefault="00000000">
      <w:r>
        <w:t>12.</w:t>
      </w:r>
      <w:r>
        <w:tab/>
        <w:t xml:space="preserve">Как видно по приведенным данным, увеличение показателя средней продолжительности предстоящей жизни при рождении у мужчин и у женщин происходит относительно одинаково.  Тем не менее женщины находятся в более благоприятном положении.  </w:t>
      </w:r>
    </w:p>
    <w:p w:rsidR="00000000" w:rsidRDefault="00000000">
      <w:pPr>
        <w:spacing w:line="240" w:lineRule="auto"/>
      </w:pPr>
    </w:p>
    <w:p w:rsidR="00000000" w:rsidRDefault="00000000">
      <w:pPr>
        <w:spacing w:line="240" w:lineRule="auto"/>
        <w:rPr>
          <w:b/>
          <w:bCs/>
        </w:rPr>
      </w:pPr>
      <w:r>
        <w:rPr>
          <w:b/>
          <w:bCs/>
        </w:rPr>
        <w:t>2.</w:t>
      </w:r>
      <w:r>
        <w:rPr>
          <w:b/>
          <w:bCs/>
        </w:rPr>
        <w:tab/>
        <w:t>Детская смертность</w:t>
      </w:r>
    </w:p>
    <w:p w:rsidR="00000000" w:rsidRDefault="00000000">
      <w:pPr>
        <w:spacing w:line="240" w:lineRule="auto"/>
      </w:pPr>
    </w:p>
    <w:p w:rsidR="00000000" w:rsidRDefault="00000000">
      <w:r>
        <w:t>13.</w:t>
      </w:r>
      <w:r>
        <w:tab/>
        <w:t>Согласно существующим оценкам, в Парагвае ежегодно умирает в среднем около 38 младенцев на каждую 1 000 живорождений, т.е. до достижения возраста в один год умирает 38 детей (коэффициент недорегистрации составляет 50%).</w:t>
      </w:r>
    </w:p>
    <w:p w:rsidR="00000000" w:rsidRDefault="00000000"/>
    <w:p w:rsidR="00000000" w:rsidRDefault="00000000">
      <w:r>
        <w:t>14.</w:t>
      </w:r>
      <w:r>
        <w:tab/>
        <w:t xml:space="preserve">В период с 1994 года по настоящее время наблюдалась тенденция к уменьшению, пусть незначительному, показателей детской смертности, хотя существуют еще различия в уровне смертности детей по регионам и социально-экономическим группам, а также в зависимости от степени урбанизации.  Что касается коренного населения, жителей сельских районов и бедняков, то этот коэффициент может достигать весьма высокого уровня.  У групп с высокой долей неграмотных коэффициент детской смертности больше, чем у групп, которые имеют шестилетний учебный стаж.  В большинстве случаев коэффициент детской смертности выше в бедных семьях.  </w:t>
      </w:r>
    </w:p>
    <w:p w:rsidR="00000000" w:rsidRDefault="00000000">
      <w:pPr>
        <w:spacing w:line="240" w:lineRule="auto"/>
        <w:rPr>
          <w:sz w:val="16"/>
        </w:rPr>
      </w:pPr>
    </w:p>
    <w:p w:rsidR="00000000" w:rsidRDefault="00000000">
      <w:pPr>
        <w:spacing w:line="240" w:lineRule="auto"/>
        <w:jc w:val="center"/>
        <w:rPr>
          <w:b/>
          <w:bCs/>
        </w:rPr>
      </w:pPr>
      <w:r>
        <w:rPr>
          <w:b/>
          <w:bCs/>
        </w:rPr>
        <w:t>Зарегистрированный и оценочный коэффициент детской смертности по годам, Парагвай, 1992-2003 годы</w:t>
      </w:r>
    </w:p>
    <w:p w:rsidR="00000000" w:rsidRDefault="00000000">
      <w:pPr>
        <w:spacing w:line="240" w:lineRule="auto"/>
        <w:rPr>
          <w:sz w:val="16"/>
        </w:rPr>
      </w:pPr>
    </w:p>
    <w:tbl>
      <w:tblPr>
        <w:tblW w:w="0" w:type="auto"/>
        <w:jc w:val="center"/>
        <w:tblInd w:w="-7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77"/>
        <w:gridCol w:w="3555"/>
        <w:gridCol w:w="2904"/>
      </w:tblGrid>
      <w:tr w:rsidR="00000000">
        <w:tblPrEx>
          <w:tblCellMar>
            <w:top w:w="0" w:type="dxa"/>
            <w:bottom w:w="0" w:type="dxa"/>
          </w:tblCellMar>
        </w:tblPrEx>
        <w:trPr>
          <w:jc w:val="center"/>
        </w:trPr>
        <w:tc>
          <w:tcPr>
            <w:tcW w:w="2677" w:type="dxa"/>
          </w:tcPr>
          <w:p w:rsidR="00000000" w:rsidRDefault="00000000">
            <w:pPr>
              <w:spacing w:line="216" w:lineRule="auto"/>
              <w:jc w:val="center"/>
              <w:rPr>
                <w:sz w:val="22"/>
                <w:szCs w:val="16"/>
              </w:rPr>
            </w:pPr>
            <w:r>
              <w:rPr>
                <w:sz w:val="22"/>
                <w:szCs w:val="16"/>
              </w:rPr>
              <w:t>Годы</w:t>
            </w:r>
          </w:p>
        </w:tc>
        <w:tc>
          <w:tcPr>
            <w:tcW w:w="3555" w:type="dxa"/>
          </w:tcPr>
          <w:p w:rsidR="00000000" w:rsidRDefault="00000000">
            <w:pPr>
              <w:spacing w:line="216" w:lineRule="auto"/>
              <w:jc w:val="center"/>
              <w:rPr>
                <w:sz w:val="22"/>
                <w:szCs w:val="16"/>
              </w:rPr>
            </w:pPr>
            <w:r>
              <w:rPr>
                <w:sz w:val="22"/>
                <w:szCs w:val="16"/>
              </w:rPr>
              <w:t>Зарегистрированный коэффициент (на 1 000 живорождений)</w:t>
            </w:r>
          </w:p>
        </w:tc>
        <w:tc>
          <w:tcPr>
            <w:tcW w:w="2904" w:type="dxa"/>
          </w:tcPr>
          <w:p w:rsidR="00000000" w:rsidRDefault="00000000">
            <w:pPr>
              <w:spacing w:line="216" w:lineRule="auto"/>
              <w:jc w:val="center"/>
              <w:rPr>
                <w:sz w:val="22"/>
                <w:szCs w:val="16"/>
              </w:rPr>
            </w:pPr>
            <w:r>
              <w:rPr>
                <w:sz w:val="22"/>
                <w:szCs w:val="16"/>
              </w:rPr>
              <w:t>Оценочный коэффициент (на 1 000 живорождений)</w:t>
            </w:r>
          </w:p>
        </w:tc>
      </w:tr>
      <w:tr w:rsidR="00000000">
        <w:tblPrEx>
          <w:tblCellMar>
            <w:top w:w="0" w:type="dxa"/>
            <w:bottom w:w="0" w:type="dxa"/>
          </w:tblCellMar>
        </w:tblPrEx>
        <w:trPr>
          <w:jc w:val="center"/>
        </w:trPr>
        <w:tc>
          <w:tcPr>
            <w:tcW w:w="2677" w:type="dxa"/>
          </w:tcPr>
          <w:p w:rsidR="00000000" w:rsidRDefault="00000000">
            <w:pPr>
              <w:rPr>
                <w:sz w:val="22"/>
                <w:szCs w:val="16"/>
              </w:rPr>
            </w:pPr>
            <w:r>
              <w:rPr>
                <w:sz w:val="22"/>
                <w:szCs w:val="16"/>
              </w:rPr>
              <w:t>1992</w:t>
            </w:r>
          </w:p>
        </w:tc>
        <w:tc>
          <w:tcPr>
            <w:tcW w:w="3555" w:type="dxa"/>
          </w:tcPr>
          <w:p w:rsidR="00000000" w:rsidRDefault="00000000">
            <w:pPr>
              <w:jc w:val="center"/>
              <w:rPr>
                <w:sz w:val="22"/>
                <w:szCs w:val="16"/>
              </w:rPr>
            </w:pPr>
            <w:r>
              <w:rPr>
                <w:sz w:val="22"/>
                <w:szCs w:val="16"/>
              </w:rPr>
              <w:t>21,4</w:t>
            </w:r>
          </w:p>
        </w:tc>
        <w:tc>
          <w:tcPr>
            <w:tcW w:w="2904" w:type="dxa"/>
          </w:tcPr>
          <w:p w:rsidR="00000000" w:rsidRDefault="00000000">
            <w:pPr>
              <w:jc w:val="center"/>
              <w:rPr>
                <w:sz w:val="22"/>
                <w:szCs w:val="16"/>
              </w:rPr>
            </w:pPr>
            <w:r>
              <w:rPr>
                <w:sz w:val="22"/>
                <w:szCs w:val="16"/>
              </w:rPr>
              <w:t>43,5</w:t>
            </w:r>
          </w:p>
        </w:tc>
      </w:tr>
      <w:tr w:rsidR="00000000">
        <w:tblPrEx>
          <w:tblCellMar>
            <w:top w:w="0" w:type="dxa"/>
            <w:bottom w:w="0" w:type="dxa"/>
          </w:tblCellMar>
        </w:tblPrEx>
        <w:trPr>
          <w:jc w:val="center"/>
        </w:trPr>
        <w:tc>
          <w:tcPr>
            <w:tcW w:w="2677" w:type="dxa"/>
          </w:tcPr>
          <w:p w:rsidR="00000000" w:rsidRDefault="00000000">
            <w:pPr>
              <w:rPr>
                <w:sz w:val="22"/>
                <w:szCs w:val="16"/>
              </w:rPr>
            </w:pPr>
            <w:r>
              <w:rPr>
                <w:sz w:val="22"/>
                <w:szCs w:val="16"/>
              </w:rPr>
              <w:t>1993</w:t>
            </w:r>
          </w:p>
        </w:tc>
        <w:tc>
          <w:tcPr>
            <w:tcW w:w="3555" w:type="dxa"/>
          </w:tcPr>
          <w:p w:rsidR="00000000" w:rsidRDefault="00000000">
            <w:pPr>
              <w:jc w:val="center"/>
              <w:rPr>
                <w:sz w:val="22"/>
                <w:szCs w:val="16"/>
              </w:rPr>
            </w:pPr>
            <w:r>
              <w:rPr>
                <w:sz w:val="22"/>
                <w:szCs w:val="16"/>
              </w:rPr>
              <w:t>24,8</w:t>
            </w:r>
          </w:p>
        </w:tc>
        <w:tc>
          <w:tcPr>
            <w:tcW w:w="2904" w:type="dxa"/>
          </w:tcPr>
          <w:p w:rsidR="00000000" w:rsidRDefault="00000000">
            <w:pPr>
              <w:jc w:val="center"/>
              <w:rPr>
                <w:sz w:val="22"/>
                <w:szCs w:val="16"/>
              </w:rPr>
            </w:pPr>
            <w:r>
              <w:rPr>
                <w:sz w:val="22"/>
                <w:szCs w:val="16"/>
              </w:rPr>
              <w:t>42,7</w:t>
            </w:r>
          </w:p>
        </w:tc>
      </w:tr>
      <w:tr w:rsidR="00000000">
        <w:tblPrEx>
          <w:tblCellMar>
            <w:top w:w="0" w:type="dxa"/>
            <w:bottom w:w="0" w:type="dxa"/>
          </w:tblCellMar>
        </w:tblPrEx>
        <w:trPr>
          <w:jc w:val="center"/>
        </w:trPr>
        <w:tc>
          <w:tcPr>
            <w:tcW w:w="2677" w:type="dxa"/>
          </w:tcPr>
          <w:p w:rsidR="00000000" w:rsidRDefault="00000000">
            <w:pPr>
              <w:rPr>
                <w:sz w:val="22"/>
                <w:szCs w:val="16"/>
              </w:rPr>
            </w:pPr>
            <w:r>
              <w:rPr>
                <w:sz w:val="22"/>
                <w:szCs w:val="16"/>
              </w:rPr>
              <w:t>1994</w:t>
            </w:r>
          </w:p>
        </w:tc>
        <w:tc>
          <w:tcPr>
            <w:tcW w:w="3555" w:type="dxa"/>
          </w:tcPr>
          <w:p w:rsidR="00000000" w:rsidRDefault="00000000">
            <w:pPr>
              <w:jc w:val="center"/>
              <w:rPr>
                <w:sz w:val="22"/>
                <w:szCs w:val="16"/>
              </w:rPr>
            </w:pPr>
            <w:r>
              <w:rPr>
                <w:sz w:val="22"/>
                <w:szCs w:val="16"/>
              </w:rPr>
              <w:t>21,7</w:t>
            </w:r>
          </w:p>
        </w:tc>
        <w:tc>
          <w:tcPr>
            <w:tcW w:w="2904" w:type="dxa"/>
          </w:tcPr>
          <w:p w:rsidR="00000000" w:rsidRDefault="00000000">
            <w:pPr>
              <w:tabs>
                <w:tab w:val="clear" w:pos="567"/>
                <w:tab w:val="clear" w:pos="1134"/>
                <w:tab w:val="left" w:pos="993"/>
              </w:tabs>
              <w:jc w:val="center"/>
              <w:rPr>
                <w:sz w:val="22"/>
                <w:szCs w:val="16"/>
              </w:rPr>
            </w:pPr>
            <w:r>
              <w:rPr>
                <w:sz w:val="22"/>
                <w:szCs w:val="16"/>
              </w:rPr>
              <w:t>42</w:t>
            </w:r>
          </w:p>
        </w:tc>
      </w:tr>
      <w:tr w:rsidR="00000000">
        <w:tblPrEx>
          <w:tblCellMar>
            <w:top w:w="0" w:type="dxa"/>
            <w:bottom w:w="0" w:type="dxa"/>
          </w:tblCellMar>
        </w:tblPrEx>
        <w:trPr>
          <w:jc w:val="center"/>
        </w:trPr>
        <w:tc>
          <w:tcPr>
            <w:tcW w:w="2677" w:type="dxa"/>
          </w:tcPr>
          <w:p w:rsidR="00000000" w:rsidRDefault="00000000">
            <w:pPr>
              <w:rPr>
                <w:sz w:val="22"/>
                <w:szCs w:val="16"/>
              </w:rPr>
            </w:pPr>
            <w:r>
              <w:rPr>
                <w:sz w:val="22"/>
                <w:szCs w:val="16"/>
              </w:rPr>
              <w:t>1995</w:t>
            </w:r>
          </w:p>
        </w:tc>
        <w:tc>
          <w:tcPr>
            <w:tcW w:w="3555" w:type="dxa"/>
          </w:tcPr>
          <w:p w:rsidR="00000000" w:rsidRDefault="00000000">
            <w:pPr>
              <w:jc w:val="center"/>
              <w:rPr>
                <w:sz w:val="22"/>
                <w:szCs w:val="16"/>
              </w:rPr>
            </w:pPr>
            <w:r>
              <w:rPr>
                <w:sz w:val="22"/>
                <w:szCs w:val="16"/>
              </w:rPr>
              <w:t>19,7</w:t>
            </w:r>
          </w:p>
        </w:tc>
        <w:tc>
          <w:tcPr>
            <w:tcW w:w="2904" w:type="dxa"/>
          </w:tcPr>
          <w:p w:rsidR="00000000" w:rsidRDefault="00000000">
            <w:pPr>
              <w:jc w:val="center"/>
              <w:rPr>
                <w:sz w:val="22"/>
                <w:szCs w:val="16"/>
              </w:rPr>
            </w:pPr>
            <w:r>
              <w:rPr>
                <w:sz w:val="22"/>
                <w:szCs w:val="16"/>
              </w:rPr>
              <w:t>41,2</w:t>
            </w:r>
          </w:p>
        </w:tc>
      </w:tr>
      <w:tr w:rsidR="00000000">
        <w:tblPrEx>
          <w:tblCellMar>
            <w:top w:w="0" w:type="dxa"/>
            <w:bottom w:w="0" w:type="dxa"/>
          </w:tblCellMar>
        </w:tblPrEx>
        <w:trPr>
          <w:jc w:val="center"/>
        </w:trPr>
        <w:tc>
          <w:tcPr>
            <w:tcW w:w="2677" w:type="dxa"/>
          </w:tcPr>
          <w:p w:rsidR="00000000" w:rsidRDefault="00000000">
            <w:pPr>
              <w:rPr>
                <w:sz w:val="22"/>
                <w:szCs w:val="16"/>
              </w:rPr>
            </w:pPr>
            <w:r>
              <w:rPr>
                <w:sz w:val="22"/>
                <w:szCs w:val="16"/>
              </w:rPr>
              <w:t>1996</w:t>
            </w:r>
          </w:p>
        </w:tc>
        <w:tc>
          <w:tcPr>
            <w:tcW w:w="3555" w:type="dxa"/>
          </w:tcPr>
          <w:p w:rsidR="00000000" w:rsidRDefault="00000000">
            <w:pPr>
              <w:jc w:val="center"/>
              <w:rPr>
                <w:sz w:val="22"/>
                <w:szCs w:val="16"/>
              </w:rPr>
            </w:pPr>
            <w:r>
              <w:rPr>
                <w:sz w:val="22"/>
                <w:szCs w:val="16"/>
              </w:rPr>
              <w:t>20,9</w:t>
            </w:r>
          </w:p>
        </w:tc>
        <w:tc>
          <w:tcPr>
            <w:tcW w:w="2904" w:type="dxa"/>
          </w:tcPr>
          <w:p w:rsidR="00000000" w:rsidRDefault="00000000">
            <w:pPr>
              <w:jc w:val="center"/>
              <w:rPr>
                <w:sz w:val="22"/>
                <w:szCs w:val="16"/>
              </w:rPr>
            </w:pPr>
            <w:r>
              <w:rPr>
                <w:sz w:val="22"/>
                <w:szCs w:val="16"/>
              </w:rPr>
              <w:t>40,6</w:t>
            </w:r>
          </w:p>
        </w:tc>
      </w:tr>
      <w:tr w:rsidR="00000000">
        <w:tblPrEx>
          <w:tblCellMar>
            <w:top w:w="0" w:type="dxa"/>
            <w:bottom w:w="0" w:type="dxa"/>
          </w:tblCellMar>
        </w:tblPrEx>
        <w:trPr>
          <w:jc w:val="center"/>
        </w:trPr>
        <w:tc>
          <w:tcPr>
            <w:tcW w:w="2677" w:type="dxa"/>
          </w:tcPr>
          <w:p w:rsidR="00000000" w:rsidRDefault="00000000">
            <w:pPr>
              <w:rPr>
                <w:sz w:val="22"/>
                <w:szCs w:val="16"/>
              </w:rPr>
            </w:pPr>
            <w:r>
              <w:rPr>
                <w:sz w:val="22"/>
                <w:szCs w:val="16"/>
              </w:rPr>
              <w:t>1997</w:t>
            </w:r>
          </w:p>
        </w:tc>
        <w:tc>
          <w:tcPr>
            <w:tcW w:w="3555" w:type="dxa"/>
          </w:tcPr>
          <w:p w:rsidR="00000000" w:rsidRDefault="00000000">
            <w:pPr>
              <w:jc w:val="center"/>
              <w:rPr>
                <w:sz w:val="22"/>
                <w:szCs w:val="16"/>
              </w:rPr>
            </w:pPr>
            <w:r>
              <w:rPr>
                <w:sz w:val="22"/>
                <w:szCs w:val="16"/>
              </w:rPr>
              <w:t>19,7</w:t>
            </w:r>
          </w:p>
        </w:tc>
        <w:tc>
          <w:tcPr>
            <w:tcW w:w="2904" w:type="dxa"/>
          </w:tcPr>
          <w:p w:rsidR="00000000" w:rsidRDefault="00000000">
            <w:pPr>
              <w:jc w:val="center"/>
              <w:rPr>
                <w:sz w:val="22"/>
                <w:szCs w:val="16"/>
              </w:rPr>
            </w:pPr>
            <w:r>
              <w:rPr>
                <w:sz w:val="22"/>
                <w:szCs w:val="16"/>
              </w:rPr>
              <w:t>39,9</w:t>
            </w:r>
          </w:p>
        </w:tc>
      </w:tr>
      <w:tr w:rsidR="00000000">
        <w:tblPrEx>
          <w:tblCellMar>
            <w:top w:w="0" w:type="dxa"/>
            <w:bottom w:w="0" w:type="dxa"/>
          </w:tblCellMar>
        </w:tblPrEx>
        <w:trPr>
          <w:jc w:val="center"/>
        </w:trPr>
        <w:tc>
          <w:tcPr>
            <w:tcW w:w="2677" w:type="dxa"/>
          </w:tcPr>
          <w:p w:rsidR="00000000" w:rsidRDefault="00000000">
            <w:pPr>
              <w:rPr>
                <w:sz w:val="22"/>
                <w:szCs w:val="16"/>
              </w:rPr>
            </w:pPr>
            <w:r>
              <w:rPr>
                <w:sz w:val="22"/>
                <w:szCs w:val="16"/>
              </w:rPr>
              <w:t>1998</w:t>
            </w:r>
          </w:p>
        </w:tc>
        <w:tc>
          <w:tcPr>
            <w:tcW w:w="3555" w:type="dxa"/>
          </w:tcPr>
          <w:p w:rsidR="00000000" w:rsidRDefault="00000000">
            <w:pPr>
              <w:jc w:val="center"/>
              <w:rPr>
                <w:sz w:val="22"/>
                <w:szCs w:val="16"/>
              </w:rPr>
            </w:pPr>
            <w:r>
              <w:rPr>
                <w:sz w:val="22"/>
                <w:szCs w:val="16"/>
              </w:rPr>
              <w:t>19,6</w:t>
            </w:r>
          </w:p>
        </w:tc>
        <w:tc>
          <w:tcPr>
            <w:tcW w:w="2904" w:type="dxa"/>
          </w:tcPr>
          <w:p w:rsidR="00000000" w:rsidRDefault="00000000">
            <w:pPr>
              <w:jc w:val="center"/>
              <w:rPr>
                <w:sz w:val="22"/>
                <w:szCs w:val="16"/>
              </w:rPr>
            </w:pPr>
            <w:r>
              <w:rPr>
                <w:sz w:val="22"/>
                <w:szCs w:val="16"/>
              </w:rPr>
              <w:t>39,3</w:t>
            </w:r>
          </w:p>
        </w:tc>
      </w:tr>
      <w:tr w:rsidR="00000000">
        <w:tblPrEx>
          <w:tblCellMar>
            <w:top w:w="0" w:type="dxa"/>
            <w:bottom w:w="0" w:type="dxa"/>
          </w:tblCellMar>
        </w:tblPrEx>
        <w:trPr>
          <w:jc w:val="center"/>
        </w:trPr>
        <w:tc>
          <w:tcPr>
            <w:tcW w:w="2677" w:type="dxa"/>
          </w:tcPr>
          <w:p w:rsidR="00000000" w:rsidRDefault="00000000">
            <w:pPr>
              <w:rPr>
                <w:sz w:val="22"/>
                <w:szCs w:val="16"/>
              </w:rPr>
            </w:pPr>
            <w:r>
              <w:rPr>
                <w:sz w:val="22"/>
                <w:szCs w:val="16"/>
              </w:rPr>
              <w:t>1999</w:t>
            </w:r>
          </w:p>
        </w:tc>
        <w:tc>
          <w:tcPr>
            <w:tcW w:w="3555" w:type="dxa"/>
          </w:tcPr>
          <w:p w:rsidR="00000000" w:rsidRDefault="00000000">
            <w:pPr>
              <w:jc w:val="center"/>
              <w:rPr>
                <w:sz w:val="22"/>
                <w:szCs w:val="16"/>
              </w:rPr>
            </w:pPr>
            <w:r>
              <w:rPr>
                <w:sz w:val="22"/>
                <w:szCs w:val="16"/>
              </w:rPr>
              <w:t>19,4</w:t>
            </w:r>
          </w:p>
        </w:tc>
        <w:tc>
          <w:tcPr>
            <w:tcW w:w="2904" w:type="dxa"/>
          </w:tcPr>
          <w:p w:rsidR="00000000" w:rsidRDefault="00000000">
            <w:pPr>
              <w:jc w:val="center"/>
              <w:rPr>
                <w:sz w:val="22"/>
                <w:szCs w:val="16"/>
              </w:rPr>
            </w:pPr>
            <w:r>
              <w:rPr>
                <w:sz w:val="22"/>
                <w:szCs w:val="16"/>
              </w:rPr>
              <w:t>38,7</w:t>
            </w:r>
          </w:p>
        </w:tc>
      </w:tr>
      <w:tr w:rsidR="00000000">
        <w:tblPrEx>
          <w:tblCellMar>
            <w:top w:w="0" w:type="dxa"/>
            <w:bottom w:w="0" w:type="dxa"/>
          </w:tblCellMar>
        </w:tblPrEx>
        <w:trPr>
          <w:jc w:val="center"/>
        </w:trPr>
        <w:tc>
          <w:tcPr>
            <w:tcW w:w="2677" w:type="dxa"/>
          </w:tcPr>
          <w:p w:rsidR="00000000" w:rsidRDefault="00000000">
            <w:pPr>
              <w:rPr>
                <w:sz w:val="22"/>
                <w:szCs w:val="16"/>
              </w:rPr>
            </w:pPr>
            <w:r>
              <w:rPr>
                <w:sz w:val="22"/>
                <w:szCs w:val="16"/>
              </w:rPr>
              <w:t>2000</w:t>
            </w:r>
          </w:p>
        </w:tc>
        <w:tc>
          <w:tcPr>
            <w:tcW w:w="3555" w:type="dxa"/>
          </w:tcPr>
          <w:p w:rsidR="00000000" w:rsidRDefault="00000000">
            <w:pPr>
              <w:jc w:val="center"/>
              <w:rPr>
                <w:sz w:val="22"/>
                <w:szCs w:val="16"/>
              </w:rPr>
            </w:pPr>
            <w:r>
              <w:rPr>
                <w:sz w:val="22"/>
                <w:szCs w:val="16"/>
              </w:rPr>
              <w:t>20,2</w:t>
            </w:r>
          </w:p>
        </w:tc>
        <w:tc>
          <w:tcPr>
            <w:tcW w:w="2904" w:type="dxa"/>
          </w:tcPr>
          <w:p w:rsidR="00000000" w:rsidRDefault="00000000">
            <w:pPr>
              <w:jc w:val="center"/>
              <w:rPr>
                <w:sz w:val="22"/>
                <w:szCs w:val="16"/>
              </w:rPr>
            </w:pPr>
            <w:r>
              <w:rPr>
                <w:sz w:val="22"/>
                <w:szCs w:val="16"/>
              </w:rPr>
              <w:t>38,1</w:t>
            </w:r>
          </w:p>
        </w:tc>
      </w:tr>
      <w:tr w:rsidR="00000000">
        <w:tblPrEx>
          <w:tblCellMar>
            <w:top w:w="0" w:type="dxa"/>
            <w:bottom w:w="0" w:type="dxa"/>
          </w:tblCellMar>
        </w:tblPrEx>
        <w:trPr>
          <w:jc w:val="center"/>
        </w:trPr>
        <w:tc>
          <w:tcPr>
            <w:tcW w:w="2677" w:type="dxa"/>
          </w:tcPr>
          <w:p w:rsidR="00000000" w:rsidRDefault="00000000">
            <w:pPr>
              <w:rPr>
                <w:sz w:val="22"/>
                <w:szCs w:val="16"/>
              </w:rPr>
            </w:pPr>
            <w:r>
              <w:rPr>
                <w:sz w:val="22"/>
                <w:szCs w:val="16"/>
              </w:rPr>
              <w:t>2001</w:t>
            </w:r>
          </w:p>
        </w:tc>
        <w:tc>
          <w:tcPr>
            <w:tcW w:w="3555" w:type="dxa"/>
          </w:tcPr>
          <w:p w:rsidR="00000000" w:rsidRDefault="00000000">
            <w:pPr>
              <w:jc w:val="center"/>
              <w:rPr>
                <w:sz w:val="22"/>
                <w:szCs w:val="16"/>
              </w:rPr>
            </w:pPr>
            <w:r>
              <w:rPr>
                <w:sz w:val="22"/>
                <w:szCs w:val="16"/>
              </w:rPr>
              <w:t>19.7</w:t>
            </w:r>
          </w:p>
        </w:tc>
        <w:tc>
          <w:tcPr>
            <w:tcW w:w="2904" w:type="dxa"/>
          </w:tcPr>
          <w:p w:rsidR="00000000" w:rsidRDefault="00000000">
            <w:pPr>
              <w:jc w:val="center"/>
              <w:rPr>
                <w:sz w:val="22"/>
                <w:szCs w:val="16"/>
              </w:rPr>
            </w:pPr>
            <w:r>
              <w:rPr>
                <w:sz w:val="22"/>
                <w:szCs w:val="16"/>
              </w:rPr>
              <w:t>37.5</w:t>
            </w:r>
          </w:p>
        </w:tc>
      </w:tr>
      <w:tr w:rsidR="00000000">
        <w:tblPrEx>
          <w:tblCellMar>
            <w:top w:w="0" w:type="dxa"/>
            <w:bottom w:w="0" w:type="dxa"/>
          </w:tblCellMar>
        </w:tblPrEx>
        <w:trPr>
          <w:jc w:val="center"/>
        </w:trPr>
        <w:tc>
          <w:tcPr>
            <w:tcW w:w="2677" w:type="dxa"/>
          </w:tcPr>
          <w:p w:rsidR="00000000" w:rsidRDefault="00000000">
            <w:pPr>
              <w:rPr>
                <w:sz w:val="22"/>
                <w:szCs w:val="16"/>
              </w:rPr>
            </w:pPr>
            <w:r>
              <w:rPr>
                <w:sz w:val="22"/>
                <w:szCs w:val="16"/>
              </w:rPr>
              <w:t>2002</w:t>
            </w:r>
          </w:p>
        </w:tc>
        <w:tc>
          <w:tcPr>
            <w:tcW w:w="3555" w:type="dxa"/>
          </w:tcPr>
          <w:p w:rsidR="00000000" w:rsidRDefault="00000000">
            <w:pPr>
              <w:jc w:val="center"/>
              <w:rPr>
                <w:sz w:val="22"/>
                <w:szCs w:val="16"/>
              </w:rPr>
            </w:pPr>
            <w:r>
              <w:rPr>
                <w:sz w:val="22"/>
                <w:szCs w:val="16"/>
              </w:rPr>
              <w:t>19,6</w:t>
            </w:r>
          </w:p>
        </w:tc>
        <w:tc>
          <w:tcPr>
            <w:tcW w:w="2904" w:type="dxa"/>
          </w:tcPr>
          <w:p w:rsidR="00000000" w:rsidRDefault="00000000">
            <w:pPr>
              <w:jc w:val="center"/>
              <w:rPr>
                <w:sz w:val="22"/>
                <w:szCs w:val="16"/>
              </w:rPr>
            </w:pPr>
            <w:r>
              <w:rPr>
                <w:sz w:val="22"/>
                <w:szCs w:val="16"/>
              </w:rPr>
              <w:t>33,3</w:t>
            </w:r>
          </w:p>
        </w:tc>
      </w:tr>
      <w:tr w:rsidR="00000000">
        <w:tblPrEx>
          <w:tblCellMar>
            <w:top w:w="0" w:type="dxa"/>
            <w:bottom w:w="0" w:type="dxa"/>
          </w:tblCellMar>
        </w:tblPrEx>
        <w:trPr>
          <w:jc w:val="center"/>
        </w:trPr>
        <w:tc>
          <w:tcPr>
            <w:tcW w:w="2677" w:type="dxa"/>
          </w:tcPr>
          <w:p w:rsidR="00000000" w:rsidRDefault="00000000">
            <w:pPr>
              <w:rPr>
                <w:sz w:val="22"/>
                <w:szCs w:val="16"/>
              </w:rPr>
            </w:pPr>
            <w:r>
              <w:rPr>
                <w:sz w:val="22"/>
                <w:szCs w:val="16"/>
              </w:rPr>
              <w:t>2003</w:t>
            </w:r>
          </w:p>
        </w:tc>
        <w:tc>
          <w:tcPr>
            <w:tcW w:w="3555" w:type="dxa"/>
          </w:tcPr>
          <w:p w:rsidR="00000000" w:rsidRDefault="00000000">
            <w:pPr>
              <w:jc w:val="center"/>
              <w:rPr>
                <w:sz w:val="22"/>
                <w:szCs w:val="16"/>
              </w:rPr>
            </w:pPr>
            <w:r>
              <w:rPr>
                <w:sz w:val="22"/>
                <w:szCs w:val="16"/>
              </w:rPr>
              <w:t>19,4</w:t>
            </w:r>
          </w:p>
        </w:tc>
        <w:tc>
          <w:tcPr>
            <w:tcW w:w="2904" w:type="dxa"/>
          </w:tcPr>
          <w:p w:rsidR="00000000" w:rsidRDefault="00000000">
            <w:pPr>
              <w:jc w:val="center"/>
              <w:rPr>
                <w:sz w:val="22"/>
                <w:szCs w:val="16"/>
              </w:rPr>
            </w:pPr>
            <w:r>
              <w:rPr>
                <w:sz w:val="22"/>
                <w:szCs w:val="16"/>
              </w:rPr>
              <w:t>33,1</w:t>
            </w:r>
          </w:p>
        </w:tc>
      </w:tr>
    </w:tbl>
    <w:p w:rsidR="00000000" w:rsidRDefault="00000000">
      <w:pPr>
        <w:tabs>
          <w:tab w:val="clear" w:pos="1701"/>
        </w:tabs>
        <w:spacing w:beforeLines="40" w:before="96" w:afterLines="40" w:after="96" w:line="216" w:lineRule="auto"/>
        <w:ind w:left="1134"/>
        <w:rPr>
          <w:sz w:val="22"/>
        </w:rPr>
      </w:pPr>
      <w:r>
        <w:rPr>
          <w:i/>
          <w:iCs/>
          <w:sz w:val="22"/>
        </w:rPr>
        <w:t>Источник</w:t>
      </w:r>
      <w:r>
        <w:rPr>
          <w:sz w:val="22"/>
        </w:rPr>
        <w:t>:  Показатели смертности, Департамент статистики министерства здравоохранения и социального обеспечения (МЗСО).</w:t>
      </w:r>
    </w:p>
    <w:p w:rsidR="00000000" w:rsidRDefault="00000000">
      <w:r>
        <w:t>15.</w:t>
      </w:r>
      <w:r>
        <w:tab/>
        <w:t>С другой стороны, коэффициент недорегистраций - 59,45 - не позволяет с точностью определить, произошло ли снижение степени риска умереть от инфекционных заболеваний у детей в возрасте до одного года</w:t>
      </w:r>
      <w:r>
        <w:rPr>
          <w:rStyle w:val="FootnoteReference"/>
        </w:rPr>
        <w:footnoteReference w:id="6"/>
      </w:r>
      <w:r>
        <w:t xml:space="preserve">.  </w:t>
      </w:r>
    </w:p>
    <w:p w:rsidR="00000000" w:rsidRDefault="00000000"/>
    <w:p w:rsidR="00000000" w:rsidRDefault="00000000">
      <w:r>
        <w:t>16.</w:t>
      </w:r>
      <w:r>
        <w:tab/>
        <w:t>Вместе с тем в период с 1997 года (19,6) и по 2003 год (19,2) коэффициент детской смертности оставался практически на неизменном уровне.  Что касается неонатальной смертности, то этот показатель несколько увеличился с 11,18% в 1995 году до 11,7% в 2003 году, хотя тенденция в целом за последние 10 лет не изменилась.  В 2003 году из 1 632 умерших младенцев в возрасте до одного года</w:t>
      </w:r>
      <w:r>
        <w:rPr>
          <w:rStyle w:val="FootnoteReference"/>
        </w:rPr>
        <w:footnoteReference w:id="7"/>
      </w:r>
      <w:r>
        <w:t xml:space="preserve"> 1 007 младенцев прожили 28 дней (неонатальная смертность), что означает, что 60% младенцев умирают до достижения ими возраста в один месяц и это тесно связано с медицинским уходом во время беременности, родов и в послеродовой период.  Если сюда включить недоношенных младенцев, то эта доля возрастает до 69,7%.  Динамика коэффициентов и тенденций перинатальной смертности аналогична неонатальной смертности.  В этой связи можно отметить, что речь идет о незначительном снижении с 19,6 на 1 000 живорожденных в 1992 году до 19,4 в 2003 году.</w:t>
      </w:r>
    </w:p>
    <w:p w:rsidR="00000000" w:rsidRDefault="00000000"/>
    <w:p w:rsidR="00000000" w:rsidRDefault="00000000">
      <w:r>
        <w:t>17.</w:t>
      </w:r>
      <w:r>
        <w:tab/>
        <w:t xml:space="preserve">Более высокий коэффициент неонатальной смертности отмечается в таких районах, как Ньембуку, Гуайра и Амамбай.  Более высокие коэффициенты детской смертности отмечаются в районах Бокерон, Алто-Парана и Амамбай.  Если брать возрастную группу до пяти лет, то наиболее высокий коэффициент смертности отмечается в департаментах Алто-Парагуай и Бокерон.  Хотя эти коэффициенты несколько снизились, эти два района, как и в 1992 году, занимают по этому показателю первое и второе места. </w:t>
      </w:r>
    </w:p>
    <w:p w:rsidR="00000000" w:rsidRDefault="00000000"/>
    <w:p w:rsidR="00000000" w:rsidRDefault="00000000">
      <w:r>
        <w:t>18.</w:t>
      </w:r>
      <w:r>
        <w:tab/>
        <w:t>Что касается причин детской смертности, то в 2003 году сохранялась тенденция прошлых лет, которая указывала на то, что наиболее распространенными причинами были патологии, связанные с беременностью, родами и послеродовым периодом и тем уходом, который получали матери.  Этими причинами объясняются 40% смертей или почти 70%, если включать сюда преждевременные роды.</w:t>
      </w:r>
    </w:p>
    <w:p w:rsidR="00000000" w:rsidRDefault="00000000"/>
    <w:p w:rsidR="00000000" w:rsidRDefault="00000000">
      <w:pPr>
        <w:rPr>
          <w:b/>
          <w:bCs/>
        </w:rPr>
      </w:pPr>
      <w:r>
        <w:tab/>
      </w:r>
      <w:r>
        <w:rPr>
          <w:b/>
          <w:bCs/>
        </w:rPr>
        <w:t>2.1</w:t>
      </w:r>
      <w:r>
        <w:rPr>
          <w:b/>
          <w:bCs/>
        </w:rPr>
        <w:tab/>
        <w:t>Смерть в результате болезней, предотвращаемых с помощью вакцинации</w:t>
      </w:r>
    </w:p>
    <w:p w:rsidR="00000000" w:rsidRDefault="00000000">
      <w:pPr>
        <w:rPr>
          <w:b/>
          <w:bCs/>
        </w:rPr>
      </w:pPr>
    </w:p>
    <w:p w:rsidR="00000000" w:rsidRDefault="00000000">
      <w:r>
        <w:t>19.</w:t>
      </w:r>
      <w:r>
        <w:tab/>
        <w:t xml:space="preserve">Показатели смертности в результате болезней, предотвращаемых с помощью вакцинации, с ежегодными периодическими колебаниями не претерпели значительных изменений по сравнению с абсолютными величинами, отмеченными в 1992 году, за исключением кори и столбняка.  В том году корь стала причиной смерти 13 детей в возрасте до 10 лет.  В 1993 году она стала причиной смерти 80 детей, а в 1994 году - 4 детей.  С 1999 года случаев этого заболевания не отмечалось.  </w:t>
      </w:r>
    </w:p>
    <w:p w:rsidR="00000000" w:rsidRDefault="00000000"/>
    <w:p w:rsidR="00000000" w:rsidRDefault="00000000">
      <w:r>
        <w:t>20.</w:t>
      </w:r>
      <w:r>
        <w:tab/>
        <w:t>Показатели смертности, вызванной неонатальным столбняком, оставались на уровне 10 смертей в пятилетний период 1995-1999 годов и ниже этого уровня, начиная с 2000 года.  В 2002 году было отмечено 50 случаев заболевания дифтерией (в 45 из них речь шла о детях до 15 лет), в результате чего умерло 7 детей.</w:t>
      </w:r>
    </w:p>
    <w:p w:rsidR="00000000" w:rsidRDefault="00000000"/>
    <w:p w:rsidR="00000000" w:rsidRDefault="00000000">
      <w:r>
        <w:t>21.</w:t>
      </w:r>
      <w:r>
        <w:tab/>
        <w:t>Случаи смерти в результате болезней, предотвращаемых с помощью вакцинации (за исключением кори и полиомиелита), которые эпизодически вспыхивают как эпидемии и сокращение которых было значительным, свидетельствует о тех трудностях, которые возникают в борьбе с этими заболеваниями.  В последнее десятилетие случаев заболевания полиомиелитом не было.</w:t>
      </w:r>
    </w:p>
    <w:p w:rsidR="00000000" w:rsidRDefault="00000000"/>
    <w:p w:rsidR="00000000" w:rsidRDefault="00000000">
      <w:pPr>
        <w:rPr>
          <w:b/>
          <w:bCs/>
        </w:rPr>
      </w:pPr>
      <w:r>
        <w:rPr>
          <w:b/>
          <w:bCs/>
        </w:rPr>
        <w:t>Смертность в результате заболеваний, предотвращаемых с помощью вакцинации, у детей в возрасте до 10 лет, Парагвай, 1992-2002 годы</w:t>
      </w:r>
    </w:p>
    <w:p w:rsidR="00000000" w:rsidRDefault="00000000">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096"/>
        <w:gridCol w:w="1078"/>
        <w:gridCol w:w="1079"/>
        <w:gridCol w:w="1079"/>
        <w:gridCol w:w="1079"/>
      </w:tblGrid>
      <w:tr w:rsidR="00000000">
        <w:tblPrEx>
          <w:tblCellMar>
            <w:top w:w="0" w:type="dxa"/>
            <w:bottom w:w="0" w:type="dxa"/>
          </w:tblCellMar>
        </w:tblPrEx>
        <w:trPr>
          <w:cantSplit/>
        </w:trPr>
        <w:tc>
          <w:tcPr>
            <w:tcW w:w="5096" w:type="dxa"/>
          </w:tcPr>
          <w:p w:rsidR="00000000" w:rsidRDefault="00000000">
            <w:pPr>
              <w:jc w:val="center"/>
              <w:rPr>
                <w:b/>
                <w:bCs/>
                <w:sz w:val="22"/>
                <w:szCs w:val="16"/>
              </w:rPr>
            </w:pPr>
            <w:r>
              <w:rPr>
                <w:b/>
                <w:bCs/>
                <w:sz w:val="22"/>
                <w:szCs w:val="16"/>
              </w:rPr>
              <w:t>ПРИЧИНЫ</w:t>
            </w:r>
          </w:p>
        </w:tc>
        <w:tc>
          <w:tcPr>
            <w:tcW w:w="1078" w:type="dxa"/>
          </w:tcPr>
          <w:p w:rsidR="00000000" w:rsidRDefault="00000000">
            <w:pPr>
              <w:jc w:val="center"/>
              <w:rPr>
                <w:b/>
                <w:bCs/>
                <w:sz w:val="22"/>
                <w:szCs w:val="16"/>
              </w:rPr>
            </w:pPr>
            <w:r>
              <w:rPr>
                <w:b/>
                <w:bCs/>
                <w:sz w:val="22"/>
                <w:szCs w:val="16"/>
              </w:rPr>
              <w:t>1999 год</w:t>
            </w:r>
          </w:p>
        </w:tc>
        <w:tc>
          <w:tcPr>
            <w:tcW w:w="1079" w:type="dxa"/>
          </w:tcPr>
          <w:p w:rsidR="00000000" w:rsidRDefault="00000000">
            <w:pPr>
              <w:jc w:val="center"/>
              <w:rPr>
                <w:b/>
                <w:bCs/>
                <w:sz w:val="22"/>
                <w:szCs w:val="16"/>
              </w:rPr>
            </w:pPr>
            <w:r>
              <w:rPr>
                <w:b/>
                <w:bCs/>
                <w:sz w:val="22"/>
                <w:szCs w:val="16"/>
              </w:rPr>
              <w:t>2000 год</w:t>
            </w:r>
          </w:p>
        </w:tc>
        <w:tc>
          <w:tcPr>
            <w:tcW w:w="1079" w:type="dxa"/>
          </w:tcPr>
          <w:p w:rsidR="00000000" w:rsidRDefault="00000000">
            <w:pPr>
              <w:jc w:val="center"/>
              <w:rPr>
                <w:b/>
                <w:bCs/>
                <w:sz w:val="22"/>
                <w:szCs w:val="16"/>
              </w:rPr>
            </w:pPr>
            <w:r>
              <w:rPr>
                <w:b/>
                <w:bCs/>
                <w:sz w:val="22"/>
                <w:szCs w:val="16"/>
              </w:rPr>
              <w:t>2001 год</w:t>
            </w:r>
          </w:p>
        </w:tc>
        <w:tc>
          <w:tcPr>
            <w:tcW w:w="1079" w:type="dxa"/>
          </w:tcPr>
          <w:p w:rsidR="00000000" w:rsidRDefault="00000000">
            <w:pPr>
              <w:jc w:val="center"/>
              <w:rPr>
                <w:b/>
                <w:bCs/>
                <w:sz w:val="22"/>
                <w:szCs w:val="16"/>
              </w:rPr>
            </w:pPr>
            <w:r>
              <w:rPr>
                <w:b/>
                <w:bCs/>
                <w:sz w:val="22"/>
                <w:szCs w:val="16"/>
              </w:rPr>
              <w:t>2002 год</w:t>
            </w:r>
          </w:p>
        </w:tc>
      </w:tr>
      <w:tr w:rsidR="00000000">
        <w:tblPrEx>
          <w:tblCellMar>
            <w:top w:w="0" w:type="dxa"/>
            <w:bottom w:w="0" w:type="dxa"/>
          </w:tblCellMar>
        </w:tblPrEx>
        <w:trPr>
          <w:cantSplit/>
        </w:trPr>
        <w:tc>
          <w:tcPr>
            <w:tcW w:w="5096" w:type="dxa"/>
          </w:tcPr>
          <w:p w:rsidR="00000000" w:rsidRDefault="00000000">
            <w:pPr>
              <w:rPr>
                <w:sz w:val="22"/>
                <w:szCs w:val="16"/>
              </w:rPr>
            </w:pPr>
            <w:r>
              <w:rPr>
                <w:sz w:val="22"/>
                <w:szCs w:val="16"/>
              </w:rPr>
              <w:t>Полиомиелит</w:t>
            </w:r>
          </w:p>
        </w:tc>
        <w:tc>
          <w:tcPr>
            <w:tcW w:w="1078" w:type="dxa"/>
          </w:tcPr>
          <w:p w:rsidR="00000000" w:rsidRDefault="00000000">
            <w:pPr>
              <w:tabs>
                <w:tab w:val="clear" w:pos="1134"/>
              </w:tabs>
              <w:jc w:val="center"/>
              <w:rPr>
                <w:sz w:val="22"/>
                <w:szCs w:val="16"/>
              </w:rPr>
            </w:pPr>
            <w:r>
              <w:rPr>
                <w:sz w:val="22"/>
                <w:szCs w:val="16"/>
              </w:rPr>
              <w:t>0</w:t>
            </w:r>
          </w:p>
        </w:tc>
        <w:tc>
          <w:tcPr>
            <w:tcW w:w="1079" w:type="dxa"/>
          </w:tcPr>
          <w:p w:rsidR="00000000" w:rsidRDefault="00000000">
            <w:pPr>
              <w:tabs>
                <w:tab w:val="clear" w:pos="1134"/>
              </w:tabs>
              <w:jc w:val="center"/>
              <w:rPr>
                <w:sz w:val="22"/>
                <w:szCs w:val="16"/>
              </w:rPr>
            </w:pPr>
            <w:r>
              <w:rPr>
                <w:sz w:val="22"/>
                <w:szCs w:val="16"/>
              </w:rPr>
              <w:t>0</w:t>
            </w:r>
          </w:p>
        </w:tc>
        <w:tc>
          <w:tcPr>
            <w:tcW w:w="1079" w:type="dxa"/>
          </w:tcPr>
          <w:p w:rsidR="00000000" w:rsidRDefault="00000000">
            <w:pPr>
              <w:tabs>
                <w:tab w:val="clear" w:pos="1134"/>
              </w:tabs>
              <w:jc w:val="center"/>
              <w:rPr>
                <w:sz w:val="22"/>
                <w:szCs w:val="16"/>
              </w:rPr>
            </w:pPr>
            <w:r>
              <w:rPr>
                <w:sz w:val="22"/>
                <w:szCs w:val="16"/>
              </w:rPr>
              <w:t>0</w:t>
            </w:r>
          </w:p>
        </w:tc>
        <w:tc>
          <w:tcPr>
            <w:tcW w:w="1079" w:type="dxa"/>
          </w:tcPr>
          <w:p w:rsidR="00000000" w:rsidRDefault="00000000">
            <w:pPr>
              <w:tabs>
                <w:tab w:val="clear" w:pos="1134"/>
              </w:tabs>
              <w:jc w:val="center"/>
              <w:rPr>
                <w:sz w:val="22"/>
                <w:szCs w:val="16"/>
              </w:rPr>
            </w:pPr>
            <w:r>
              <w:rPr>
                <w:sz w:val="22"/>
                <w:szCs w:val="16"/>
              </w:rPr>
              <w:t>0</w:t>
            </w:r>
          </w:p>
        </w:tc>
      </w:tr>
      <w:tr w:rsidR="00000000">
        <w:tblPrEx>
          <w:tblCellMar>
            <w:top w:w="0" w:type="dxa"/>
            <w:bottom w:w="0" w:type="dxa"/>
          </w:tblCellMar>
        </w:tblPrEx>
        <w:trPr>
          <w:cantSplit/>
        </w:trPr>
        <w:tc>
          <w:tcPr>
            <w:tcW w:w="5096" w:type="dxa"/>
          </w:tcPr>
          <w:p w:rsidR="00000000" w:rsidRDefault="00000000">
            <w:pPr>
              <w:rPr>
                <w:sz w:val="22"/>
                <w:szCs w:val="16"/>
              </w:rPr>
            </w:pPr>
            <w:r>
              <w:rPr>
                <w:sz w:val="22"/>
                <w:szCs w:val="16"/>
              </w:rPr>
              <w:t>Корь</w:t>
            </w:r>
          </w:p>
        </w:tc>
        <w:tc>
          <w:tcPr>
            <w:tcW w:w="1078" w:type="dxa"/>
          </w:tcPr>
          <w:p w:rsidR="00000000" w:rsidRDefault="00000000">
            <w:pPr>
              <w:tabs>
                <w:tab w:val="clear" w:pos="1134"/>
              </w:tabs>
              <w:jc w:val="center"/>
              <w:rPr>
                <w:sz w:val="22"/>
                <w:szCs w:val="16"/>
              </w:rPr>
            </w:pPr>
            <w:r>
              <w:rPr>
                <w:sz w:val="22"/>
                <w:szCs w:val="16"/>
              </w:rPr>
              <w:t>0</w:t>
            </w:r>
          </w:p>
        </w:tc>
        <w:tc>
          <w:tcPr>
            <w:tcW w:w="1079" w:type="dxa"/>
          </w:tcPr>
          <w:p w:rsidR="00000000" w:rsidRDefault="00000000">
            <w:pPr>
              <w:tabs>
                <w:tab w:val="clear" w:pos="1134"/>
              </w:tabs>
              <w:jc w:val="center"/>
              <w:rPr>
                <w:sz w:val="22"/>
                <w:szCs w:val="16"/>
              </w:rPr>
            </w:pPr>
            <w:r>
              <w:rPr>
                <w:sz w:val="22"/>
                <w:szCs w:val="16"/>
              </w:rPr>
              <w:t>0</w:t>
            </w:r>
          </w:p>
        </w:tc>
        <w:tc>
          <w:tcPr>
            <w:tcW w:w="1079" w:type="dxa"/>
          </w:tcPr>
          <w:p w:rsidR="00000000" w:rsidRDefault="00000000">
            <w:pPr>
              <w:tabs>
                <w:tab w:val="clear" w:pos="1134"/>
              </w:tabs>
              <w:jc w:val="center"/>
              <w:rPr>
                <w:sz w:val="22"/>
                <w:szCs w:val="16"/>
              </w:rPr>
            </w:pPr>
            <w:r>
              <w:rPr>
                <w:sz w:val="22"/>
                <w:szCs w:val="16"/>
              </w:rPr>
              <w:t>0</w:t>
            </w:r>
          </w:p>
        </w:tc>
        <w:tc>
          <w:tcPr>
            <w:tcW w:w="1079" w:type="dxa"/>
          </w:tcPr>
          <w:p w:rsidR="00000000" w:rsidRDefault="00000000">
            <w:pPr>
              <w:tabs>
                <w:tab w:val="clear" w:pos="1134"/>
              </w:tabs>
              <w:jc w:val="center"/>
              <w:rPr>
                <w:sz w:val="22"/>
                <w:szCs w:val="16"/>
              </w:rPr>
            </w:pPr>
            <w:r>
              <w:rPr>
                <w:sz w:val="22"/>
                <w:szCs w:val="16"/>
              </w:rPr>
              <w:t>0</w:t>
            </w:r>
          </w:p>
        </w:tc>
      </w:tr>
      <w:tr w:rsidR="00000000">
        <w:tblPrEx>
          <w:tblCellMar>
            <w:top w:w="0" w:type="dxa"/>
            <w:bottom w:w="0" w:type="dxa"/>
          </w:tblCellMar>
        </w:tblPrEx>
        <w:trPr>
          <w:cantSplit/>
        </w:trPr>
        <w:tc>
          <w:tcPr>
            <w:tcW w:w="5096" w:type="dxa"/>
          </w:tcPr>
          <w:p w:rsidR="00000000" w:rsidRDefault="00000000">
            <w:pPr>
              <w:rPr>
                <w:sz w:val="22"/>
                <w:szCs w:val="16"/>
              </w:rPr>
            </w:pPr>
            <w:r>
              <w:rPr>
                <w:sz w:val="22"/>
                <w:szCs w:val="16"/>
              </w:rPr>
              <w:t>Неонатальный столбняк</w:t>
            </w:r>
          </w:p>
        </w:tc>
        <w:tc>
          <w:tcPr>
            <w:tcW w:w="1078" w:type="dxa"/>
          </w:tcPr>
          <w:p w:rsidR="00000000" w:rsidRDefault="00000000">
            <w:pPr>
              <w:tabs>
                <w:tab w:val="clear" w:pos="1134"/>
              </w:tabs>
              <w:jc w:val="center"/>
              <w:rPr>
                <w:sz w:val="22"/>
                <w:szCs w:val="16"/>
              </w:rPr>
            </w:pPr>
            <w:r>
              <w:rPr>
                <w:sz w:val="22"/>
                <w:szCs w:val="16"/>
              </w:rPr>
              <w:t>7</w:t>
            </w:r>
          </w:p>
        </w:tc>
        <w:tc>
          <w:tcPr>
            <w:tcW w:w="1079" w:type="dxa"/>
          </w:tcPr>
          <w:p w:rsidR="00000000" w:rsidRDefault="00000000">
            <w:pPr>
              <w:tabs>
                <w:tab w:val="clear" w:pos="1134"/>
              </w:tabs>
              <w:jc w:val="center"/>
              <w:rPr>
                <w:sz w:val="22"/>
                <w:szCs w:val="16"/>
              </w:rPr>
            </w:pPr>
            <w:r>
              <w:rPr>
                <w:sz w:val="22"/>
                <w:szCs w:val="16"/>
              </w:rPr>
              <w:t>4</w:t>
            </w:r>
          </w:p>
        </w:tc>
        <w:tc>
          <w:tcPr>
            <w:tcW w:w="1079" w:type="dxa"/>
          </w:tcPr>
          <w:p w:rsidR="00000000" w:rsidRDefault="00000000">
            <w:pPr>
              <w:tabs>
                <w:tab w:val="clear" w:pos="1134"/>
              </w:tabs>
              <w:jc w:val="center"/>
              <w:rPr>
                <w:sz w:val="22"/>
                <w:szCs w:val="16"/>
              </w:rPr>
            </w:pPr>
            <w:r>
              <w:rPr>
                <w:sz w:val="22"/>
                <w:szCs w:val="16"/>
              </w:rPr>
              <w:t>7</w:t>
            </w:r>
          </w:p>
        </w:tc>
        <w:tc>
          <w:tcPr>
            <w:tcW w:w="1079" w:type="dxa"/>
          </w:tcPr>
          <w:p w:rsidR="00000000" w:rsidRDefault="00000000">
            <w:pPr>
              <w:tabs>
                <w:tab w:val="clear" w:pos="1134"/>
              </w:tabs>
              <w:jc w:val="center"/>
              <w:rPr>
                <w:sz w:val="22"/>
                <w:szCs w:val="16"/>
              </w:rPr>
            </w:pPr>
            <w:r>
              <w:rPr>
                <w:sz w:val="22"/>
                <w:szCs w:val="16"/>
              </w:rPr>
              <w:t>3</w:t>
            </w:r>
          </w:p>
        </w:tc>
      </w:tr>
      <w:tr w:rsidR="00000000">
        <w:tblPrEx>
          <w:tblCellMar>
            <w:top w:w="0" w:type="dxa"/>
            <w:bottom w:w="0" w:type="dxa"/>
          </w:tblCellMar>
        </w:tblPrEx>
        <w:trPr>
          <w:cantSplit/>
        </w:trPr>
        <w:tc>
          <w:tcPr>
            <w:tcW w:w="5096" w:type="dxa"/>
          </w:tcPr>
          <w:p w:rsidR="00000000" w:rsidRDefault="00000000">
            <w:pPr>
              <w:rPr>
                <w:sz w:val="22"/>
                <w:szCs w:val="16"/>
              </w:rPr>
            </w:pPr>
            <w:r>
              <w:rPr>
                <w:sz w:val="22"/>
                <w:szCs w:val="16"/>
              </w:rPr>
              <w:t>Столбняк в другом возрасте</w:t>
            </w:r>
          </w:p>
        </w:tc>
        <w:tc>
          <w:tcPr>
            <w:tcW w:w="1078" w:type="dxa"/>
          </w:tcPr>
          <w:p w:rsidR="00000000" w:rsidRDefault="00000000">
            <w:pPr>
              <w:tabs>
                <w:tab w:val="clear" w:pos="1134"/>
              </w:tabs>
              <w:jc w:val="center"/>
              <w:rPr>
                <w:sz w:val="22"/>
                <w:szCs w:val="16"/>
              </w:rPr>
            </w:pPr>
            <w:r>
              <w:rPr>
                <w:sz w:val="22"/>
                <w:szCs w:val="16"/>
              </w:rPr>
              <w:t>7</w:t>
            </w:r>
          </w:p>
        </w:tc>
        <w:tc>
          <w:tcPr>
            <w:tcW w:w="1079" w:type="dxa"/>
          </w:tcPr>
          <w:p w:rsidR="00000000" w:rsidRDefault="00000000">
            <w:pPr>
              <w:tabs>
                <w:tab w:val="clear" w:pos="1134"/>
              </w:tabs>
              <w:jc w:val="center"/>
              <w:rPr>
                <w:sz w:val="22"/>
                <w:szCs w:val="16"/>
              </w:rPr>
            </w:pPr>
            <w:r>
              <w:rPr>
                <w:sz w:val="22"/>
                <w:szCs w:val="16"/>
              </w:rPr>
              <w:t>2</w:t>
            </w:r>
          </w:p>
        </w:tc>
        <w:tc>
          <w:tcPr>
            <w:tcW w:w="1079" w:type="dxa"/>
          </w:tcPr>
          <w:p w:rsidR="00000000" w:rsidRDefault="00000000">
            <w:pPr>
              <w:tabs>
                <w:tab w:val="clear" w:pos="1134"/>
              </w:tabs>
              <w:jc w:val="center"/>
              <w:rPr>
                <w:sz w:val="22"/>
                <w:szCs w:val="16"/>
              </w:rPr>
            </w:pPr>
            <w:r>
              <w:rPr>
                <w:sz w:val="22"/>
                <w:szCs w:val="16"/>
              </w:rPr>
              <w:t>2</w:t>
            </w:r>
          </w:p>
        </w:tc>
        <w:tc>
          <w:tcPr>
            <w:tcW w:w="1079" w:type="dxa"/>
          </w:tcPr>
          <w:p w:rsidR="00000000" w:rsidRDefault="00000000">
            <w:pPr>
              <w:tabs>
                <w:tab w:val="clear" w:pos="1134"/>
              </w:tabs>
              <w:jc w:val="center"/>
              <w:rPr>
                <w:sz w:val="22"/>
                <w:szCs w:val="16"/>
              </w:rPr>
            </w:pPr>
            <w:r>
              <w:rPr>
                <w:sz w:val="22"/>
                <w:szCs w:val="16"/>
              </w:rPr>
              <w:t>1</w:t>
            </w:r>
          </w:p>
        </w:tc>
      </w:tr>
      <w:tr w:rsidR="00000000">
        <w:tblPrEx>
          <w:tblCellMar>
            <w:top w:w="0" w:type="dxa"/>
            <w:bottom w:w="0" w:type="dxa"/>
          </w:tblCellMar>
        </w:tblPrEx>
        <w:trPr>
          <w:cantSplit/>
        </w:trPr>
        <w:tc>
          <w:tcPr>
            <w:tcW w:w="5096" w:type="dxa"/>
          </w:tcPr>
          <w:p w:rsidR="00000000" w:rsidRDefault="00000000">
            <w:pPr>
              <w:rPr>
                <w:sz w:val="22"/>
                <w:szCs w:val="16"/>
              </w:rPr>
            </w:pPr>
            <w:r>
              <w:rPr>
                <w:sz w:val="22"/>
                <w:szCs w:val="16"/>
              </w:rPr>
              <w:t>Дифтерия</w:t>
            </w:r>
          </w:p>
        </w:tc>
        <w:tc>
          <w:tcPr>
            <w:tcW w:w="1078" w:type="dxa"/>
          </w:tcPr>
          <w:p w:rsidR="00000000" w:rsidRDefault="00000000">
            <w:pPr>
              <w:tabs>
                <w:tab w:val="clear" w:pos="1134"/>
              </w:tabs>
              <w:jc w:val="center"/>
              <w:rPr>
                <w:sz w:val="22"/>
                <w:szCs w:val="16"/>
              </w:rPr>
            </w:pPr>
            <w:r>
              <w:rPr>
                <w:sz w:val="22"/>
                <w:szCs w:val="16"/>
              </w:rPr>
              <w:t>0</w:t>
            </w:r>
          </w:p>
        </w:tc>
        <w:tc>
          <w:tcPr>
            <w:tcW w:w="1079" w:type="dxa"/>
          </w:tcPr>
          <w:p w:rsidR="00000000" w:rsidRDefault="00000000">
            <w:pPr>
              <w:tabs>
                <w:tab w:val="clear" w:pos="1134"/>
              </w:tabs>
              <w:jc w:val="center"/>
              <w:rPr>
                <w:sz w:val="22"/>
                <w:szCs w:val="16"/>
              </w:rPr>
            </w:pPr>
            <w:r>
              <w:rPr>
                <w:sz w:val="22"/>
                <w:szCs w:val="16"/>
              </w:rPr>
              <w:t>0</w:t>
            </w:r>
          </w:p>
        </w:tc>
        <w:tc>
          <w:tcPr>
            <w:tcW w:w="1079" w:type="dxa"/>
          </w:tcPr>
          <w:p w:rsidR="00000000" w:rsidRDefault="00000000">
            <w:pPr>
              <w:tabs>
                <w:tab w:val="clear" w:pos="1134"/>
              </w:tabs>
              <w:jc w:val="center"/>
              <w:rPr>
                <w:sz w:val="22"/>
                <w:szCs w:val="16"/>
              </w:rPr>
            </w:pPr>
            <w:r>
              <w:rPr>
                <w:sz w:val="22"/>
                <w:szCs w:val="16"/>
              </w:rPr>
              <w:t>0</w:t>
            </w:r>
          </w:p>
        </w:tc>
        <w:tc>
          <w:tcPr>
            <w:tcW w:w="1079" w:type="dxa"/>
          </w:tcPr>
          <w:p w:rsidR="00000000" w:rsidRDefault="00000000">
            <w:pPr>
              <w:tabs>
                <w:tab w:val="clear" w:pos="1134"/>
              </w:tabs>
              <w:jc w:val="center"/>
              <w:rPr>
                <w:sz w:val="22"/>
                <w:szCs w:val="16"/>
              </w:rPr>
            </w:pPr>
            <w:r>
              <w:rPr>
                <w:sz w:val="22"/>
                <w:szCs w:val="16"/>
              </w:rPr>
              <w:t>7</w:t>
            </w:r>
          </w:p>
        </w:tc>
      </w:tr>
      <w:tr w:rsidR="00000000">
        <w:tblPrEx>
          <w:tblCellMar>
            <w:top w:w="0" w:type="dxa"/>
            <w:bottom w:w="0" w:type="dxa"/>
          </w:tblCellMar>
        </w:tblPrEx>
        <w:trPr>
          <w:cantSplit/>
        </w:trPr>
        <w:tc>
          <w:tcPr>
            <w:tcW w:w="5096" w:type="dxa"/>
          </w:tcPr>
          <w:p w:rsidR="00000000" w:rsidRDefault="00000000">
            <w:pPr>
              <w:rPr>
                <w:sz w:val="22"/>
                <w:szCs w:val="16"/>
              </w:rPr>
            </w:pPr>
            <w:r>
              <w:rPr>
                <w:sz w:val="22"/>
                <w:szCs w:val="16"/>
              </w:rPr>
              <w:t xml:space="preserve">Коклюш, вызванный бактерией </w:t>
            </w:r>
            <w:r>
              <w:rPr>
                <w:sz w:val="22"/>
                <w:szCs w:val="16"/>
                <w:lang w:val="en-US"/>
              </w:rPr>
              <w:t>bordetella</w:t>
            </w:r>
          </w:p>
        </w:tc>
        <w:tc>
          <w:tcPr>
            <w:tcW w:w="1078" w:type="dxa"/>
          </w:tcPr>
          <w:p w:rsidR="00000000" w:rsidRDefault="00000000">
            <w:pPr>
              <w:tabs>
                <w:tab w:val="clear" w:pos="1134"/>
              </w:tabs>
              <w:jc w:val="center"/>
              <w:rPr>
                <w:sz w:val="22"/>
                <w:szCs w:val="16"/>
              </w:rPr>
            </w:pPr>
            <w:r>
              <w:rPr>
                <w:sz w:val="22"/>
                <w:szCs w:val="16"/>
              </w:rPr>
              <w:t>2</w:t>
            </w:r>
          </w:p>
        </w:tc>
        <w:tc>
          <w:tcPr>
            <w:tcW w:w="1079" w:type="dxa"/>
          </w:tcPr>
          <w:p w:rsidR="00000000" w:rsidRDefault="00000000">
            <w:pPr>
              <w:tabs>
                <w:tab w:val="clear" w:pos="1134"/>
              </w:tabs>
              <w:jc w:val="center"/>
              <w:rPr>
                <w:sz w:val="22"/>
                <w:szCs w:val="16"/>
              </w:rPr>
            </w:pPr>
            <w:r>
              <w:rPr>
                <w:sz w:val="22"/>
                <w:szCs w:val="16"/>
              </w:rPr>
              <w:t>-</w:t>
            </w:r>
          </w:p>
        </w:tc>
        <w:tc>
          <w:tcPr>
            <w:tcW w:w="1079" w:type="dxa"/>
          </w:tcPr>
          <w:p w:rsidR="00000000" w:rsidRDefault="00000000">
            <w:pPr>
              <w:tabs>
                <w:tab w:val="clear" w:pos="1134"/>
              </w:tabs>
              <w:jc w:val="center"/>
              <w:rPr>
                <w:sz w:val="22"/>
                <w:szCs w:val="16"/>
              </w:rPr>
            </w:pPr>
            <w:r>
              <w:rPr>
                <w:sz w:val="22"/>
                <w:szCs w:val="16"/>
              </w:rPr>
              <w:t>-</w:t>
            </w:r>
          </w:p>
        </w:tc>
        <w:tc>
          <w:tcPr>
            <w:tcW w:w="1079" w:type="dxa"/>
          </w:tcPr>
          <w:p w:rsidR="00000000" w:rsidRDefault="00000000">
            <w:pPr>
              <w:tabs>
                <w:tab w:val="clear" w:pos="1134"/>
              </w:tabs>
              <w:jc w:val="center"/>
              <w:rPr>
                <w:sz w:val="22"/>
                <w:szCs w:val="16"/>
              </w:rPr>
            </w:pPr>
            <w:r>
              <w:rPr>
                <w:sz w:val="22"/>
                <w:szCs w:val="16"/>
              </w:rPr>
              <w:t>-</w:t>
            </w:r>
          </w:p>
        </w:tc>
      </w:tr>
      <w:tr w:rsidR="00000000">
        <w:tblPrEx>
          <w:tblCellMar>
            <w:top w:w="0" w:type="dxa"/>
            <w:bottom w:w="0" w:type="dxa"/>
          </w:tblCellMar>
        </w:tblPrEx>
        <w:trPr>
          <w:cantSplit/>
        </w:trPr>
        <w:tc>
          <w:tcPr>
            <w:tcW w:w="5096" w:type="dxa"/>
          </w:tcPr>
          <w:p w:rsidR="00000000" w:rsidRDefault="00000000">
            <w:pPr>
              <w:rPr>
                <w:sz w:val="22"/>
                <w:szCs w:val="16"/>
              </w:rPr>
            </w:pPr>
            <w:r>
              <w:rPr>
                <w:sz w:val="22"/>
                <w:szCs w:val="16"/>
              </w:rPr>
              <w:t>Коклюш, не связанный с конкретным возбудителем</w:t>
            </w:r>
          </w:p>
        </w:tc>
        <w:tc>
          <w:tcPr>
            <w:tcW w:w="1078" w:type="dxa"/>
          </w:tcPr>
          <w:p w:rsidR="00000000" w:rsidRDefault="00000000">
            <w:pPr>
              <w:tabs>
                <w:tab w:val="clear" w:pos="1134"/>
              </w:tabs>
              <w:jc w:val="center"/>
              <w:rPr>
                <w:sz w:val="22"/>
                <w:szCs w:val="16"/>
                <w:lang w:val="fr-FR"/>
              </w:rPr>
            </w:pPr>
            <w:r>
              <w:rPr>
                <w:sz w:val="22"/>
                <w:szCs w:val="16"/>
                <w:lang w:val="fr-FR"/>
              </w:rPr>
              <w:t>39</w:t>
            </w:r>
          </w:p>
        </w:tc>
        <w:tc>
          <w:tcPr>
            <w:tcW w:w="1079" w:type="dxa"/>
          </w:tcPr>
          <w:p w:rsidR="00000000" w:rsidRDefault="00000000">
            <w:pPr>
              <w:tabs>
                <w:tab w:val="clear" w:pos="1134"/>
              </w:tabs>
              <w:jc w:val="center"/>
              <w:rPr>
                <w:sz w:val="22"/>
                <w:szCs w:val="16"/>
                <w:lang w:val="fr-FR"/>
              </w:rPr>
            </w:pPr>
            <w:r>
              <w:rPr>
                <w:sz w:val="22"/>
                <w:szCs w:val="16"/>
                <w:lang w:val="fr-FR"/>
              </w:rPr>
              <w:t>1</w:t>
            </w:r>
          </w:p>
        </w:tc>
        <w:tc>
          <w:tcPr>
            <w:tcW w:w="1079" w:type="dxa"/>
          </w:tcPr>
          <w:p w:rsidR="00000000" w:rsidRDefault="00000000">
            <w:pPr>
              <w:tabs>
                <w:tab w:val="clear" w:pos="1134"/>
              </w:tabs>
              <w:jc w:val="center"/>
              <w:rPr>
                <w:sz w:val="22"/>
                <w:szCs w:val="16"/>
                <w:lang w:val="fr-FR"/>
              </w:rPr>
            </w:pPr>
            <w:r>
              <w:rPr>
                <w:sz w:val="22"/>
                <w:szCs w:val="16"/>
                <w:lang w:val="fr-FR"/>
              </w:rPr>
              <w:t>2</w:t>
            </w:r>
          </w:p>
        </w:tc>
        <w:tc>
          <w:tcPr>
            <w:tcW w:w="1079" w:type="dxa"/>
          </w:tcPr>
          <w:p w:rsidR="00000000" w:rsidRDefault="00000000">
            <w:pPr>
              <w:tabs>
                <w:tab w:val="clear" w:pos="1134"/>
              </w:tabs>
              <w:jc w:val="center"/>
              <w:rPr>
                <w:sz w:val="22"/>
                <w:szCs w:val="16"/>
                <w:lang w:val="fr-FR"/>
              </w:rPr>
            </w:pPr>
            <w:r>
              <w:rPr>
                <w:sz w:val="22"/>
                <w:szCs w:val="16"/>
                <w:lang w:val="fr-FR"/>
              </w:rPr>
              <w:t>2</w:t>
            </w:r>
          </w:p>
        </w:tc>
      </w:tr>
      <w:tr w:rsidR="00000000">
        <w:tblPrEx>
          <w:tblCellMar>
            <w:top w:w="0" w:type="dxa"/>
            <w:bottom w:w="0" w:type="dxa"/>
          </w:tblCellMar>
        </w:tblPrEx>
        <w:trPr>
          <w:cantSplit/>
        </w:trPr>
        <w:tc>
          <w:tcPr>
            <w:tcW w:w="5096" w:type="dxa"/>
          </w:tcPr>
          <w:p w:rsidR="00000000" w:rsidRDefault="00000000">
            <w:pPr>
              <w:rPr>
                <w:b/>
                <w:bCs/>
                <w:sz w:val="22"/>
                <w:szCs w:val="16"/>
                <w:lang w:val="fr-FR"/>
              </w:rPr>
            </w:pPr>
            <w:r>
              <w:rPr>
                <w:b/>
                <w:bCs/>
                <w:sz w:val="22"/>
                <w:szCs w:val="16"/>
              </w:rPr>
              <w:t>Итого</w:t>
            </w:r>
          </w:p>
        </w:tc>
        <w:tc>
          <w:tcPr>
            <w:tcW w:w="1078" w:type="dxa"/>
          </w:tcPr>
          <w:p w:rsidR="00000000" w:rsidRDefault="00000000">
            <w:pPr>
              <w:tabs>
                <w:tab w:val="clear" w:pos="1134"/>
              </w:tabs>
              <w:jc w:val="center"/>
              <w:rPr>
                <w:b/>
                <w:bCs/>
                <w:sz w:val="22"/>
                <w:szCs w:val="16"/>
                <w:lang w:val="fr-FR"/>
              </w:rPr>
            </w:pPr>
            <w:r>
              <w:rPr>
                <w:b/>
                <w:bCs/>
                <w:sz w:val="22"/>
                <w:szCs w:val="16"/>
                <w:lang w:val="fr-FR"/>
              </w:rPr>
              <w:t>55</w:t>
            </w:r>
          </w:p>
        </w:tc>
        <w:tc>
          <w:tcPr>
            <w:tcW w:w="1079" w:type="dxa"/>
          </w:tcPr>
          <w:p w:rsidR="00000000" w:rsidRDefault="00000000">
            <w:pPr>
              <w:tabs>
                <w:tab w:val="clear" w:pos="1134"/>
              </w:tabs>
              <w:jc w:val="center"/>
              <w:rPr>
                <w:b/>
                <w:bCs/>
                <w:sz w:val="22"/>
                <w:szCs w:val="16"/>
                <w:lang w:val="fr-FR"/>
              </w:rPr>
            </w:pPr>
            <w:r>
              <w:rPr>
                <w:b/>
                <w:bCs/>
                <w:sz w:val="22"/>
                <w:szCs w:val="16"/>
                <w:lang w:val="fr-FR"/>
              </w:rPr>
              <w:t>7</w:t>
            </w:r>
          </w:p>
        </w:tc>
        <w:tc>
          <w:tcPr>
            <w:tcW w:w="1079" w:type="dxa"/>
          </w:tcPr>
          <w:p w:rsidR="00000000" w:rsidRDefault="00000000">
            <w:pPr>
              <w:tabs>
                <w:tab w:val="clear" w:pos="1134"/>
              </w:tabs>
              <w:jc w:val="center"/>
              <w:rPr>
                <w:b/>
                <w:bCs/>
                <w:sz w:val="22"/>
                <w:szCs w:val="16"/>
                <w:lang w:val="fr-FR"/>
              </w:rPr>
            </w:pPr>
            <w:r>
              <w:rPr>
                <w:b/>
                <w:bCs/>
                <w:sz w:val="22"/>
                <w:szCs w:val="16"/>
                <w:lang w:val="fr-FR"/>
              </w:rPr>
              <w:t>11</w:t>
            </w:r>
          </w:p>
        </w:tc>
        <w:tc>
          <w:tcPr>
            <w:tcW w:w="1079" w:type="dxa"/>
          </w:tcPr>
          <w:p w:rsidR="00000000" w:rsidRDefault="00000000">
            <w:pPr>
              <w:tabs>
                <w:tab w:val="clear" w:pos="1134"/>
              </w:tabs>
              <w:jc w:val="center"/>
              <w:rPr>
                <w:b/>
                <w:bCs/>
                <w:sz w:val="22"/>
                <w:szCs w:val="16"/>
                <w:lang w:val="fr-FR"/>
              </w:rPr>
            </w:pPr>
            <w:r>
              <w:rPr>
                <w:b/>
                <w:bCs/>
                <w:sz w:val="22"/>
                <w:szCs w:val="16"/>
                <w:lang w:val="fr-FR"/>
              </w:rPr>
              <w:t>13</w:t>
            </w:r>
          </w:p>
        </w:tc>
      </w:tr>
    </w:tbl>
    <w:p w:rsidR="00000000" w:rsidRDefault="00000000">
      <w:pPr>
        <w:spacing w:line="216" w:lineRule="auto"/>
        <w:rPr>
          <w:sz w:val="16"/>
          <w:szCs w:val="16"/>
          <w:lang w:val="en-US"/>
        </w:rPr>
      </w:pPr>
    </w:p>
    <w:p w:rsidR="00000000" w:rsidRDefault="00000000">
      <w:pPr>
        <w:rPr>
          <w:sz w:val="22"/>
          <w:szCs w:val="16"/>
        </w:rPr>
      </w:pPr>
      <w:r>
        <w:rPr>
          <w:sz w:val="22"/>
          <w:szCs w:val="16"/>
        </w:rPr>
        <w:t>Источник:  Свидетельства о смерти, Департамент биостатистики МЗСО.</w:t>
      </w:r>
    </w:p>
    <w:p w:rsidR="00000000" w:rsidRDefault="00000000">
      <w:pPr>
        <w:rPr>
          <w:sz w:val="16"/>
          <w:szCs w:val="16"/>
        </w:rPr>
      </w:pPr>
    </w:p>
    <w:p w:rsidR="00000000" w:rsidRDefault="00000000">
      <w:pPr>
        <w:rPr>
          <w:rFonts w:ascii="Arial" w:hAnsi="Arial" w:cs="Arial"/>
          <w:sz w:val="16"/>
          <w:szCs w:val="16"/>
        </w:rPr>
      </w:pPr>
      <w:r>
        <w:rPr>
          <w:b/>
        </w:rPr>
        <w:t>Смертность от туберкулеза у детей в возрасте до 10 лет, Парагвай, 1999-2003 годы</w:t>
      </w:r>
    </w:p>
    <w:p w:rsidR="00000000" w:rsidRDefault="00000000">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048"/>
        <w:gridCol w:w="1273"/>
        <w:gridCol w:w="1273"/>
        <w:gridCol w:w="1273"/>
        <w:gridCol w:w="1272"/>
        <w:gridCol w:w="1272"/>
      </w:tblGrid>
      <w:tr w:rsidR="00000000">
        <w:tblPrEx>
          <w:tblCellMar>
            <w:top w:w="0" w:type="dxa"/>
            <w:bottom w:w="0" w:type="dxa"/>
          </w:tblCellMar>
        </w:tblPrEx>
        <w:trPr>
          <w:cantSplit/>
          <w:tblHeader/>
        </w:trPr>
        <w:tc>
          <w:tcPr>
            <w:tcW w:w="3048" w:type="dxa"/>
          </w:tcPr>
          <w:p w:rsidR="00000000" w:rsidRDefault="00000000">
            <w:pPr>
              <w:jc w:val="center"/>
              <w:rPr>
                <w:b/>
                <w:bCs/>
                <w:sz w:val="22"/>
                <w:szCs w:val="16"/>
              </w:rPr>
            </w:pPr>
            <w:r>
              <w:rPr>
                <w:b/>
                <w:bCs/>
                <w:sz w:val="22"/>
                <w:szCs w:val="16"/>
              </w:rPr>
              <w:t>ВОЗРАСТНАЯ ГРУППА</w:t>
            </w:r>
          </w:p>
        </w:tc>
        <w:tc>
          <w:tcPr>
            <w:tcW w:w="1273" w:type="dxa"/>
          </w:tcPr>
          <w:p w:rsidR="00000000" w:rsidRDefault="00000000">
            <w:pPr>
              <w:jc w:val="center"/>
              <w:rPr>
                <w:b/>
                <w:bCs/>
                <w:sz w:val="22"/>
                <w:szCs w:val="16"/>
              </w:rPr>
            </w:pPr>
            <w:r>
              <w:rPr>
                <w:b/>
                <w:bCs/>
                <w:sz w:val="22"/>
                <w:szCs w:val="16"/>
              </w:rPr>
              <w:t>1999 год</w:t>
            </w:r>
          </w:p>
        </w:tc>
        <w:tc>
          <w:tcPr>
            <w:tcW w:w="1273" w:type="dxa"/>
          </w:tcPr>
          <w:p w:rsidR="00000000" w:rsidRDefault="00000000">
            <w:pPr>
              <w:jc w:val="center"/>
              <w:rPr>
                <w:b/>
                <w:bCs/>
                <w:sz w:val="22"/>
                <w:szCs w:val="16"/>
              </w:rPr>
            </w:pPr>
            <w:r>
              <w:rPr>
                <w:b/>
                <w:bCs/>
                <w:sz w:val="22"/>
                <w:szCs w:val="16"/>
              </w:rPr>
              <w:t>2000 год</w:t>
            </w:r>
          </w:p>
        </w:tc>
        <w:tc>
          <w:tcPr>
            <w:tcW w:w="1273" w:type="dxa"/>
          </w:tcPr>
          <w:p w:rsidR="00000000" w:rsidRDefault="00000000">
            <w:pPr>
              <w:jc w:val="center"/>
              <w:rPr>
                <w:b/>
                <w:bCs/>
                <w:sz w:val="22"/>
                <w:szCs w:val="16"/>
              </w:rPr>
            </w:pPr>
            <w:r>
              <w:rPr>
                <w:b/>
                <w:bCs/>
                <w:sz w:val="22"/>
                <w:szCs w:val="16"/>
              </w:rPr>
              <w:t>2001 год</w:t>
            </w:r>
          </w:p>
        </w:tc>
        <w:tc>
          <w:tcPr>
            <w:tcW w:w="1272" w:type="dxa"/>
          </w:tcPr>
          <w:p w:rsidR="00000000" w:rsidRDefault="00000000">
            <w:pPr>
              <w:jc w:val="center"/>
              <w:rPr>
                <w:b/>
                <w:bCs/>
                <w:sz w:val="22"/>
                <w:szCs w:val="16"/>
              </w:rPr>
            </w:pPr>
            <w:r>
              <w:rPr>
                <w:b/>
                <w:bCs/>
                <w:sz w:val="22"/>
                <w:szCs w:val="16"/>
              </w:rPr>
              <w:t>2002 год</w:t>
            </w:r>
          </w:p>
        </w:tc>
        <w:tc>
          <w:tcPr>
            <w:tcW w:w="1272" w:type="dxa"/>
          </w:tcPr>
          <w:p w:rsidR="00000000" w:rsidRDefault="00000000">
            <w:pPr>
              <w:jc w:val="center"/>
              <w:rPr>
                <w:b/>
                <w:bCs/>
                <w:sz w:val="22"/>
                <w:szCs w:val="16"/>
              </w:rPr>
            </w:pPr>
            <w:r>
              <w:rPr>
                <w:b/>
                <w:bCs/>
                <w:sz w:val="22"/>
                <w:szCs w:val="16"/>
              </w:rPr>
              <w:t>2003 год</w:t>
            </w:r>
          </w:p>
        </w:tc>
      </w:tr>
      <w:tr w:rsidR="00000000">
        <w:tblPrEx>
          <w:tblCellMar>
            <w:top w:w="0" w:type="dxa"/>
            <w:bottom w:w="0" w:type="dxa"/>
          </w:tblCellMar>
        </w:tblPrEx>
        <w:trPr>
          <w:cantSplit/>
          <w:tblHeader/>
        </w:trPr>
        <w:tc>
          <w:tcPr>
            <w:tcW w:w="3048" w:type="dxa"/>
            <w:tcMar>
              <w:left w:w="142" w:type="dxa"/>
            </w:tcMar>
          </w:tcPr>
          <w:p w:rsidR="00000000" w:rsidRDefault="00000000">
            <w:pPr>
              <w:rPr>
                <w:sz w:val="22"/>
                <w:szCs w:val="16"/>
              </w:rPr>
            </w:pPr>
            <w:r>
              <w:rPr>
                <w:sz w:val="22"/>
                <w:szCs w:val="16"/>
              </w:rPr>
              <w:t>до 1 года</w:t>
            </w:r>
          </w:p>
        </w:tc>
        <w:tc>
          <w:tcPr>
            <w:tcW w:w="1273" w:type="dxa"/>
          </w:tcPr>
          <w:p w:rsidR="00000000" w:rsidRDefault="00000000">
            <w:pPr>
              <w:tabs>
                <w:tab w:val="clear" w:pos="567"/>
                <w:tab w:val="clear" w:pos="1134"/>
              </w:tabs>
              <w:ind w:left="-100"/>
              <w:jc w:val="center"/>
              <w:rPr>
                <w:sz w:val="22"/>
                <w:szCs w:val="16"/>
              </w:rPr>
            </w:pPr>
            <w:r>
              <w:rPr>
                <w:sz w:val="22"/>
                <w:szCs w:val="16"/>
              </w:rPr>
              <w:t>2</w:t>
            </w:r>
          </w:p>
        </w:tc>
        <w:tc>
          <w:tcPr>
            <w:tcW w:w="1273" w:type="dxa"/>
          </w:tcPr>
          <w:p w:rsidR="00000000" w:rsidRDefault="00000000">
            <w:pPr>
              <w:tabs>
                <w:tab w:val="clear" w:pos="567"/>
                <w:tab w:val="clear" w:pos="1134"/>
              </w:tabs>
              <w:ind w:left="-100" w:right="497"/>
              <w:jc w:val="right"/>
              <w:rPr>
                <w:sz w:val="22"/>
                <w:szCs w:val="16"/>
              </w:rPr>
            </w:pPr>
            <w:r>
              <w:rPr>
                <w:sz w:val="22"/>
                <w:szCs w:val="16"/>
              </w:rPr>
              <w:t>1</w:t>
            </w:r>
          </w:p>
        </w:tc>
        <w:tc>
          <w:tcPr>
            <w:tcW w:w="1273" w:type="dxa"/>
          </w:tcPr>
          <w:p w:rsidR="00000000" w:rsidRDefault="00000000">
            <w:pPr>
              <w:tabs>
                <w:tab w:val="clear" w:pos="567"/>
                <w:tab w:val="clear" w:pos="1134"/>
              </w:tabs>
              <w:ind w:left="-100"/>
              <w:jc w:val="center"/>
              <w:rPr>
                <w:sz w:val="22"/>
                <w:szCs w:val="16"/>
              </w:rPr>
            </w:pPr>
            <w:r>
              <w:rPr>
                <w:sz w:val="22"/>
                <w:szCs w:val="16"/>
              </w:rPr>
              <w:t>0</w:t>
            </w:r>
          </w:p>
        </w:tc>
        <w:tc>
          <w:tcPr>
            <w:tcW w:w="1272" w:type="dxa"/>
          </w:tcPr>
          <w:p w:rsidR="00000000" w:rsidRDefault="00000000">
            <w:pPr>
              <w:tabs>
                <w:tab w:val="clear" w:pos="567"/>
                <w:tab w:val="clear" w:pos="1134"/>
              </w:tabs>
              <w:ind w:left="-100" w:right="496"/>
              <w:jc w:val="right"/>
              <w:rPr>
                <w:sz w:val="22"/>
                <w:szCs w:val="16"/>
              </w:rPr>
            </w:pPr>
            <w:r>
              <w:rPr>
                <w:sz w:val="22"/>
                <w:szCs w:val="16"/>
              </w:rPr>
              <w:t>2</w:t>
            </w:r>
          </w:p>
        </w:tc>
        <w:tc>
          <w:tcPr>
            <w:tcW w:w="1272" w:type="dxa"/>
          </w:tcPr>
          <w:p w:rsidR="00000000" w:rsidRDefault="00000000">
            <w:pPr>
              <w:tabs>
                <w:tab w:val="clear" w:pos="567"/>
                <w:tab w:val="clear" w:pos="1134"/>
              </w:tabs>
              <w:ind w:left="-100"/>
              <w:jc w:val="center"/>
              <w:rPr>
                <w:sz w:val="22"/>
                <w:szCs w:val="16"/>
              </w:rPr>
            </w:pPr>
            <w:r>
              <w:rPr>
                <w:sz w:val="22"/>
                <w:szCs w:val="16"/>
              </w:rPr>
              <w:t>3</w:t>
            </w:r>
          </w:p>
        </w:tc>
      </w:tr>
      <w:tr w:rsidR="00000000">
        <w:tblPrEx>
          <w:tblCellMar>
            <w:top w:w="0" w:type="dxa"/>
            <w:bottom w:w="0" w:type="dxa"/>
          </w:tblCellMar>
        </w:tblPrEx>
        <w:trPr>
          <w:cantSplit/>
          <w:tblHeader/>
        </w:trPr>
        <w:tc>
          <w:tcPr>
            <w:tcW w:w="3048" w:type="dxa"/>
            <w:tcMar>
              <w:left w:w="142" w:type="dxa"/>
            </w:tcMar>
          </w:tcPr>
          <w:p w:rsidR="00000000" w:rsidRDefault="00000000">
            <w:pPr>
              <w:rPr>
                <w:sz w:val="22"/>
                <w:szCs w:val="16"/>
              </w:rPr>
            </w:pPr>
            <w:r>
              <w:rPr>
                <w:sz w:val="22"/>
                <w:szCs w:val="16"/>
              </w:rPr>
              <w:t>1-4 года</w:t>
            </w:r>
          </w:p>
        </w:tc>
        <w:tc>
          <w:tcPr>
            <w:tcW w:w="1273" w:type="dxa"/>
          </w:tcPr>
          <w:p w:rsidR="00000000" w:rsidRDefault="00000000">
            <w:pPr>
              <w:tabs>
                <w:tab w:val="clear" w:pos="567"/>
                <w:tab w:val="clear" w:pos="1134"/>
              </w:tabs>
              <w:ind w:left="-100"/>
              <w:jc w:val="center"/>
              <w:rPr>
                <w:sz w:val="22"/>
                <w:szCs w:val="16"/>
              </w:rPr>
            </w:pPr>
            <w:r>
              <w:rPr>
                <w:sz w:val="22"/>
                <w:szCs w:val="16"/>
              </w:rPr>
              <w:t>6</w:t>
            </w:r>
          </w:p>
        </w:tc>
        <w:tc>
          <w:tcPr>
            <w:tcW w:w="1273" w:type="dxa"/>
          </w:tcPr>
          <w:p w:rsidR="00000000" w:rsidRDefault="00000000">
            <w:pPr>
              <w:tabs>
                <w:tab w:val="clear" w:pos="567"/>
                <w:tab w:val="clear" w:pos="1134"/>
              </w:tabs>
              <w:ind w:left="-100" w:right="497"/>
              <w:jc w:val="right"/>
              <w:rPr>
                <w:sz w:val="22"/>
                <w:szCs w:val="16"/>
              </w:rPr>
            </w:pPr>
            <w:r>
              <w:rPr>
                <w:sz w:val="22"/>
                <w:szCs w:val="16"/>
              </w:rPr>
              <w:t>8</w:t>
            </w:r>
          </w:p>
        </w:tc>
        <w:tc>
          <w:tcPr>
            <w:tcW w:w="1273" w:type="dxa"/>
          </w:tcPr>
          <w:p w:rsidR="00000000" w:rsidRDefault="00000000">
            <w:pPr>
              <w:tabs>
                <w:tab w:val="clear" w:pos="567"/>
                <w:tab w:val="clear" w:pos="1134"/>
              </w:tabs>
              <w:ind w:left="-100"/>
              <w:jc w:val="center"/>
              <w:rPr>
                <w:sz w:val="22"/>
                <w:szCs w:val="16"/>
              </w:rPr>
            </w:pPr>
            <w:r>
              <w:rPr>
                <w:sz w:val="22"/>
                <w:szCs w:val="16"/>
              </w:rPr>
              <w:t>3</w:t>
            </w:r>
          </w:p>
        </w:tc>
        <w:tc>
          <w:tcPr>
            <w:tcW w:w="1272" w:type="dxa"/>
          </w:tcPr>
          <w:p w:rsidR="00000000" w:rsidRDefault="00000000">
            <w:pPr>
              <w:tabs>
                <w:tab w:val="clear" w:pos="567"/>
                <w:tab w:val="clear" w:pos="1134"/>
              </w:tabs>
              <w:ind w:left="-100" w:right="496"/>
              <w:jc w:val="right"/>
              <w:rPr>
                <w:sz w:val="22"/>
                <w:szCs w:val="16"/>
              </w:rPr>
            </w:pPr>
            <w:r>
              <w:rPr>
                <w:sz w:val="22"/>
                <w:szCs w:val="16"/>
              </w:rPr>
              <w:t>8</w:t>
            </w:r>
          </w:p>
        </w:tc>
        <w:tc>
          <w:tcPr>
            <w:tcW w:w="1272" w:type="dxa"/>
          </w:tcPr>
          <w:p w:rsidR="00000000" w:rsidRDefault="00000000">
            <w:pPr>
              <w:tabs>
                <w:tab w:val="clear" w:pos="567"/>
                <w:tab w:val="clear" w:pos="1134"/>
              </w:tabs>
              <w:ind w:left="-100"/>
              <w:jc w:val="center"/>
              <w:rPr>
                <w:sz w:val="22"/>
                <w:szCs w:val="16"/>
              </w:rPr>
            </w:pPr>
            <w:r>
              <w:rPr>
                <w:sz w:val="22"/>
                <w:szCs w:val="16"/>
              </w:rPr>
              <w:t>2</w:t>
            </w:r>
          </w:p>
        </w:tc>
      </w:tr>
      <w:tr w:rsidR="00000000">
        <w:tblPrEx>
          <w:tblCellMar>
            <w:top w:w="0" w:type="dxa"/>
            <w:bottom w:w="0" w:type="dxa"/>
          </w:tblCellMar>
        </w:tblPrEx>
        <w:trPr>
          <w:cantSplit/>
          <w:tblHeader/>
        </w:trPr>
        <w:tc>
          <w:tcPr>
            <w:tcW w:w="3048" w:type="dxa"/>
            <w:tcMar>
              <w:left w:w="142" w:type="dxa"/>
            </w:tcMar>
          </w:tcPr>
          <w:p w:rsidR="00000000" w:rsidRDefault="00000000">
            <w:pPr>
              <w:rPr>
                <w:sz w:val="22"/>
                <w:szCs w:val="16"/>
              </w:rPr>
            </w:pPr>
            <w:r>
              <w:rPr>
                <w:sz w:val="22"/>
                <w:szCs w:val="16"/>
              </w:rPr>
              <w:t>5-9 лет</w:t>
            </w:r>
          </w:p>
        </w:tc>
        <w:tc>
          <w:tcPr>
            <w:tcW w:w="1273" w:type="dxa"/>
          </w:tcPr>
          <w:p w:rsidR="00000000" w:rsidRDefault="00000000">
            <w:pPr>
              <w:tabs>
                <w:tab w:val="clear" w:pos="567"/>
                <w:tab w:val="clear" w:pos="1134"/>
              </w:tabs>
              <w:ind w:left="-100"/>
              <w:jc w:val="center"/>
              <w:rPr>
                <w:sz w:val="22"/>
                <w:szCs w:val="16"/>
              </w:rPr>
            </w:pPr>
            <w:r>
              <w:rPr>
                <w:sz w:val="22"/>
                <w:szCs w:val="16"/>
              </w:rPr>
              <w:t>0</w:t>
            </w:r>
          </w:p>
        </w:tc>
        <w:tc>
          <w:tcPr>
            <w:tcW w:w="1273" w:type="dxa"/>
          </w:tcPr>
          <w:p w:rsidR="00000000" w:rsidRDefault="00000000">
            <w:pPr>
              <w:tabs>
                <w:tab w:val="clear" w:pos="567"/>
                <w:tab w:val="clear" w:pos="1134"/>
              </w:tabs>
              <w:ind w:left="-100" w:right="497"/>
              <w:jc w:val="right"/>
              <w:rPr>
                <w:sz w:val="22"/>
                <w:szCs w:val="16"/>
              </w:rPr>
            </w:pPr>
            <w:r>
              <w:rPr>
                <w:sz w:val="22"/>
                <w:szCs w:val="16"/>
              </w:rPr>
              <w:t>3</w:t>
            </w:r>
          </w:p>
        </w:tc>
        <w:tc>
          <w:tcPr>
            <w:tcW w:w="1273" w:type="dxa"/>
          </w:tcPr>
          <w:p w:rsidR="00000000" w:rsidRDefault="00000000">
            <w:pPr>
              <w:tabs>
                <w:tab w:val="clear" w:pos="567"/>
                <w:tab w:val="clear" w:pos="1134"/>
              </w:tabs>
              <w:ind w:left="-100"/>
              <w:jc w:val="center"/>
              <w:rPr>
                <w:sz w:val="22"/>
                <w:szCs w:val="16"/>
              </w:rPr>
            </w:pPr>
            <w:r>
              <w:rPr>
                <w:sz w:val="22"/>
                <w:szCs w:val="16"/>
              </w:rPr>
              <w:t>0</w:t>
            </w:r>
          </w:p>
        </w:tc>
        <w:tc>
          <w:tcPr>
            <w:tcW w:w="1272" w:type="dxa"/>
          </w:tcPr>
          <w:p w:rsidR="00000000" w:rsidRDefault="00000000">
            <w:pPr>
              <w:tabs>
                <w:tab w:val="clear" w:pos="567"/>
                <w:tab w:val="clear" w:pos="1134"/>
              </w:tabs>
              <w:ind w:left="-100" w:right="496"/>
              <w:jc w:val="right"/>
              <w:rPr>
                <w:sz w:val="22"/>
                <w:szCs w:val="16"/>
              </w:rPr>
            </w:pPr>
            <w:r>
              <w:rPr>
                <w:sz w:val="22"/>
                <w:szCs w:val="16"/>
              </w:rPr>
              <w:t>2</w:t>
            </w:r>
          </w:p>
        </w:tc>
        <w:tc>
          <w:tcPr>
            <w:tcW w:w="1272" w:type="dxa"/>
          </w:tcPr>
          <w:p w:rsidR="00000000" w:rsidRDefault="00000000">
            <w:pPr>
              <w:tabs>
                <w:tab w:val="clear" w:pos="567"/>
                <w:tab w:val="clear" w:pos="1134"/>
              </w:tabs>
              <w:ind w:left="-100"/>
              <w:jc w:val="center"/>
              <w:rPr>
                <w:sz w:val="22"/>
                <w:szCs w:val="16"/>
              </w:rPr>
            </w:pPr>
            <w:r>
              <w:rPr>
                <w:sz w:val="22"/>
                <w:szCs w:val="16"/>
              </w:rPr>
              <w:t>1</w:t>
            </w:r>
          </w:p>
        </w:tc>
      </w:tr>
      <w:tr w:rsidR="00000000">
        <w:tblPrEx>
          <w:tblCellMar>
            <w:top w:w="0" w:type="dxa"/>
            <w:bottom w:w="0" w:type="dxa"/>
          </w:tblCellMar>
        </w:tblPrEx>
        <w:trPr>
          <w:cantSplit/>
          <w:tblHeader/>
        </w:trPr>
        <w:tc>
          <w:tcPr>
            <w:tcW w:w="3048" w:type="dxa"/>
            <w:tcMar>
              <w:left w:w="142" w:type="dxa"/>
            </w:tcMar>
          </w:tcPr>
          <w:p w:rsidR="00000000" w:rsidRDefault="00000000">
            <w:pPr>
              <w:rPr>
                <w:b/>
                <w:bCs/>
                <w:sz w:val="22"/>
                <w:szCs w:val="16"/>
              </w:rPr>
            </w:pPr>
            <w:r>
              <w:rPr>
                <w:b/>
                <w:bCs/>
                <w:sz w:val="22"/>
                <w:szCs w:val="16"/>
              </w:rPr>
              <w:t>ИТОГО</w:t>
            </w:r>
          </w:p>
        </w:tc>
        <w:tc>
          <w:tcPr>
            <w:tcW w:w="1273" w:type="dxa"/>
          </w:tcPr>
          <w:p w:rsidR="00000000" w:rsidRDefault="00000000">
            <w:pPr>
              <w:tabs>
                <w:tab w:val="clear" w:pos="567"/>
                <w:tab w:val="clear" w:pos="1134"/>
              </w:tabs>
              <w:ind w:left="-100"/>
              <w:jc w:val="center"/>
              <w:rPr>
                <w:b/>
                <w:bCs/>
                <w:sz w:val="22"/>
                <w:szCs w:val="16"/>
                <w:lang w:val="fr-FR"/>
              </w:rPr>
            </w:pPr>
            <w:r>
              <w:rPr>
                <w:b/>
                <w:bCs/>
                <w:sz w:val="22"/>
                <w:szCs w:val="16"/>
                <w:lang w:val="fr-FR"/>
              </w:rPr>
              <w:t>8</w:t>
            </w:r>
          </w:p>
        </w:tc>
        <w:tc>
          <w:tcPr>
            <w:tcW w:w="1273" w:type="dxa"/>
          </w:tcPr>
          <w:p w:rsidR="00000000" w:rsidRDefault="00000000">
            <w:pPr>
              <w:tabs>
                <w:tab w:val="clear" w:pos="567"/>
                <w:tab w:val="clear" w:pos="1134"/>
              </w:tabs>
              <w:ind w:left="-100" w:right="497"/>
              <w:jc w:val="right"/>
              <w:rPr>
                <w:b/>
                <w:bCs/>
                <w:sz w:val="22"/>
                <w:szCs w:val="16"/>
                <w:lang w:val="fr-FR"/>
              </w:rPr>
            </w:pPr>
            <w:r>
              <w:rPr>
                <w:b/>
                <w:bCs/>
                <w:sz w:val="22"/>
                <w:szCs w:val="16"/>
                <w:lang w:val="fr-FR"/>
              </w:rPr>
              <w:t>12</w:t>
            </w:r>
          </w:p>
        </w:tc>
        <w:tc>
          <w:tcPr>
            <w:tcW w:w="1273" w:type="dxa"/>
          </w:tcPr>
          <w:p w:rsidR="00000000" w:rsidRDefault="00000000">
            <w:pPr>
              <w:tabs>
                <w:tab w:val="clear" w:pos="567"/>
                <w:tab w:val="clear" w:pos="1134"/>
              </w:tabs>
              <w:ind w:left="-100"/>
              <w:jc w:val="center"/>
              <w:rPr>
                <w:b/>
                <w:bCs/>
                <w:sz w:val="22"/>
                <w:szCs w:val="16"/>
                <w:lang w:val="fr-FR"/>
              </w:rPr>
            </w:pPr>
            <w:r>
              <w:rPr>
                <w:b/>
                <w:bCs/>
                <w:sz w:val="22"/>
                <w:szCs w:val="16"/>
                <w:lang w:val="fr-FR"/>
              </w:rPr>
              <w:t>3</w:t>
            </w:r>
          </w:p>
        </w:tc>
        <w:tc>
          <w:tcPr>
            <w:tcW w:w="1272" w:type="dxa"/>
          </w:tcPr>
          <w:p w:rsidR="00000000" w:rsidRDefault="00000000">
            <w:pPr>
              <w:tabs>
                <w:tab w:val="clear" w:pos="567"/>
                <w:tab w:val="clear" w:pos="1134"/>
              </w:tabs>
              <w:ind w:left="-100" w:right="496"/>
              <w:jc w:val="right"/>
              <w:rPr>
                <w:b/>
                <w:bCs/>
                <w:sz w:val="22"/>
                <w:szCs w:val="16"/>
                <w:lang w:val="fr-FR"/>
              </w:rPr>
            </w:pPr>
            <w:r>
              <w:rPr>
                <w:b/>
                <w:bCs/>
                <w:sz w:val="22"/>
                <w:szCs w:val="16"/>
                <w:lang w:val="fr-FR"/>
              </w:rPr>
              <w:t>12</w:t>
            </w:r>
          </w:p>
        </w:tc>
        <w:tc>
          <w:tcPr>
            <w:tcW w:w="1272" w:type="dxa"/>
          </w:tcPr>
          <w:p w:rsidR="00000000" w:rsidRDefault="00000000">
            <w:pPr>
              <w:tabs>
                <w:tab w:val="clear" w:pos="567"/>
                <w:tab w:val="clear" w:pos="1134"/>
              </w:tabs>
              <w:ind w:left="-100"/>
              <w:jc w:val="center"/>
              <w:rPr>
                <w:b/>
                <w:bCs/>
                <w:sz w:val="22"/>
                <w:szCs w:val="16"/>
                <w:lang w:val="fr-FR"/>
              </w:rPr>
            </w:pPr>
            <w:r>
              <w:rPr>
                <w:b/>
                <w:bCs/>
                <w:sz w:val="22"/>
                <w:szCs w:val="16"/>
                <w:lang w:val="fr-FR"/>
              </w:rPr>
              <w:t>6</w:t>
            </w:r>
          </w:p>
        </w:tc>
      </w:tr>
    </w:tbl>
    <w:p w:rsidR="00000000" w:rsidRDefault="00000000">
      <w:pPr>
        <w:spacing w:line="216" w:lineRule="auto"/>
        <w:rPr>
          <w:sz w:val="16"/>
          <w:szCs w:val="16"/>
          <w:lang w:val="en-US"/>
        </w:rPr>
      </w:pPr>
    </w:p>
    <w:p w:rsidR="00000000" w:rsidRDefault="00000000">
      <w:pPr>
        <w:rPr>
          <w:sz w:val="22"/>
          <w:szCs w:val="16"/>
        </w:rPr>
      </w:pPr>
      <w:r>
        <w:rPr>
          <w:sz w:val="22"/>
          <w:szCs w:val="16"/>
        </w:rPr>
        <w:t>Источник:  Программа борьбы с туберкулезом МЗСО.</w:t>
      </w:r>
    </w:p>
    <w:p w:rsidR="00000000" w:rsidRDefault="00000000">
      <w:pPr>
        <w:rPr>
          <w:sz w:val="16"/>
          <w:szCs w:val="16"/>
        </w:rPr>
      </w:pPr>
    </w:p>
    <w:p w:rsidR="00000000" w:rsidRDefault="00000000">
      <w:pPr>
        <w:pStyle w:val="BodyText"/>
        <w:pageBreakBefore/>
        <w:spacing w:after="0" w:line="288" w:lineRule="auto"/>
        <w:jc w:val="left"/>
        <w:rPr>
          <w:b/>
          <w:lang w:val="es-ES"/>
        </w:rPr>
      </w:pPr>
      <w:r>
        <w:rPr>
          <w:b/>
          <w:lang w:val="ru-RU"/>
        </w:rPr>
        <w:t>Смертность от ВИЧ/СПИДа у детей в возрасте до 10 лет по возрастным группам, Парагвай,</w:t>
      </w:r>
      <w:r>
        <w:rPr>
          <w:b/>
          <w:lang w:val="es-ES"/>
        </w:rPr>
        <w:t xml:space="preserve"> 2000-2003</w:t>
      </w:r>
      <w:r>
        <w:rPr>
          <w:b/>
          <w:lang w:val="ru-RU"/>
        </w:rPr>
        <w:t xml:space="preserve"> годы</w:t>
      </w:r>
      <w:r>
        <w:rPr>
          <w:b/>
          <w:lang w:val="es-ES"/>
        </w:rPr>
        <w:t>.</w:t>
      </w:r>
    </w:p>
    <w:p w:rsidR="00000000" w:rsidRDefault="00000000">
      <w:pPr>
        <w:pStyle w:val="BodyText"/>
        <w:spacing w:after="0" w:line="288" w:lineRule="auto"/>
        <w:jc w:val="left"/>
        <w:rPr>
          <w:rFonts w:ascii="Arial" w:hAnsi="Arial" w:cs="Arial"/>
          <w:b/>
          <w:sz w:val="16"/>
          <w:szCs w:val="16"/>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92"/>
        <w:gridCol w:w="1243"/>
        <w:gridCol w:w="1244"/>
        <w:gridCol w:w="1244"/>
        <w:gridCol w:w="1244"/>
        <w:gridCol w:w="1244"/>
      </w:tblGrid>
      <w:tr w:rsidR="00000000">
        <w:tblPrEx>
          <w:tblCellMar>
            <w:top w:w="0" w:type="dxa"/>
            <w:bottom w:w="0" w:type="dxa"/>
          </w:tblCellMar>
        </w:tblPrEx>
        <w:trPr>
          <w:cantSplit/>
          <w:tblHeader/>
        </w:trPr>
        <w:tc>
          <w:tcPr>
            <w:tcW w:w="3192" w:type="dxa"/>
          </w:tcPr>
          <w:p w:rsidR="00000000" w:rsidRDefault="00000000">
            <w:pPr>
              <w:jc w:val="center"/>
              <w:rPr>
                <w:b/>
                <w:bCs/>
                <w:sz w:val="22"/>
                <w:szCs w:val="16"/>
              </w:rPr>
            </w:pPr>
            <w:r>
              <w:rPr>
                <w:b/>
                <w:bCs/>
                <w:sz w:val="22"/>
                <w:szCs w:val="16"/>
              </w:rPr>
              <w:t>ВОЗРАСТНАЯ ГРУППА</w:t>
            </w:r>
          </w:p>
        </w:tc>
        <w:tc>
          <w:tcPr>
            <w:tcW w:w="1243" w:type="dxa"/>
          </w:tcPr>
          <w:p w:rsidR="00000000" w:rsidRDefault="00000000">
            <w:pPr>
              <w:jc w:val="center"/>
              <w:rPr>
                <w:b/>
                <w:bCs/>
                <w:sz w:val="22"/>
                <w:szCs w:val="16"/>
              </w:rPr>
            </w:pPr>
            <w:r>
              <w:rPr>
                <w:b/>
                <w:bCs/>
                <w:sz w:val="22"/>
                <w:szCs w:val="16"/>
              </w:rPr>
              <w:t>2000 год</w:t>
            </w:r>
          </w:p>
        </w:tc>
        <w:tc>
          <w:tcPr>
            <w:tcW w:w="1244" w:type="dxa"/>
          </w:tcPr>
          <w:p w:rsidR="00000000" w:rsidRDefault="00000000">
            <w:pPr>
              <w:jc w:val="center"/>
              <w:rPr>
                <w:b/>
                <w:bCs/>
                <w:sz w:val="22"/>
                <w:szCs w:val="16"/>
              </w:rPr>
            </w:pPr>
            <w:r>
              <w:rPr>
                <w:b/>
                <w:bCs/>
                <w:sz w:val="22"/>
                <w:szCs w:val="16"/>
              </w:rPr>
              <w:t>2001 год</w:t>
            </w:r>
          </w:p>
        </w:tc>
        <w:tc>
          <w:tcPr>
            <w:tcW w:w="1244" w:type="dxa"/>
          </w:tcPr>
          <w:p w:rsidR="00000000" w:rsidRDefault="00000000">
            <w:pPr>
              <w:jc w:val="center"/>
              <w:rPr>
                <w:b/>
                <w:bCs/>
                <w:sz w:val="22"/>
                <w:szCs w:val="16"/>
              </w:rPr>
            </w:pPr>
            <w:r>
              <w:rPr>
                <w:b/>
                <w:bCs/>
                <w:sz w:val="22"/>
                <w:szCs w:val="16"/>
              </w:rPr>
              <w:t>2002 год</w:t>
            </w:r>
          </w:p>
        </w:tc>
        <w:tc>
          <w:tcPr>
            <w:tcW w:w="1244" w:type="dxa"/>
          </w:tcPr>
          <w:p w:rsidR="00000000" w:rsidRDefault="00000000">
            <w:pPr>
              <w:jc w:val="center"/>
              <w:rPr>
                <w:b/>
                <w:bCs/>
                <w:sz w:val="22"/>
                <w:szCs w:val="16"/>
              </w:rPr>
            </w:pPr>
            <w:r>
              <w:rPr>
                <w:b/>
                <w:bCs/>
                <w:sz w:val="22"/>
                <w:szCs w:val="16"/>
              </w:rPr>
              <w:t>2003 год</w:t>
            </w:r>
          </w:p>
        </w:tc>
        <w:tc>
          <w:tcPr>
            <w:tcW w:w="1244" w:type="dxa"/>
          </w:tcPr>
          <w:p w:rsidR="00000000" w:rsidRDefault="00000000">
            <w:pPr>
              <w:jc w:val="center"/>
              <w:rPr>
                <w:b/>
                <w:bCs/>
                <w:sz w:val="22"/>
                <w:szCs w:val="16"/>
              </w:rPr>
            </w:pPr>
            <w:r>
              <w:rPr>
                <w:b/>
                <w:bCs/>
                <w:sz w:val="22"/>
                <w:szCs w:val="16"/>
              </w:rPr>
              <w:t>ИТОГО</w:t>
            </w:r>
          </w:p>
        </w:tc>
      </w:tr>
      <w:tr w:rsidR="00000000">
        <w:tblPrEx>
          <w:tblCellMar>
            <w:top w:w="0" w:type="dxa"/>
            <w:bottom w:w="0" w:type="dxa"/>
          </w:tblCellMar>
        </w:tblPrEx>
        <w:trPr>
          <w:cantSplit/>
        </w:trPr>
        <w:tc>
          <w:tcPr>
            <w:tcW w:w="3192" w:type="dxa"/>
            <w:tcBorders>
              <w:bottom w:val="nil"/>
            </w:tcBorders>
          </w:tcPr>
          <w:p w:rsidR="00000000" w:rsidRDefault="00000000">
            <w:pPr>
              <w:pStyle w:val="BodyText"/>
              <w:spacing w:after="0" w:line="288" w:lineRule="auto"/>
              <w:jc w:val="center"/>
              <w:rPr>
                <w:b/>
                <w:bCs/>
                <w:sz w:val="22"/>
                <w:szCs w:val="16"/>
              </w:rPr>
            </w:pPr>
          </w:p>
        </w:tc>
        <w:tc>
          <w:tcPr>
            <w:tcW w:w="1243" w:type="dxa"/>
            <w:tcBorders>
              <w:top w:val="nil"/>
            </w:tcBorders>
          </w:tcPr>
          <w:p w:rsidR="00000000" w:rsidRDefault="00000000">
            <w:pPr>
              <w:pStyle w:val="BodyText"/>
              <w:spacing w:after="0" w:line="288" w:lineRule="auto"/>
              <w:jc w:val="center"/>
              <w:rPr>
                <w:b/>
                <w:bCs/>
                <w:sz w:val="22"/>
                <w:szCs w:val="16"/>
              </w:rPr>
            </w:pPr>
          </w:p>
        </w:tc>
        <w:tc>
          <w:tcPr>
            <w:tcW w:w="1244" w:type="dxa"/>
            <w:tcBorders>
              <w:top w:val="nil"/>
            </w:tcBorders>
          </w:tcPr>
          <w:p w:rsidR="00000000" w:rsidRDefault="00000000">
            <w:pPr>
              <w:pStyle w:val="BodyText"/>
              <w:spacing w:after="0" w:line="288" w:lineRule="auto"/>
              <w:jc w:val="center"/>
              <w:rPr>
                <w:b/>
                <w:bCs/>
                <w:sz w:val="22"/>
                <w:szCs w:val="16"/>
              </w:rPr>
            </w:pPr>
          </w:p>
        </w:tc>
        <w:tc>
          <w:tcPr>
            <w:tcW w:w="1244" w:type="dxa"/>
            <w:tcBorders>
              <w:top w:val="nil"/>
            </w:tcBorders>
          </w:tcPr>
          <w:p w:rsidR="00000000" w:rsidRDefault="00000000">
            <w:pPr>
              <w:pStyle w:val="BodyText"/>
              <w:spacing w:after="0" w:line="288" w:lineRule="auto"/>
              <w:jc w:val="center"/>
              <w:rPr>
                <w:b/>
                <w:bCs/>
                <w:sz w:val="22"/>
                <w:szCs w:val="16"/>
              </w:rPr>
            </w:pPr>
          </w:p>
        </w:tc>
        <w:tc>
          <w:tcPr>
            <w:tcW w:w="1244" w:type="dxa"/>
            <w:tcBorders>
              <w:top w:val="nil"/>
            </w:tcBorders>
          </w:tcPr>
          <w:p w:rsidR="00000000" w:rsidRDefault="00000000">
            <w:pPr>
              <w:pStyle w:val="BodyText"/>
              <w:spacing w:after="0" w:line="288" w:lineRule="auto"/>
              <w:jc w:val="center"/>
              <w:rPr>
                <w:b/>
                <w:bCs/>
                <w:sz w:val="22"/>
                <w:szCs w:val="16"/>
              </w:rPr>
            </w:pPr>
          </w:p>
        </w:tc>
        <w:tc>
          <w:tcPr>
            <w:tcW w:w="1244" w:type="dxa"/>
            <w:tcBorders>
              <w:top w:val="nil"/>
            </w:tcBorders>
          </w:tcPr>
          <w:p w:rsidR="00000000" w:rsidRDefault="00000000">
            <w:pPr>
              <w:pStyle w:val="BodyText"/>
              <w:spacing w:after="0" w:line="288" w:lineRule="auto"/>
              <w:jc w:val="center"/>
              <w:rPr>
                <w:b/>
                <w:bCs/>
                <w:sz w:val="22"/>
                <w:szCs w:val="16"/>
                <w:lang w:val="ru-RU"/>
              </w:rPr>
            </w:pPr>
          </w:p>
        </w:tc>
      </w:tr>
      <w:tr w:rsidR="00000000">
        <w:tblPrEx>
          <w:tblCellMar>
            <w:top w:w="0" w:type="dxa"/>
            <w:bottom w:w="0" w:type="dxa"/>
          </w:tblCellMar>
        </w:tblPrEx>
        <w:trPr>
          <w:cantSplit/>
        </w:trPr>
        <w:tc>
          <w:tcPr>
            <w:tcW w:w="3192" w:type="dxa"/>
            <w:tcMar>
              <w:left w:w="227" w:type="dxa"/>
            </w:tcMar>
          </w:tcPr>
          <w:p w:rsidR="00000000" w:rsidRDefault="00000000">
            <w:pPr>
              <w:pStyle w:val="BodyText"/>
              <w:spacing w:after="0" w:line="288" w:lineRule="auto"/>
              <w:jc w:val="left"/>
              <w:rPr>
                <w:sz w:val="22"/>
                <w:szCs w:val="16"/>
              </w:rPr>
            </w:pPr>
            <w:r>
              <w:rPr>
                <w:sz w:val="22"/>
                <w:szCs w:val="16"/>
              </w:rPr>
              <w:t>0 – 1</w:t>
            </w:r>
            <w:r>
              <w:rPr>
                <w:sz w:val="22"/>
                <w:szCs w:val="16"/>
                <w:lang w:val="ru-RU"/>
              </w:rPr>
              <w:t xml:space="preserve"> год</w:t>
            </w:r>
          </w:p>
        </w:tc>
        <w:tc>
          <w:tcPr>
            <w:tcW w:w="1243" w:type="dxa"/>
          </w:tcPr>
          <w:p w:rsidR="00000000" w:rsidRDefault="00000000">
            <w:pPr>
              <w:pStyle w:val="BodyText"/>
              <w:spacing w:after="0" w:line="288" w:lineRule="auto"/>
              <w:ind w:left="624"/>
              <w:rPr>
                <w:sz w:val="22"/>
                <w:szCs w:val="16"/>
              </w:rPr>
            </w:pPr>
            <w:r>
              <w:rPr>
                <w:sz w:val="22"/>
                <w:szCs w:val="16"/>
              </w:rPr>
              <w:t>2</w:t>
            </w:r>
          </w:p>
        </w:tc>
        <w:tc>
          <w:tcPr>
            <w:tcW w:w="1244" w:type="dxa"/>
          </w:tcPr>
          <w:p w:rsidR="00000000" w:rsidRDefault="00000000">
            <w:pPr>
              <w:pStyle w:val="BodyText"/>
              <w:spacing w:after="0" w:line="288" w:lineRule="auto"/>
              <w:ind w:left="624"/>
              <w:rPr>
                <w:sz w:val="22"/>
                <w:szCs w:val="16"/>
              </w:rPr>
            </w:pPr>
            <w:r>
              <w:rPr>
                <w:sz w:val="22"/>
                <w:szCs w:val="16"/>
              </w:rPr>
              <w:t>1</w:t>
            </w:r>
          </w:p>
        </w:tc>
        <w:tc>
          <w:tcPr>
            <w:tcW w:w="1244" w:type="dxa"/>
          </w:tcPr>
          <w:p w:rsidR="00000000" w:rsidRDefault="00000000">
            <w:pPr>
              <w:pStyle w:val="BodyText"/>
              <w:spacing w:after="0" w:line="288" w:lineRule="auto"/>
              <w:ind w:left="624"/>
              <w:rPr>
                <w:sz w:val="22"/>
                <w:szCs w:val="16"/>
              </w:rPr>
            </w:pPr>
            <w:r>
              <w:rPr>
                <w:sz w:val="22"/>
                <w:szCs w:val="16"/>
              </w:rPr>
              <w:t>1</w:t>
            </w:r>
          </w:p>
        </w:tc>
        <w:tc>
          <w:tcPr>
            <w:tcW w:w="1244" w:type="dxa"/>
          </w:tcPr>
          <w:p w:rsidR="00000000" w:rsidRDefault="00000000">
            <w:pPr>
              <w:pStyle w:val="BodyText"/>
              <w:spacing w:after="0" w:line="288" w:lineRule="auto"/>
              <w:ind w:left="624"/>
              <w:rPr>
                <w:sz w:val="22"/>
                <w:szCs w:val="16"/>
              </w:rPr>
            </w:pPr>
            <w:r>
              <w:rPr>
                <w:sz w:val="22"/>
                <w:szCs w:val="16"/>
              </w:rPr>
              <w:t>1</w:t>
            </w:r>
          </w:p>
        </w:tc>
        <w:tc>
          <w:tcPr>
            <w:tcW w:w="1244" w:type="dxa"/>
            <w:tcMar>
              <w:right w:w="340" w:type="dxa"/>
            </w:tcMar>
          </w:tcPr>
          <w:p w:rsidR="00000000" w:rsidRDefault="00000000">
            <w:pPr>
              <w:pStyle w:val="BodyText"/>
              <w:spacing w:after="0" w:line="288" w:lineRule="auto"/>
              <w:ind w:left="338" w:right="-1"/>
              <w:jc w:val="right"/>
              <w:rPr>
                <w:sz w:val="22"/>
                <w:szCs w:val="16"/>
              </w:rPr>
            </w:pPr>
            <w:r>
              <w:rPr>
                <w:sz w:val="22"/>
                <w:szCs w:val="16"/>
              </w:rPr>
              <w:t>5</w:t>
            </w:r>
          </w:p>
        </w:tc>
      </w:tr>
      <w:tr w:rsidR="00000000">
        <w:tblPrEx>
          <w:tblCellMar>
            <w:top w:w="0" w:type="dxa"/>
            <w:bottom w:w="0" w:type="dxa"/>
          </w:tblCellMar>
        </w:tblPrEx>
        <w:trPr>
          <w:cantSplit/>
        </w:trPr>
        <w:tc>
          <w:tcPr>
            <w:tcW w:w="3192" w:type="dxa"/>
            <w:tcMar>
              <w:left w:w="227" w:type="dxa"/>
            </w:tcMar>
          </w:tcPr>
          <w:p w:rsidR="00000000" w:rsidRDefault="00000000">
            <w:pPr>
              <w:pStyle w:val="BodyText"/>
              <w:spacing w:after="0" w:line="288" w:lineRule="auto"/>
              <w:jc w:val="left"/>
              <w:rPr>
                <w:sz w:val="22"/>
                <w:szCs w:val="16"/>
              </w:rPr>
            </w:pPr>
            <w:r>
              <w:rPr>
                <w:sz w:val="22"/>
                <w:szCs w:val="16"/>
              </w:rPr>
              <w:t xml:space="preserve">1 – 4 </w:t>
            </w:r>
            <w:r>
              <w:rPr>
                <w:sz w:val="22"/>
                <w:szCs w:val="16"/>
                <w:lang w:val="ru-RU"/>
              </w:rPr>
              <w:t xml:space="preserve"> года</w:t>
            </w:r>
          </w:p>
        </w:tc>
        <w:tc>
          <w:tcPr>
            <w:tcW w:w="1243" w:type="dxa"/>
          </w:tcPr>
          <w:p w:rsidR="00000000" w:rsidRDefault="00000000">
            <w:pPr>
              <w:pStyle w:val="BodyText"/>
              <w:spacing w:after="0" w:line="288" w:lineRule="auto"/>
              <w:ind w:left="624"/>
              <w:rPr>
                <w:sz w:val="22"/>
                <w:szCs w:val="16"/>
              </w:rPr>
            </w:pPr>
            <w:r>
              <w:rPr>
                <w:sz w:val="22"/>
                <w:szCs w:val="16"/>
              </w:rPr>
              <w:t>2</w:t>
            </w:r>
          </w:p>
        </w:tc>
        <w:tc>
          <w:tcPr>
            <w:tcW w:w="1244" w:type="dxa"/>
          </w:tcPr>
          <w:p w:rsidR="00000000" w:rsidRDefault="00000000">
            <w:pPr>
              <w:pStyle w:val="BodyText"/>
              <w:spacing w:after="0" w:line="288" w:lineRule="auto"/>
              <w:ind w:left="624"/>
              <w:rPr>
                <w:sz w:val="22"/>
                <w:szCs w:val="16"/>
              </w:rPr>
            </w:pPr>
            <w:r>
              <w:rPr>
                <w:sz w:val="22"/>
                <w:szCs w:val="16"/>
              </w:rPr>
              <w:t>1</w:t>
            </w:r>
          </w:p>
        </w:tc>
        <w:tc>
          <w:tcPr>
            <w:tcW w:w="1244" w:type="dxa"/>
          </w:tcPr>
          <w:p w:rsidR="00000000" w:rsidRDefault="00000000">
            <w:pPr>
              <w:pStyle w:val="BodyText"/>
              <w:spacing w:after="0" w:line="288" w:lineRule="auto"/>
              <w:ind w:left="624"/>
              <w:rPr>
                <w:sz w:val="22"/>
                <w:szCs w:val="16"/>
              </w:rPr>
            </w:pPr>
            <w:r>
              <w:rPr>
                <w:sz w:val="22"/>
                <w:szCs w:val="16"/>
              </w:rPr>
              <w:t>1</w:t>
            </w:r>
          </w:p>
        </w:tc>
        <w:tc>
          <w:tcPr>
            <w:tcW w:w="1244" w:type="dxa"/>
          </w:tcPr>
          <w:p w:rsidR="00000000" w:rsidRDefault="00000000">
            <w:pPr>
              <w:pStyle w:val="BodyText"/>
              <w:spacing w:after="0" w:line="288" w:lineRule="auto"/>
              <w:ind w:left="624"/>
              <w:rPr>
                <w:sz w:val="22"/>
                <w:szCs w:val="16"/>
              </w:rPr>
            </w:pPr>
            <w:r>
              <w:rPr>
                <w:sz w:val="22"/>
                <w:szCs w:val="16"/>
              </w:rPr>
              <w:t>1</w:t>
            </w:r>
          </w:p>
        </w:tc>
        <w:tc>
          <w:tcPr>
            <w:tcW w:w="1244" w:type="dxa"/>
            <w:tcMar>
              <w:right w:w="340" w:type="dxa"/>
            </w:tcMar>
          </w:tcPr>
          <w:p w:rsidR="00000000" w:rsidRDefault="00000000">
            <w:pPr>
              <w:pStyle w:val="BodyText"/>
              <w:spacing w:after="0" w:line="288" w:lineRule="auto"/>
              <w:ind w:left="338" w:right="-1"/>
              <w:jc w:val="right"/>
              <w:rPr>
                <w:sz w:val="22"/>
                <w:szCs w:val="16"/>
              </w:rPr>
            </w:pPr>
            <w:r>
              <w:rPr>
                <w:sz w:val="22"/>
                <w:szCs w:val="16"/>
              </w:rPr>
              <w:t>5</w:t>
            </w:r>
          </w:p>
        </w:tc>
      </w:tr>
      <w:tr w:rsidR="00000000">
        <w:tblPrEx>
          <w:tblCellMar>
            <w:top w:w="0" w:type="dxa"/>
            <w:bottom w:w="0" w:type="dxa"/>
          </w:tblCellMar>
        </w:tblPrEx>
        <w:trPr>
          <w:cantSplit/>
        </w:trPr>
        <w:tc>
          <w:tcPr>
            <w:tcW w:w="3192" w:type="dxa"/>
            <w:tcMar>
              <w:left w:w="227" w:type="dxa"/>
            </w:tcMar>
          </w:tcPr>
          <w:p w:rsidR="00000000" w:rsidRDefault="00000000">
            <w:pPr>
              <w:pStyle w:val="BodyText"/>
              <w:spacing w:after="0" w:line="288" w:lineRule="auto"/>
              <w:jc w:val="left"/>
              <w:rPr>
                <w:sz w:val="22"/>
                <w:szCs w:val="16"/>
              </w:rPr>
            </w:pPr>
            <w:r>
              <w:rPr>
                <w:sz w:val="22"/>
                <w:szCs w:val="16"/>
              </w:rPr>
              <w:t xml:space="preserve">5 – 9 </w:t>
            </w:r>
            <w:r>
              <w:rPr>
                <w:sz w:val="22"/>
                <w:szCs w:val="16"/>
                <w:lang w:val="ru-RU"/>
              </w:rPr>
              <w:t>лет</w:t>
            </w:r>
          </w:p>
        </w:tc>
        <w:tc>
          <w:tcPr>
            <w:tcW w:w="1243" w:type="dxa"/>
          </w:tcPr>
          <w:p w:rsidR="00000000" w:rsidRDefault="00000000">
            <w:pPr>
              <w:pStyle w:val="BodyText"/>
              <w:spacing w:after="0" w:line="288" w:lineRule="auto"/>
              <w:ind w:left="624"/>
              <w:rPr>
                <w:sz w:val="22"/>
                <w:szCs w:val="16"/>
              </w:rPr>
            </w:pPr>
            <w:r>
              <w:rPr>
                <w:sz w:val="22"/>
                <w:szCs w:val="16"/>
              </w:rPr>
              <w:t>0</w:t>
            </w:r>
          </w:p>
        </w:tc>
        <w:tc>
          <w:tcPr>
            <w:tcW w:w="1244" w:type="dxa"/>
          </w:tcPr>
          <w:p w:rsidR="00000000" w:rsidRDefault="00000000">
            <w:pPr>
              <w:pStyle w:val="BodyText"/>
              <w:spacing w:after="0" w:line="288" w:lineRule="auto"/>
              <w:ind w:left="624"/>
              <w:rPr>
                <w:sz w:val="22"/>
                <w:szCs w:val="16"/>
              </w:rPr>
            </w:pPr>
            <w:r>
              <w:rPr>
                <w:sz w:val="22"/>
                <w:szCs w:val="16"/>
              </w:rPr>
              <w:t>1</w:t>
            </w:r>
          </w:p>
        </w:tc>
        <w:tc>
          <w:tcPr>
            <w:tcW w:w="1244" w:type="dxa"/>
          </w:tcPr>
          <w:p w:rsidR="00000000" w:rsidRDefault="00000000">
            <w:pPr>
              <w:pStyle w:val="BodyText"/>
              <w:spacing w:after="0" w:line="288" w:lineRule="auto"/>
              <w:ind w:left="624"/>
              <w:rPr>
                <w:sz w:val="22"/>
                <w:szCs w:val="16"/>
              </w:rPr>
            </w:pPr>
            <w:r>
              <w:rPr>
                <w:sz w:val="22"/>
                <w:szCs w:val="16"/>
              </w:rPr>
              <w:t>1</w:t>
            </w:r>
          </w:p>
        </w:tc>
        <w:tc>
          <w:tcPr>
            <w:tcW w:w="1244" w:type="dxa"/>
          </w:tcPr>
          <w:p w:rsidR="00000000" w:rsidRDefault="00000000">
            <w:pPr>
              <w:pStyle w:val="BodyText"/>
              <w:spacing w:after="0" w:line="288" w:lineRule="auto"/>
              <w:ind w:left="624"/>
              <w:rPr>
                <w:sz w:val="22"/>
                <w:szCs w:val="16"/>
              </w:rPr>
            </w:pPr>
            <w:r>
              <w:rPr>
                <w:sz w:val="22"/>
                <w:szCs w:val="16"/>
              </w:rPr>
              <w:t>3</w:t>
            </w:r>
          </w:p>
        </w:tc>
        <w:tc>
          <w:tcPr>
            <w:tcW w:w="1244" w:type="dxa"/>
            <w:tcMar>
              <w:right w:w="340" w:type="dxa"/>
            </w:tcMar>
          </w:tcPr>
          <w:p w:rsidR="00000000" w:rsidRDefault="00000000">
            <w:pPr>
              <w:pStyle w:val="BodyText"/>
              <w:spacing w:after="0" w:line="288" w:lineRule="auto"/>
              <w:ind w:left="338" w:right="-1"/>
              <w:jc w:val="right"/>
              <w:rPr>
                <w:sz w:val="22"/>
                <w:szCs w:val="16"/>
              </w:rPr>
            </w:pPr>
            <w:r>
              <w:rPr>
                <w:sz w:val="22"/>
                <w:szCs w:val="16"/>
              </w:rPr>
              <w:t>5</w:t>
            </w:r>
          </w:p>
        </w:tc>
      </w:tr>
      <w:tr w:rsidR="00000000">
        <w:tblPrEx>
          <w:tblCellMar>
            <w:top w:w="0" w:type="dxa"/>
            <w:bottom w:w="0" w:type="dxa"/>
          </w:tblCellMar>
        </w:tblPrEx>
        <w:trPr>
          <w:cantSplit/>
        </w:trPr>
        <w:tc>
          <w:tcPr>
            <w:tcW w:w="3192" w:type="dxa"/>
            <w:tcMar>
              <w:left w:w="227" w:type="dxa"/>
            </w:tcMar>
          </w:tcPr>
          <w:p w:rsidR="00000000" w:rsidRDefault="00000000">
            <w:pPr>
              <w:pStyle w:val="BodyText"/>
              <w:spacing w:after="0" w:line="288" w:lineRule="auto"/>
              <w:jc w:val="left"/>
              <w:rPr>
                <w:sz w:val="22"/>
                <w:szCs w:val="16"/>
              </w:rPr>
            </w:pPr>
            <w:r>
              <w:rPr>
                <w:sz w:val="22"/>
                <w:szCs w:val="16"/>
                <w:lang w:val="ru-RU"/>
              </w:rPr>
              <w:t>Не определена</w:t>
            </w:r>
          </w:p>
        </w:tc>
        <w:tc>
          <w:tcPr>
            <w:tcW w:w="1243" w:type="dxa"/>
          </w:tcPr>
          <w:p w:rsidR="00000000" w:rsidRDefault="00000000">
            <w:pPr>
              <w:pStyle w:val="BodyText"/>
              <w:spacing w:after="0" w:line="288" w:lineRule="auto"/>
              <w:ind w:left="624"/>
              <w:rPr>
                <w:sz w:val="22"/>
                <w:szCs w:val="16"/>
              </w:rPr>
            </w:pPr>
            <w:r>
              <w:rPr>
                <w:sz w:val="22"/>
                <w:szCs w:val="16"/>
              </w:rPr>
              <w:t>0</w:t>
            </w:r>
          </w:p>
        </w:tc>
        <w:tc>
          <w:tcPr>
            <w:tcW w:w="1244" w:type="dxa"/>
          </w:tcPr>
          <w:p w:rsidR="00000000" w:rsidRDefault="00000000">
            <w:pPr>
              <w:pStyle w:val="BodyText"/>
              <w:spacing w:after="0" w:line="288" w:lineRule="auto"/>
              <w:ind w:left="624"/>
              <w:rPr>
                <w:sz w:val="22"/>
                <w:szCs w:val="16"/>
              </w:rPr>
            </w:pPr>
            <w:r>
              <w:rPr>
                <w:sz w:val="22"/>
                <w:szCs w:val="16"/>
              </w:rPr>
              <w:t>0</w:t>
            </w:r>
          </w:p>
        </w:tc>
        <w:tc>
          <w:tcPr>
            <w:tcW w:w="1244" w:type="dxa"/>
          </w:tcPr>
          <w:p w:rsidR="00000000" w:rsidRDefault="00000000">
            <w:pPr>
              <w:pStyle w:val="BodyText"/>
              <w:spacing w:after="0" w:line="288" w:lineRule="auto"/>
              <w:ind w:left="624"/>
              <w:rPr>
                <w:sz w:val="22"/>
                <w:szCs w:val="16"/>
              </w:rPr>
            </w:pPr>
            <w:r>
              <w:rPr>
                <w:sz w:val="22"/>
                <w:szCs w:val="16"/>
              </w:rPr>
              <w:t>0</w:t>
            </w:r>
          </w:p>
        </w:tc>
        <w:tc>
          <w:tcPr>
            <w:tcW w:w="1244" w:type="dxa"/>
          </w:tcPr>
          <w:p w:rsidR="00000000" w:rsidRDefault="00000000">
            <w:pPr>
              <w:pStyle w:val="BodyText"/>
              <w:tabs>
                <w:tab w:val="left" w:pos="608"/>
              </w:tabs>
              <w:spacing w:after="0" w:line="288" w:lineRule="auto"/>
              <w:ind w:left="618" w:hanging="10"/>
              <w:rPr>
                <w:sz w:val="22"/>
                <w:szCs w:val="16"/>
              </w:rPr>
            </w:pPr>
            <w:r>
              <w:rPr>
                <w:sz w:val="22"/>
                <w:szCs w:val="16"/>
              </w:rPr>
              <w:t>1</w:t>
            </w:r>
          </w:p>
        </w:tc>
        <w:tc>
          <w:tcPr>
            <w:tcW w:w="1244" w:type="dxa"/>
            <w:tcMar>
              <w:right w:w="340" w:type="dxa"/>
            </w:tcMar>
          </w:tcPr>
          <w:p w:rsidR="00000000" w:rsidRDefault="00000000">
            <w:pPr>
              <w:pStyle w:val="BodyText"/>
              <w:spacing w:after="0" w:line="288" w:lineRule="auto"/>
              <w:ind w:left="338" w:right="-1"/>
              <w:jc w:val="right"/>
              <w:rPr>
                <w:sz w:val="22"/>
                <w:szCs w:val="16"/>
              </w:rPr>
            </w:pPr>
            <w:r>
              <w:rPr>
                <w:sz w:val="22"/>
                <w:szCs w:val="16"/>
              </w:rPr>
              <w:t>1</w:t>
            </w:r>
          </w:p>
        </w:tc>
      </w:tr>
      <w:tr w:rsidR="00000000">
        <w:tblPrEx>
          <w:tblCellMar>
            <w:top w:w="0" w:type="dxa"/>
            <w:bottom w:w="0" w:type="dxa"/>
          </w:tblCellMar>
        </w:tblPrEx>
        <w:trPr>
          <w:cantSplit/>
        </w:trPr>
        <w:tc>
          <w:tcPr>
            <w:tcW w:w="3192" w:type="dxa"/>
            <w:tcMar>
              <w:left w:w="227" w:type="dxa"/>
            </w:tcMar>
          </w:tcPr>
          <w:p w:rsidR="00000000" w:rsidRDefault="00000000">
            <w:pPr>
              <w:pStyle w:val="BodyText"/>
              <w:spacing w:after="0" w:line="288" w:lineRule="auto"/>
              <w:jc w:val="left"/>
              <w:rPr>
                <w:b/>
                <w:bCs/>
                <w:sz w:val="22"/>
                <w:szCs w:val="16"/>
              </w:rPr>
            </w:pPr>
            <w:r>
              <w:rPr>
                <w:b/>
                <w:bCs/>
                <w:sz w:val="22"/>
                <w:szCs w:val="16"/>
                <w:lang w:val="ru-RU"/>
              </w:rPr>
              <w:t>ИТОГО</w:t>
            </w:r>
          </w:p>
        </w:tc>
        <w:tc>
          <w:tcPr>
            <w:tcW w:w="1243" w:type="dxa"/>
          </w:tcPr>
          <w:p w:rsidR="00000000" w:rsidRDefault="00000000">
            <w:pPr>
              <w:pStyle w:val="BodyText"/>
              <w:spacing w:after="0" w:line="288" w:lineRule="auto"/>
              <w:ind w:left="624"/>
              <w:rPr>
                <w:b/>
                <w:bCs/>
                <w:sz w:val="22"/>
                <w:szCs w:val="16"/>
              </w:rPr>
            </w:pPr>
            <w:r>
              <w:rPr>
                <w:b/>
                <w:bCs/>
                <w:sz w:val="22"/>
                <w:szCs w:val="16"/>
              </w:rPr>
              <w:t>4</w:t>
            </w:r>
          </w:p>
        </w:tc>
        <w:tc>
          <w:tcPr>
            <w:tcW w:w="1244" w:type="dxa"/>
          </w:tcPr>
          <w:p w:rsidR="00000000" w:rsidRDefault="00000000">
            <w:pPr>
              <w:pStyle w:val="BodyText"/>
              <w:spacing w:after="0" w:line="288" w:lineRule="auto"/>
              <w:ind w:left="624"/>
              <w:rPr>
                <w:b/>
                <w:bCs/>
                <w:sz w:val="22"/>
                <w:szCs w:val="16"/>
              </w:rPr>
            </w:pPr>
            <w:r>
              <w:rPr>
                <w:b/>
                <w:bCs/>
                <w:sz w:val="22"/>
                <w:szCs w:val="16"/>
              </w:rPr>
              <w:t>3</w:t>
            </w:r>
          </w:p>
        </w:tc>
        <w:tc>
          <w:tcPr>
            <w:tcW w:w="1244" w:type="dxa"/>
          </w:tcPr>
          <w:p w:rsidR="00000000" w:rsidRDefault="00000000">
            <w:pPr>
              <w:pStyle w:val="BodyText"/>
              <w:spacing w:after="0" w:line="288" w:lineRule="auto"/>
              <w:ind w:left="624"/>
              <w:rPr>
                <w:b/>
                <w:bCs/>
                <w:sz w:val="22"/>
                <w:szCs w:val="16"/>
              </w:rPr>
            </w:pPr>
            <w:r>
              <w:rPr>
                <w:b/>
                <w:bCs/>
                <w:sz w:val="22"/>
                <w:szCs w:val="16"/>
              </w:rPr>
              <w:t>3</w:t>
            </w:r>
          </w:p>
        </w:tc>
        <w:tc>
          <w:tcPr>
            <w:tcW w:w="1244" w:type="dxa"/>
          </w:tcPr>
          <w:p w:rsidR="00000000" w:rsidRDefault="00000000">
            <w:pPr>
              <w:pStyle w:val="BodyText"/>
              <w:spacing w:after="0" w:line="288" w:lineRule="auto"/>
              <w:ind w:left="624"/>
              <w:rPr>
                <w:b/>
                <w:bCs/>
                <w:sz w:val="22"/>
                <w:szCs w:val="16"/>
              </w:rPr>
            </w:pPr>
            <w:r>
              <w:rPr>
                <w:b/>
                <w:bCs/>
                <w:sz w:val="22"/>
                <w:szCs w:val="16"/>
              </w:rPr>
              <w:t>6</w:t>
            </w:r>
          </w:p>
        </w:tc>
        <w:tc>
          <w:tcPr>
            <w:tcW w:w="1244" w:type="dxa"/>
            <w:tcMar>
              <w:right w:w="340" w:type="dxa"/>
            </w:tcMar>
          </w:tcPr>
          <w:p w:rsidR="00000000" w:rsidRDefault="00000000">
            <w:pPr>
              <w:pStyle w:val="BodyText"/>
              <w:spacing w:after="0" w:line="288" w:lineRule="auto"/>
              <w:ind w:left="338" w:right="-1"/>
              <w:jc w:val="right"/>
              <w:rPr>
                <w:b/>
                <w:bCs/>
                <w:sz w:val="22"/>
                <w:szCs w:val="16"/>
              </w:rPr>
            </w:pPr>
            <w:r>
              <w:rPr>
                <w:b/>
                <w:bCs/>
                <w:sz w:val="22"/>
                <w:szCs w:val="16"/>
              </w:rPr>
              <w:t>16</w:t>
            </w:r>
          </w:p>
        </w:tc>
      </w:tr>
    </w:tbl>
    <w:p w:rsidR="00000000" w:rsidRDefault="00000000">
      <w:pPr>
        <w:spacing w:line="216" w:lineRule="auto"/>
        <w:rPr>
          <w:sz w:val="16"/>
          <w:lang w:val="en-US"/>
        </w:rPr>
      </w:pPr>
    </w:p>
    <w:p w:rsidR="00000000" w:rsidRDefault="00000000">
      <w:pPr>
        <w:spacing w:line="216" w:lineRule="auto"/>
        <w:rPr>
          <w:sz w:val="22"/>
        </w:rPr>
      </w:pPr>
      <w:r>
        <w:rPr>
          <w:sz w:val="22"/>
        </w:rPr>
        <w:t>Источник</w:t>
      </w:r>
      <w:r>
        <w:rPr>
          <w:sz w:val="22"/>
          <w:lang w:val="es-PY"/>
        </w:rPr>
        <w:t xml:space="preserve">:  </w:t>
      </w:r>
      <w:r>
        <w:rPr>
          <w:sz w:val="22"/>
        </w:rPr>
        <w:t>Департамент эпидемиологического контроля</w:t>
      </w:r>
      <w:r>
        <w:rPr>
          <w:sz w:val="22"/>
          <w:lang w:val="es-PY"/>
        </w:rPr>
        <w:t xml:space="preserve">.  </w:t>
      </w:r>
      <w:r>
        <w:rPr>
          <w:sz w:val="22"/>
        </w:rPr>
        <w:t xml:space="preserve">Программа борьбы с ВИЧ/СПИДом МЗСО. </w:t>
      </w:r>
    </w:p>
    <w:p w:rsidR="00000000" w:rsidRDefault="00000000"/>
    <w:p w:rsidR="00000000" w:rsidRDefault="00000000">
      <w:pPr>
        <w:rPr>
          <w:b/>
          <w:bCs/>
        </w:rPr>
      </w:pPr>
      <w:r>
        <w:rPr>
          <w:b/>
          <w:bCs/>
        </w:rPr>
        <w:t>2.2</w:t>
      </w:r>
      <w:r>
        <w:rPr>
          <w:b/>
          <w:bCs/>
        </w:rPr>
        <w:tab/>
        <w:t>Смертность в результате жестокого обращения с детьми</w:t>
      </w:r>
    </w:p>
    <w:p w:rsidR="00000000" w:rsidRDefault="00000000">
      <w:pPr>
        <w:rPr>
          <w:b/>
          <w:bCs/>
        </w:rPr>
      </w:pPr>
    </w:p>
    <w:p w:rsidR="00000000" w:rsidRDefault="00000000">
      <w:r>
        <w:t>22.</w:t>
      </w:r>
      <w:r>
        <w:tab/>
        <w:t>По данным министерства, касающимся смертности, за последние пять лет в стране имело место 12 случаев гибели детей в результате жестокого обращения, из них в 10 случаях речь шла о младенцах в возрасте до одного года.</w:t>
      </w:r>
    </w:p>
    <w:p w:rsidR="00000000" w:rsidRDefault="00000000">
      <w:pPr>
        <w:spacing w:line="240" w:lineRule="auto"/>
      </w:pPr>
    </w:p>
    <w:p w:rsidR="00000000" w:rsidRDefault="00000000">
      <w:pPr>
        <w:spacing w:beforeLines="40" w:before="96" w:afterLines="40" w:after="96" w:line="240" w:lineRule="auto"/>
        <w:jc w:val="center"/>
        <w:rPr>
          <w:b/>
          <w:szCs w:val="16"/>
        </w:rPr>
      </w:pPr>
      <w:r>
        <w:rPr>
          <w:b/>
          <w:szCs w:val="16"/>
        </w:rPr>
        <w:t>Смертность по категории детей в возрасте до 10 лет в результате насилия и жестокого обращения, Парагвай, 1999-2003 годы</w:t>
      </w:r>
    </w:p>
    <w:p w:rsidR="00000000" w:rsidRDefault="00000000">
      <w:pPr>
        <w:spacing w:beforeLines="40" w:before="96" w:afterLines="40" w:after="96" w:line="216" w:lineRule="auto"/>
        <w:jc w:val="center"/>
        <w:rPr>
          <w:b/>
          <w:sz w:val="16"/>
          <w:szCs w:val="16"/>
        </w:rPr>
      </w:pPr>
    </w:p>
    <w:tbl>
      <w:tblPr>
        <w:tblW w:w="0" w:type="auto"/>
        <w:jc w:val="center"/>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40"/>
        <w:gridCol w:w="2433"/>
      </w:tblGrid>
      <w:tr w:rsidR="00000000">
        <w:tblPrEx>
          <w:tblCellMar>
            <w:top w:w="0" w:type="dxa"/>
            <w:bottom w:w="0" w:type="dxa"/>
          </w:tblCellMar>
        </w:tblPrEx>
        <w:trPr>
          <w:jc w:val="center"/>
        </w:trPr>
        <w:tc>
          <w:tcPr>
            <w:tcW w:w="1440" w:type="dxa"/>
          </w:tcPr>
          <w:p w:rsidR="00000000" w:rsidRDefault="00000000">
            <w:pPr>
              <w:spacing w:line="240" w:lineRule="auto"/>
              <w:rPr>
                <w:b/>
                <w:bCs/>
                <w:szCs w:val="16"/>
              </w:rPr>
            </w:pPr>
            <w:r>
              <w:rPr>
                <w:b/>
                <w:bCs/>
                <w:szCs w:val="16"/>
              </w:rPr>
              <w:t>Годы</w:t>
            </w:r>
          </w:p>
        </w:tc>
        <w:tc>
          <w:tcPr>
            <w:tcW w:w="2433" w:type="dxa"/>
          </w:tcPr>
          <w:p w:rsidR="00000000" w:rsidRDefault="00000000">
            <w:pPr>
              <w:spacing w:line="240" w:lineRule="auto"/>
              <w:rPr>
                <w:b/>
                <w:bCs/>
                <w:szCs w:val="16"/>
              </w:rPr>
            </w:pPr>
            <w:r>
              <w:rPr>
                <w:b/>
                <w:bCs/>
                <w:szCs w:val="16"/>
              </w:rPr>
              <w:t>Количество смертей</w:t>
            </w:r>
          </w:p>
        </w:tc>
      </w:tr>
      <w:tr w:rsidR="00000000">
        <w:tblPrEx>
          <w:tblCellMar>
            <w:top w:w="0" w:type="dxa"/>
            <w:bottom w:w="0" w:type="dxa"/>
          </w:tblCellMar>
        </w:tblPrEx>
        <w:trPr>
          <w:jc w:val="center"/>
        </w:trPr>
        <w:tc>
          <w:tcPr>
            <w:tcW w:w="1440" w:type="dxa"/>
          </w:tcPr>
          <w:p w:rsidR="00000000" w:rsidRDefault="00000000">
            <w:pPr>
              <w:spacing w:line="240" w:lineRule="auto"/>
              <w:rPr>
                <w:szCs w:val="16"/>
              </w:rPr>
            </w:pPr>
            <w:r>
              <w:rPr>
                <w:szCs w:val="16"/>
                <w:lang w:val="fr-FR"/>
              </w:rPr>
              <w:t>1999</w:t>
            </w:r>
            <w:r>
              <w:rPr>
                <w:szCs w:val="16"/>
              </w:rPr>
              <w:t xml:space="preserve"> год</w:t>
            </w:r>
          </w:p>
        </w:tc>
        <w:tc>
          <w:tcPr>
            <w:tcW w:w="2433" w:type="dxa"/>
          </w:tcPr>
          <w:p w:rsidR="00000000" w:rsidRDefault="00000000">
            <w:pPr>
              <w:spacing w:line="240" w:lineRule="auto"/>
              <w:jc w:val="center"/>
              <w:rPr>
                <w:szCs w:val="16"/>
                <w:lang w:val="fr-FR"/>
              </w:rPr>
            </w:pPr>
            <w:r>
              <w:rPr>
                <w:szCs w:val="16"/>
                <w:lang w:val="fr-FR"/>
              </w:rPr>
              <w:t>1</w:t>
            </w:r>
          </w:p>
        </w:tc>
      </w:tr>
      <w:tr w:rsidR="00000000">
        <w:tblPrEx>
          <w:tblCellMar>
            <w:top w:w="0" w:type="dxa"/>
            <w:bottom w:w="0" w:type="dxa"/>
          </w:tblCellMar>
        </w:tblPrEx>
        <w:trPr>
          <w:jc w:val="center"/>
        </w:trPr>
        <w:tc>
          <w:tcPr>
            <w:tcW w:w="1440" w:type="dxa"/>
          </w:tcPr>
          <w:p w:rsidR="00000000" w:rsidRDefault="00000000">
            <w:pPr>
              <w:spacing w:line="240" w:lineRule="auto"/>
              <w:rPr>
                <w:szCs w:val="16"/>
                <w:lang w:val="fr-FR"/>
              </w:rPr>
            </w:pPr>
            <w:r>
              <w:rPr>
                <w:szCs w:val="16"/>
                <w:lang w:val="fr-FR"/>
              </w:rPr>
              <w:t>2000</w:t>
            </w:r>
            <w:r>
              <w:rPr>
                <w:szCs w:val="16"/>
              </w:rPr>
              <w:t xml:space="preserve"> год</w:t>
            </w:r>
          </w:p>
        </w:tc>
        <w:tc>
          <w:tcPr>
            <w:tcW w:w="2433" w:type="dxa"/>
          </w:tcPr>
          <w:p w:rsidR="00000000" w:rsidRDefault="00000000">
            <w:pPr>
              <w:spacing w:line="240" w:lineRule="auto"/>
              <w:jc w:val="center"/>
              <w:rPr>
                <w:szCs w:val="16"/>
                <w:lang w:val="fr-FR"/>
              </w:rPr>
            </w:pPr>
            <w:r>
              <w:rPr>
                <w:szCs w:val="16"/>
                <w:lang w:val="fr-FR"/>
              </w:rPr>
              <w:t>2</w:t>
            </w:r>
          </w:p>
        </w:tc>
      </w:tr>
      <w:tr w:rsidR="00000000">
        <w:tblPrEx>
          <w:tblCellMar>
            <w:top w:w="0" w:type="dxa"/>
            <w:bottom w:w="0" w:type="dxa"/>
          </w:tblCellMar>
        </w:tblPrEx>
        <w:trPr>
          <w:jc w:val="center"/>
        </w:trPr>
        <w:tc>
          <w:tcPr>
            <w:tcW w:w="1440" w:type="dxa"/>
          </w:tcPr>
          <w:p w:rsidR="00000000" w:rsidRDefault="00000000">
            <w:pPr>
              <w:spacing w:line="240" w:lineRule="auto"/>
              <w:rPr>
                <w:szCs w:val="16"/>
                <w:lang w:val="fr-FR"/>
              </w:rPr>
            </w:pPr>
            <w:r>
              <w:rPr>
                <w:szCs w:val="16"/>
                <w:lang w:val="fr-FR"/>
              </w:rPr>
              <w:t>2001</w:t>
            </w:r>
            <w:r>
              <w:rPr>
                <w:szCs w:val="16"/>
              </w:rPr>
              <w:t xml:space="preserve"> год</w:t>
            </w:r>
          </w:p>
        </w:tc>
        <w:tc>
          <w:tcPr>
            <w:tcW w:w="2433" w:type="dxa"/>
          </w:tcPr>
          <w:p w:rsidR="00000000" w:rsidRDefault="00000000">
            <w:pPr>
              <w:spacing w:line="240" w:lineRule="auto"/>
              <w:jc w:val="center"/>
              <w:rPr>
                <w:szCs w:val="16"/>
                <w:lang w:val="fr-FR"/>
              </w:rPr>
            </w:pPr>
            <w:r>
              <w:rPr>
                <w:szCs w:val="16"/>
                <w:lang w:val="fr-FR"/>
              </w:rPr>
              <w:t>4</w:t>
            </w:r>
          </w:p>
        </w:tc>
      </w:tr>
      <w:tr w:rsidR="00000000">
        <w:tblPrEx>
          <w:tblCellMar>
            <w:top w:w="0" w:type="dxa"/>
            <w:bottom w:w="0" w:type="dxa"/>
          </w:tblCellMar>
        </w:tblPrEx>
        <w:trPr>
          <w:jc w:val="center"/>
        </w:trPr>
        <w:tc>
          <w:tcPr>
            <w:tcW w:w="1440" w:type="dxa"/>
          </w:tcPr>
          <w:p w:rsidR="00000000" w:rsidRDefault="00000000">
            <w:pPr>
              <w:spacing w:line="240" w:lineRule="auto"/>
              <w:rPr>
                <w:szCs w:val="16"/>
                <w:lang w:val="fr-FR"/>
              </w:rPr>
            </w:pPr>
            <w:r>
              <w:rPr>
                <w:szCs w:val="16"/>
                <w:lang w:val="fr-FR"/>
              </w:rPr>
              <w:t>2002</w:t>
            </w:r>
            <w:r>
              <w:rPr>
                <w:szCs w:val="16"/>
              </w:rPr>
              <w:t xml:space="preserve"> год</w:t>
            </w:r>
          </w:p>
        </w:tc>
        <w:tc>
          <w:tcPr>
            <w:tcW w:w="2433" w:type="dxa"/>
          </w:tcPr>
          <w:p w:rsidR="00000000" w:rsidRDefault="00000000">
            <w:pPr>
              <w:spacing w:line="240" w:lineRule="auto"/>
              <w:jc w:val="center"/>
              <w:rPr>
                <w:szCs w:val="16"/>
                <w:lang w:val="fr-FR"/>
              </w:rPr>
            </w:pPr>
            <w:r>
              <w:rPr>
                <w:szCs w:val="16"/>
                <w:lang w:val="fr-FR"/>
              </w:rPr>
              <w:t>0</w:t>
            </w:r>
          </w:p>
        </w:tc>
      </w:tr>
      <w:tr w:rsidR="00000000">
        <w:tblPrEx>
          <w:tblCellMar>
            <w:top w:w="0" w:type="dxa"/>
            <w:bottom w:w="0" w:type="dxa"/>
          </w:tblCellMar>
        </w:tblPrEx>
        <w:trPr>
          <w:jc w:val="center"/>
        </w:trPr>
        <w:tc>
          <w:tcPr>
            <w:tcW w:w="1440" w:type="dxa"/>
          </w:tcPr>
          <w:p w:rsidR="00000000" w:rsidRDefault="00000000">
            <w:pPr>
              <w:spacing w:line="240" w:lineRule="auto"/>
              <w:rPr>
                <w:szCs w:val="16"/>
                <w:lang w:val="fr-FR"/>
              </w:rPr>
            </w:pPr>
            <w:r>
              <w:rPr>
                <w:szCs w:val="16"/>
                <w:lang w:val="fr-FR"/>
              </w:rPr>
              <w:t>2003</w:t>
            </w:r>
            <w:r>
              <w:rPr>
                <w:szCs w:val="16"/>
              </w:rPr>
              <w:t xml:space="preserve"> год</w:t>
            </w:r>
          </w:p>
        </w:tc>
        <w:tc>
          <w:tcPr>
            <w:tcW w:w="2433" w:type="dxa"/>
          </w:tcPr>
          <w:p w:rsidR="00000000" w:rsidRDefault="00000000">
            <w:pPr>
              <w:spacing w:line="240" w:lineRule="auto"/>
              <w:jc w:val="center"/>
              <w:rPr>
                <w:szCs w:val="16"/>
                <w:lang w:val="fr-FR"/>
              </w:rPr>
            </w:pPr>
            <w:r>
              <w:rPr>
                <w:szCs w:val="16"/>
                <w:lang w:val="fr-FR"/>
              </w:rPr>
              <w:t>5</w:t>
            </w:r>
          </w:p>
        </w:tc>
      </w:tr>
      <w:tr w:rsidR="00000000">
        <w:tblPrEx>
          <w:tblCellMar>
            <w:top w:w="0" w:type="dxa"/>
            <w:bottom w:w="0" w:type="dxa"/>
          </w:tblCellMar>
        </w:tblPrEx>
        <w:trPr>
          <w:jc w:val="center"/>
        </w:trPr>
        <w:tc>
          <w:tcPr>
            <w:tcW w:w="1440" w:type="dxa"/>
          </w:tcPr>
          <w:p w:rsidR="00000000" w:rsidRDefault="00000000">
            <w:pPr>
              <w:spacing w:line="240" w:lineRule="auto"/>
              <w:rPr>
                <w:b/>
                <w:bCs/>
                <w:szCs w:val="16"/>
              </w:rPr>
            </w:pPr>
            <w:r>
              <w:rPr>
                <w:b/>
                <w:bCs/>
                <w:szCs w:val="16"/>
              </w:rPr>
              <w:t>Итого</w:t>
            </w:r>
          </w:p>
        </w:tc>
        <w:tc>
          <w:tcPr>
            <w:tcW w:w="2433" w:type="dxa"/>
          </w:tcPr>
          <w:p w:rsidR="00000000" w:rsidRDefault="00000000">
            <w:pPr>
              <w:spacing w:line="240" w:lineRule="auto"/>
              <w:jc w:val="center"/>
              <w:rPr>
                <w:b/>
                <w:bCs/>
                <w:szCs w:val="16"/>
                <w:lang w:val="fr-FR"/>
              </w:rPr>
            </w:pPr>
            <w:r>
              <w:rPr>
                <w:b/>
                <w:bCs/>
                <w:szCs w:val="16"/>
                <w:lang w:val="fr-FR"/>
              </w:rPr>
              <w:t>12</w:t>
            </w:r>
          </w:p>
        </w:tc>
      </w:tr>
    </w:tbl>
    <w:p w:rsidR="00000000" w:rsidRDefault="00000000">
      <w:pPr>
        <w:spacing w:line="216" w:lineRule="auto"/>
        <w:rPr>
          <w:sz w:val="16"/>
          <w:szCs w:val="16"/>
        </w:rPr>
      </w:pPr>
    </w:p>
    <w:p w:rsidR="00000000" w:rsidRDefault="00000000">
      <w:pPr>
        <w:spacing w:line="216" w:lineRule="auto"/>
        <w:rPr>
          <w:szCs w:val="16"/>
        </w:rPr>
      </w:pPr>
      <w:r>
        <w:rPr>
          <w:szCs w:val="16"/>
        </w:rPr>
        <w:tab/>
      </w:r>
      <w:r>
        <w:rPr>
          <w:i/>
          <w:iCs/>
          <w:szCs w:val="16"/>
        </w:rPr>
        <w:t>Источник</w:t>
      </w:r>
      <w:r>
        <w:rPr>
          <w:szCs w:val="16"/>
        </w:rPr>
        <w:t>:  Свидетельства о смерти, департамент биостатистики МЗСО.</w:t>
      </w:r>
    </w:p>
    <w:p w:rsidR="00000000" w:rsidRDefault="00000000">
      <w:pPr>
        <w:spacing w:line="240" w:lineRule="auto"/>
        <w:rPr>
          <w:szCs w:val="16"/>
        </w:rPr>
      </w:pPr>
    </w:p>
    <w:p w:rsidR="00000000" w:rsidRDefault="00000000">
      <w:pPr>
        <w:rPr>
          <w:b/>
        </w:rPr>
      </w:pPr>
      <w:r>
        <w:rPr>
          <w:b/>
        </w:rPr>
        <w:t xml:space="preserve">2.3 </w:t>
      </w:r>
      <w:r>
        <w:rPr>
          <w:b/>
        </w:rPr>
        <w:tab/>
        <w:t>Детская смертность из-за неоказания медицинской помощи</w:t>
      </w:r>
    </w:p>
    <w:p w:rsidR="00000000" w:rsidRDefault="00000000">
      <w:pPr>
        <w:rPr>
          <w:b/>
        </w:rPr>
      </w:pPr>
    </w:p>
    <w:p w:rsidR="00000000" w:rsidRDefault="00000000">
      <w:pPr>
        <w:autoSpaceDE w:val="0"/>
        <w:autoSpaceDN w:val="0"/>
        <w:adjustRightInd w:val="0"/>
      </w:pPr>
      <w:r>
        <w:t>23.</w:t>
      </w:r>
      <w:r>
        <w:tab/>
        <w:t>В 1992 году была зарегистрирована смерть 1 611 детей, 34% из которых перед этим не была оказана медицинская помощь.  В 2003 году из 1</w:t>
      </w:r>
      <w:r>
        <w:rPr>
          <w:lang w:val="fr-FR"/>
        </w:rPr>
        <w:t> </w:t>
      </w:r>
      <w:r>
        <w:t>683 умерших детей медицинскую помощь не получили 162 ребенка.  В 1992 году на каждые 100 умерших детей приходилось 34 ребенка, которые не получили медицинскую помощь.  В 2003 году на каждые 100 умерших детей приходилось 10 детей, не получивших помощь.</w:t>
      </w:r>
    </w:p>
    <w:p w:rsidR="00000000" w:rsidRDefault="00000000">
      <w:pPr>
        <w:autoSpaceDE w:val="0"/>
        <w:autoSpaceDN w:val="0"/>
        <w:adjustRightInd w:val="0"/>
      </w:pPr>
    </w:p>
    <w:p w:rsidR="00000000" w:rsidRDefault="00000000">
      <w:pPr>
        <w:autoSpaceDE w:val="0"/>
        <w:autoSpaceDN w:val="0"/>
        <w:adjustRightInd w:val="0"/>
      </w:pPr>
      <w:r>
        <w:rPr>
          <w:bCs/>
        </w:rPr>
        <w:t>24.</w:t>
      </w:r>
      <w:r>
        <w:rPr>
          <w:b/>
        </w:rPr>
        <w:tab/>
      </w:r>
      <w:r>
        <w:rPr>
          <w:bCs/>
          <w:i/>
          <w:iCs/>
        </w:rPr>
        <w:t>Городские районы</w:t>
      </w:r>
      <w:r>
        <w:t>:  городскими районами называются центры официальных округов, которые в соответствии с административными законами разбиты на кварталы, без учета иных особых соображений.</w:t>
      </w:r>
    </w:p>
    <w:p w:rsidR="00000000" w:rsidRDefault="00000000">
      <w:pPr>
        <w:autoSpaceDE w:val="0"/>
        <w:autoSpaceDN w:val="0"/>
        <w:adjustRightInd w:val="0"/>
      </w:pPr>
    </w:p>
    <w:p w:rsidR="00000000" w:rsidRDefault="00000000">
      <w:pPr>
        <w:autoSpaceDE w:val="0"/>
        <w:autoSpaceDN w:val="0"/>
        <w:adjustRightInd w:val="0"/>
      </w:pPr>
      <w:r>
        <w:rPr>
          <w:bCs/>
        </w:rPr>
        <w:t>25.</w:t>
      </w:r>
      <w:r>
        <w:rPr>
          <w:b/>
        </w:rPr>
        <w:tab/>
      </w:r>
      <w:r>
        <w:rPr>
          <w:bCs/>
          <w:i/>
          <w:iCs/>
        </w:rPr>
        <w:t>Сельские районы</w:t>
      </w:r>
      <w:r>
        <w:rPr>
          <w:b/>
        </w:rPr>
        <w:t>:</w:t>
      </w:r>
      <w:r>
        <w:t xml:space="preserve">  сельскими районами считаются не поделенные на кварталы районы без учета численности жителей.</w:t>
      </w:r>
    </w:p>
    <w:p w:rsidR="00000000" w:rsidRDefault="00000000">
      <w:pPr>
        <w:autoSpaceDE w:val="0"/>
        <w:autoSpaceDN w:val="0"/>
        <w:adjustRightInd w:val="0"/>
      </w:pPr>
    </w:p>
    <w:p w:rsidR="00000000" w:rsidRDefault="00000000">
      <w:pPr>
        <w:rPr>
          <w:b/>
        </w:rPr>
      </w:pPr>
      <w:r>
        <w:rPr>
          <w:b/>
        </w:rPr>
        <w:t>3.</w:t>
      </w:r>
      <w:r>
        <w:rPr>
          <w:b/>
        </w:rPr>
        <w:tab/>
        <w:t>Коэффициент рождаемости</w:t>
      </w:r>
    </w:p>
    <w:p w:rsidR="00000000" w:rsidRDefault="00000000">
      <w:pPr>
        <w:rPr>
          <w:b/>
        </w:rPr>
      </w:pPr>
    </w:p>
    <w:p w:rsidR="00000000" w:rsidRDefault="00000000">
      <w:pPr>
        <w:autoSpaceDE w:val="0"/>
        <w:autoSpaceDN w:val="0"/>
        <w:adjustRightInd w:val="0"/>
      </w:pPr>
      <w:r>
        <w:t>26.</w:t>
      </w:r>
      <w:r>
        <w:tab/>
        <w:t>Рождаемость в Парагвае существенно снизилась, особенно за последние шесть лет, хотя по определенным подгруппам населения ее уровень по</w:t>
      </w:r>
      <w:r>
        <w:noBreakHyphen/>
        <w:t>прежнему является высоким.  Оценки рождаемости составляются на основе данных о детях, рожденных у женщин в возрасте от 15 до 44 лет, которые были опрошены в рамках проведенного в 2004 году Национального обследования в области демографии и сексуального и репродуктивного здоровья (ЕНДССР 2004 года).  Общий коэффициент рождаемости на национальном уровне у женщин в возрасте от 15 до 44 лет составил в 2001-2004 годах 2,9 ребенка на женщину.  В связи с этим можно отметить, что в соответствии с результатами различных обследований, проведенных в стране с 1990 года, после почти десяти лет (1990-1998 годы) медленного снижения рождаемости в Парагвае было отмечено значительное снижение общего коэффициента рождаемости в период с 1998 по 2004 годы.  Это снижение сопровождалось существенным повышением уровня образования женщин в Парагвае.</w:t>
      </w:r>
    </w:p>
    <w:p w:rsidR="00000000" w:rsidRDefault="00000000"/>
    <w:p w:rsidR="00000000" w:rsidRDefault="00000000">
      <w:pPr>
        <w:jc w:val="center"/>
        <w:rPr>
          <w:b/>
          <w:bCs/>
        </w:rPr>
      </w:pPr>
      <w:r>
        <w:rPr>
          <w:b/>
          <w:bCs/>
        </w:rPr>
        <w:t>График 1</w:t>
      </w:r>
    </w:p>
    <w:p w:rsidR="00000000" w:rsidRDefault="00000000"/>
    <w:bookmarkStart w:id="3" w:name="_MON_1238400443"/>
    <w:bookmarkStart w:id="4" w:name="_MON_1238401321"/>
    <w:bookmarkStart w:id="5" w:name="_MON_1238401835"/>
    <w:bookmarkStart w:id="6" w:name="_MON_1238401887"/>
    <w:bookmarkStart w:id="7" w:name="_MON_1238401938"/>
    <w:bookmarkStart w:id="8" w:name="_MON_1238401974"/>
    <w:bookmarkStart w:id="9" w:name="_MON_1238402025"/>
    <w:bookmarkStart w:id="10" w:name="_MON_1238402040"/>
    <w:bookmarkStart w:id="11" w:name="_MON_1238407598"/>
    <w:bookmarkStart w:id="12" w:name="_MON_1238407689"/>
    <w:bookmarkStart w:id="13" w:name="_MON_1238407770"/>
    <w:bookmarkStart w:id="14" w:name="_MON_1238407812"/>
    <w:bookmarkStart w:id="15" w:name="_MON_1238407880"/>
    <w:bookmarkStart w:id="16" w:name="_MON_1238407903"/>
    <w:bookmarkStart w:id="17" w:name="_MON_1238408077"/>
    <w:bookmarkStart w:id="18" w:name="_MON_1238408140"/>
    <w:bookmarkStart w:id="19" w:name="_MON_1238408165"/>
    <w:bookmarkStart w:id="20" w:name="_MON_1238408370"/>
    <w:bookmarkStart w:id="21" w:name="_MON_1245584041"/>
    <w:bookmarkStart w:id="22" w:name="_MON_1245584208"/>
    <w:bookmarkStart w:id="23" w:name="_MON_1245584216"/>
    <w:bookmarkStart w:id="24" w:name="_MON_1245584251"/>
    <w:bookmarkStart w:id="25" w:name="_MON_1245585286"/>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rsidR="00000000" w:rsidRDefault="00000000">
      <w:pPr>
        <w:jc w:val="center"/>
      </w:pPr>
      <w:r>
        <w:object w:dxaOrig="7804" w:dyaOrig="3802">
          <v:shape id="_x0000_i1026" type="#_x0000_t75" style="width:390pt;height:189.75pt" o:ole="">
            <v:imagedata r:id="rId9" o:title="" croptop="8193f" cropbottom="3151f" cropleft="936f" cropright="1248f"/>
            <w10:bordertop type="single" width="12"/>
            <w10:borderleft type="single" width="12"/>
            <w10:borderbottom type="single" width="12"/>
            <w10:borderright type="single" width="12"/>
          </v:shape>
          <o:OLEObject Type="Embed" ProgID="Word.Picture.8" ShapeID="_x0000_i1026" DrawAspect="Content" ObjectID="_1394904852" r:id="rId10"/>
        </w:object>
      </w:r>
    </w:p>
    <w:p w:rsidR="00000000" w:rsidRDefault="00000000"/>
    <w:p w:rsidR="00000000" w:rsidRDefault="00000000">
      <w:r>
        <w:t>27.</w:t>
      </w:r>
      <w:r>
        <w:tab/>
        <w:t>Принимая во внимание результаты последнего обследования, на диаграмме 1 нужно отметить неуклонное снижение общего коэффициента рождаемости, что в совокупности выражается в уменьшении этого показателя на одного ребенка (25%) или с 3,9 до 2,9 ребенка на женщину в период между 1995-1998 годами и 2001-2004 годами, что также выразилось в сокращении на 0,5 ребенка в каждой из трехлетних периодов.  Аналогичным образом конкретные коэффициенты рождаемости по всем возрастным группам согласуются с оценками, полученными в ходе обоих обследований.  По возрастной группе от 20 до 29 лет отмечается неуклонное снижение конкретных коэффициентов рождаемости в период с 1995-1998 годов по 2001-2004 годы, что также серьезным образом сказывается на общем коэффициенте рождаемости, поскольку большинство рождений приходится на эту возрастную группу.  Рождаемость подростков в возрасте от 15 до 19 лет снизилась на 26%.  Если в период 1995-1998 годов на каждую 1 000 женщин приходилось 90 рождений, то в период с 1998</w:t>
      </w:r>
      <w:r>
        <w:noBreakHyphen/>
        <w:t>2001 годов этот показатель снизился до 67 рождений на 1 000 женщин, а в период с 1998-2001 годов по 2001-2004 годы этот показатель стабилизировался (см. диаграмму 2).</w:t>
      </w:r>
    </w:p>
    <w:p w:rsidR="00000000" w:rsidRDefault="00000000"/>
    <w:p w:rsidR="00000000" w:rsidRDefault="00000000">
      <w:pPr>
        <w:jc w:val="center"/>
        <w:rPr>
          <w:b/>
          <w:bCs/>
        </w:rPr>
      </w:pPr>
      <w:r>
        <w:rPr>
          <w:b/>
          <w:bCs/>
        </w:rPr>
        <w:t>График 2</w:t>
      </w:r>
    </w:p>
    <w:p w:rsidR="00000000" w:rsidRDefault="00000000">
      <w:pPr>
        <w:rPr>
          <w:b/>
          <w:bCs/>
        </w:rPr>
      </w:pPr>
    </w:p>
    <w:bookmarkStart w:id="26" w:name="_MON_1238409249"/>
    <w:bookmarkStart w:id="27" w:name="_MON_1238409613"/>
    <w:bookmarkStart w:id="28" w:name="_MON_1238409777"/>
    <w:bookmarkStart w:id="29" w:name="_MON_1245584444"/>
    <w:bookmarkStart w:id="30" w:name="_MON_1245584507"/>
    <w:bookmarkEnd w:id="26"/>
    <w:bookmarkEnd w:id="27"/>
    <w:bookmarkEnd w:id="28"/>
    <w:bookmarkEnd w:id="29"/>
    <w:bookmarkEnd w:id="30"/>
    <w:p w:rsidR="00000000" w:rsidRDefault="00000000">
      <w:pPr>
        <w:jc w:val="center"/>
      </w:pPr>
      <w:r>
        <w:object w:dxaOrig="7726" w:dyaOrig="3481">
          <v:shape id="_x0000_i1027" type="#_x0000_t75" style="width:386.25pt;height:174pt" o:ole="">
            <v:imagedata r:id="rId11" o:title="" croptop="7366f" cropbottom="6446f" cropleft="2438f" cropright="2438f"/>
            <w10:bordertop type="single" width="12"/>
            <w10:borderleft type="single" width="12"/>
            <w10:borderbottom type="single" width="12"/>
            <w10:borderright type="single" width="12"/>
          </v:shape>
          <o:OLEObject Type="Embed" ProgID="Word.Picture.8" ShapeID="_x0000_i1027" DrawAspect="Content" ObjectID="_1394904853" r:id="rId12"/>
        </w:object>
      </w:r>
    </w:p>
    <w:p w:rsidR="00000000" w:rsidRDefault="00000000">
      <w:pPr>
        <w:autoSpaceDE w:val="0"/>
        <w:autoSpaceDN w:val="0"/>
        <w:adjustRightInd w:val="0"/>
      </w:pPr>
    </w:p>
    <w:p w:rsidR="00000000" w:rsidRDefault="00000000">
      <w:r>
        <w:t>28.</w:t>
      </w:r>
      <w:r>
        <w:tab/>
        <w:t>Ранее уже отмечалось, что женщины, проживающие в сельских районах, имеют на 1,2 ребенка больше, чем женщины, проживающие в городских районах, и это характерно для всех возрастных групп.  Самый высокий коэффициент рождаемости отмечен на севере страны, где он составляет в среднем 3,9 ребенка на женщину, а район Большого Асунсьона характеризуется наименьшим коэффициентом рождаемости, составляющим 2,4 ребенка на женщину.</w:t>
      </w:r>
    </w:p>
    <w:p w:rsidR="00000000" w:rsidRDefault="00000000">
      <w:pPr>
        <w:pStyle w:val="FootnoteText"/>
        <w:spacing w:line="288" w:lineRule="auto"/>
      </w:pPr>
    </w:p>
    <w:p w:rsidR="00000000" w:rsidRDefault="00000000">
      <w:pPr>
        <w:keepLines/>
      </w:pPr>
      <w:r>
        <w:t>29.</w:t>
      </w:r>
      <w:r>
        <w:tab/>
        <w:t>Другим важным фактором, связанным с уровнем рождаемости, являются интервалы  между рождениями, или межродовой период.  В период 1999</w:t>
      </w:r>
      <w:r>
        <w:noBreakHyphen/>
        <w:t>2004 годов его средняя продолжительность составила 48,5 месяца, что превышает показатель в 38,2 месяца в период 1994</w:t>
      </w:r>
      <w:r>
        <w:noBreakHyphen/>
        <w:t>1999 годов и показатель в 34,4 месяца в период 1989</w:t>
      </w:r>
      <w:r>
        <w:noBreakHyphen/>
        <w:t>1994 годов.  Эти данные применимы и к рождениям, которые были у женщин в возрасте до 35 лет за последние 15 лет (1989</w:t>
      </w:r>
      <w:r>
        <w:noBreakHyphen/>
        <w:t>2004 годы).  Еще одним важным результатом является то, что этот интервал увеличивается с увеличением учебного стажа и повышением уровня социально-экономического развития.  Кроме того, у женщин, которые говорят дома в основном на испанском языке, интервал между рождениями составляет 62,6 месяца, в то время как у женщин, которые говорят на языке гуарани, этот интервал составляет 39 месяцев.  Интервал между рождениями в городских районах в среднем составляет 57,7 месяца, а в сельских районах </w:t>
      </w:r>
      <w:r>
        <w:noBreakHyphen/>
        <w:t xml:space="preserve"> 40,8 месяца.</w:t>
      </w:r>
    </w:p>
    <w:p w:rsidR="00000000" w:rsidRDefault="00000000"/>
    <w:p w:rsidR="00000000" w:rsidRDefault="00000000">
      <w:pPr>
        <w:jc w:val="center"/>
        <w:rPr>
          <w:b/>
          <w:bCs/>
        </w:rPr>
      </w:pPr>
      <w:r>
        <w:rPr>
          <w:b/>
          <w:bCs/>
        </w:rPr>
        <w:t>Конкретные коэффициенты рождаемости по возрастным группам (на 1 000 женщин) и общий коэффициент рождаемости с разбивкой по районам, регионам, уровню образования, языку, на котором обычно говорят в домохозяйстве, и уровню социально-экономического развития, с марта 2001 года по февраль 2004 года, ЕНДССР, 2004</w:t>
      </w:r>
    </w:p>
    <w:p w:rsidR="00000000" w:rsidRDefault="00000000">
      <w:pPr>
        <w:jc w:val="center"/>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823"/>
        <w:gridCol w:w="701"/>
        <w:gridCol w:w="687"/>
        <w:gridCol w:w="670"/>
        <w:gridCol w:w="757"/>
        <w:gridCol w:w="684"/>
        <w:gridCol w:w="684"/>
        <w:gridCol w:w="1462"/>
      </w:tblGrid>
      <w:tr w:rsidR="00000000">
        <w:tblPrEx>
          <w:tblCellMar>
            <w:top w:w="0" w:type="dxa"/>
            <w:bottom w:w="0" w:type="dxa"/>
          </w:tblCellMar>
        </w:tblPrEx>
        <w:trPr>
          <w:cantSplit/>
          <w:tblHeader/>
        </w:trPr>
        <w:tc>
          <w:tcPr>
            <w:tcW w:w="2019" w:type="pct"/>
            <w:vMerge w:val="restart"/>
            <w:vAlign w:val="center"/>
          </w:tcPr>
          <w:p w:rsidR="00000000" w:rsidRDefault="00000000">
            <w:pPr>
              <w:keepNext/>
              <w:autoSpaceDE w:val="0"/>
              <w:autoSpaceDN w:val="0"/>
              <w:adjustRightInd w:val="0"/>
              <w:jc w:val="center"/>
              <w:rPr>
                <w:b/>
                <w:bCs/>
                <w:sz w:val="22"/>
              </w:rPr>
            </w:pPr>
            <w:r>
              <w:rPr>
                <w:b/>
                <w:bCs/>
                <w:sz w:val="22"/>
              </w:rPr>
              <w:t>ХАРАКТЕРИСТИКИ</w:t>
            </w:r>
          </w:p>
        </w:tc>
        <w:tc>
          <w:tcPr>
            <w:tcW w:w="2981" w:type="pct"/>
            <w:gridSpan w:val="7"/>
            <w:vAlign w:val="center"/>
          </w:tcPr>
          <w:p w:rsidR="00000000" w:rsidRDefault="00000000">
            <w:pPr>
              <w:keepNext/>
              <w:autoSpaceDE w:val="0"/>
              <w:autoSpaceDN w:val="0"/>
              <w:adjustRightInd w:val="0"/>
              <w:jc w:val="center"/>
              <w:rPr>
                <w:b/>
                <w:bCs/>
                <w:sz w:val="22"/>
              </w:rPr>
            </w:pPr>
            <w:r>
              <w:rPr>
                <w:b/>
                <w:bCs/>
                <w:sz w:val="22"/>
              </w:rPr>
              <w:t>ВОЗРАСТНЫЕ ГРУППЫ</w:t>
            </w:r>
          </w:p>
        </w:tc>
      </w:tr>
      <w:tr w:rsidR="00000000">
        <w:tblPrEx>
          <w:tblCellMar>
            <w:top w:w="0" w:type="dxa"/>
            <w:bottom w:w="0" w:type="dxa"/>
          </w:tblCellMar>
        </w:tblPrEx>
        <w:trPr>
          <w:cantSplit/>
          <w:tblHeader/>
        </w:trPr>
        <w:tc>
          <w:tcPr>
            <w:tcW w:w="2019" w:type="pct"/>
            <w:vMerge/>
            <w:vAlign w:val="center"/>
          </w:tcPr>
          <w:p w:rsidR="00000000" w:rsidRDefault="00000000">
            <w:pPr>
              <w:autoSpaceDE w:val="0"/>
              <w:autoSpaceDN w:val="0"/>
              <w:adjustRightInd w:val="0"/>
              <w:jc w:val="center"/>
              <w:rPr>
                <w:b/>
                <w:bCs/>
                <w:sz w:val="22"/>
              </w:rPr>
            </w:pPr>
          </w:p>
        </w:tc>
        <w:tc>
          <w:tcPr>
            <w:tcW w:w="370" w:type="pct"/>
            <w:vAlign w:val="center"/>
          </w:tcPr>
          <w:p w:rsidR="00000000" w:rsidRDefault="00000000">
            <w:pPr>
              <w:autoSpaceDE w:val="0"/>
              <w:autoSpaceDN w:val="0"/>
              <w:adjustRightInd w:val="0"/>
              <w:jc w:val="center"/>
              <w:rPr>
                <w:b/>
                <w:bCs/>
                <w:sz w:val="22"/>
                <w:lang w:val="en-US"/>
              </w:rPr>
            </w:pPr>
            <w:r>
              <w:rPr>
                <w:b/>
                <w:bCs/>
                <w:sz w:val="22"/>
                <w:lang w:val="en-US"/>
              </w:rPr>
              <w:t>15-19</w:t>
            </w:r>
          </w:p>
        </w:tc>
        <w:tc>
          <w:tcPr>
            <w:tcW w:w="363" w:type="pct"/>
            <w:vAlign w:val="center"/>
          </w:tcPr>
          <w:p w:rsidR="00000000" w:rsidRDefault="00000000">
            <w:pPr>
              <w:autoSpaceDE w:val="0"/>
              <w:autoSpaceDN w:val="0"/>
              <w:adjustRightInd w:val="0"/>
              <w:jc w:val="center"/>
              <w:rPr>
                <w:b/>
                <w:bCs/>
                <w:sz w:val="22"/>
                <w:lang w:val="en-US"/>
              </w:rPr>
            </w:pPr>
            <w:r>
              <w:rPr>
                <w:b/>
                <w:bCs/>
                <w:sz w:val="22"/>
                <w:lang w:val="en-US"/>
              </w:rPr>
              <w:t xml:space="preserve">20-24 </w:t>
            </w:r>
          </w:p>
        </w:tc>
        <w:tc>
          <w:tcPr>
            <w:tcW w:w="354" w:type="pct"/>
            <w:vAlign w:val="center"/>
          </w:tcPr>
          <w:p w:rsidR="00000000" w:rsidRDefault="00000000">
            <w:pPr>
              <w:autoSpaceDE w:val="0"/>
              <w:autoSpaceDN w:val="0"/>
              <w:adjustRightInd w:val="0"/>
              <w:jc w:val="center"/>
              <w:rPr>
                <w:b/>
                <w:bCs/>
                <w:sz w:val="22"/>
                <w:lang w:val="en-US"/>
              </w:rPr>
            </w:pPr>
            <w:r>
              <w:rPr>
                <w:b/>
                <w:bCs/>
                <w:sz w:val="22"/>
                <w:lang w:val="en-US"/>
              </w:rPr>
              <w:t xml:space="preserve">25-29 </w:t>
            </w:r>
          </w:p>
        </w:tc>
        <w:tc>
          <w:tcPr>
            <w:tcW w:w="400" w:type="pct"/>
            <w:vAlign w:val="center"/>
          </w:tcPr>
          <w:p w:rsidR="00000000" w:rsidRDefault="00000000">
            <w:pPr>
              <w:autoSpaceDE w:val="0"/>
              <w:autoSpaceDN w:val="0"/>
              <w:adjustRightInd w:val="0"/>
              <w:jc w:val="center"/>
              <w:rPr>
                <w:b/>
                <w:bCs/>
                <w:sz w:val="22"/>
                <w:lang w:val="en-US"/>
              </w:rPr>
            </w:pPr>
            <w:r>
              <w:rPr>
                <w:b/>
                <w:bCs/>
                <w:sz w:val="22"/>
                <w:lang w:val="en-US"/>
              </w:rPr>
              <w:t xml:space="preserve">30-34 </w:t>
            </w:r>
          </w:p>
        </w:tc>
        <w:tc>
          <w:tcPr>
            <w:tcW w:w="361" w:type="pct"/>
            <w:vAlign w:val="center"/>
          </w:tcPr>
          <w:p w:rsidR="00000000" w:rsidRDefault="00000000">
            <w:pPr>
              <w:autoSpaceDE w:val="0"/>
              <w:autoSpaceDN w:val="0"/>
              <w:adjustRightInd w:val="0"/>
              <w:jc w:val="center"/>
              <w:rPr>
                <w:b/>
                <w:bCs/>
                <w:sz w:val="22"/>
                <w:lang w:val="en-US"/>
              </w:rPr>
            </w:pPr>
            <w:r>
              <w:rPr>
                <w:b/>
                <w:bCs/>
                <w:sz w:val="22"/>
                <w:lang w:val="en-US"/>
              </w:rPr>
              <w:t xml:space="preserve">35-39 </w:t>
            </w:r>
          </w:p>
        </w:tc>
        <w:tc>
          <w:tcPr>
            <w:tcW w:w="361" w:type="pct"/>
            <w:vAlign w:val="center"/>
          </w:tcPr>
          <w:p w:rsidR="00000000" w:rsidRDefault="00000000">
            <w:pPr>
              <w:autoSpaceDE w:val="0"/>
              <w:autoSpaceDN w:val="0"/>
              <w:adjustRightInd w:val="0"/>
              <w:jc w:val="center"/>
              <w:rPr>
                <w:b/>
                <w:bCs/>
                <w:sz w:val="22"/>
                <w:lang w:val="en-US"/>
              </w:rPr>
            </w:pPr>
            <w:r>
              <w:rPr>
                <w:b/>
                <w:bCs/>
                <w:sz w:val="22"/>
                <w:lang w:val="en-US"/>
              </w:rPr>
              <w:t xml:space="preserve">40-44 </w:t>
            </w:r>
          </w:p>
        </w:tc>
        <w:tc>
          <w:tcPr>
            <w:tcW w:w="772" w:type="pct"/>
            <w:tcMar>
              <w:left w:w="0" w:type="dxa"/>
              <w:right w:w="0" w:type="dxa"/>
            </w:tcMar>
            <w:vAlign w:val="center"/>
          </w:tcPr>
          <w:p w:rsidR="00000000" w:rsidRDefault="00000000">
            <w:pPr>
              <w:autoSpaceDE w:val="0"/>
              <w:autoSpaceDN w:val="0"/>
              <w:adjustRightInd w:val="0"/>
              <w:spacing w:line="240" w:lineRule="auto"/>
              <w:jc w:val="center"/>
              <w:rPr>
                <w:b/>
                <w:bCs/>
                <w:sz w:val="22"/>
              </w:rPr>
            </w:pPr>
            <w:r>
              <w:rPr>
                <w:b/>
                <w:bCs/>
                <w:sz w:val="22"/>
              </w:rPr>
              <w:t>Общий коэффициент рождаемости (15</w:t>
            </w:r>
            <w:r>
              <w:rPr>
                <w:b/>
                <w:bCs/>
                <w:sz w:val="22"/>
              </w:rPr>
              <w:noBreakHyphen/>
              <w:t>44)</w:t>
            </w:r>
          </w:p>
        </w:tc>
      </w:tr>
      <w:tr w:rsidR="00000000">
        <w:tblPrEx>
          <w:tblCellMar>
            <w:top w:w="0" w:type="dxa"/>
            <w:bottom w:w="0" w:type="dxa"/>
          </w:tblCellMar>
        </w:tblPrEx>
        <w:tc>
          <w:tcPr>
            <w:tcW w:w="2019" w:type="pct"/>
          </w:tcPr>
          <w:p w:rsidR="00000000" w:rsidRDefault="00000000">
            <w:pPr>
              <w:autoSpaceDE w:val="0"/>
              <w:autoSpaceDN w:val="0"/>
              <w:adjustRightInd w:val="0"/>
              <w:rPr>
                <w:sz w:val="22"/>
              </w:rPr>
            </w:pPr>
            <w:r>
              <w:rPr>
                <w:sz w:val="22"/>
              </w:rPr>
              <w:t>Районы</w:t>
            </w:r>
          </w:p>
        </w:tc>
        <w:tc>
          <w:tcPr>
            <w:tcW w:w="370" w:type="pct"/>
          </w:tcPr>
          <w:p w:rsidR="00000000" w:rsidRDefault="00000000">
            <w:pPr>
              <w:autoSpaceDE w:val="0"/>
              <w:autoSpaceDN w:val="0"/>
              <w:adjustRightInd w:val="0"/>
              <w:jc w:val="center"/>
              <w:rPr>
                <w:sz w:val="22"/>
                <w:lang w:val="en-US"/>
              </w:rPr>
            </w:pPr>
          </w:p>
        </w:tc>
        <w:tc>
          <w:tcPr>
            <w:tcW w:w="363" w:type="pct"/>
          </w:tcPr>
          <w:p w:rsidR="00000000" w:rsidRDefault="00000000">
            <w:pPr>
              <w:autoSpaceDE w:val="0"/>
              <w:autoSpaceDN w:val="0"/>
              <w:adjustRightInd w:val="0"/>
              <w:jc w:val="center"/>
              <w:rPr>
                <w:sz w:val="22"/>
                <w:lang w:val="en-US"/>
              </w:rPr>
            </w:pPr>
          </w:p>
        </w:tc>
        <w:tc>
          <w:tcPr>
            <w:tcW w:w="354" w:type="pct"/>
          </w:tcPr>
          <w:p w:rsidR="00000000" w:rsidRDefault="00000000">
            <w:pPr>
              <w:autoSpaceDE w:val="0"/>
              <w:autoSpaceDN w:val="0"/>
              <w:adjustRightInd w:val="0"/>
              <w:jc w:val="center"/>
              <w:rPr>
                <w:sz w:val="22"/>
                <w:lang w:val="en-US"/>
              </w:rPr>
            </w:pPr>
          </w:p>
        </w:tc>
        <w:tc>
          <w:tcPr>
            <w:tcW w:w="400" w:type="pct"/>
          </w:tcPr>
          <w:p w:rsidR="00000000" w:rsidRDefault="00000000">
            <w:pPr>
              <w:autoSpaceDE w:val="0"/>
              <w:autoSpaceDN w:val="0"/>
              <w:adjustRightInd w:val="0"/>
              <w:jc w:val="center"/>
              <w:rPr>
                <w:sz w:val="22"/>
                <w:lang w:val="en-US"/>
              </w:rPr>
            </w:pPr>
          </w:p>
        </w:tc>
        <w:tc>
          <w:tcPr>
            <w:tcW w:w="361" w:type="pct"/>
          </w:tcPr>
          <w:p w:rsidR="00000000" w:rsidRDefault="00000000">
            <w:pPr>
              <w:autoSpaceDE w:val="0"/>
              <w:autoSpaceDN w:val="0"/>
              <w:adjustRightInd w:val="0"/>
              <w:jc w:val="center"/>
              <w:rPr>
                <w:sz w:val="22"/>
                <w:lang w:val="en-US"/>
              </w:rPr>
            </w:pPr>
          </w:p>
        </w:tc>
        <w:tc>
          <w:tcPr>
            <w:tcW w:w="361" w:type="pct"/>
          </w:tcPr>
          <w:p w:rsidR="00000000" w:rsidRDefault="00000000">
            <w:pPr>
              <w:autoSpaceDE w:val="0"/>
              <w:autoSpaceDN w:val="0"/>
              <w:adjustRightInd w:val="0"/>
              <w:jc w:val="center"/>
              <w:rPr>
                <w:sz w:val="22"/>
                <w:lang w:val="en-US"/>
              </w:rPr>
            </w:pPr>
          </w:p>
        </w:tc>
        <w:tc>
          <w:tcPr>
            <w:tcW w:w="772" w:type="pct"/>
          </w:tcPr>
          <w:p w:rsidR="00000000" w:rsidRDefault="00000000">
            <w:pPr>
              <w:autoSpaceDE w:val="0"/>
              <w:autoSpaceDN w:val="0"/>
              <w:adjustRightInd w:val="0"/>
              <w:jc w:val="center"/>
              <w:rPr>
                <w:sz w:val="22"/>
                <w:lang w:val="en-US"/>
              </w:rPr>
            </w:pPr>
          </w:p>
        </w:tc>
      </w:tr>
      <w:tr w:rsidR="00000000">
        <w:tblPrEx>
          <w:tblCellMar>
            <w:top w:w="0" w:type="dxa"/>
            <w:bottom w:w="0" w:type="dxa"/>
          </w:tblCellMar>
        </w:tblPrEx>
        <w:tc>
          <w:tcPr>
            <w:tcW w:w="2019" w:type="pct"/>
          </w:tcPr>
          <w:p w:rsidR="00000000" w:rsidRDefault="00000000">
            <w:pPr>
              <w:autoSpaceDE w:val="0"/>
              <w:autoSpaceDN w:val="0"/>
              <w:adjustRightInd w:val="0"/>
              <w:ind w:left="284"/>
              <w:rPr>
                <w:sz w:val="22"/>
              </w:rPr>
            </w:pPr>
            <w:r>
              <w:rPr>
                <w:sz w:val="22"/>
              </w:rPr>
              <w:t>Городские</w:t>
            </w:r>
          </w:p>
        </w:tc>
        <w:tc>
          <w:tcPr>
            <w:tcW w:w="370" w:type="pct"/>
          </w:tcPr>
          <w:p w:rsidR="00000000" w:rsidRDefault="00000000">
            <w:pPr>
              <w:autoSpaceDE w:val="0"/>
              <w:autoSpaceDN w:val="0"/>
              <w:adjustRightInd w:val="0"/>
              <w:jc w:val="center"/>
              <w:rPr>
                <w:sz w:val="22"/>
                <w:lang w:val="en-US"/>
              </w:rPr>
            </w:pPr>
            <w:r>
              <w:rPr>
                <w:sz w:val="22"/>
                <w:lang w:val="en-US"/>
              </w:rPr>
              <w:t>52</w:t>
            </w:r>
          </w:p>
        </w:tc>
        <w:tc>
          <w:tcPr>
            <w:tcW w:w="363" w:type="pct"/>
          </w:tcPr>
          <w:p w:rsidR="00000000" w:rsidRDefault="00000000">
            <w:pPr>
              <w:autoSpaceDE w:val="0"/>
              <w:autoSpaceDN w:val="0"/>
              <w:adjustRightInd w:val="0"/>
              <w:jc w:val="right"/>
              <w:rPr>
                <w:sz w:val="22"/>
                <w:lang w:val="en-US"/>
              </w:rPr>
            </w:pPr>
            <w:r>
              <w:rPr>
                <w:sz w:val="22"/>
                <w:lang w:val="en-US"/>
              </w:rPr>
              <w:t>125</w:t>
            </w:r>
          </w:p>
        </w:tc>
        <w:tc>
          <w:tcPr>
            <w:tcW w:w="354" w:type="pct"/>
          </w:tcPr>
          <w:p w:rsidR="00000000" w:rsidRDefault="00000000">
            <w:pPr>
              <w:autoSpaceDE w:val="0"/>
              <w:autoSpaceDN w:val="0"/>
              <w:adjustRightInd w:val="0"/>
              <w:jc w:val="center"/>
              <w:rPr>
                <w:sz w:val="22"/>
                <w:lang w:val="en-US"/>
              </w:rPr>
            </w:pPr>
            <w:r>
              <w:rPr>
                <w:sz w:val="22"/>
                <w:lang w:val="en-US"/>
              </w:rPr>
              <w:t>124</w:t>
            </w:r>
          </w:p>
        </w:tc>
        <w:tc>
          <w:tcPr>
            <w:tcW w:w="400" w:type="pct"/>
          </w:tcPr>
          <w:p w:rsidR="00000000" w:rsidRDefault="00000000">
            <w:pPr>
              <w:autoSpaceDE w:val="0"/>
              <w:autoSpaceDN w:val="0"/>
              <w:adjustRightInd w:val="0"/>
              <w:jc w:val="right"/>
              <w:rPr>
                <w:sz w:val="22"/>
                <w:lang w:val="en-US"/>
              </w:rPr>
            </w:pPr>
            <w:r>
              <w:rPr>
                <w:sz w:val="22"/>
                <w:lang w:val="en-US"/>
              </w:rPr>
              <w:t>115</w:t>
            </w:r>
          </w:p>
        </w:tc>
        <w:tc>
          <w:tcPr>
            <w:tcW w:w="361" w:type="pct"/>
          </w:tcPr>
          <w:p w:rsidR="00000000" w:rsidRDefault="00000000">
            <w:pPr>
              <w:autoSpaceDE w:val="0"/>
              <w:autoSpaceDN w:val="0"/>
              <w:adjustRightInd w:val="0"/>
              <w:jc w:val="right"/>
              <w:rPr>
                <w:sz w:val="22"/>
                <w:lang w:val="en-US"/>
              </w:rPr>
            </w:pPr>
            <w:r>
              <w:rPr>
                <w:sz w:val="22"/>
                <w:lang w:val="en-US"/>
              </w:rPr>
              <w:t>55</w:t>
            </w:r>
          </w:p>
        </w:tc>
        <w:tc>
          <w:tcPr>
            <w:tcW w:w="361" w:type="pct"/>
          </w:tcPr>
          <w:p w:rsidR="00000000" w:rsidRDefault="00000000">
            <w:pPr>
              <w:autoSpaceDE w:val="0"/>
              <w:autoSpaceDN w:val="0"/>
              <w:adjustRightInd w:val="0"/>
              <w:jc w:val="center"/>
              <w:rPr>
                <w:sz w:val="22"/>
                <w:lang w:val="en-US"/>
              </w:rPr>
            </w:pPr>
            <w:r>
              <w:rPr>
                <w:sz w:val="22"/>
                <w:lang w:val="en-US"/>
              </w:rPr>
              <w:t>32</w:t>
            </w:r>
          </w:p>
        </w:tc>
        <w:tc>
          <w:tcPr>
            <w:tcW w:w="772" w:type="pct"/>
          </w:tcPr>
          <w:p w:rsidR="00000000" w:rsidRDefault="00000000">
            <w:pPr>
              <w:autoSpaceDE w:val="0"/>
              <w:autoSpaceDN w:val="0"/>
              <w:adjustRightInd w:val="0"/>
              <w:jc w:val="center"/>
              <w:rPr>
                <w:sz w:val="22"/>
                <w:lang w:val="en-US"/>
              </w:rPr>
            </w:pPr>
            <w:r>
              <w:rPr>
                <w:sz w:val="22"/>
                <w:lang w:val="en-US"/>
              </w:rPr>
              <w:t>2,5</w:t>
            </w:r>
          </w:p>
        </w:tc>
      </w:tr>
      <w:tr w:rsidR="00000000">
        <w:tblPrEx>
          <w:tblCellMar>
            <w:top w:w="0" w:type="dxa"/>
            <w:bottom w:w="0" w:type="dxa"/>
          </w:tblCellMar>
        </w:tblPrEx>
        <w:tc>
          <w:tcPr>
            <w:tcW w:w="2019" w:type="pct"/>
          </w:tcPr>
          <w:p w:rsidR="00000000" w:rsidRDefault="00000000">
            <w:pPr>
              <w:autoSpaceDE w:val="0"/>
              <w:autoSpaceDN w:val="0"/>
              <w:adjustRightInd w:val="0"/>
              <w:ind w:left="284"/>
              <w:rPr>
                <w:sz w:val="22"/>
              </w:rPr>
            </w:pPr>
            <w:r>
              <w:rPr>
                <w:sz w:val="22"/>
              </w:rPr>
              <w:t>Сельские</w:t>
            </w:r>
          </w:p>
        </w:tc>
        <w:tc>
          <w:tcPr>
            <w:tcW w:w="370" w:type="pct"/>
          </w:tcPr>
          <w:p w:rsidR="00000000" w:rsidRDefault="00000000">
            <w:pPr>
              <w:autoSpaceDE w:val="0"/>
              <w:autoSpaceDN w:val="0"/>
              <w:adjustRightInd w:val="0"/>
              <w:jc w:val="center"/>
              <w:rPr>
                <w:sz w:val="22"/>
                <w:lang w:val="en-US"/>
              </w:rPr>
            </w:pPr>
            <w:r>
              <w:rPr>
                <w:sz w:val="22"/>
                <w:lang w:val="en-US"/>
              </w:rPr>
              <w:t>91</w:t>
            </w:r>
          </w:p>
        </w:tc>
        <w:tc>
          <w:tcPr>
            <w:tcW w:w="363" w:type="pct"/>
          </w:tcPr>
          <w:p w:rsidR="00000000" w:rsidRDefault="00000000">
            <w:pPr>
              <w:autoSpaceDE w:val="0"/>
              <w:autoSpaceDN w:val="0"/>
              <w:adjustRightInd w:val="0"/>
              <w:jc w:val="right"/>
              <w:rPr>
                <w:sz w:val="22"/>
                <w:lang w:val="en-US"/>
              </w:rPr>
            </w:pPr>
            <w:r>
              <w:rPr>
                <w:sz w:val="22"/>
                <w:lang w:val="en-US"/>
              </w:rPr>
              <w:t>209</w:t>
            </w:r>
          </w:p>
        </w:tc>
        <w:tc>
          <w:tcPr>
            <w:tcW w:w="354" w:type="pct"/>
          </w:tcPr>
          <w:p w:rsidR="00000000" w:rsidRDefault="00000000">
            <w:pPr>
              <w:autoSpaceDE w:val="0"/>
              <w:autoSpaceDN w:val="0"/>
              <w:adjustRightInd w:val="0"/>
              <w:jc w:val="center"/>
              <w:rPr>
                <w:sz w:val="22"/>
                <w:lang w:val="en-US"/>
              </w:rPr>
            </w:pPr>
            <w:r>
              <w:rPr>
                <w:sz w:val="22"/>
                <w:lang w:val="en-US"/>
              </w:rPr>
              <w:t>173</w:t>
            </w:r>
          </w:p>
        </w:tc>
        <w:tc>
          <w:tcPr>
            <w:tcW w:w="400" w:type="pct"/>
          </w:tcPr>
          <w:p w:rsidR="00000000" w:rsidRDefault="00000000">
            <w:pPr>
              <w:autoSpaceDE w:val="0"/>
              <w:autoSpaceDN w:val="0"/>
              <w:adjustRightInd w:val="0"/>
              <w:jc w:val="right"/>
              <w:rPr>
                <w:sz w:val="22"/>
                <w:lang w:val="en-US"/>
              </w:rPr>
            </w:pPr>
            <w:r>
              <w:rPr>
                <w:sz w:val="22"/>
                <w:lang w:val="en-US"/>
              </w:rPr>
              <w:t>133</w:t>
            </w:r>
          </w:p>
        </w:tc>
        <w:tc>
          <w:tcPr>
            <w:tcW w:w="361" w:type="pct"/>
          </w:tcPr>
          <w:p w:rsidR="00000000" w:rsidRDefault="00000000">
            <w:pPr>
              <w:autoSpaceDE w:val="0"/>
              <w:autoSpaceDN w:val="0"/>
              <w:adjustRightInd w:val="0"/>
              <w:jc w:val="right"/>
              <w:rPr>
                <w:sz w:val="22"/>
                <w:lang w:val="en-US"/>
              </w:rPr>
            </w:pPr>
            <w:r>
              <w:rPr>
                <w:sz w:val="22"/>
                <w:lang w:val="en-US"/>
              </w:rPr>
              <w:t>91</w:t>
            </w:r>
          </w:p>
        </w:tc>
        <w:tc>
          <w:tcPr>
            <w:tcW w:w="361" w:type="pct"/>
          </w:tcPr>
          <w:p w:rsidR="00000000" w:rsidRDefault="00000000">
            <w:pPr>
              <w:autoSpaceDE w:val="0"/>
              <w:autoSpaceDN w:val="0"/>
              <w:adjustRightInd w:val="0"/>
              <w:jc w:val="center"/>
              <w:rPr>
                <w:sz w:val="22"/>
                <w:lang w:val="en-US"/>
              </w:rPr>
            </w:pPr>
            <w:r>
              <w:rPr>
                <w:sz w:val="22"/>
                <w:lang w:val="en-US"/>
              </w:rPr>
              <w:t>43</w:t>
            </w:r>
          </w:p>
        </w:tc>
        <w:tc>
          <w:tcPr>
            <w:tcW w:w="772" w:type="pct"/>
          </w:tcPr>
          <w:p w:rsidR="00000000" w:rsidRDefault="00000000">
            <w:pPr>
              <w:autoSpaceDE w:val="0"/>
              <w:autoSpaceDN w:val="0"/>
              <w:adjustRightInd w:val="0"/>
              <w:jc w:val="center"/>
              <w:rPr>
                <w:sz w:val="22"/>
                <w:lang w:val="en-US"/>
              </w:rPr>
            </w:pPr>
            <w:r>
              <w:rPr>
                <w:sz w:val="22"/>
                <w:lang w:val="en-US"/>
              </w:rPr>
              <w:t>3,7</w:t>
            </w:r>
          </w:p>
        </w:tc>
      </w:tr>
      <w:tr w:rsidR="00000000">
        <w:tblPrEx>
          <w:tblCellMar>
            <w:top w:w="0" w:type="dxa"/>
            <w:bottom w:w="0" w:type="dxa"/>
          </w:tblCellMar>
        </w:tblPrEx>
        <w:tc>
          <w:tcPr>
            <w:tcW w:w="2019" w:type="pct"/>
          </w:tcPr>
          <w:p w:rsidR="00000000" w:rsidRDefault="00000000">
            <w:pPr>
              <w:autoSpaceDE w:val="0"/>
              <w:autoSpaceDN w:val="0"/>
              <w:adjustRightInd w:val="0"/>
              <w:rPr>
                <w:sz w:val="22"/>
              </w:rPr>
            </w:pPr>
            <w:r>
              <w:rPr>
                <w:sz w:val="22"/>
              </w:rPr>
              <w:t>Регион</w:t>
            </w:r>
          </w:p>
        </w:tc>
        <w:tc>
          <w:tcPr>
            <w:tcW w:w="370" w:type="pct"/>
          </w:tcPr>
          <w:p w:rsidR="00000000" w:rsidRDefault="00000000">
            <w:pPr>
              <w:autoSpaceDE w:val="0"/>
              <w:autoSpaceDN w:val="0"/>
              <w:adjustRightInd w:val="0"/>
              <w:jc w:val="center"/>
              <w:rPr>
                <w:sz w:val="22"/>
              </w:rPr>
            </w:pPr>
          </w:p>
        </w:tc>
        <w:tc>
          <w:tcPr>
            <w:tcW w:w="363" w:type="pct"/>
          </w:tcPr>
          <w:p w:rsidR="00000000" w:rsidRDefault="00000000">
            <w:pPr>
              <w:autoSpaceDE w:val="0"/>
              <w:autoSpaceDN w:val="0"/>
              <w:adjustRightInd w:val="0"/>
              <w:jc w:val="right"/>
              <w:rPr>
                <w:sz w:val="22"/>
              </w:rPr>
            </w:pPr>
          </w:p>
        </w:tc>
        <w:tc>
          <w:tcPr>
            <w:tcW w:w="354" w:type="pct"/>
          </w:tcPr>
          <w:p w:rsidR="00000000" w:rsidRDefault="00000000">
            <w:pPr>
              <w:autoSpaceDE w:val="0"/>
              <w:autoSpaceDN w:val="0"/>
              <w:adjustRightInd w:val="0"/>
              <w:jc w:val="center"/>
              <w:rPr>
                <w:sz w:val="22"/>
              </w:rPr>
            </w:pPr>
          </w:p>
        </w:tc>
        <w:tc>
          <w:tcPr>
            <w:tcW w:w="400" w:type="pct"/>
          </w:tcPr>
          <w:p w:rsidR="00000000" w:rsidRDefault="00000000">
            <w:pPr>
              <w:autoSpaceDE w:val="0"/>
              <w:autoSpaceDN w:val="0"/>
              <w:adjustRightInd w:val="0"/>
              <w:jc w:val="right"/>
              <w:rPr>
                <w:sz w:val="22"/>
              </w:rPr>
            </w:pPr>
          </w:p>
        </w:tc>
        <w:tc>
          <w:tcPr>
            <w:tcW w:w="361" w:type="pct"/>
          </w:tcPr>
          <w:p w:rsidR="00000000" w:rsidRDefault="00000000">
            <w:pPr>
              <w:autoSpaceDE w:val="0"/>
              <w:autoSpaceDN w:val="0"/>
              <w:adjustRightInd w:val="0"/>
              <w:jc w:val="right"/>
              <w:rPr>
                <w:sz w:val="22"/>
              </w:rPr>
            </w:pPr>
          </w:p>
        </w:tc>
        <w:tc>
          <w:tcPr>
            <w:tcW w:w="361" w:type="pct"/>
          </w:tcPr>
          <w:p w:rsidR="00000000" w:rsidRDefault="00000000">
            <w:pPr>
              <w:autoSpaceDE w:val="0"/>
              <w:autoSpaceDN w:val="0"/>
              <w:adjustRightInd w:val="0"/>
              <w:jc w:val="center"/>
              <w:rPr>
                <w:sz w:val="22"/>
              </w:rPr>
            </w:pPr>
          </w:p>
        </w:tc>
        <w:tc>
          <w:tcPr>
            <w:tcW w:w="772" w:type="pct"/>
          </w:tcPr>
          <w:p w:rsidR="00000000" w:rsidRDefault="00000000">
            <w:pPr>
              <w:autoSpaceDE w:val="0"/>
              <w:autoSpaceDN w:val="0"/>
              <w:adjustRightInd w:val="0"/>
              <w:jc w:val="center"/>
              <w:rPr>
                <w:sz w:val="22"/>
              </w:rPr>
            </w:pPr>
          </w:p>
        </w:tc>
      </w:tr>
      <w:tr w:rsidR="00000000">
        <w:tblPrEx>
          <w:tblCellMar>
            <w:top w:w="0" w:type="dxa"/>
            <w:bottom w:w="0" w:type="dxa"/>
          </w:tblCellMar>
        </w:tblPrEx>
        <w:tc>
          <w:tcPr>
            <w:tcW w:w="2019" w:type="pct"/>
          </w:tcPr>
          <w:p w:rsidR="00000000" w:rsidRDefault="00000000">
            <w:pPr>
              <w:autoSpaceDE w:val="0"/>
              <w:autoSpaceDN w:val="0"/>
              <w:adjustRightInd w:val="0"/>
              <w:ind w:left="284"/>
              <w:rPr>
                <w:sz w:val="22"/>
              </w:rPr>
            </w:pPr>
            <w:r>
              <w:rPr>
                <w:sz w:val="22"/>
              </w:rPr>
              <w:t>Большой Асунсьон</w:t>
            </w:r>
          </w:p>
        </w:tc>
        <w:tc>
          <w:tcPr>
            <w:tcW w:w="370" w:type="pct"/>
          </w:tcPr>
          <w:p w:rsidR="00000000" w:rsidRDefault="00000000">
            <w:pPr>
              <w:autoSpaceDE w:val="0"/>
              <w:autoSpaceDN w:val="0"/>
              <w:adjustRightInd w:val="0"/>
              <w:jc w:val="center"/>
              <w:rPr>
                <w:sz w:val="22"/>
                <w:lang w:val="fr-FR"/>
              </w:rPr>
            </w:pPr>
            <w:r>
              <w:rPr>
                <w:sz w:val="22"/>
                <w:lang w:val="fr-FR"/>
              </w:rPr>
              <w:t>44</w:t>
            </w:r>
          </w:p>
        </w:tc>
        <w:tc>
          <w:tcPr>
            <w:tcW w:w="363" w:type="pct"/>
          </w:tcPr>
          <w:p w:rsidR="00000000" w:rsidRDefault="00000000">
            <w:pPr>
              <w:autoSpaceDE w:val="0"/>
              <w:autoSpaceDN w:val="0"/>
              <w:adjustRightInd w:val="0"/>
              <w:jc w:val="right"/>
              <w:rPr>
                <w:sz w:val="22"/>
                <w:lang w:val="fr-FR"/>
              </w:rPr>
            </w:pPr>
            <w:r>
              <w:rPr>
                <w:sz w:val="22"/>
                <w:lang w:val="fr-FR"/>
              </w:rPr>
              <w:t>128</w:t>
            </w:r>
          </w:p>
        </w:tc>
        <w:tc>
          <w:tcPr>
            <w:tcW w:w="354" w:type="pct"/>
          </w:tcPr>
          <w:p w:rsidR="00000000" w:rsidRDefault="00000000">
            <w:pPr>
              <w:autoSpaceDE w:val="0"/>
              <w:autoSpaceDN w:val="0"/>
              <w:adjustRightInd w:val="0"/>
              <w:jc w:val="center"/>
              <w:rPr>
                <w:sz w:val="22"/>
                <w:lang w:val="fr-FR"/>
              </w:rPr>
            </w:pPr>
            <w:r>
              <w:rPr>
                <w:sz w:val="22"/>
                <w:lang w:val="fr-FR"/>
              </w:rPr>
              <w:t>106</w:t>
            </w:r>
          </w:p>
        </w:tc>
        <w:tc>
          <w:tcPr>
            <w:tcW w:w="400" w:type="pct"/>
          </w:tcPr>
          <w:p w:rsidR="00000000" w:rsidRDefault="00000000">
            <w:pPr>
              <w:autoSpaceDE w:val="0"/>
              <w:autoSpaceDN w:val="0"/>
              <w:adjustRightInd w:val="0"/>
              <w:jc w:val="right"/>
              <w:rPr>
                <w:sz w:val="22"/>
                <w:lang w:val="fr-FR"/>
              </w:rPr>
            </w:pPr>
            <w:r>
              <w:rPr>
                <w:sz w:val="22"/>
                <w:lang w:val="fr-FR"/>
              </w:rPr>
              <w:t>108</w:t>
            </w:r>
          </w:p>
        </w:tc>
        <w:tc>
          <w:tcPr>
            <w:tcW w:w="361" w:type="pct"/>
          </w:tcPr>
          <w:p w:rsidR="00000000" w:rsidRDefault="00000000">
            <w:pPr>
              <w:autoSpaceDE w:val="0"/>
              <w:autoSpaceDN w:val="0"/>
              <w:adjustRightInd w:val="0"/>
              <w:jc w:val="right"/>
              <w:rPr>
                <w:sz w:val="22"/>
                <w:lang w:val="fr-FR"/>
              </w:rPr>
            </w:pPr>
            <w:r>
              <w:rPr>
                <w:sz w:val="22"/>
                <w:lang w:val="fr-FR"/>
              </w:rPr>
              <w:t>62</w:t>
            </w:r>
          </w:p>
        </w:tc>
        <w:tc>
          <w:tcPr>
            <w:tcW w:w="361" w:type="pct"/>
          </w:tcPr>
          <w:p w:rsidR="00000000" w:rsidRDefault="00000000">
            <w:pPr>
              <w:autoSpaceDE w:val="0"/>
              <w:autoSpaceDN w:val="0"/>
              <w:adjustRightInd w:val="0"/>
              <w:jc w:val="center"/>
              <w:rPr>
                <w:sz w:val="22"/>
                <w:lang w:val="fr-FR"/>
              </w:rPr>
            </w:pPr>
            <w:r>
              <w:rPr>
                <w:b/>
                <w:color w:val="000000"/>
                <w:sz w:val="22"/>
                <w:vertAlign w:val="superscript"/>
                <w:lang w:val="fr-FR"/>
              </w:rPr>
              <w:t>*</w:t>
            </w:r>
          </w:p>
        </w:tc>
        <w:tc>
          <w:tcPr>
            <w:tcW w:w="772" w:type="pct"/>
          </w:tcPr>
          <w:p w:rsidR="00000000" w:rsidRDefault="00000000">
            <w:pPr>
              <w:autoSpaceDE w:val="0"/>
              <w:autoSpaceDN w:val="0"/>
              <w:adjustRightInd w:val="0"/>
              <w:jc w:val="center"/>
              <w:rPr>
                <w:sz w:val="22"/>
                <w:lang w:val="fr-FR"/>
              </w:rPr>
            </w:pPr>
            <w:r>
              <w:rPr>
                <w:sz w:val="22"/>
                <w:lang w:val="fr-FR"/>
              </w:rPr>
              <w:t>2,4</w:t>
            </w:r>
          </w:p>
        </w:tc>
      </w:tr>
      <w:tr w:rsidR="00000000">
        <w:tblPrEx>
          <w:tblCellMar>
            <w:top w:w="0" w:type="dxa"/>
            <w:bottom w:w="0" w:type="dxa"/>
          </w:tblCellMar>
        </w:tblPrEx>
        <w:tc>
          <w:tcPr>
            <w:tcW w:w="2019" w:type="pct"/>
          </w:tcPr>
          <w:p w:rsidR="00000000" w:rsidRDefault="00000000">
            <w:pPr>
              <w:autoSpaceDE w:val="0"/>
              <w:autoSpaceDN w:val="0"/>
              <w:adjustRightInd w:val="0"/>
              <w:ind w:left="284"/>
              <w:rPr>
                <w:sz w:val="22"/>
              </w:rPr>
            </w:pPr>
            <w:r>
              <w:rPr>
                <w:sz w:val="22"/>
              </w:rPr>
              <w:t>Север</w:t>
            </w:r>
          </w:p>
        </w:tc>
        <w:tc>
          <w:tcPr>
            <w:tcW w:w="370" w:type="pct"/>
          </w:tcPr>
          <w:p w:rsidR="00000000" w:rsidRDefault="00000000">
            <w:pPr>
              <w:autoSpaceDE w:val="0"/>
              <w:autoSpaceDN w:val="0"/>
              <w:adjustRightInd w:val="0"/>
              <w:jc w:val="center"/>
              <w:rPr>
                <w:sz w:val="22"/>
                <w:lang w:val="fr-FR"/>
              </w:rPr>
            </w:pPr>
            <w:r>
              <w:rPr>
                <w:sz w:val="22"/>
                <w:lang w:val="fr-FR"/>
              </w:rPr>
              <w:t>97</w:t>
            </w:r>
          </w:p>
        </w:tc>
        <w:tc>
          <w:tcPr>
            <w:tcW w:w="363" w:type="pct"/>
          </w:tcPr>
          <w:p w:rsidR="00000000" w:rsidRDefault="00000000">
            <w:pPr>
              <w:autoSpaceDE w:val="0"/>
              <w:autoSpaceDN w:val="0"/>
              <w:adjustRightInd w:val="0"/>
              <w:jc w:val="right"/>
              <w:rPr>
                <w:sz w:val="22"/>
                <w:lang w:val="fr-FR"/>
              </w:rPr>
            </w:pPr>
            <w:r>
              <w:rPr>
                <w:sz w:val="22"/>
                <w:lang w:val="fr-FR"/>
              </w:rPr>
              <w:t>208</w:t>
            </w:r>
          </w:p>
        </w:tc>
        <w:tc>
          <w:tcPr>
            <w:tcW w:w="354" w:type="pct"/>
          </w:tcPr>
          <w:p w:rsidR="00000000" w:rsidRDefault="00000000">
            <w:pPr>
              <w:autoSpaceDE w:val="0"/>
              <w:autoSpaceDN w:val="0"/>
              <w:adjustRightInd w:val="0"/>
              <w:jc w:val="center"/>
              <w:rPr>
                <w:sz w:val="22"/>
                <w:lang w:val="fr-FR"/>
              </w:rPr>
            </w:pPr>
            <w:r>
              <w:rPr>
                <w:sz w:val="22"/>
                <w:lang w:val="fr-FR"/>
              </w:rPr>
              <w:t>180</w:t>
            </w:r>
          </w:p>
        </w:tc>
        <w:tc>
          <w:tcPr>
            <w:tcW w:w="400" w:type="pct"/>
          </w:tcPr>
          <w:p w:rsidR="00000000" w:rsidRDefault="00000000">
            <w:pPr>
              <w:autoSpaceDE w:val="0"/>
              <w:autoSpaceDN w:val="0"/>
              <w:adjustRightInd w:val="0"/>
              <w:jc w:val="right"/>
              <w:rPr>
                <w:sz w:val="22"/>
                <w:lang w:val="fr-FR"/>
              </w:rPr>
            </w:pPr>
            <w:r>
              <w:rPr>
                <w:sz w:val="22"/>
                <w:lang w:val="fr-FR"/>
              </w:rPr>
              <w:t>139</w:t>
            </w:r>
          </w:p>
        </w:tc>
        <w:tc>
          <w:tcPr>
            <w:tcW w:w="361" w:type="pct"/>
          </w:tcPr>
          <w:p w:rsidR="00000000" w:rsidRDefault="00000000">
            <w:pPr>
              <w:autoSpaceDE w:val="0"/>
              <w:autoSpaceDN w:val="0"/>
              <w:adjustRightInd w:val="0"/>
              <w:jc w:val="right"/>
              <w:rPr>
                <w:sz w:val="22"/>
                <w:lang w:val="fr-FR"/>
              </w:rPr>
            </w:pPr>
            <w:r>
              <w:rPr>
                <w:sz w:val="22"/>
                <w:lang w:val="fr-FR"/>
              </w:rPr>
              <w:t>101</w:t>
            </w:r>
          </w:p>
        </w:tc>
        <w:tc>
          <w:tcPr>
            <w:tcW w:w="361" w:type="pct"/>
          </w:tcPr>
          <w:p w:rsidR="00000000" w:rsidRDefault="00000000">
            <w:pPr>
              <w:jc w:val="center"/>
              <w:rPr>
                <w:lang w:val="fr-FR"/>
              </w:rPr>
            </w:pPr>
            <w:r>
              <w:rPr>
                <w:b/>
                <w:color w:val="000000"/>
                <w:sz w:val="22"/>
                <w:vertAlign w:val="superscript"/>
                <w:lang w:val="fr-FR"/>
              </w:rPr>
              <w:t>*</w:t>
            </w:r>
          </w:p>
        </w:tc>
        <w:tc>
          <w:tcPr>
            <w:tcW w:w="772" w:type="pct"/>
          </w:tcPr>
          <w:p w:rsidR="00000000" w:rsidRDefault="00000000">
            <w:pPr>
              <w:autoSpaceDE w:val="0"/>
              <w:autoSpaceDN w:val="0"/>
              <w:adjustRightInd w:val="0"/>
              <w:jc w:val="center"/>
              <w:rPr>
                <w:sz w:val="22"/>
                <w:lang w:val="fr-FR"/>
              </w:rPr>
            </w:pPr>
            <w:r>
              <w:rPr>
                <w:sz w:val="22"/>
                <w:lang w:val="fr-FR"/>
              </w:rPr>
              <w:t>3,9</w:t>
            </w:r>
          </w:p>
        </w:tc>
      </w:tr>
      <w:tr w:rsidR="00000000">
        <w:tblPrEx>
          <w:tblCellMar>
            <w:top w:w="0" w:type="dxa"/>
            <w:bottom w:w="0" w:type="dxa"/>
          </w:tblCellMar>
        </w:tblPrEx>
        <w:tc>
          <w:tcPr>
            <w:tcW w:w="2019" w:type="pct"/>
          </w:tcPr>
          <w:p w:rsidR="00000000" w:rsidRDefault="00000000">
            <w:pPr>
              <w:autoSpaceDE w:val="0"/>
              <w:autoSpaceDN w:val="0"/>
              <w:adjustRightInd w:val="0"/>
              <w:ind w:left="284"/>
              <w:rPr>
                <w:sz w:val="22"/>
                <w:lang w:val="fr-FR"/>
              </w:rPr>
            </w:pPr>
            <w:r>
              <w:rPr>
                <w:sz w:val="22"/>
              </w:rPr>
              <w:t>Центр</w:t>
            </w:r>
            <w:r>
              <w:rPr>
                <w:sz w:val="22"/>
                <w:lang w:val="fr-FR"/>
              </w:rPr>
              <w:t>/</w:t>
            </w:r>
            <w:r>
              <w:rPr>
                <w:sz w:val="22"/>
              </w:rPr>
              <w:t>Юг</w:t>
            </w:r>
          </w:p>
        </w:tc>
        <w:tc>
          <w:tcPr>
            <w:tcW w:w="370" w:type="pct"/>
          </w:tcPr>
          <w:p w:rsidR="00000000" w:rsidRDefault="00000000">
            <w:pPr>
              <w:autoSpaceDE w:val="0"/>
              <w:autoSpaceDN w:val="0"/>
              <w:adjustRightInd w:val="0"/>
              <w:jc w:val="center"/>
              <w:rPr>
                <w:sz w:val="22"/>
                <w:lang w:val="fr-FR"/>
              </w:rPr>
            </w:pPr>
            <w:r>
              <w:rPr>
                <w:sz w:val="22"/>
                <w:lang w:val="fr-FR"/>
              </w:rPr>
              <w:t>67</w:t>
            </w:r>
          </w:p>
        </w:tc>
        <w:tc>
          <w:tcPr>
            <w:tcW w:w="363" w:type="pct"/>
          </w:tcPr>
          <w:p w:rsidR="00000000" w:rsidRDefault="00000000">
            <w:pPr>
              <w:autoSpaceDE w:val="0"/>
              <w:autoSpaceDN w:val="0"/>
              <w:adjustRightInd w:val="0"/>
              <w:jc w:val="right"/>
              <w:rPr>
                <w:sz w:val="22"/>
                <w:lang w:val="fr-FR"/>
              </w:rPr>
            </w:pPr>
            <w:r>
              <w:rPr>
                <w:sz w:val="22"/>
                <w:lang w:val="fr-FR"/>
              </w:rPr>
              <w:t>172</w:t>
            </w:r>
          </w:p>
        </w:tc>
        <w:tc>
          <w:tcPr>
            <w:tcW w:w="354" w:type="pct"/>
          </w:tcPr>
          <w:p w:rsidR="00000000" w:rsidRDefault="00000000">
            <w:pPr>
              <w:autoSpaceDE w:val="0"/>
              <w:autoSpaceDN w:val="0"/>
              <w:adjustRightInd w:val="0"/>
              <w:jc w:val="center"/>
              <w:rPr>
                <w:sz w:val="22"/>
                <w:lang w:val="fr-FR"/>
              </w:rPr>
            </w:pPr>
            <w:r>
              <w:rPr>
                <w:sz w:val="22"/>
                <w:lang w:val="fr-FR"/>
              </w:rPr>
              <w:t>140</w:t>
            </w:r>
          </w:p>
        </w:tc>
        <w:tc>
          <w:tcPr>
            <w:tcW w:w="400" w:type="pct"/>
          </w:tcPr>
          <w:p w:rsidR="00000000" w:rsidRDefault="00000000">
            <w:pPr>
              <w:autoSpaceDE w:val="0"/>
              <w:autoSpaceDN w:val="0"/>
              <w:adjustRightInd w:val="0"/>
              <w:jc w:val="right"/>
              <w:rPr>
                <w:sz w:val="22"/>
                <w:lang w:val="fr-FR"/>
              </w:rPr>
            </w:pPr>
            <w:r>
              <w:rPr>
                <w:sz w:val="22"/>
                <w:lang w:val="fr-FR"/>
              </w:rPr>
              <w:t>117</w:t>
            </w:r>
          </w:p>
        </w:tc>
        <w:tc>
          <w:tcPr>
            <w:tcW w:w="361" w:type="pct"/>
          </w:tcPr>
          <w:p w:rsidR="00000000" w:rsidRDefault="00000000">
            <w:pPr>
              <w:autoSpaceDE w:val="0"/>
              <w:autoSpaceDN w:val="0"/>
              <w:adjustRightInd w:val="0"/>
              <w:jc w:val="right"/>
              <w:rPr>
                <w:sz w:val="22"/>
                <w:lang w:val="fr-FR"/>
              </w:rPr>
            </w:pPr>
            <w:r>
              <w:rPr>
                <w:sz w:val="22"/>
                <w:lang w:val="fr-FR"/>
              </w:rPr>
              <w:t>69</w:t>
            </w:r>
          </w:p>
        </w:tc>
        <w:tc>
          <w:tcPr>
            <w:tcW w:w="361" w:type="pct"/>
          </w:tcPr>
          <w:p w:rsidR="00000000" w:rsidRDefault="00000000">
            <w:pPr>
              <w:jc w:val="center"/>
              <w:rPr>
                <w:lang w:val="fr-FR"/>
              </w:rPr>
            </w:pPr>
            <w:r>
              <w:rPr>
                <w:b/>
                <w:color w:val="000000"/>
                <w:sz w:val="22"/>
                <w:vertAlign w:val="superscript"/>
                <w:lang w:val="fr-FR"/>
              </w:rPr>
              <w:t>*</w:t>
            </w:r>
          </w:p>
        </w:tc>
        <w:tc>
          <w:tcPr>
            <w:tcW w:w="772" w:type="pct"/>
          </w:tcPr>
          <w:p w:rsidR="00000000" w:rsidRDefault="00000000">
            <w:pPr>
              <w:autoSpaceDE w:val="0"/>
              <w:autoSpaceDN w:val="0"/>
              <w:adjustRightInd w:val="0"/>
              <w:jc w:val="center"/>
              <w:rPr>
                <w:sz w:val="22"/>
                <w:lang w:val="fr-FR"/>
              </w:rPr>
            </w:pPr>
            <w:r>
              <w:rPr>
                <w:sz w:val="22"/>
                <w:lang w:val="fr-FR"/>
              </w:rPr>
              <w:t>3,1</w:t>
            </w:r>
          </w:p>
        </w:tc>
      </w:tr>
      <w:tr w:rsidR="00000000">
        <w:tblPrEx>
          <w:tblCellMar>
            <w:top w:w="0" w:type="dxa"/>
            <w:bottom w:w="0" w:type="dxa"/>
          </w:tblCellMar>
        </w:tblPrEx>
        <w:tc>
          <w:tcPr>
            <w:tcW w:w="2019" w:type="pct"/>
          </w:tcPr>
          <w:p w:rsidR="00000000" w:rsidRDefault="00000000">
            <w:pPr>
              <w:autoSpaceDE w:val="0"/>
              <w:autoSpaceDN w:val="0"/>
              <w:adjustRightInd w:val="0"/>
              <w:ind w:left="284"/>
              <w:rPr>
                <w:sz w:val="22"/>
                <w:lang w:val="fr-FR"/>
              </w:rPr>
            </w:pPr>
            <w:r>
              <w:rPr>
                <w:sz w:val="22"/>
              </w:rPr>
              <w:t>Восток</w:t>
            </w:r>
          </w:p>
        </w:tc>
        <w:tc>
          <w:tcPr>
            <w:tcW w:w="370" w:type="pct"/>
          </w:tcPr>
          <w:p w:rsidR="00000000" w:rsidRDefault="00000000">
            <w:pPr>
              <w:autoSpaceDE w:val="0"/>
              <w:autoSpaceDN w:val="0"/>
              <w:adjustRightInd w:val="0"/>
              <w:jc w:val="center"/>
              <w:rPr>
                <w:sz w:val="22"/>
                <w:lang w:val="fr-FR"/>
              </w:rPr>
            </w:pPr>
            <w:r>
              <w:rPr>
                <w:sz w:val="22"/>
                <w:lang w:val="fr-FR"/>
              </w:rPr>
              <w:t>73</w:t>
            </w:r>
          </w:p>
        </w:tc>
        <w:tc>
          <w:tcPr>
            <w:tcW w:w="363" w:type="pct"/>
          </w:tcPr>
          <w:p w:rsidR="00000000" w:rsidRDefault="00000000">
            <w:pPr>
              <w:autoSpaceDE w:val="0"/>
              <w:autoSpaceDN w:val="0"/>
              <w:adjustRightInd w:val="0"/>
              <w:jc w:val="right"/>
              <w:rPr>
                <w:sz w:val="22"/>
                <w:lang w:val="fr-FR"/>
              </w:rPr>
            </w:pPr>
            <w:r>
              <w:rPr>
                <w:sz w:val="22"/>
                <w:lang w:val="fr-FR"/>
              </w:rPr>
              <w:t>140</w:t>
            </w:r>
          </w:p>
        </w:tc>
        <w:tc>
          <w:tcPr>
            <w:tcW w:w="354" w:type="pct"/>
          </w:tcPr>
          <w:p w:rsidR="00000000" w:rsidRDefault="00000000">
            <w:pPr>
              <w:autoSpaceDE w:val="0"/>
              <w:autoSpaceDN w:val="0"/>
              <w:adjustRightInd w:val="0"/>
              <w:jc w:val="center"/>
              <w:rPr>
                <w:sz w:val="22"/>
                <w:lang w:val="fr-FR"/>
              </w:rPr>
            </w:pPr>
            <w:r>
              <w:rPr>
                <w:sz w:val="22"/>
                <w:lang w:val="fr-FR"/>
              </w:rPr>
              <w:t>163</w:t>
            </w:r>
          </w:p>
        </w:tc>
        <w:tc>
          <w:tcPr>
            <w:tcW w:w="400" w:type="pct"/>
          </w:tcPr>
          <w:p w:rsidR="00000000" w:rsidRDefault="00000000">
            <w:pPr>
              <w:autoSpaceDE w:val="0"/>
              <w:autoSpaceDN w:val="0"/>
              <w:adjustRightInd w:val="0"/>
              <w:jc w:val="right"/>
              <w:rPr>
                <w:sz w:val="22"/>
                <w:lang w:val="fr-FR"/>
              </w:rPr>
            </w:pPr>
            <w:r>
              <w:rPr>
                <w:sz w:val="22"/>
                <w:lang w:val="fr-FR"/>
              </w:rPr>
              <w:t>131</w:t>
            </w:r>
          </w:p>
        </w:tc>
        <w:tc>
          <w:tcPr>
            <w:tcW w:w="361" w:type="pct"/>
          </w:tcPr>
          <w:p w:rsidR="00000000" w:rsidRDefault="00000000">
            <w:pPr>
              <w:autoSpaceDE w:val="0"/>
              <w:autoSpaceDN w:val="0"/>
              <w:adjustRightInd w:val="0"/>
              <w:jc w:val="right"/>
              <w:rPr>
                <w:sz w:val="22"/>
                <w:lang w:val="fr-FR"/>
              </w:rPr>
            </w:pPr>
            <w:r>
              <w:rPr>
                <w:sz w:val="22"/>
                <w:lang w:val="fr-FR"/>
              </w:rPr>
              <w:t>62</w:t>
            </w:r>
          </w:p>
        </w:tc>
        <w:tc>
          <w:tcPr>
            <w:tcW w:w="361" w:type="pct"/>
          </w:tcPr>
          <w:p w:rsidR="00000000" w:rsidRDefault="00000000">
            <w:pPr>
              <w:jc w:val="center"/>
              <w:rPr>
                <w:lang w:val="fr-FR"/>
              </w:rPr>
            </w:pPr>
            <w:r>
              <w:rPr>
                <w:b/>
                <w:color w:val="000000"/>
                <w:sz w:val="22"/>
                <w:vertAlign w:val="superscript"/>
                <w:lang w:val="fr-FR"/>
              </w:rPr>
              <w:t>*</w:t>
            </w:r>
          </w:p>
        </w:tc>
        <w:tc>
          <w:tcPr>
            <w:tcW w:w="772" w:type="pct"/>
          </w:tcPr>
          <w:p w:rsidR="00000000" w:rsidRDefault="00000000">
            <w:pPr>
              <w:autoSpaceDE w:val="0"/>
              <w:autoSpaceDN w:val="0"/>
              <w:adjustRightInd w:val="0"/>
              <w:jc w:val="center"/>
              <w:rPr>
                <w:sz w:val="22"/>
                <w:lang w:val="fr-FR"/>
              </w:rPr>
            </w:pPr>
            <w:r>
              <w:rPr>
                <w:sz w:val="22"/>
                <w:lang w:val="fr-FR"/>
              </w:rPr>
              <w:t>3,0</w:t>
            </w:r>
          </w:p>
        </w:tc>
      </w:tr>
      <w:tr w:rsidR="00000000">
        <w:tblPrEx>
          <w:tblCellMar>
            <w:top w:w="0" w:type="dxa"/>
            <w:bottom w:w="0" w:type="dxa"/>
          </w:tblCellMar>
        </w:tblPrEx>
        <w:tc>
          <w:tcPr>
            <w:tcW w:w="2019" w:type="pct"/>
          </w:tcPr>
          <w:p w:rsidR="00000000" w:rsidRDefault="00000000">
            <w:pPr>
              <w:autoSpaceDE w:val="0"/>
              <w:autoSpaceDN w:val="0"/>
              <w:adjustRightInd w:val="0"/>
              <w:rPr>
                <w:sz w:val="22"/>
              </w:rPr>
            </w:pPr>
            <w:r>
              <w:rPr>
                <w:sz w:val="22"/>
              </w:rPr>
              <w:t>Уровень образования (стаж учебы)</w:t>
            </w:r>
          </w:p>
        </w:tc>
        <w:tc>
          <w:tcPr>
            <w:tcW w:w="370" w:type="pct"/>
          </w:tcPr>
          <w:p w:rsidR="00000000" w:rsidRDefault="00000000">
            <w:pPr>
              <w:autoSpaceDE w:val="0"/>
              <w:autoSpaceDN w:val="0"/>
              <w:adjustRightInd w:val="0"/>
              <w:jc w:val="center"/>
              <w:rPr>
                <w:sz w:val="22"/>
              </w:rPr>
            </w:pPr>
          </w:p>
        </w:tc>
        <w:tc>
          <w:tcPr>
            <w:tcW w:w="363" w:type="pct"/>
          </w:tcPr>
          <w:p w:rsidR="00000000" w:rsidRDefault="00000000">
            <w:pPr>
              <w:autoSpaceDE w:val="0"/>
              <w:autoSpaceDN w:val="0"/>
              <w:adjustRightInd w:val="0"/>
              <w:jc w:val="right"/>
              <w:rPr>
                <w:sz w:val="22"/>
              </w:rPr>
            </w:pPr>
          </w:p>
        </w:tc>
        <w:tc>
          <w:tcPr>
            <w:tcW w:w="354" w:type="pct"/>
          </w:tcPr>
          <w:p w:rsidR="00000000" w:rsidRDefault="00000000">
            <w:pPr>
              <w:autoSpaceDE w:val="0"/>
              <w:autoSpaceDN w:val="0"/>
              <w:adjustRightInd w:val="0"/>
              <w:jc w:val="center"/>
              <w:rPr>
                <w:sz w:val="22"/>
              </w:rPr>
            </w:pPr>
          </w:p>
        </w:tc>
        <w:tc>
          <w:tcPr>
            <w:tcW w:w="400" w:type="pct"/>
          </w:tcPr>
          <w:p w:rsidR="00000000" w:rsidRDefault="00000000">
            <w:pPr>
              <w:autoSpaceDE w:val="0"/>
              <w:autoSpaceDN w:val="0"/>
              <w:adjustRightInd w:val="0"/>
              <w:jc w:val="right"/>
              <w:rPr>
                <w:sz w:val="22"/>
              </w:rPr>
            </w:pPr>
          </w:p>
        </w:tc>
        <w:tc>
          <w:tcPr>
            <w:tcW w:w="361" w:type="pct"/>
          </w:tcPr>
          <w:p w:rsidR="00000000" w:rsidRDefault="00000000">
            <w:pPr>
              <w:autoSpaceDE w:val="0"/>
              <w:autoSpaceDN w:val="0"/>
              <w:adjustRightInd w:val="0"/>
              <w:jc w:val="right"/>
              <w:rPr>
                <w:sz w:val="22"/>
              </w:rPr>
            </w:pPr>
          </w:p>
        </w:tc>
        <w:tc>
          <w:tcPr>
            <w:tcW w:w="361" w:type="pct"/>
          </w:tcPr>
          <w:p w:rsidR="00000000" w:rsidRDefault="00000000">
            <w:pPr>
              <w:jc w:val="center"/>
              <w:rPr>
                <w:lang w:val="fr-FR"/>
              </w:rPr>
            </w:pPr>
            <w:r>
              <w:rPr>
                <w:b/>
                <w:color w:val="000000"/>
                <w:sz w:val="22"/>
                <w:vertAlign w:val="superscript"/>
                <w:lang w:val="fr-FR"/>
              </w:rPr>
              <w:t>*</w:t>
            </w:r>
          </w:p>
        </w:tc>
        <w:tc>
          <w:tcPr>
            <w:tcW w:w="772" w:type="pct"/>
          </w:tcPr>
          <w:p w:rsidR="00000000" w:rsidRDefault="00000000">
            <w:pPr>
              <w:autoSpaceDE w:val="0"/>
              <w:autoSpaceDN w:val="0"/>
              <w:adjustRightInd w:val="0"/>
              <w:jc w:val="center"/>
              <w:rPr>
                <w:sz w:val="22"/>
                <w:lang w:val="fr-FR"/>
              </w:rPr>
            </w:pPr>
          </w:p>
        </w:tc>
      </w:tr>
      <w:tr w:rsidR="00000000">
        <w:tblPrEx>
          <w:tblCellMar>
            <w:top w:w="0" w:type="dxa"/>
            <w:bottom w:w="0" w:type="dxa"/>
          </w:tblCellMar>
        </w:tblPrEx>
        <w:tc>
          <w:tcPr>
            <w:tcW w:w="2019" w:type="pct"/>
          </w:tcPr>
          <w:p w:rsidR="00000000" w:rsidRDefault="00000000">
            <w:pPr>
              <w:autoSpaceDE w:val="0"/>
              <w:autoSpaceDN w:val="0"/>
              <w:adjustRightInd w:val="0"/>
              <w:ind w:left="284"/>
              <w:rPr>
                <w:sz w:val="22"/>
                <w:lang w:val="fr-FR"/>
              </w:rPr>
            </w:pPr>
            <w:r>
              <w:rPr>
                <w:sz w:val="22"/>
                <w:lang w:val="fr-FR"/>
              </w:rPr>
              <w:t>0</w:t>
            </w:r>
            <w:r>
              <w:rPr>
                <w:sz w:val="22"/>
              </w:rPr>
              <w:t>-</w:t>
            </w:r>
            <w:r>
              <w:rPr>
                <w:sz w:val="22"/>
                <w:lang w:val="fr-FR"/>
              </w:rPr>
              <w:t>5</w:t>
            </w:r>
          </w:p>
        </w:tc>
        <w:tc>
          <w:tcPr>
            <w:tcW w:w="370" w:type="pct"/>
          </w:tcPr>
          <w:p w:rsidR="00000000" w:rsidRDefault="00000000">
            <w:pPr>
              <w:autoSpaceDE w:val="0"/>
              <w:autoSpaceDN w:val="0"/>
              <w:adjustRightInd w:val="0"/>
              <w:jc w:val="center"/>
              <w:rPr>
                <w:sz w:val="22"/>
                <w:lang w:val="fr-FR"/>
              </w:rPr>
            </w:pPr>
            <w:r>
              <w:rPr>
                <w:sz w:val="22"/>
                <w:lang w:val="fr-FR"/>
              </w:rPr>
              <w:t>136</w:t>
            </w:r>
          </w:p>
        </w:tc>
        <w:tc>
          <w:tcPr>
            <w:tcW w:w="363" w:type="pct"/>
          </w:tcPr>
          <w:p w:rsidR="00000000" w:rsidRDefault="00000000">
            <w:pPr>
              <w:autoSpaceDE w:val="0"/>
              <w:autoSpaceDN w:val="0"/>
              <w:adjustRightInd w:val="0"/>
              <w:jc w:val="right"/>
              <w:rPr>
                <w:sz w:val="22"/>
                <w:lang w:val="fr-FR"/>
              </w:rPr>
            </w:pPr>
            <w:r>
              <w:rPr>
                <w:sz w:val="22"/>
                <w:lang w:val="fr-FR"/>
              </w:rPr>
              <w:t>249</w:t>
            </w:r>
          </w:p>
        </w:tc>
        <w:tc>
          <w:tcPr>
            <w:tcW w:w="354" w:type="pct"/>
          </w:tcPr>
          <w:p w:rsidR="00000000" w:rsidRDefault="00000000">
            <w:pPr>
              <w:autoSpaceDE w:val="0"/>
              <w:autoSpaceDN w:val="0"/>
              <w:adjustRightInd w:val="0"/>
              <w:jc w:val="center"/>
              <w:rPr>
                <w:sz w:val="22"/>
                <w:lang w:val="fr-FR"/>
              </w:rPr>
            </w:pPr>
            <w:r>
              <w:rPr>
                <w:sz w:val="22"/>
                <w:lang w:val="fr-FR"/>
              </w:rPr>
              <w:t>190</w:t>
            </w:r>
          </w:p>
        </w:tc>
        <w:tc>
          <w:tcPr>
            <w:tcW w:w="400" w:type="pct"/>
          </w:tcPr>
          <w:p w:rsidR="00000000" w:rsidRDefault="00000000">
            <w:pPr>
              <w:autoSpaceDE w:val="0"/>
              <w:autoSpaceDN w:val="0"/>
              <w:adjustRightInd w:val="0"/>
              <w:jc w:val="right"/>
              <w:rPr>
                <w:sz w:val="22"/>
                <w:lang w:val="fr-FR"/>
              </w:rPr>
            </w:pPr>
            <w:r>
              <w:rPr>
                <w:sz w:val="22"/>
                <w:lang w:val="fr-FR"/>
              </w:rPr>
              <w:t>144</w:t>
            </w:r>
          </w:p>
        </w:tc>
        <w:tc>
          <w:tcPr>
            <w:tcW w:w="361" w:type="pct"/>
          </w:tcPr>
          <w:p w:rsidR="00000000" w:rsidRDefault="00000000">
            <w:pPr>
              <w:autoSpaceDE w:val="0"/>
              <w:autoSpaceDN w:val="0"/>
              <w:adjustRightInd w:val="0"/>
              <w:jc w:val="right"/>
              <w:rPr>
                <w:sz w:val="22"/>
                <w:lang w:val="fr-FR"/>
              </w:rPr>
            </w:pPr>
            <w:r>
              <w:rPr>
                <w:sz w:val="22"/>
                <w:lang w:val="fr-FR"/>
              </w:rPr>
              <w:t>83</w:t>
            </w:r>
          </w:p>
        </w:tc>
        <w:tc>
          <w:tcPr>
            <w:tcW w:w="361" w:type="pct"/>
          </w:tcPr>
          <w:p w:rsidR="00000000" w:rsidRDefault="00000000">
            <w:pPr>
              <w:jc w:val="center"/>
              <w:rPr>
                <w:lang w:val="fr-FR"/>
              </w:rPr>
            </w:pPr>
            <w:r>
              <w:rPr>
                <w:b/>
                <w:color w:val="000000"/>
                <w:sz w:val="22"/>
                <w:vertAlign w:val="superscript"/>
                <w:lang w:val="fr-FR"/>
              </w:rPr>
              <w:t>*</w:t>
            </w:r>
          </w:p>
        </w:tc>
        <w:tc>
          <w:tcPr>
            <w:tcW w:w="772" w:type="pct"/>
          </w:tcPr>
          <w:p w:rsidR="00000000" w:rsidRDefault="00000000">
            <w:pPr>
              <w:autoSpaceDE w:val="0"/>
              <w:autoSpaceDN w:val="0"/>
              <w:adjustRightInd w:val="0"/>
              <w:jc w:val="center"/>
              <w:rPr>
                <w:sz w:val="22"/>
                <w:lang w:val="fr-FR"/>
              </w:rPr>
            </w:pPr>
            <w:r>
              <w:rPr>
                <w:sz w:val="22"/>
                <w:lang w:val="fr-FR"/>
              </w:rPr>
              <w:t>4,2</w:t>
            </w:r>
          </w:p>
        </w:tc>
      </w:tr>
      <w:tr w:rsidR="00000000">
        <w:tblPrEx>
          <w:tblCellMar>
            <w:top w:w="0" w:type="dxa"/>
            <w:bottom w:w="0" w:type="dxa"/>
          </w:tblCellMar>
        </w:tblPrEx>
        <w:tc>
          <w:tcPr>
            <w:tcW w:w="2019" w:type="pct"/>
          </w:tcPr>
          <w:p w:rsidR="00000000" w:rsidRDefault="00000000">
            <w:pPr>
              <w:autoSpaceDE w:val="0"/>
              <w:autoSpaceDN w:val="0"/>
              <w:adjustRightInd w:val="0"/>
              <w:ind w:left="284"/>
              <w:rPr>
                <w:sz w:val="22"/>
                <w:lang w:val="fr-FR"/>
              </w:rPr>
            </w:pPr>
            <w:r>
              <w:rPr>
                <w:sz w:val="22"/>
                <w:lang w:val="fr-FR"/>
              </w:rPr>
              <w:t xml:space="preserve">6 </w:t>
            </w:r>
          </w:p>
        </w:tc>
        <w:tc>
          <w:tcPr>
            <w:tcW w:w="370" w:type="pct"/>
          </w:tcPr>
          <w:p w:rsidR="00000000" w:rsidRDefault="00000000">
            <w:pPr>
              <w:autoSpaceDE w:val="0"/>
              <w:autoSpaceDN w:val="0"/>
              <w:adjustRightInd w:val="0"/>
              <w:jc w:val="center"/>
              <w:rPr>
                <w:sz w:val="22"/>
                <w:lang w:val="fr-FR"/>
              </w:rPr>
            </w:pPr>
            <w:r>
              <w:rPr>
                <w:sz w:val="22"/>
                <w:lang w:val="fr-FR"/>
              </w:rPr>
              <w:t>153</w:t>
            </w:r>
          </w:p>
        </w:tc>
        <w:tc>
          <w:tcPr>
            <w:tcW w:w="363" w:type="pct"/>
          </w:tcPr>
          <w:p w:rsidR="00000000" w:rsidRDefault="00000000">
            <w:pPr>
              <w:autoSpaceDE w:val="0"/>
              <w:autoSpaceDN w:val="0"/>
              <w:adjustRightInd w:val="0"/>
              <w:jc w:val="right"/>
              <w:rPr>
                <w:sz w:val="22"/>
                <w:lang w:val="fr-FR"/>
              </w:rPr>
            </w:pPr>
            <w:r>
              <w:rPr>
                <w:sz w:val="22"/>
                <w:lang w:val="fr-FR"/>
              </w:rPr>
              <w:t>217</w:t>
            </w:r>
          </w:p>
        </w:tc>
        <w:tc>
          <w:tcPr>
            <w:tcW w:w="354" w:type="pct"/>
          </w:tcPr>
          <w:p w:rsidR="00000000" w:rsidRDefault="00000000">
            <w:pPr>
              <w:autoSpaceDE w:val="0"/>
              <w:autoSpaceDN w:val="0"/>
              <w:adjustRightInd w:val="0"/>
              <w:jc w:val="center"/>
              <w:rPr>
                <w:sz w:val="22"/>
                <w:lang w:val="fr-FR"/>
              </w:rPr>
            </w:pPr>
            <w:r>
              <w:rPr>
                <w:sz w:val="22"/>
                <w:lang w:val="fr-FR"/>
              </w:rPr>
              <w:t>151</w:t>
            </w:r>
          </w:p>
        </w:tc>
        <w:tc>
          <w:tcPr>
            <w:tcW w:w="400" w:type="pct"/>
          </w:tcPr>
          <w:p w:rsidR="00000000" w:rsidRDefault="00000000">
            <w:pPr>
              <w:autoSpaceDE w:val="0"/>
              <w:autoSpaceDN w:val="0"/>
              <w:adjustRightInd w:val="0"/>
              <w:jc w:val="right"/>
              <w:rPr>
                <w:sz w:val="22"/>
                <w:lang w:val="fr-FR"/>
              </w:rPr>
            </w:pPr>
            <w:r>
              <w:rPr>
                <w:sz w:val="22"/>
                <w:lang w:val="fr-FR"/>
              </w:rPr>
              <w:t>120</w:t>
            </w:r>
          </w:p>
        </w:tc>
        <w:tc>
          <w:tcPr>
            <w:tcW w:w="361" w:type="pct"/>
          </w:tcPr>
          <w:p w:rsidR="00000000" w:rsidRDefault="00000000">
            <w:pPr>
              <w:autoSpaceDE w:val="0"/>
              <w:autoSpaceDN w:val="0"/>
              <w:adjustRightInd w:val="0"/>
              <w:jc w:val="right"/>
              <w:rPr>
                <w:sz w:val="22"/>
                <w:lang w:val="fr-FR"/>
              </w:rPr>
            </w:pPr>
            <w:r>
              <w:rPr>
                <w:sz w:val="22"/>
                <w:lang w:val="fr-FR"/>
              </w:rPr>
              <w:t>70</w:t>
            </w:r>
          </w:p>
        </w:tc>
        <w:tc>
          <w:tcPr>
            <w:tcW w:w="361" w:type="pct"/>
          </w:tcPr>
          <w:p w:rsidR="00000000" w:rsidRDefault="00000000">
            <w:pPr>
              <w:autoSpaceDE w:val="0"/>
              <w:autoSpaceDN w:val="0"/>
              <w:adjustRightInd w:val="0"/>
              <w:jc w:val="center"/>
              <w:rPr>
                <w:sz w:val="22"/>
                <w:lang w:val="fr-FR"/>
              </w:rPr>
            </w:pPr>
            <w:r>
              <w:rPr>
                <w:sz w:val="22"/>
                <w:lang w:val="fr-FR"/>
              </w:rPr>
              <w:t>52</w:t>
            </w:r>
          </w:p>
        </w:tc>
        <w:tc>
          <w:tcPr>
            <w:tcW w:w="772" w:type="pct"/>
          </w:tcPr>
          <w:p w:rsidR="00000000" w:rsidRDefault="00000000">
            <w:pPr>
              <w:autoSpaceDE w:val="0"/>
              <w:autoSpaceDN w:val="0"/>
              <w:adjustRightInd w:val="0"/>
              <w:jc w:val="center"/>
              <w:rPr>
                <w:sz w:val="22"/>
                <w:lang w:val="fr-FR"/>
              </w:rPr>
            </w:pPr>
            <w:r>
              <w:rPr>
                <w:sz w:val="22"/>
                <w:lang w:val="fr-FR"/>
              </w:rPr>
              <w:t>3,8</w:t>
            </w:r>
          </w:p>
        </w:tc>
      </w:tr>
      <w:tr w:rsidR="00000000">
        <w:tblPrEx>
          <w:tblCellMar>
            <w:top w:w="0" w:type="dxa"/>
            <w:bottom w:w="0" w:type="dxa"/>
          </w:tblCellMar>
        </w:tblPrEx>
        <w:tc>
          <w:tcPr>
            <w:tcW w:w="2019" w:type="pct"/>
          </w:tcPr>
          <w:p w:rsidR="00000000" w:rsidRDefault="00000000">
            <w:pPr>
              <w:autoSpaceDE w:val="0"/>
              <w:autoSpaceDN w:val="0"/>
              <w:adjustRightInd w:val="0"/>
              <w:ind w:left="284"/>
              <w:rPr>
                <w:sz w:val="22"/>
                <w:lang w:val="fr-FR"/>
              </w:rPr>
            </w:pPr>
            <w:r>
              <w:rPr>
                <w:sz w:val="22"/>
                <w:lang w:val="fr-FR"/>
              </w:rPr>
              <w:t>7</w:t>
            </w:r>
            <w:r>
              <w:rPr>
                <w:sz w:val="22"/>
              </w:rPr>
              <w:t>-</w:t>
            </w:r>
            <w:r>
              <w:rPr>
                <w:sz w:val="22"/>
                <w:lang w:val="fr-FR"/>
              </w:rPr>
              <w:t>11</w:t>
            </w:r>
          </w:p>
        </w:tc>
        <w:tc>
          <w:tcPr>
            <w:tcW w:w="370" w:type="pct"/>
          </w:tcPr>
          <w:p w:rsidR="00000000" w:rsidRDefault="00000000">
            <w:pPr>
              <w:autoSpaceDE w:val="0"/>
              <w:autoSpaceDN w:val="0"/>
              <w:adjustRightInd w:val="0"/>
              <w:jc w:val="center"/>
              <w:rPr>
                <w:sz w:val="22"/>
                <w:lang w:val="fr-FR"/>
              </w:rPr>
            </w:pPr>
            <w:r>
              <w:rPr>
                <w:sz w:val="22"/>
                <w:lang w:val="fr-FR"/>
              </w:rPr>
              <w:t>54</w:t>
            </w:r>
          </w:p>
        </w:tc>
        <w:tc>
          <w:tcPr>
            <w:tcW w:w="363" w:type="pct"/>
          </w:tcPr>
          <w:p w:rsidR="00000000" w:rsidRDefault="00000000">
            <w:pPr>
              <w:autoSpaceDE w:val="0"/>
              <w:autoSpaceDN w:val="0"/>
              <w:adjustRightInd w:val="0"/>
              <w:jc w:val="right"/>
              <w:rPr>
                <w:sz w:val="22"/>
                <w:lang w:val="fr-FR"/>
              </w:rPr>
            </w:pPr>
            <w:r>
              <w:rPr>
                <w:sz w:val="22"/>
                <w:lang w:val="fr-FR"/>
              </w:rPr>
              <w:t>188</w:t>
            </w:r>
          </w:p>
        </w:tc>
        <w:tc>
          <w:tcPr>
            <w:tcW w:w="354" w:type="pct"/>
          </w:tcPr>
          <w:p w:rsidR="00000000" w:rsidRDefault="00000000">
            <w:pPr>
              <w:autoSpaceDE w:val="0"/>
              <w:autoSpaceDN w:val="0"/>
              <w:adjustRightInd w:val="0"/>
              <w:jc w:val="center"/>
              <w:rPr>
                <w:sz w:val="22"/>
                <w:lang w:val="fr-FR"/>
              </w:rPr>
            </w:pPr>
            <w:r>
              <w:rPr>
                <w:sz w:val="22"/>
                <w:lang w:val="fr-FR"/>
              </w:rPr>
              <w:t>146</w:t>
            </w:r>
          </w:p>
        </w:tc>
        <w:tc>
          <w:tcPr>
            <w:tcW w:w="400" w:type="pct"/>
          </w:tcPr>
          <w:p w:rsidR="00000000" w:rsidRDefault="00000000">
            <w:pPr>
              <w:autoSpaceDE w:val="0"/>
              <w:autoSpaceDN w:val="0"/>
              <w:adjustRightInd w:val="0"/>
              <w:jc w:val="right"/>
              <w:rPr>
                <w:sz w:val="22"/>
                <w:lang w:val="fr-FR"/>
              </w:rPr>
            </w:pPr>
            <w:r>
              <w:rPr>
                <w:sz w:val="22"/>
                <w:lang w:val="fr-FR"/>
              </w:rPr>
              <w:t>116</w:t>
            </w:r>
          </w:p>
        </w:tc>
        <w:tc>
          <w:tcPr>
            <w:tcW w:w="361" w:type="pct"/>
          </w:tcPr>
          <w:p w:rsidR="00000000" w:rsidRDefault="00000000">
            <w:pPr>
              <w:autoSpaceDE w:val="0"/>
              <w:autoSpaceDN w:val="0"/>
              <w:adjustRightInd w:val="0"/>
              <w:jc w:val="right"/>
              <w:rPr>
                <w:sz w:val="22"/>
                <w:lang w:val="fr-FR"/>
              </w:rPr>
            </w:pPr>
            <w:r>
              <w:rPr>
                <w:sz w:val="22"/>
                <w:lang w:val="fr-FR"/>
              </w:rPr>
              <w:t>55</w:t>
            </w:r>
          </w:p>
        </w:tc>
        <w:tc>
          <w:tcPr>
            <w:tcW w:w="361" w:type="pct"/>
          </w:tcPr>
          <w:p w:rsidR="00000000" w:rsidRDefault="00000000">
            <w:pPr>
              <w:jc w:val="center"/>
              <w:rPr>
                <w:lang w:val="fr-FR"/>
              </w:rPr>
            </w:pPr>
            <w:r>
              <w:rPr>
                <w:b/>
                <w:color w:val="000000"/>
                <w:sz w:val="22"/>
                <w:vertAlign w:val="superscript"/>
                <w:lang w:val="fr-FR"/>
              </w:rPr>
              <w:t>*</w:t>
            </w:r>
          </w:p>
        </w:tc>
        <w:tc>
          <w:tcPr>
            <w:tcW w:w="772" w:type="pct"/>
          </w:tcPr>
          <w:p w:rsidR="00000000" w:rsidRDefault="00000000">
            <w:pPr>
              <w:autoSpaceDE w:val="0"/>
              <w:autoSpaceDN w:val="0"/>
              <w:adjustRightInd w:val="0"/>
              <w:jc w:val="center"/>
              <w:rPr>
                <w:sz w:val="22"/>
                <w:lang w:val="fr-FR"/>
              </w:rPr>
            </w:pPr>
            <w:r>
              <w:rPr>
                <w:sz w:val="22"/>
                <w:lang w:val="fr-FR"/>
              </w:rPr>
              <w:t>2,9</w:t>
            </w:r>
          </w:p>
        </w:tc>
      </w:tr>
      <w:tr w:rsidR="00000000">
        <w:tblPrEx>
          <w:tblCellMar>
            <w:top w:w="0" w:type="dxa"/>
            <w:bottom w:w="0" w:type="dxa"/>
          </w:tblCellMar>
        </w:tblPrEx>
        <w:tc>
          <w:tcPr>
            <w:tcW w:w="2019" w:type="pct"/>
          </w:tcPr>
          <w:p w:rsidR="00000000" w:rsidRDefault="00000000">
            <w:pPr>
              <w:autoSpaceDE w:val="0"/>
              <w:autoSpaceDN w:val="0"/>
              <w:adjustRightInd w:val="0"/>
              <w:ind w:left="284"/>
              <w:rPr>
                <w:sz w:val="22"/>
              </w:rPr>
            </w:pPr>
            <w:r>
              <w:rPr>
                <w:sz w:val="22"/>
              </w:rPr>
              <w:t>12 и более лет</w:t>
            </w:r>
          </w:p>
        </w:tc>
        <w:tc>
          <w:tcPr>
            <w:tcW w:w="370" w:type="pct"/>
          </w:tcPr>
          <w:p w:rsidR="00000000" w:rsidRDefault="00000000">
            <w:pPr>
              <w:autoSpaceDE w:val="0"/>
              <w:autoSpaceDN w:val="0"/>
              <w:adjustRightInd w:val="0"/>
              <w:jc w:val="center"/>
              <w:rPr>
                <w:sz w:val="22"/>
                <w:lang w:val="fr-FR"/>
              </w:rPr>
            </w:pPr>
            <w:r>
              <w:rPr>
                <w:sz w:val="22"/>
                <w:lang w:val="fr-FR"/>
              </w:rPr>
              <w:t>26</w:t>
            </w:r>
          </w:p>
        </w:tc>
        <w:tc>
          <w:tcPr>
            <w:tcW w:w="363" w:type="pct"/>
          </w:tcPr>
          <w:p w:rsidR="00000000" w:rsidRDefault="00000000">
            <w:pPr>
              <w:autoSpaceDE w:val="0"/>
              <w:autoSpaceDN w:val="0"/>
              <w:adjustRightInd w:val="0"/>
              <w:jc w:val="right"/>
              <w:rPr>
                <w:sz w:val="22"/>
                <w:lang w:val="fr-FR"/>
              </w:rPr>
            </w:pPr>
            <w:r>
              <w:rPr>
                <w:sz w:val="22"/>
                <w:lang w:val="fr-FR"/>
              </w:rPr>
              <w:t>89</w:t>
            </w:r>
          </w:p>
        </w:tc>
        <w:tc>
          <w:tcPr>
            <w:tcW w:w="354" w:type="pct"/>
          </w:tcPr>
          <w:p w:rsidR="00000000" w:rsidRDefault="00000000">
            <w:pPr>
              <w:autoSpaceDE w:val="0"/>
              <w:autoSpaceDN w:val="0"/>
              <w:adjustRightInd w:val="0"/>
              <w:jc w:val="center"/>
              <w:rPr>
                <w:sz w:val="22"/>
                <w:lang w:val="fr-FR"/>
              </w:rPr>
            </w:pPr>
            <w:r>
              <w:rPr>
                <w:sz w:val="22"/>
                <w:lang w:val="fr-FR"/>
              </w:rPr>
              <w:t>109</w:t>
            </w:r>
          </w:p>
        </w:tc>
        <w:tc>
          <w:tcPr>
            <w:tcW w:w="400" w:type="pct"/>
          </w:tcPr>
          <w:p w:rsidR="00000000" w:rsidRDefault="00000000">
            <w:pPr>
              <w:autoSpaceDE w:val="0"/>
              <w:autoSpaceDN w:val="0"/>
              <w:adjustRightInd w:val="0"/>
              <w:jc w:val="right"/>
              <w:rPr>
                <w:sz w:val="22"/>
                <w:lang w:val="fr-FR"/>
              </w:rPr>
            </w:pPr>
            <w:r>
              <w:rPr>
                <w:sz w:val="22"/>
                <w:lang w:val="fr-FR"/>
              </w:rPr>
              <w:t>111</w:t>
            </w:r>
          </w:p>
        </w:tc>
        <w:tc>
          <w:tcPr>
            <w:tcW w:w="361" w:type="pct"/>
          </w:tcPr>
          <w:p w:rsidR="00000000" w:rsidRDefault="00000000">
            <w:pPr>
              <w:autoSpaceDE w:val="0"/>
              <w:autoSpaceDN w:val="0"/>
              <w:adjustRightInd w:val="0"/>
              <w:jc w:val="right"/>
              <w:rPr>
                <w:sz w:val="22"/>
                <w:lang w:val="fr-FR"/>
              </w:rPr>
            </w:pPr>
            <w:r>
              <w:rPr>
                <w:sz w:val="22"/>
                <w:lang w:val="fr-FR"/>
              </w:rPr>
              <w:t>60</w:t>
            </w:r>
          </w:p>
        </w:tc>
        <w:tc>
          <w:tcPr>
            <w:tcW w:w="361" w:type="pct"/>
          </w:tcPr>
          <w:p w:rsidR="00000000" w:rsidRDefault="00000000">
            <w:pPr>
              <w:jc w:val="center"/>
              <w:rPr>
                <w:lang w:val="fr-FR"/>
              </w:rPr>
            </w:pPr>
            <w:r>
              <w:rPr>
                <w:b/>
                <w:color w:val="000000"/>
                <w:sz w:val="22"/>
                <w:vertAlign w:val="superscript"/>
                <w:lang w:val="fr-FR"/>
              </w:rPr>
              <w:t>*</w:t>
            </w:r>
          </w:p>
        </w:tc>
        <w:tc>
          <w:tcPr>
            <w:tcW w:w="772" w:type="pct"/>
          </w:tcPr>
          <w:p w:rsidR="00000000" w:rsidRDefault="00000000">
            <w:pPr>
              <w:autoSpaceDE w:val="0"/>
              <w:autoSpaceDN w:val="0"/>
              <w:adjustRightInd w:val="0"/>
              <w:jc w:val="center"/>
              <w:rPr>
                <w:sz w:val="22"/>
                <w:lang w:val="fr-FR"/>
              </w:rPr>
            </w:pPr>
            <w:r>
              <w:rPr>
                <w:sz w:val="22"/>
                <w:lang w:val="fr-FR"/>
              </w:rPr>
              <w:t>2,1</w:t>
            </w:r>
          </w:p>
        </w:tc>
      </w:tr>
      <w:tr w:rsidR="00000000">
        <w:tblPrEx>
          <w:tblCellMar>
            <w:top w:w="0" w:type="dxa"/>
            <w:bottom w:w="0" w:type="dxa"/>
          </w:tblCellMar>
        </w:tblPrEx>
        <w:tc>
          <w:tcPr>
            <w:tcW w:w="2019" w:type="pct"/>
          </w:tcPr>
          <w:p w:rsidR="00000000" w:rsidRDefault="00000000">
            <w:pPr>
              <w:autoSpaceDE w:val="0"/>
              <w:autoSpaceDN w:val="0"/>
              <w:adjustRightInd w:val="0"/>
              <w:spacing w:line="216" w:lineRule="auto"/>
              <w:rPr>
                <w:sz w:val="22"/>
              </w:rPr>
            </w:pPr>
            <w:r>
              <w:rPr>
                <w:sz w:val="22"/>
              </w:rPr>
              <w:t>Язык, на котором говорят в домохозяйстве</w:t>
            </w:r>
          </w:p>
        </w:tc>
        <w:tc>
          <w:tcPr>
            <w:tcW w:w="370" w:type="pct"/>
          </w:tcPr>
          <w:p w:rsidR="00000000" w:rsidRDefault="00000000">
            <w:pPr>
              <w:autoSpaceDE w:val="0"/>
              <w:autoSpaceDN w:val="0"/>
              <w:adjustRightInd w:val="0"/>
              <w:jc w:val="center"/>
              <w:rPr>
                <w:sz w:val="22"/>
              </w:rPr>
            </w:pPr>
          </w:p>
        </w:tc>
        <w:tc>
          <w:tcPr>
            <w:tcW w:w="363" w:type="pct"/>
          </w:tcPr>
          <w:p w:rsidR="00000000" w:rsidRDefault="00000000">
            <w:pPr>
              <w:autoSpaceDE w:val="0"/>
              <w:autoSpaceDN w:val="0"/>
              <w:adjustRightInd w:val="0"/>
              <w:jc w:val="right"/>
              <w:rPr>
                <w:sz w:val="22"/>
              </w:rPr>
            </w:pPr>
          </w:p>
        </w:tc>
        <w:tc>
          <w:tcPr>
            <w:tcW w:w="354" w:type="pct"/>
          </w:tcPr>
          <w:p w:rsidR="00000000" w:rsidRDefault="00000000">
            <w:pPr>
              <w:autoSpaceDE w:val="0"/>
              <w:autoSpaceDN w:val="0"/>
              <w:adjustRightInd w:val="0"/>
              <w:jc w:val="center"/>
              <w:rPr>
                <w:sz w:val="22"/>
              </w:rPr>
            </w:pPr>
          </w:p>
        </w:tc>
        <w:tc>
          <w:tcPr>
            <w:tcW w:w="400" w:type="pct"/>
          </w:tcPr>
          <w:p w:rsidR="00000000" w:rsidRDefault="00000000">
            <w:pPr>
              <w:autoSpaceDE w:val="0"/>
              <w:autoSpaceDN w:val="0"/>
              <w:adjustRightInd w:val="0"/>
              <w:jc w:val="right"/>
              <w:rPr>
                <w:sz w:val="22"/>
              </w:rPr>
            </w:pPr>
          </w:p>
        </w:tc>
        <w:tc>
          <w:tcPr>
            <w:tcW w:w="361" w:type="pct"/>
          </w:tcPr>
          <w:p w:rsidR="00000000" w:rsidRDefault="00000000">
            <w:pPr>
              <w:autoSpaceDE w:val="0"/>
              <w:autoSpaceDN w:val="0"/>
              <w:adjustRightInd w:val="0"/>
              <w:jc w:val="right"/>
              <w:rPr>
                <w:sz w:val="22"/>
              </w:rPr>
            </w:pPr>
          </w:p>
        </w:tc>
        <w:tc>
          <w:tcPr>
            <w:tcW w:w="361" w:type="pct"/>
          </w:tcPr>
          <w:p w:rsidR="00000000" w:rsidRDefault="00000000">
            <w:pPr>
              <w:jc w:val="center"/>
              <w:rPr>
                <w:lang w:val="fr-FR"/>
              </w:rPr>
            </w:pPr>
            <w:r>
              <w:rPr>
                <w:b/>
                <w:color w:val="000000"/>
                <w:sz w:val="22"/>
                <w:vertAlign w:val="superscript"/>
                <w:lang w:val="fr-FR"/>
              </w:rPr>
              <w:t>*</w:t>
            </w:r>
          </w:p>
        </w:tc>
        <w:tc>
          <w:tcPr>
            <w:tcW w:w="772" w:type="pct"/>
          </w:tcPr>
          <w:p w:rsidR="00000000" w:rsidRDefault="00000000">
            <w:pPr>
              <w:autoSpaceDE w:val="0"/>
              <w:autoSpaceDN w:val="0"/>
              <w:adjustRightInd w:val="0"/>
              <w:jc w:val="center"/>
              <w:rPr>
                <w:sz w:val="22"/>
                <w:lang w:val="fr-FR"/>
              </w:rPr>
            </w:pPr>
          </w:p>
        </w:tc>
      </w:tr>
      <w:tr w:rsidR="00000000">
        <w:tblPrEx>
          <w:tblCellMar>
            <w:top w:w="0" w:type="dxa"/>
            <w:bottom w:w="0" w:type="dxa"/>
          </w:tblCellMar>
        </w:tblPrEx>
        <w:tc>
          <w:tcPr>
            <w:tcW w:w="2019" w:type="pct"/>
          </w:tcPr>
          <w:p w:rsidR="00000000" w:rsidRDefault="00000000">
            <w:pPr>
              <w:autoSpaceDE w:val="0"/>
              <w:autoSpaceDN w:val="0"/>
              <w:adjustRightInd w:val="0"/>
              <w:ind w:left="284"/>
              <w:rPr>
                <w:sz w:val="22"/>
              </w:rPr>
            </w:pPr>
            <w:r>
              <w:rPr>
                <w:sz w:val="22"/>
              </w:rPr>
              <w:t>Гуарани</w:t>
            </w:r>
          </w:p>
        </w:tc>
        <w:tc>
          <w:tcPr>
            <w:tcW w:w="370" w:type="pct"/>
          </w:tcPr>
          <w:p w:rsidR="00000000" w:rsidRDefault="00000000">
            <w:pPr>
              <w:autoSpaceDE w:val="0"/>
              <w:autoSpaceDN w:val="0"/>
              <w:adjustRightInd w:val="0"/>
              <w:jc w:val="center"/>
              <w:rPr>
                <w:sz w:val="22"/>
                <w:lang w:val="fr-FR"/>
              </w:rPr>
            </w:pPr>
            <w:r>
              <w:rPr>
                <w:sz w:val="22"/>
                <w:lang w:val="fr-FR"/>
              </w:rPr>
              <w:t>99</w:t>
            </w:r>
          </w:p>
        </w:tc>
        <w:tc>
          <w:tcPr>
            <w:tcW w:w="363" w:type="pct"/>
          </w:tcPr>
          <w:p w:rsidR="00000000" w:rsidRDefault="00000000">
            <w:pPr>
              <w:autoSpaceDE w:val="0"/>
              <w:autoSpaceDN w:val="0"/>
              <w:adjustRightInd w:val="0"/>
              <w:jc w:val="right"/>
              <w:rPr>
                <w:sz w:val="22"/>
                <w:lang w:val="fr-FR"/>
              </w:rPr>
            </w:pPr>
            <w:r>
              <w:rPr>
                <w:sz w:val="22"/>
                <w:lang w:val="fr-FR"/>
              </w:rPr>
              <w:t>209</w:t>
            </w:r>
          </w:p>
        </w:tc>
        <w:tc>
          <w:tcPr>
            <w:tcW w:w="354" w:type="pct"/>
          </w:tcPr>
          <w:p w:rsidR="00000000" w:rsidRDefault="00000000">
            <w:pPr>
              <w:autoSpaceDE w:val="0"/>
              <w:autoSpaceDN w:val="0"/>
              <w:adjustRightInd w:val="0"/>
              <w:jc w:val="center"/>
              <w:rPr>
                <w:sz w:val="22"/>
                <w:lang w:val="fr-FR"/>
              </w:rPr>
            </w:pPr>
            <w:r>
              <w:rPr>
                <w:sz w:val="22"/>
                <w:lang w:val="fr-FR"/>
              </w:rPr>
              <w:t>182</w:t>
            </w:r>
          </w:p>
        </w:tc>
        <w:tc>
          <w:tcPr>
            <w:tcW w:w="400" w:type="pct"/>
          </w:tcPr>
          <w:p w:rsidR="00000000" w:rsidRDefault="00000000">
            <w:pPr>
              <w:autoSpaceDE w:val="0"/>
              <w:autoSpaceDN w:val="0"/>
              <w:adjustRightInd w:val="0"/>
              <w:jc w:val="right"/>
              <w:rPr>
                <w:sz w:val="22"/>
                <w:lang w:val="fr-FR"/>
              </w:rPr>
            </w:pPr>
            <w:r>
              <w:rPr>
                <w:sz w:val="22"/>
                <w:lang w:val="fr-FR"/>
              </w:rPr>
              <w:t>142</w:t>
            </w:r>
          </w:p>
        </w:tc>
        <w:tc>
          <w:tcPr>
            <w:tcW w:w="361" w:type="pct"/>
          </w:tcPr>
          <w:p w:rsidR="00000000" w:rsidRDefault="00000000">
            <w:pPr>
              <w:autoSpaceDE w:val="0"/>
              <w:autoSpaceDN w:val="0"/>
              <w:adjustRightInd w:val="0"/>
              <w:jc w:val="right"/>
              <w:rPr>
                <w:sz w:val="22"/>
                <w:lang w:val="fr-FR"/>
              </w:rPr>
            </w:pPr>
            <w:r>
              <w:rPr>
                <w:sz w:val="22"/>
                <w:lang w:val="fr-FR"/>
              </w:rPr>
              <w:t>99</w:t>
            </w:r>
          </w:p>
        </w:tc>
        <w:tc>
          <w:tcPr>
            <w:tcW w:w="361" w:type="pct"/>
          </w:tcPr>
          <w:p w:rsidR="00000000" w:rsidRDefault="00000000">
            <w:pPr>
              <w:autoSpaceDE w:val="0"/>
              <w:autoSpaceDN w:val="0"/>
              <w:adjustRightInd w:val="0"/>
              <w:jc w:val="center"/>
              <w:rPr>
                <w:sz w:val="22"/>
                <w:lang w:val="fr-FR"/>
              </w:rPr>
            </w:pPr>
            <w:r>
              <w:rPr>
                <w:sz w:val="22"/>
                <w:lang w:val="fr-FR"/>
              </w:rPr>
              <w:t>53</w:t>
            </w:r>
          </w:p>
        </w:tc>
        <w:tc>
          <w:tcPr>
            <w:tcW w:w="772" w:type="pct"/>
          </w:tcPr>
          <w:p w:rsidR="00000000" w:rsidRDefault="00000000">
            <w:pPr>
              <w:autoSpaceDE w:val="0"/>
              <w:autoSpaceDN w:val="0"/>
              <w:adjustRightInd w:val="0"/>
              <w:jc w:val="center"/>
              <w:rPr>
                <w:sz w:val="22"/>
                <w:lang w:val="fr-FR"/>
              </w:rPr>
            </w:pPr>
            <w:r>
              <w:rPr>
                <w:sz w:val="22"/>
                <w:lang w:val="fr-FR"/>
              </w:rPr>
              <w:t>3,9</w:t>
            </w:r>
          </w:p>
        </w:tc>
      </w:tr>
      <w:tr w:rsidR="00000000">
        <w:tblPrEx>
          <w:tblCellMar>
            <w:top w:w="0" w:type="dxa"/>
            <w:bottom w:w="0" w:type="dxa"/>
          </w:tblCellMar>
        </w:tblPrEx>
        <w:tc>
          <w:tcPr>
            <w:tcW w:w="2019" w:type="pct"/>
          </w:tcPr>
          <w:p w:rsidR="00000000" w:rsidRDefault="00000000">
            <w:pPr>
              <w:autoSpaceDE w:val="0"/>
              <w:autoSpaceDN w:val="0"/>
              <w:adjustRightInd w:val="0"/>
              <w:ind w:left="284"/>
              <w:rPr>
                <w:sz w:val="22"/>
              </w:rPr>
            </w:pPr>
            <w:r>
              <w:rPr>
                <w:sz w:val="22"/>
              </w:rPr>
              <w:t>Испанский и гуарани</w:t>
            </w:r>
          </w:p>
        </w:tc>
        <w:tc>
          <w:tcPr>
            <w:tcW w:w="370" w:type="pct"/>
          </w:tcPr>
          <w:p w:rsidR="00000000" w:rsidRDefault="00000000">
            <w:pPr>
              <w:autoSpaceDE w:val="0"/>
              <w:autoSpaceDN w:val="0"/>
              <w:adjustRightInd w:val="0"/>
              <w:jc w:val="center"/>
              <w:rPr>
                <w:sz w:val="22"/>
                <w:lang w:val="fr-FR"/>
              </w:rPr>
            </w:pPr>
            <w:r>
              <w:rPr>
                <w:sz w:val="22"/>
                <w:lang w:val="fr-FR"/>
              </w:rPr>
              <w:t>54</w:t>
            </w:r>
          </w:p>
        </w:tc>
        <w:tc>
          <w:tcPr>
            <w:tcW w:w="363" w:type="pct"/>
          </w:tcPr>
          <w:p w:rsidR="00000000" w:rsidRDefault="00000000">
            <w:pPr>
              <w:autoSpaceDE w:val="0"/>
              <w:autoSpaceDN w:val="0"/>
              <w:adjustRightInd w:val="0"/>
              <w:jc w:val="right"/>
              <w:rPr>
                <w:sz w:val="22"/>
                <w:lang w:val="fr-FR"/>
              </w:rPr>
            </w:pPr>
            <w:r>
              <w:rPr>
                <w:sz w:val="22"/>
                <w:lang w:val="fr-FR"/>
              </w:rPr>
              <w:t>139</w:t>
            </w:r>
          </w:p>
        </w:tc>
        <w:tc>
          <w:tcPr>
            <w:tcW w:w="354" w:type="pct"/>
          </w:tcPr>
          <w:p w:rsidR="00000000" w:rsidRDefault="00000000">
            <w:pPr>
              <w:autoSpaceDE w:val="0"/>
              <w:autoSpaceDN w:val="0"/>
              <w:adjustRightInd w:val="0"/>
              <w:jc w:val="center"/>
              <w:rPr>
                <w:sz w:val="22"/>
                <w:lang w:val="fr-FR"/>
              </w:rPr>
            </w:pPr>
            <w:r>
              <w:rPr>
                <w:sz w:val="22"/>
                <w:lang w:val="fr-FR"/>
              </w:rPr>
              <w:t>133</w:t>
            </w:r>
          </w:p>
        </w:tc>
        <w:tc>
          <w:tcPr>
            <w:tcW w:w="400" w:type="pct"/>
          </w:tcPr>
          <w:p w:rsidR="00000000" w:rsidRDefault="00000000">
            <w:pPr>
              <w:autoSpaceDE w:val="0"/>
              <w:autoSpaceDN w:val="0"/>
              <w:adjustRightInd w:val="0"/>
              <w:jc w:val="right"/>
              <w:rPr>
                <w:sz w:val="22"/>
                <w:lang w:val="fr-FR"/>
              </w:rPr>
            </w:pPr>
            <w:r>
              <w:rPr>
                <w:sz w:val="22"/>
                <w:lang w:val="fr-FR"/>
              </w:rPr>
              <w:t>115</w:t>
            </w:r>
          </w:p>
        </w:tc>
        <w:tc>
          <w:tcPr>
            <w:tcW w:w="361" w:type="pct"/>
          </w:tcPr>
          <w:p w:rsidR="00000000" w:rsidRDefault="00000000">
            <w:pPr>
              <w:autoSpaceDE w:val="0"/>
              <w:autoSpaceDN w:val="0"/>
              <w:adjustRightInd w:val="0"/>
              <w:jc w:val="right"/>
              <w:rPr>
                <w:sz w:val="22"/>
                <w:lang w:val="fr-FR"/>
              </w:rPr>
            </w:pPr>
            <w:r>
              <w:rPr>
                <w:sz w:val="22"/>
                <w:lang w:val="fr-FR"/>
              </w:rPr>
              <w:t>51</w:t>
            </w:r>
          </w:p>
        </w:tc>
        <w:tc>
          <w:tcPr>
            <w:tcW w:w="361" w:type="pct"/>
          </w:tcPr>
          <w:p w:rsidR="00000000" w:rsidRDefault="00000000">
            <w:pPr>
              <w:autoSpaceDE w:val="0"/>
              <w:autoSpaceDN w:val="0"/>
              <w:adjustRightInd w:val="0"/>
              <w:jc w:val="center"/>
              <w:rPr>
                <w:sz w:val="22"/>
                <w:lang w:val="fr-FR"/>
              </w:rPr>
            </w:pPr>
            <w:r>
              <w:rPr>
                <w:sz w:val="22"/>
                <w:lang w:val="fr-FR"/>
              </w:rPr>
              <w:t>31</w:t>
            </w:r>
          </w:p>
        </w:tc>
        <w:tc>
          <w:tcPr>
            <w:tcW w:w="772" w:type="pct"/>
          </w:tcPr>
          <w:p w:rsidR="00000000" w:rsidRDefault="00000000">
            <w:pPr>
              <w:autoSpaceDE w:val="0"/>
              <w:autoSpaceDN w:val="0"/>
              <w:adjustRightInd w:val="0"/>
              <w:jc w:val="center"/>
              <w:rPr>
                <w:sz w:val="22"/>
                <w:lang w:val="fr-FR"/>
              </w:rPr>
            </w:pPr>
            <w:r>
              <w:rPr>
                <w:sz w:val="22"/>
                <w:lang w:val="fr-FR"/>
              </w:rPr>
              <w:t>2,6</w:t>
            </w:r>
          </w:p>
        </w:tc>
      </w:tr>
      <w:tr w:rsidR="00000000">
        <w:tblPrEx>
          <w:tblCellMar>
            <w:top w:w="0" w:type="dxa"/>
            <w:bottom w:w="0" w:type="dxa"/>
          </w:tblCellMar>
        </w:tblPrEx>
        <w:tc>
          <w:tcPr>
            <w:tcW w:w="2019" w:type="pct"/>
          </w:tcPr>
          <w:p w:rsidR="00000000" w:rsidRDefault="00000000">
            <w:pPr>
              <w:autoSpaceDE w:val="0"/>
              <w:autoSpaceDN w:val="0"/>
              <w:adjustRightInd w:val="0"/>
              <w:ind w:left="284"/>
              <w:rPr>
                <w:sz w:val="22"/>
              </w:rPr>
            </w:pPr>
            <w:r>
              <w:rPr>
                <w:sz w:val="22"/>
              </w:rPr>
              <w:t>Испанский</w:t>
            </w:r>
          </w:p>
        </w:tc>
        <w:tc>
          <w:tcPr>
            <w:tcW w:w="370" w:type="pct"/>
          </w:tcPr>
          <w:p w:rsidR="00000000" w:rsidRDefault="00000000">
            <w:pPr>
              <w:autoSpaceDE w:val="0"/>
              <w:autoSpaceDN w:val="0"/>
              <w:adjustRightInd w:val="0"/>
              <w:jc w:val="center"/>
              <w:rPr>
                <w:sz w:val="22"/>
                <w:lang w:val="en-US"/>
              </w:rPr>
            </w:pPr>
            <w:r>
              <w:rPr>
                <w:sz w:val="22"/>
                <w:lang w:val="en-US"/>
              </w:rPr>
              <w:t>22</w:t>
            </w:r>
          </w:p>
        </w:tc>
        <w:tc>
          <w:tcPr>
            <w:tcW w:w="363" w:type="pct"/>
          </w:tcPr>
          <w:p w:rsidR="00000000" w:rsidRDefault="00000000">
            <w:pPr>
              <w:autoSpaceDE w:val="0"/>
              <w:autoSpaceDN w:val="0"/>
              <w:adjustRightInd w:val="0"/>
              <w:jc w:val="right"/>
              <w:rPr>
                <w:sz w:val="22"/>
                <w:lang w:val="en-US"/>
              </w:rPr>
            </w:pPr>
            <w:r>
              <w:rPr>
                <w:sz w:val="22"/>
                <w:lang w:val="en-US"/>
              </w:rPr>
              <w:t>117</w:t>
            </w:r>
          </w:p>
        </w:tc>
        <w:tc>
          <w:tcPr>
            <w:tcW w:w="354" w:type="pct"/>
          </w:tcPr>
          <w:p w:rsidR="00000000" w:rsidRDefault="00000000">
            <w:pPr>
              <w:autoSpaceDE w:val="0"/>
              <w:autoSpaceDN w:val="0"/>
              <w:adjustRightInd w:val="0"/>
              <w:jc w:val="center"/>
              <w:rPr>
                <w:sz w:val="22"/>
                <w:lang w:val="en-US"/>
              </w:rPr>
            </w:pPr>
            <w:r>
              <w:rPr>
                <w:sz w:val="22"/>
                <w:lang w:val="en-US"/>
              </w:rPr>
              <w:t>110</w:t>
            </w:r>
          </w:p>
        </w:tc>
        <w:tc>
          <w:tcPr>
            <w:tcW w:w="400" w:type="pct"/>
          </w:tcPr>
          <w:p w:rsidR="00000000" w:rsidRDefault="00000000">
            <w:pPr>
              <w:autoSpaceDE w:val="0"/>
              <w:autoSpaceDN w:val="0"/>
              <w:adjustRightInd w:val="0"/>
              <w:jc w:val="right"/>
              <w:rPr>
                <w:sz w:val="22"/>
                <w:lang w:val="en-US"/>
              </w:rPr>
            </w:pPr>
            <w:r>
              <w:rPr>
                <w:sz w:val="22"/>
                <w:lang w:val="en-US"/>
              </w:rPr>
              <w:t>107</w:t>
            </w:r>
          </w:p>
        </w:tc>
        <w:tc>
          <w:tcPr>
            <w:tcW w:w="361" w:type="pct"/>
          </w:tcPr>
          <w:p w:rsidR="00000000" w:rsidRDefault="00000000">
            <w:pPr>
              <w:autoSpaceDE w:val="0"/>
              <w:autoSpaceDN w:val="0"/>
              <w:adjustRightInd w:val="0"/>
              <w:jc w:val="right"/>
              <w:rPr>
                <w:sz w:val="22"/>
                <w:lang w:val="en-US"/>
              </w:rPr>
            </w:pPr>
            <w:r>
              <w:rPr>
                <w:sz w:val="22"/>
                <w:lang w:val="en-US"/>
              </w:rPr>
              <w:t>59</w:t>
            </w:r>
          </w:p>
        </w:tc>
        <w:tc>
          <w:tcPr>
            <w:tcW w:w="361" w:type="pct"/>
          </w:tcPr>
          <w:p w:rsidR="00000000" w:rsidRDefault="00000000">
            <w:pPr>
              <w:autoSpaceDE w:val="0"/>
              <w:autoSpaceDN w:val="0"/>
              <w:adjustRightInd w:val="0"/>
              <w:jc w:val="center"/>
              <w:rPr>
                <w:sz w:val="22"/>
                <w:lang w:val="en-US"/>
              </w:rPr>
            </w:pPr>
            <w:r>
              <w:rPr>
                <w:sz w:val="22"/>
                <w:lang w:val="en-US"/>
              </w:rPr>
              <w:t>23</w:t>
            </w:r>
          </w:p>
        </w:tc>
        <w:tc>
          <w:tcPr>
            <w:tcW w:w="772" w:type="pct"/>
          </w:tcPr>
          <w:p w:rsidR="00000000" w:rsidRDefault="00000000">
            <w:pPr>
              <w:autoSpaceDE w:val="0"/>
              <w:autoSpaceDN w:val="0"/>
              <w:adjustRightInd w:val="0"/>
              <w:jc w:val="center"/>
              <w:rPr>
                <w:sz w:val="22"/>
                <w:lang w:val="en-US"/>
              </w:rPr>
            </w:pPr>
            <w:r>
              <w:rPr>
                <w:sz w:val="22"/>
                <w:lang w:val="en-US"/>
              </w:rPr>
              <w:t>2,3</w:t>
            </w:r>
          </w:p>
        </w:tc>
      </w:tr>
      <w:tr w:rsidR="00000000">
        <w:tblPrEx>
          <w:tblCellMar>
            <w:top w:w="0" w:type="dxa"/>
            <w:bottom w:w="0" w:type="dxa"/>
          </w:tblCellMar>
        </w:tblPrEx>
        <w:tc>
          <w:tcPr>
            <w:tcW w:w="2019" w:type="pct"/>
          </w:tcPr>
          <w:p w:rsidR="00000000" w:rsidRDefault="00000000">
            <w:pPr>
              <w:autoSpaceDE w:val="0"/>
              <w:autoSpaceDN w:val="0"/>
              <w:adjustRightInd w:val="0"/>
              <w:rPr>
                <w:sz w:val="22"/>
              </w:rPr>
            </w:pPr>
            <w:r>
              <w:rPr>
                <w:sz w:val="22"/>
              </w:rPr>
              <w:t>Уровень социально-экономического развития</w:t>
            </w:r>
          </w:p>
        </w:tc>
        <w:tc>
          <w:tcPr>
            <w:tcW w:w="370" w:type="pct"/>
          </w:tcPr>
          <w:p w:rsidR="00000000" w:rsidRDefault="00000000">
            <w:pPr>
              <w:autoSpaceDE w:val="0"/>
              <w:autoSpaceDN w:val="0"/>
              <w:adjustRightInd w:val="0"/>
              <w:jc w:val="center"/>
              <w:rPr>
                <w:sz w:val="22"/>
              </w:rPr>
            </w:pPr>
          </w:p>
        </w:tc>
        <w:tc>
          <w:tcPr>
            <w:tcW w:w="363" w:type="pct"/>
          </w:tcPr>
          <w:p w:rsidR="00000000" w:rsidRDefault="00000000">
            <w:pPr>
              <w:autoSpaceDE w:val="0"/>
              <w:autoSpaceDN w:val="0"/>
              <w:adjustRightInd w:val="0"/>
              <w:jc w:val="right"/>
              <w:rPr>
                <w:sz w:val="22"/>
              </w:rPr>
            </w:pPr>
          </w:p>
        </w:tc>
        <w:tc>
          <w:tcPr>
            <w:tcW w:w="354" w:type="pct"/>
          </w:tcPr>
          <w:p w:rsidR="00000000" w:rsidRDefault="00000000">
            <w:pPr>
              <w:autoSpaceDE w:val="0"/>
              <w:autoSpaceDN w:val="0"/>
              <w:adjustRightInd w:val="0"/>
              <w:jc w:val="center"/>
              <w:rPr>
                <w:sz w:val="22"/>
              </w:rPr>
            </w:pPr>
          </w:p>
        </w:tc>
        <w:tc>
          <w:tcPr>
            <w:tcW w:w="400" w:type="pct"/>
          </w:tcPr>
          <w:p w:rsidR="00000000" w:rsidRDefault="00000000">
            <w:pPr>
              <w:autoSpaceDE w:val="0"/>
              <w:autoSpaceDN w:val="0"/>
              <w:adjustRightInd w:val="0"/>
              <w:jc w:val="right"/>
              <w:rPr>
                <w:sz w:val="22"/>
              </w:rPr>
            </w:pPr>
          </w:p>
        </w:tc>
        <w:tc>
          <w:tcPr>
            <w:tcW w:w="361" w:type="pct"/>
          </w:tcPr>
          <w:p w:rsidR="00000000" w:rsidRDefault="00000000">
            <w:pPr>
              <w:autoSpaceDE w:val="0"/>
              <w:autoSpaceDN w:val="0"/>
              <w:adjustRightInd w:val="0"/>
              <w:jc w:val="right"/>
              <w:rPr>
                <w:sz w:val="22"/>
              </w:rPr>
            </w:pPr>
          </w:p>
        </w:tc>
        <w:tc>
          <w:tcPr>
            <w:tcW w:w="361" w:type="pct"/>
          </w:tcPr>
          <w:p w:rsidR="00000000" w:rsidRDefault="00000000">
            <w:pPr>
              <w:autoSpaceDE w:val="0"/>
              <w:autoSpaceDN w:val="0"/>
              <w:adjustRightInd w:val="0"/>
              <w:jc w:val="center"/>
              <w:rPr>
                <w:sz w:val="22"/>
              </w:rPr>
            </w:pPr>
          </w:p>
        </w:tc>
        <w:tc>
          <w:tcPr>
            <w:tcW w:w="772" w:type="pct"/>
          </w:tcPr>
          <w:p w:rsidR="00000000" w:rsidRDefault="00000000">
            <w:pPr>
              <w:autoSpaceDE w:val="0"/>
              <w:autoSpaceDN w:val="0"/>
              <w:adjustRightInd w:val="0"/>
              <w:jc w:val="center"/>
              <w:rPr>
                <w:sz w:val="22"/>
              </w:rPr>
            </w:pPr>
          </w:p>
        </w:tc>
      </w:tr>
      <w:tr w:rsidR="00000000">
        <w:tblPrEx>
          <w:tblCellMar>
            <w:top w:w="0" w:type="dxa"/>
            <w:bottom w:w="0" w:type="dxa"/>
          </w:tblCellMar>
        </w:tblPrEx>
        <w:tc>
          <w:tcPr>
            <w:tcW w:w="2019" w:type="pct"/>
          </w:tcPr>
          <w:p w:rsidR="00000000" w:rsidRDefault="00000000">
            <w:pPr>
              <w:autoSpaceDE w:val="0"/>
              <w:autoSpaceDN w:val="0"/>
              <w:adjustRightInd w:val="0"/>
              <w:ind w:left="284"/>
              <w:rPr>
                <w:sz w:val="22"/>
              </w:rPr>
            </w:pPr>
            <w:r>
              <w:rPr>
                <w:sz w:val="22"/>
              </w:rPr>
              <w:t>Очень низкий</w:t>
            </w:r>
          </w:p>
        </w:tc>
        <w:tc>
          <w:tcPr>
            <w:tcW w:w="370" w:type="pct"/>
          </w:tcPr>
          <w:p w:rsidR="00000000" w:rsidRDefault="00000000">
            <w:pPr>
              <w:autoSpaceDE w:val="0"/>
              <w:autoSpaceDN w:val="0"/>
              <w:adjustRightInd w:val="0"/>
              <w:jc w:val="center"/>
              <w:rPr>
                <w:sz w:val="22"/>
                <w:lang w:val="en-US"/>
              </w:rPr>
            </w:pPr>
            <w:r>
              <w:rPr>
                <w:sz w:val="22"/>
                <w:lang w:val="en-US"/>
              </w:rPr>
              <w:t>148</w:t>
            </w:r>
          </w:p>
        </w:tc>
        <w:tc>
          <w:tcPr>
            <w:tcW w:w="363" w:type="pct"/>
          </w:tcPr>
          <w:p w:rsidR="00000000" w:rsidRDefault="00000000">
            <w:pPr>
              <w:autoSpaceDE w:val="0"/>
              <w:autoSpaceDN w:val="0"/>
              <w:adjustRightInd w:val="0"/>
              <w:jc w:val="right"/>
              <w:rPr>
                <w:sz w:val="22"/>
                <w:lang w:val="en-US"/>
              </w:rPr>
            </w:pPr>
            <w:r>
              <w:rPr>
                <w:sz w:val="22"/>
                <w:lang w:val="en-US"/>
              </w:rPr>
              <w:t>293</w:t>
            </w:r>
          </w:p>
        </w:tc>
        <w:tc>
          <w:tcPr>
            <w:tcW w:w="354" w:type="pct"/>
          </w:tcPr>
          <w:p w:rsidR="00000000" w:rsidRDefault="00000000">
            <w:pPr>
              <w:autoSpaceDE w:val="0"/>
              <w:autoSpaceDN w:val="0"/>
              <w:adjustRightInd w:val="0"/>
              <w:jc w:val="center"/>
              <w:rPr>
                <w:sz w:val="22"/>
                <w:lang w:val="en-US"/>
              </w:rPr>
            </w:pPr>
            <w:r>
              <w:rPr>
                <w:sz w:val="22"/>
                <w:lang w:val="en-US"/>
              </w:rPr>
              <w:t>221</w:t>
            </w:r>
          </w:p>
        </w:tc>
        <w:tc>
          <w:tcPr>
            <w:tcW w:w="400" w:type="pct"/>
          </w:tcPr>
          <w:p w:rsidR="00000000" w:rsidRDefault="00000000">
            <w:pPr>
              <w:autoSpaceDE w:val="0"/>
              <w:autoSpaceDN w:val="0"/>
              <w:adjustRightInd w:val="0"/>
              <w:jc w:val="right"/>
              <w:rPr>
                <w:sz w:val="22"/>
                <w:lang w:val="en-US"/>
              </w:rPr>
            </w:pPr>
            <w:r>
              <w:rPr>
                <w:sz w:val="22"/>
                <w:lang w:val="en-US"/>
              </w:rPr>
              <w:t>193</w:t>
            </w:r>
          </w:p>
        </w:tc>
        <w:tc>
          <w:tcPr>
            <w:tcW w:w="361" w:type="pct"/>
          </w:tcPr>
          <w:p w:rsidR="00000000" w:rsidRDefault="00000000">
            <w:pPr>
              <w:autoSpaceDE w:val="0"/>
              <w:autoSpaceDN w:val="0"/>
              <w:adjustRightInd w:val="0"/>
              <w:jc w:val="right"/>
              <w:rPr>
                <w:sz w:val="22"/>
                <w:lang w:val="en-US"/>
              </w:rPr>
            </w:pPr>
            <w:r>
              <w:rPr>
                <w:sz w:val="22"/>
                <w:lang w:val="en-US"/>
              </w:rPr>
              <w:t>152</w:t>
            </w:r>
          </w:p>
        </w:tc>
        <w:tc>
          <w:tcPr>
            <w:tcW w:w="361" w:type="pct"/>
          </w:tcPr>
          <w:p w:rsidR="00000000" w:rsidRDefault="00000000">
            <w:pPr>
              <w:autoSpaceDE w:val="0"/>
              <w:autoSpaceDN w:val="0"/>
              <w:adjustRightInd w:val="0"/>
              <w:jc w:val="center"/>
              <w:rPr>
                <w:sz w:val="22"/>
                <w:lang w:val="en-US"/>
              </w:rPr>
            </w:pPr>
            <w:r>
              <w:rPr>
                <w:sz w:val="22"/>
                <w:lang w:val="en-US"/>
              </w:rPr>
              <w:t>82</w:t>
            </w:r>
          </w:p>
        </w:tc>
        <w:tc>
          <w:tcPr>
            <w:tcW w:w="772" w:type="pct"/>
          </w:tcPr>
          <w:p w:rsidR="00000000" w:rsidRDefault="00000000">
            <w:pPr>
              <w:autoSpaceDE w:val="0"/>
              <w:autoSpaceDN w:val="0"/>
              <w:adjustRightInd w:val="0"/>
              <w:jc w:val="center"/>
              <w:rPr>
                <w:sz w:val="22"/>
                <w:lang w:val="en-US"/>
              </w:rPr>
            </w:pPr>
            <w:r>
              <w:rPr>
                <w:sz w:val="22"/>
                <w:lang w:val="en-US"/>
              </w:rPr>
              <w:t>5,4</w:t>
            </w:r>
          </w:p>
        </w:tc>
      </w:tr>
      <w:tr w:rsidR="00000000">
        <w:tblPrEx>
          <w:tblCellMar>
            <w:top w:w="0" w:type="dxa"/>
            <w:bottom w:w="0" w:type="dxa"/>
          </w:tblCellMar>
        </w:tblPrEx>
        <w:tc>
          <w:tcPr>
            <w:tcW w:w="2019" w:type="pct"/>
          </w:tcPr>
          <w:p w:rsidR="00000000" w:rsidRDefault="00000000">
            <w:pPr>
              <w:autoSpaceDE w:val="0"/>
              <w:autoSpaceDN w:val="0"/>
              <w:adjustRightInd w:val="0"/>
              <w:ind w:left="284"/>
              <w:rPr>
                <w:sz w:val="22"/>
              </w:rPr>
            </w:pPr>
            <w:r>
              <w:rPr>
                <w:sz w:val="22"/>
              </w:rPr>
              <w:t>Низкий</w:t>
            </w:r>
          </w:p>
        </w:tc>
        <w:tc>
          <w:tcPr>
            <w:tcW w:w="370" w:type="pct"/>
          </w:tcPr>
          <w:p w:rsidR="00000000" w:rsidRDefault="00000000">
            <w:pPr>
              <w:autoSpaceDE w:val="0"/>
              <w:autoSpaceDN w:val="0"/>
              <w:adjustRightInd w:val="0"/>
              <w:jc w:val="center"/>
              <w:rPr>
                <w:sz w:val="22"/>
                <w:lang w:val="en-US"/>
              </w:rPr>
            </w:pPr>
            <w:r>
              <w:rPr>
                <w:sz w:val="22"/>
                <w:lang w:val="en-US"/>
              </w:rPr>
              <w:t>90</w:t>
            </w:r>
          </w:p>
        </w:tc>
        <w:tc>
          <w:tcPr>
            <w:tcW w:w="363" w:type="pct"/>
          </w:tcPr>
          <w:p w:rsidR="00000000" w:rsidRDefault="00000000">
            <w:pPr>
              <w:autoSpaceDE w:val="0"/>
              <w:autoSpaceDN w:val="0"/>
              <w:adjustRightInd w:val="0"/>
              <w:jc w:val="right"/>
              <w:rPr>
                <w:sz w:val="22"/>
                <w:lang w:val="en-US"/>
              </w:rPr>
            </w:pPr>
            <w:r>
              <w:rPr>
                <w:sz w:val="22"/>
                <w:lang w:val="en-US"/>
              </w:rPr>
              <w:t>190</w:t>
            </w:r>
          </w:p>
        </w:tc>
        <w:tc>
          <w:tcPr>
            <w:tcW w:w="354" w:type="pct"/>
          </w:tcPr>
          <w:p w:rsidR="00000000" w:rsidRDefault="00000000">
            <w:pPr>
              <w:autoSpaceDE w:val="0"/>
              <w:autoSpaceDN w:val="0"/>
              <w:adjustRightInd w:val="0"/>
              <w:jc w:val="center"/>
              <w:rPr>
                <w:sz w:val="22"/>
                <w:lang w:val="en-US"/>
              </w:rPr>
            </w:pPr>
            <w:r>
              <w:rPr>
                <w:sz w:val="22"/>
                <w:lang w:val="en-US"/>
              </w:rPr>
              <w:t>152</w:t>
            </w:r>
          </w:p>
        </w:tc>
        <w:tc>
          <w:tcPr>
            <w:tcW w:w="400" w:type="pct"/>
          </w:tcPr>
          <w:p w:rsidR="00000000" w:rsidRDefault="00000000">
            <w:pPr>
              <w:autoSpaceDE w:val="0"/>
              <w:autoSpaceDN w:val="0"/>
              <w:adjustRightInd w:val="0"/>
              <w:jc w:val="right"/>
              <w:rPr>
                <w:sz w:val="22"/>
                <w:lang w:val="en-US"/>
              </w:rPr>
            </w:pPr>
            <w:r>
              <w:rPr>
                <w:sz w:val="22"/>
                <w:lang w:val="en-US"/>
              </w:rPr>
              <w:t>132</w:t>
            </w:r>
          </w:p>
        </w:tc>
        <w:tc>
          <w:tcPr>
            <w:tcW w:w="361" w:type="pct"/>
          </w:tcPr>
          <w:p w:rsidR="00000000" w:rsidRDefault="00000000">
            <w:pPr>
              <w:autoSpaceDE w:val="0"/>
              <w:autoSpaceDN w:val="0"/>
              <w:adjustRightInd w:val="0"/>
              <w:jc w:val="right"/>
              <w:rPr>
                <w:sz w:val="22"/>
                <w:lang w:val="en-US"/>
              </w:rPr>
            </w:pPr>
            <w:r>
              <w:rPr>
                <w:sz w:val="22"/>
                <w:lang w:val="en-US"/>
              </w:rPr>
              <w:t>69</w:t>
            </w:r>
          </w:p>
        </w:tc>
        <w:tc>
          <w:tcPr>
            <w:tcW w:w="361" w:type="pct"/>
          </w:tcPr>
          <w:p w:rsidR="00000000" w:rsidRDefault="00000000">
            <w:pPr>
              <w:jc w:val="center"/>
              <w:rPr>
                <w:lang w:val="en-US"/>
              </w:rPr>
            </w:pPr>
            <w:r>
              <w:rPr>
                <w:b/>
                <w:color w:val="000000"/>
                <w:sz w:val="22"/>
                <w:vertAlign w:val="superscript"/>
                <w:lang w:val="en-US"/>
              </w:rPr>
              <w:t>*</w:t>
            </w:r>
          </w:p>
        </w:tc>
        <w:tc>
          <w:tcPr>
            <w:tcW w:w="772" w:type="pct"/>
          </w:tcPr>
          <w:p w:rsidR="00000000" w:rsidRDefault="00000000">
            <w:pPr>
              <w:autoSpaceDE w:val="0"/>
              <w:autoSpaceDN w:val="0"/>
              <w:adjustRightInd w:val="0"/>
              <w:jc w:val="center"/>
              <w:rPr>
                <w:sz w:val="22"/>
                <w:lang w:val="en-US"/>
              </w:rPr>
            </w:pPr>
            <w:r>
              <w:rPr>
                <w:sz w:val="22"/>
                <w:lang w:val="en-US"/>
              </w:rPr>
              <w:t>3,4</w:t>
            </w:r>
          </w:p>
        </w:tc>
      </w:tr>
      <w:tr w:rsidR="00000000">
        <w:tblPrEx>
          <w:tblCellMar>
            <w:top w:w="0" w:type="dxa"/>
            <w:bottom w:w="0" w:type="dxa"/>
          </w:tblCellMar>
        </w:tblPrEx>
        <w:tc>
          <w:tcPr>
            <w:tcW w:w="2019" w:type="pct"/>
          </w:tcPr>
          <w:p w:rsidR="00000000" w:rsidRDefault="00000000">
            <w:pPr>
              <w:autoSpaceDE w:val="0"/>
              <w:autoSpaceDN w:val="0"/>
              <w:adjustRightInd w:val="0"/>
              <w:ind w:left="284"/>
              <w:rPr>
                <w:sz w:val="22"/>
              </w:rPr>
            </w:pPr>
            <w:r>
              <w:rPr>
                <w:sz w:val="22"/>
              </w:rPr>
              <w:t>Средний</w:t>
            </w:r>
          </w:p>
        </w:tc>
        <w:tc>
          <w:tcPr>
            <w:tcW w:w="370" w:type="pct"/>
          </w:tcPr>
          <w:p w:rsidR="00000000" w:rsidRDefault="00000000">
            <w:pPr>
              <w:autoSpaceDE w:val="0"/>
              <w:autoSpaceDN w:val="0"/>
              <w:adjustRightInd w:val="0"/>
              <w:jc w:val="center"/>
              <w:rPr>
                <w:sz w:val="22"/>
                <w:lang w:val="en-US"/>
              </w:rPr>
            </w:pPr>
            <w:r>
              <w:rPr>
                <w:sz w:val="22"/>
                <w:lang w:val="en-US"/>
              </w:rPr>
              <w:t>62</w:t>
            </w:r>
          </w:p>
        </w:tc>
        <w:tc>
          <w:tcPr>
            <w:tcW w:w="363" w:type="pct"/>
          </w:tcPr>
          <w:p w:rsidR="00000000" w:rsidRDefault="00000000">
            <w:pPr>
              <w:autoSpaceDE w:val="0"/>
              <w:autoSpaceDN w:val="0"/>
              <w:adjustRightInd w:val="0"/>
              <w:jc w:val="right"/>
              <w:rPr>
                <w:sz w:val="22"/>
                <w:lang w:val="en-US"/>
              </w:rPr>
            </w:pPr>
            <w:r>
              <w:rPr>
                <w:sz w:val="22"/>
                <w:lang w:val="en-US"/>
              </w:rPr>
              <w:t>169</w:t>
            </w:r>
          </w:p>
        </w:tc>
        <w:tc>
          <w:tcPr>
            <w:tcW w:w="354" w:type="pct"/>
          </w:tcPr>
          <w:p w:rsidR="00000000" w:rsidRDefault="00000000">
            <w:pPr>
              <w:autoSpaceDE w:val="0"/>
              <w:autoSpaceDN w:val="0"/>
              <w:adjustRightInd w:val="0"/>
              <w:jc w:val="center"/>
              <w:rPr>
                <w:sz w:val="22"/>
                <w:lang w:val="en-US"/>
              </w:rPr>
            </w:pPr>
            <w:r>
              <w:rPr>
                <w:sz w:val="22"/>
                <w:lang w:val="en-US"/>
              </w:rPr>
              <w:t>133</w:t>
            </w:r>
          </w:p>
        </w:tc>
        <w:tc>
          <w:tcPr>
            <w:tcW w:w="400" w:type="pct"/>
          </w:tcPr>
          <w:p w:rsidR="00000000" w:rsidRDefault="00000000">
            <w:pPr>
              <w:autoSpaceDE w:val="0"/>
              <w:autoSpaceDN w:val="0"/>
              <w:adjustRightInd w:val="0"/>
              <w:jc w:val="right"/>
              <w:rPr>
                <w:sz w:val="22"/>
                <w:lang w:val="en-US"/>
              </w:rPr>
            </w:pPr>
            <w:r>
              <w:rPr>
                <w:sz w:val="22"/>
                <w:lang w:val="en-US"/>
              </w:rPr>
              <w:t>93</w:t>
            </w:r>
          </w:p>
        </w:tc>
        <w:tc>
          <w:tcPr>
            <w:tcW w:w="361" w:type="pct"/>
          </w:tcPr>
          <w:p w:rsidR="00000000" w:rsidRDefault="00000000">
            <w:pPr>
              <w:autoSpaceDE w:val="0"/>
              <w:autoSpaceDN w:val="0"/>
              <w:adjustRightInd w:val="0"/>
              <w:jc w:val="right"/>
              <w:rPr>
                <w:sz w:val="22"/>
                <w:lang w:val="en-US"/>
              </w:rPr>
            </w:pPr>
            <w:r>
              <w:rPr>
                <w:sz w:val="22"/>
                <w:lang w:val="en-US"/>
              </w:rPr>
              <w:t>55</w:t>
            </w:r>
          </w:p>
        </w:tc>
        <w:tc>
          <w:tcPr>
            <w:tcW w:w="361" w:type="pct"/>
          </w:tcPr>
          <w:p w:rsidR="00000000" w:rsidRDefault="00000000">
            <w:pPr>
              <w:jc w:val="center"/>
              <w:rPr>
                <w:lang w:val="en-US"/>
              </w:rPr>
            </w:pPr>
            <w:r>
              <w:rPr>
                <w:b/>
                <w:color w:val="000000"/>
                <w:sz w:val="22"/>
                <w:vertAlign w:val="superscript"/>
                <w:lang w:val="en-US"/>
              </w:rPr>
              <w:t>*</w:t>
            </w:r>
          </w:p>
        </w:tc>
        <w:tc>
          <w:tcPr>
            <w:tcW w:w="772" w:type="pct"/>
          </w:tcPr>
          <w:p w:rsidR="00000000" w:rsidRDefault="00000000">
            <w:pPr>
              <w:autoSpaceDE w:val="0"/>
              <w:autoSpaceDN w:val="0"/>
              <w:adjustRightInd w:val="0"/>
              <w:jc w:val="center"/>
              <w:rPr>
                <w:sz w:val="22"/>
                <w:lang w:val="en-US"/>
              </w:rPr>
            </w:pPr>
            <w:r>
              <w:rPr>
                <w:sz w:val="22"/>
                <w:lang w:val="en-US"/>
              </w:rPr>
              <w:t>2,7</w:t>
            </w:r>
          </w:p>
        </w:tc>
      </w:tr>
      <w:tr w:rsidR="00000000">
        <w:tblPrEx>
          <w:tblCellMar>
            <w:top w:w="0" w:type="dxa"/>
            <w:bottom w:w="0" w:type="dxa"/>
          </w:tblCellMar>
        </w:tblPrEx>
        <w:tc>
          <w:tcPr>
            <w:tcW w:w="2019" w:type="pct"/>
          </w:tcPr>
          <w:p w:rsidR="00000000" w:rsidRDefault="00000000">
            <w:pPr>
              <w:autoSpaceDE w:val="0"/>
              <w:autoSpaceDN w:val="0"/>
              <w:adjustRightInd w:val="0"/>
              <w:ind w:left="284"/>
              <w:rPr>
                <w:sz w:val="22"/>
              </w:rPr>
            </w:pPr>
            <w:r>
              <w:rPr>
                <w:sz w:val="22"/>
              </w:rPr>
              <w:t>Высокий</w:t>
            </w:r>
          </w:p>
        </w:tc>
        <w:tc>
          <w:tcPr>
            <w:tcW w:w="370" w:type="pct"/>
          </w:tcPr>
          <w:p w:rsidR="00000000" w:rsidRDefault="00000000">
            <w:pPr>
              <w:autoSpaceDE w:val="0"/>
              <w:autoSpaceDN w:val="0"/>
              <w:adjustRightInd w:val="0"/>
              <w:jc w:val="center"/>
              <w:rPr>
                <w:sz w:val="22"/>
                <w:lang w:val="en-US"/>
              </w:rPr>
            </w:pPr>
            <w:r>
              <w:rPr>
                <w:sz w:val="22"/>
                <w:lang w:val="en-US"/>
              </w:rPr>
              <w:t>40</w:t>
            </w:r>
          </w:p>
        </w:tc>
        <w:tc>
          <w:tcPr>
            <w:tcW w:w="363" w:type="pct"/>
          </w:tcPr>
          <w:p w:rsidR="00000000" w:rsidRDefault="00000000">
            <w:pPr>
              <w:autoSpaceDE w:val="0"/>
              <w:autoSpaceDN w:val="0"/>
              <w:adjustRightInd w:val="0"/>
              <w:jc w:val="right"/>
              <w:rPr>
                <w:sz w:val="22"/>
                <w:lang w:val="en-US"/>
              </w:rPr>
            </w:pPr>
            <w:r>
              <w:rPr>
                <w:sz w:val="22"/>
                <w:lang w:val="en-US"/>
              </w:rPr>
              <w:t>104</w:t>
            </w:r>
          </w:p>
        </w:tc>
        <w:tc>
          <w:tcPr>
            <w:tcW w:w="354" w:type="pct"/>
          </w:tcPr>
          <w:p w:rsidR="00000000" w:rsidRDefault="00000000">
            <w:pPr>
              <w:autoSpaceDE w:val="0"/>
              <w:autoSpaceDN w:val="0"/>
              <w:adjustRightInd w:val="0"/>
              <w:jc w:val="center"/>
              <w:rPr>
                <w:sz w:val="22"/>
                <w:lang w:val="en-US"/>
              </w:rPr>
            </w:pPr>
            <w:r>
              <w:rPr>
                <w:sz w:val="22"/>
                <w:lang w:val="en-US"/>
              </w:rPr>
              <w:t>106</w:t>
            </w:r>
          </w:p>
        </w:tc>
        <w:tc>
          <w:tcPr>
            <w:tcW w:w="400" w:type="pct"/>
          </w:tcPr>
          <w:p w:rsidR="00000000" w:rsidRDefault="00000000">
            <w:pPr>
              <w:autoSpaceDE w:val="0"/>
              <w:autoSpaceDN w:val="0"/>
              <w:adjustRightInd w:val="0"/>
              <w:jc w:val="right"/>
              <w:rPr>
                <w:sz w:val="22"/>
                <w:lang w:val="en-US"/>
              </w:rPr>
            </w:pPr>
            <w:r>
              <w:rPr>
                <w:sz w:val="22"/>
                <w:lang w:val="en-US"/>
              </w:rPr>
              <w:t>91</w:t>
            </w:r>
          </w:p>
        </w:tc>
        <w:tc>
          <w:tcPr>
            <w:tcW w:w="361" w:type="pct"/>
          </w:tcPr>
          <w:p w:rsidR="00000000" w:rsidRDefault="00000000">
            <w:pPr>
              <w:autoSpaceDE w:val="0"/>
              <w:autoSpaceDN w:val="0"/>
              <w:adjustRightInd w:val="0"/>
              <w:jc w:val="right"/>
              <w:rPr>
                <w:sz w:val="22"/>
                <w:lang w:val="en-US"/>
              </w:rPr>
            </w:pPr>
            <w:r>
              <w:rPr>
                <w:sz w:val="22"/>
                <w:lang w:val="en-US"/>
              </w:rPr>
              <w:t>48</w:t>
            </w:r>
          </w:p>
        </w:tc>
        <w:tc>
          <w:tcPr>
            <w:tcW w:w="361" w:type="pct"/>
          </w:tcPr>
          <w:p w:rsidR="00000000" w:rsidRDefault="00000000">
            <w:pPr>
              <w:jc w:val="center"/>
              <w:rPr>
                <w:lang w:val="en-US"/>
              </w:rPr>
            </w:pPr>
            <w:r>
              <w:rPr>
                <w:b/>
                <w:color w:val="000000"/>
                <w:sz w:val="22"/>
                <w:vertAlign w:val="superscript"/>
                <w:lang w:val="en-US"/>
              </w:rPr>
              <w:t>*</w:t>
            </w:r>
          </w:p>
        </w:tc>
        <w:tc>
          <w:tcPr>
            <w:tcW w:w="772" w:type="pct"/>
          </w:tcPr>
          <w:p w:rsidR="00000000" w:rsidRDefault="00000000">
            <w:pPr>
              <w:autoSpaceDE w:val="0"/>
              <w:autoSpaceDN w:val="0"/>
              <w:adjustRightInd w:val="0"/>
              <w:jc w:val="center"/>
              <w:rPr>
                <w:sz w:val="22"/>
                <w:lang w:val="en-US"/>
              </w:rPr>
            </w:pPr>
            <w:r>
              <w:rPr>
                <w:sz w:val="22"/>
                <w:lang w:val="en-US"/>
              </w:rPr>
              <w:t>2,1</w:t>
            </w:r>
          </w:p>
        </w:tc>
      </w:tr>
      <w:tr w:rsidR="00000000">
        <w:tblPrEx>
          <w:tblCellMar>
            <w:top w:w="0" w:type="dxa"/>
            <w:bottom w:w="0" w:type="dxa"/>
          </w:tblCellMar>
        </w:tblPrEx>
        <w:tc>
          <w:tcPr>
            <w:tcW w:w="2019" w:type="pct"/>
          </w:tcPr>
          <w:p w:rsidR="00000000" w:rsidRDefault="00000000">
            <w:pPr>
              <w:autoSpaceDE w:val="0"/>
              <w:autoSpaceDN w:val="0"/>
              <w:adjustRightInd w:val="0"/>
              <w:ind w:left="284"/>
              <w:rPr>
                <w:sz w:val="22"/>
              </w:rPr>
            </w:pPr>
            <w:r>
              <w:rPr>
                <w:sz w:val="22"/>
              </w:rPr>
              <w:t>Очень высокий</w:t>
            </w:r>
          </w:p>
        </w:tc>
        <w:tc>
          <w:tcPr>
            <w:tcW w:w="370" w:type="pct"/>
          </w:tcPr>
          <w:p w:rsidR="00000000" w:rsidRDefault="00000000">
            <w:pPr>
              <w:autoSpaceDE w:val="0"/>
              <w:autoSpaceDN w:val="0"/>
              <w:adjustRightInd w:val="0"/>
              <w:jc w:val="center"/>
              <w:rPr>
                <w:sz w:val="22"/>
              </w:rPr>
            </w:pPr>
            <w:r>
              <w:rPr>
                <w:b/>
                <w:color w:val="000000"/>
                <w:sz w:val="22"/>
                <w:vertAlign w:val="superscript"/>
              </w:rPr>
              <w:t>*</w:t>
            </w:r>
          </w:p>
        </w:tc>
        <w:tc>
          <w:tcPr>
            <w:tcW w:w="363" w:type="pct"/>
          </w:tcPr>
          <w:p w:rsidR="00000000" w:rsidRDefault="00000000">
            <w:pPr>
              <w:autoSpaceDE w:val="0"/>
              <w:autoSpaceDN w:val="0"/>
              <w:adjustRightInd w:val="0"/>
              <w:jc w:val="right"/>
              <w:rPr>
                <w:sz w:val="22"/>
              </w:rPr>
            </w:pPr>
            <w:r>
              <w:rPr>
                <w:sz w:val="22"/>
              </w:rPr>
              <w:t>72</w:t>
            </w:r>
          </w:p>
        </w:tc>
        <w:tc>
          <w:tcPr>
            <w:tcW w:w="354" w:type="pct"/>
          </w:tcPr>
          <w:p w:rsidR="00000000" w:rsidRDefault="00000000">
            <w:pPr>
              <w:autoSpaceDE w:val="0"/>
              <w:autoSpaceDN w:val="0"/>
              <w:adjustRightInd w:val="0"/>
              <w:jc w:val="center"/>
              <w:rPr>
                <w:sz w:val="22"/>
              </w:rPr>
            </w:pPr>
            <w:r>
              <w:rPr>
                <w:sz w:val="22"/>
              </w:rPr>
              <w:t>115</w:t>
            </w:r>
          </w:p>
        </w:tc>
        <w:tc>
          <w:tcPr>
            <w:tcW w:w="400" w:type="pct"/>
          </w:tcPr>
          <w:p w:rsidR="00000000" w:rsidRDefault="00000000">
            <w:pPr>
              <w:autoSpaceDE w:val="0"/>
              <w:autoSpaceDN w:val="0"/>
              <w:adjustRightInd w:val="0"/>
              <w:jc w:val="right"/>
              <w:rPr>
                <w:sz w:val="22"/>
              </w:rPr>
            </w:pPr>
            <w:r>
              <w:rPr>
                <w:sz w:val="22"/>
              </w:rPr>
              <w:t>111</w:t>
            </w:r>
          </w:p>
        </w:tc>
        <w:tc>
          <w:tcPr>
            <w:tcW w:w="361" w:type="pct"/>
          </w:tcPr>
          <w:p w:rsidR="00000000" w:rsidRDefault="00000000">
            <w:pPr>
              <w:autoSpaceDE w:val="0"/>
              <w:autoSpaceDN w:val="0"/>
              <w:adjustRightInd w:val="0"/>
              <w:jc w:val="right"/>
              <w:rPr>
                <w:sz w:val="22"/>
              </w:rPr>
            </w:pPr>
            <w:r>
              <w:rPr>
                <w:sz w:val="22"/>
              </w:rPr>
              <w:t>41</w:t>
            </w:r>
          </w:p>
        </w:tc>
        <w:tc>
          <w:tcPr>
            <w:tcW w:w="361" w:type="pct"/>
          </w:tcPr>
          <w:p w:rsidR="00000000" w:rsidRDefault="00000000">
            <w:pPr>
              <w:jc w:val="center"/>
            </w:pPr>
            <w:r>
              <w:rPr>
                <w:b/>
                <w:color w:val="000000"/>
                <w:sz w:val="22"/>
                <w:vertAlign w:val="superscript"/>
              </w:rPr>
              <w:t>*</w:t>
            </w:r>
          </w:p>
        </w:tc>
        <w:tc>
          <w:tcPr>
            <w:tcW w:w="772" w:type="pct"/>
          </w:tcPr>
          <w:p w:rsidR="00000000" w:rsidRDefault="00000000">
            <w:pPr>
              <w:autoSpaceDE w:val="0"/>
              <w:autoSpaceDN w:val="0"/>
              <w:adjustRightInd w:val="0"/>
              <w:jc w:val="center"/>
              <w:rPr>
                <w:sz w:val="22"/>
              </w:rPr>
            </w:pPr>
            <w:r>
              <w:rPr>
                <w:sz w:val="22"/>
              </w:rPr>
              <w:t>1,9</w:t>
            </w:r>
          </w:p>
        </w:tc>
      </w:tr>
      <w:tr w:rsidR="00000000">
        <w:tblPrEx>
          <w:tblCellMar>
            <w:top w:w="0" w:type="dxa"/>
            <w:bottom w:w="0" w:type="dxa"/>
          </w:tblCellMar>
        </w:tblPrEx>
        <w:tc>
          <w:tcPr>
            <w:tcW w:w="2019" w:type="pct"/>
          </w:tcPr>
          <w:p w:rsidR="00000000" w:rsidRDefault="00000000">
            <w:pPr>
              <w:autoSpaceDE w:val="0"/>
              <w:autoSpaceDN w:val="0"/>
              <w:adjustRightInd w:val="0"/>
              <w:rPr>
                <w:b/>
                <w:bCs/>
                <w:sz w:val="22"/>
              </w:rPr>
            </w:pPr>
            <w:r>
              <w:rPr>
                <w:b/>
                <w:bCs/>
                <w:sz w:val="22"/>
              </w:rPr>
              <w:tab/>
              <w:t>Итого</w:t>
            </w:r>
          </w:p>
        </w:tc>
        <w:tc>
          <w:tcPr>
            <w:tcW w:w="370" w:type="pct"/>
          </w:tcPr>
          <w:p w:rsidR="00000000" w:rsidRDefault="00000000">
            <w:pPr>
              <w:autoSpaceDE w:val="0"/>
              <w:autoSpaceDN w:val="0"/>
              <w:adjustRightInd w:val="0"/>
              <w:jc w:val="center"/>
              <w:rPr>
                <w:b/>
                <w:bCs/>
                <w:sz w:val="22"/>
              </w:rPr>
            </w:pPr>
            <w:r>
              <w:rPr>
                <w:b/>
                <w:bCs/>
                <w:sz w:val="22"/>
              </w:rPr>
              <w:t>65</w:t>
            </w:r>
          </w:p>
        </w:tc>
        <w:tc>
          <w:tcPr>
            <w:tcW w:w="363" w:type="pct"/>
          </w:tcPr>
          <w:p w:rsidR="00000000" w:rsidRDefault="00000000">
            <w:pPr>
              <w:autoSpaceDE w:val="0"/>
              <w:autoSpaceDN w:val="0"/>
              <w:adjustRightInd w:val="0"/>
              <w:jc w:val="right"/>
              <w:rPr>
                <w:b/>
                <w:bCs/>
                <w:sz w:val="22"/>
              </w:rPr>
            </w:pPr>
            <w:r>
              <w:rPr>
                <w:b/>
                <w:bCs/>
                <w:sz w:val="22"/>
              </w:rPr>
              <w:t>150</w:t>
            </w:r>
          </w:p>
        </w:tc>
        <w:tc>
          <w:tcPr>
            <w:tcW w:w="354" w:type="pct"/>
          </w:tcPr>
          <w:p w:rsidR="00000000" w:rsidRDefault="00000000">
            <w:pPr>
              <w:autoSpaceDE w:val="0"/>
              <w:autoSpaceDN w:val="0"/>
              <w:adjustRightInd w:val="0"/>
              <w:jc w:val="center"/>
              <w:rPr>
                <w:b/>
                <w:bCs/>
                <w:sz w:val="22"/>
              </w:rPr>
            </w:pPr>
            <w:r>
              <w:rPr>
                <w:b/>
                <w:bCs/>
                <w:sz w:val="22"/>
              </w:rPr>
              <w:t>142</w:t>
            </w:r>
          </w:p>
        </w:tc>
        <w:tc>
          <w:tcPr>
            <w:tcW w:w="400" w:type="pct"/>
          </w:tcPr>
          <w:p w:rsidR="00000000" w:rsidRDefault="00000000">
            <w:pPr>
              <w:autoSpaceDE w:val="0"/>
              <w:autoSpaceDN w:val="0"/>
              <w:adjustRightInd w:val="0"/>
              <w:jc w:val="right"/>
              <w:rPr>
                <w:b/>
                <w:bCs/>
                <w:sz w:val="22"/>
              </w:rPr>
            </w:pPr>
            <w:r>
              <w:rPr>
                <w:b/>
                <w:bCs/>
                <w:sz w:val="22"/>
              </w:rPr>
              <w:t>122</w:t>
            </w:r>
          </w:p>
        </w:tc>
        <w:tc>
          <w:tcPr>
            <w:tcW w:w="361" w:type="pct"/>
          </w:tcPr>
          <w:p w:rsidR="00000000" w:rsidRDefault="00000000">
            <w:pPr>
              <w:autoSpaceDE w:val="0"/>
              <w:autoSpaceDN w:val="0"/>
              <w:adjustRightInd w:val="0"/>
              <w:jc w:val="right"/>
              <w:rPr>
                <w:b/>
                <w:bCs/>
                <w:sz w:val="22"/>
              </w:rPr>
            </w:pPr>
            <w:r>
              <w:rPr>
                <w:b/>
                <w:bCs/>
                <w:sz w:val="22"/>
              </w:rPr>
              <w:t>69</w:t>
            </w:r>
          </w:p>
        </w:tc>
        <w:tc>
          <w:tcPr>
            <w:tcW w:w="361" w:type="pct"/>
          </w:tcPr>
          <w:p w:rsidR="00000000" w:rsidRDefault="00000000">
            <w:pPr>
              <w:autoSpaceDE w:val="0"/>
              <w:autoSpaceDN w:val="0"/>
              <w:adjustRightInd w:val="0"/>
              <w:jc w:val="center"/>
              <w:rPr>
                <w:b/>
                <w:bCs/>
                <w:sz w:val="22"/>
              </w:rPr>
            </w:pPr>
            <w:r>
              <w:rPr>
                <w:b/>
                <w:bCs/>
                <w:sz w:val="22"/>
              </w:rPr>
              <w:t>36</w:t>
            </w:r>
          </w:p>
        </w:tc>
        <w:tc>
          <w:tcPr>
            <w:tcW w:w="772" w:type="pct"/>
          </w:tcPr>
          <w:p w:rsidR="00000000" w:rsidRDefault="00000000">
            <w:pPr>
              <w:autoSpaceDE w:val="0"/>
              <w:autoSpaceDN w:val="0"/>
              <w:adjustRightInd w:val="0"/>
              <w:jc w:val="center"/>
              <w:rPr>
                <w:b/>
                <w:bCs/>
                <w:sz w:val="22"/>
              </w:rPr>
            </w:pPr>
            <w:r>
              <w:rPr>
                <w:b/>
                <w:bCs/>
                <w:sz w:val="22"/>
              </w:rPr>
              <w:t>2,9</w:t>
            </w:r>
          </w:p>
        </w:tc>
      </w:tr>
    </w:tbl>
    <w:p w:rsidR="00000000" w:rsidRDefault="00000000">
      <w:pPr>
        <w:spacing w:line="216" w:lineRule="auto"/>
      </w:pPr>
    </w:p>
    <w:p w:rsidR="00000000" w:rsidRDefault="00000000">
      <w:r>
        <w:t>*</w:t>
      </w:r>
      <w:r>
        <w:tab/>
        <w:t>Недостаточное количество случаев:  менее 25 рождений.</w:t>
      </w:r>
    </w:p>
    <w:p w:rsidR="00000000" w:rsidRDefault="00000000"/>
    <w:p w:rsidR="00000000" w:rsidRDefault="00000000">
      <w:pPr>
        <w:rPr>
          <w:b/>
          <w:bCs/>
        </w:rPr>
      </w:pPr>
      <w:r>
        <w:rPr>
          <w:b/>
          <w:bCs/>
        </w:rPr>
        <w:t>4.</w:t>
      </w:r>
      <w:r>
        <w:rPr>
          <w:b/>
          <w:bCs/>
        </w:rPr>
        <w:tab/>
        <w:t>Доля населения в возрасте до 15 лет</w:t>
      </w:r>
    </w:p>
    <w:p w:rsidR="00000000" w:rsidRDefault="00000000">
      <w:pPr>
        <w:rPr>
          <w:b/>
          <w:bCs/>
        </w:rPr>
      </w:pPr>
    </w:p>
    <w:p w:rsidR="00000000" w:rsidRDefault="00000000">
      <w:r>
        <w:t>30.</w:t>
      </w:r>
      <w:r>
        <w:tab/>
        <w:t>По статистическим данным и оценкам Главного управления статистики, опросов и переписи населения, в 2005 году в Парагвае было 2 115 138 жителей в возрасте до 15 лет, что составляет 35,8% от общей численности населения страны (ниже приводятся данные с разбивкой по различным категориям).</w:t>
      </w:r>
    </w:p>
    <w:p w:rsidR="00000000" w:rsidRDefault="00000000"/>
    <w:p w:rsidR="00000000" w:rsidRDefault="00000000">
      <w:pPr>
        <w:sectPr w:rsidR="00000000">
          <w:headerReference w:type="even" r:id="rId13"/>
          <w:headerReference w:type="default" r:id="rId14"/>
          <w:headerReference w:type="first" r:id="rId15"/>
          <w:type w:val="continuous"/>
          <w:pgSz w:w="11906" w:h="16838" w:code="9"/>
          <w:pgMar w:top="851" w:right="851" w:bottom="1701" w:left="1701" w:header="851" w:footer="851" w:gutter="0"/>
          <w:cols w:space="720"/>
          <w:formProt w:val="0"/>
          <w:noEndnote/>
          <w:titlePg/>
        </w:sectPr>
      </w:pPr>
    </w:p>
    <w:p w:rsidR="00000000" w:rsidRDefault="00000000"/>
    <w:tbl>
      <w:tblPr>
        <w:tblW w:w="0" w:type="auto"/>
        <w:tblLayout w:type="fixed"/>
        <w:tblCellMar>
          <w:left w:w="28" w:type="dxa"/>
          <w:right w:w="28" w:type="dxa"/>
        </w:tblCellMar>
        <w:tblLook w:val="0000" w:firstRow="0" w:lastRow="0" w:firstColumn="0" w:lastColumn="0" w:noHBand="0" w:noVBand="0"/>
      </w:tblPr>
      <w:tblGrid>
        <w:gridCol w:w="3119"/>
        <w:gridCol w:w="796"/>
        <w:gridCol w:w="801"/>
        <w:gridCol w:w="807"/>
        <w:gridCol w:w="796"/>
        <w:gridCol w:w="796"/>
        <w:gridCol w:w="796"/>
        <w:gridCol w:w="796"/>
        <w:gridCol w:w="796"/>
        <w:gridCol w:w="796"/>
        <w:gridCol w:w="796"/>
        <w:gridCol w:w="796"/>
        <w:gridCol w:w="796"/>
        <w:gridCol w:w="683"/>
        <w:gridCol w:w="66"/>
        <w:gridCol w:w="10"/>
      </w:tblGrid>
      <w:tr w:rsidR="00000000">
        <w:trPr>
          <w:cantSplit/>
        </w:trPr>
        <w:tc>
          <w:tcPr>
            <w:tcW w:w="13370" w:type="dxa"/>
            <w:gridSpan w:val="14"/>
            <w:tcBorders>
              <w:top w:val="nil"/>
              <w:left w:val="nil"/>
              <w:bottom w:val="single" w:sz="4" w:space="0" w:color="auto"/>
              <w:right w:val="nil"/>
            </w:tcBorders>
            <w:noWrap/>
            <w:vAlign w:val="bottom"/>
          </w:tcPr>
          <w:p w:rsidR="00000000" w:rsidRDefault="00000000">
            <w:pPr>
              <w:spacing w:before="20" w:after="20" w:line="216" w:lineRule="exact"/>
              <w:jc w:val="center"/>
              <w:rPr>
                <w:b/>
                <w:bCs/>
              </w:rPr>
            </w:pPr>
            <w:r>
              <w:rPr>
                <w:b/>
                <w:bCs/>
              </w:rPr>
              <w:t>Парагвай:  Оценка численности населения в возрасте до 15 лет на основе простой возрастной структуры (1994-2006 годы)</w:t>
            </w:r>
          </w:p>
          <w:p w:rsidR="00000000" w:rsidRDefault="00000000">
            <w:pPr>
              <w:spacing w:before="20" w:after="20" w:line="216" w:lineRule="exact"/>
              <w:jc w:val="center"/>
              <w:rPr>
                <w:b/>
                <w:bCs/>
              </w:rPr>
            </w:pPr>
          </w:p>
        </w:tc>
        <w:tc>
          <w:tcPr>
            <w:tcW w:w="76" w:type="dxa"/>
            <w:gridSpan w:val="2"/>
            <w:tcBorders>
              <w:top w:val="nil"/>
              <w:left w:val="nil"/>
              <w:bottom w:val="nil"/>
              <w:right w:val="nil"/>
            </w:tcBorders>
            <w:noWrap/>
            <w:vAlign w:val="bottom"/>
          </w:tcPr>
          <w:p w:rsidR="00000000" w:rsidRDefault="00000000">
            <w:pPr>
              <w:spacing w:before="20" w:after="20" w:line="216" w:lineRule="exact"/>
              <w:rPr>
                <w:b/>
                <w:bCs/>
                <w:sz w:val="16"/>
              </w:rPr>
            </w:pPr>
          </w:p>
        </w:tc>
      </w:tr>
      <w:tr w:rsidR="00000000">
        <w:trPr>
          <w:gridAfter w:val="1"/>
          <w:wAfter w:w="10" w:type="dxa"/>
          <w:cantSplit/>
        </w:trPr>
        <w:tc>
          <w:tcPr>
            <w:tcW w:w="311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20" w:after="20" w:line="216" w:lineRule="exact"/>
              <w:jc w:val="center"/>
              <w:rPr>
                <w:b/>
                <w:bCs/>
                <w:sz w:val="16"/>
              </w:rPr>
            </w:pPr>
            <w:r>
              <w:rPr>
                <w:b/>
                <w:bCs/>
                <w:sz w:val="16"/>
              </w:rPr>
              <w:t>Простая возрастная структура</w:t>
            </w:r>
          </w:p>
        </w:tc>
        <w:tc>
          <w:tcPr>
            <w:tcW w:w="10317" w:type="dxa"/>
            <w:gridSpan w:val="14"/>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center"/>
              <w:rPr>
                <w:b/>
                <w:bCs/>
                <w:sz w:val="16"/>
              </w:rPr>
            </w:pPr>
            <w:r>
              <w:rPr>
                <w:b/>
                <w:bCs/>
                <w:sz w:val="16"/>
              </w:rPr>
              <w:t>Годы</w:t>
            </w:r>
          </w:p>
        </w:tc>
      </w:tr>
      <w:tr w:rsidR="00000000">
        <w:trPr>
          <w:gridAfter w:val="1"/>
          <w:wAfter w:w="10" w:type="dxa"/>
          <w:cantSplit/>
        </w:trPr>
        <w:tc>
          <w:tcPr>
            <w:tcW w:w="3119"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20" w:after="20" w:line="216" w:lineRule="exact"/>
              <w:rPr>
                <w:b/>
                <w:bCs/>
                <w:sz w:val="16"/>
              </w:rPr>
            </w:pP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center"/>
              <w:rPr>
                <w:b/>
                <w:bCs/>
                <w:sz w:val="16"/>
              </w:rPr>
            </w:pPr>
            <w:r>
              <w:rPr>
                <w:b/>
                <w:bCs/>
                <w:sz w:val="16"/>
              </w:rPr>
              <w:t>1994</w:t>
            </w:r>
          </w:p>
        </w:tc>
        <w:tc>
          <w:tcPr>
            <w:tcW w:w="80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center"/>
              <w:rPr>
                <w:b/>
                <w:bCs/>
                <w:sz w:val="16"/>
              </w:rPr>
            </w:pPr>
            <w:r>
              <w:rPr>
                <w:b/>
                <w:bCs/>
                <w:sz w:val="16"/>
              </w:rPr>
              <w:t>1995</w:t>
            </w:r>
          </w:p>
        </w:tc>
        <w:tc>
          <w:tcPr>
            <w:tcW w:w="80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center"/>
              <w:rPr>
                <w:b/>
                <w:bCs/>
                <w:sz w:val="16"/>
              </w:rPr>
            </w:pPr>
            <w:r>
              <w:rPr>
                <w:b/>
                <w:bCs/>
                <w:sz w:val="16"/>
              </w:rPr>
              <w:t>1996</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center"/>
              <w:rPr>
                <w:b/>
                <w:bCs/>
                <w:sz w:val="16"/>
              </w:rPr>
            </w:pPr>
            <w:r>
              <w:rPr>
                <w:b/>
                <w:bCs/>
                <w:sz w:val="16"/>
              </w:rPr>
              <w:t>1997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center"/>
              <w:rPr>
                <w:b/>
                <w:bCs/>
                <w:sz w:val="16"/>
              </w:rPr>
            </w:pPr>
            <w:r>
              <w:rPr>
                <w:b/>
                <w:bCs/>
                <w:sz w:val="16"/>
              </w:rPr>
              <w:t>1998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center"/>
              <w:rPr>
                <w:b/>
                <w:bCs/>
                <w:sz w:val="16"/>
              </w:rPr>
            </w:pPr>
            <w:r>
              <w:rPr>
                <w:b/>
                <w:bCs/>
                <w:sz w:val="16"/>
              </w:rPr>
              <w:t>1999</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center"/>
              <w:rPr>
                <w:b/>
                <w:bCs/>
                <w:sz w:val="16"/>
              </w:rPr>
            </w:pPr>
            <w:r>
              <w:rPr>
                <w:b/>
                <w:bCs/>
                <w:sz w:val="16"/>
              </w:rPr>
              <w:t>2000</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center"/>
              <w:rPr>
                <w:b/>
                <w:bCs/>
                <w:sz w:val="16"/>
              </w:rPr>
            </w:pPr>
            <w:r>
              <w:rPr>
                <w:b/>
                <w:bCs/>
                <w:sz w:val="16"/>
              </w:rPr>
              <w:t>2001</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center"/>
              <w:rPr>
                <w:b/>
                <w:bCs/>
                <w:sz w:val="16"/>
              </w:rPr>
            </w:pPr>
            <w:r>
              <w:rPr>
                <w:b/>
                <w:bCs/>
                <w:sz w:val="16"/>
              </w:rPr>
              <w:t>2002</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center"/>
              <w:rPr>
                <w:b/>
                <w:bCs/>
                <w:sz w:val="16"/>
              </w:rPr>
            </w:pPr>
            <w:r>
              <w:rPr>
                <w:b/>
                <w:bCs/>
                <w:sz w:val="16"/>
              </w:rPr>
              <w:t>2003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center"/>
              <w:rPr>
                <w:b/>
                <w:bCs/>
                <w:sz w:val="16"/>
              </w:rPr>
            </w:pPr>
            <w:r>
              <w:rPr>
                <w:b/>
                <w:bCs/>
                <w:sz w:val="16"/>
              </w:rPr>
              <w:t>2004</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center"/>
              <w:rPr>
                <w:b/>
                <w:bCs/>
                <w:sz w:val="16"/>
              </w:rPr>
            </w:pPr>
            <w:r>
              <w:rPr>
                <w:b/>
                <w:bCs/>
                <w:sz w:val="16"/>
              </w:rPr>
              <w:t>2005</w:t>
            </w:r>
          </w:p>
        </w:tc>
        <w:tc>
          <w:tcPr>
            <w:tcW w:w="749"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center"/>
              <w:rPr>
                <w:b/>
                <w:bCs/>
                <w:sz w:val="16"/>
              </w:rPr>
            </w:pPr>
            <w:r>
              <w:rPr>
                <w:b/>
                <w:bCs/>
                <w:sz w:val="16"/>
              </w:rPr>
              <w:t>2006</w:t>
            </w:r>
          </w:p>
        </w:tc>
      </w:tr>
      <w:tr w:rsidR="00000000">
        <w:trPr>
          <w:gridAfter w:val="1"/>
          <w:wAfter w:w="10" w:type="dxa"/>
          <w:cantSplit/>
        </w:trPr>
        <w:tc>
          <w:tcPr>
            <w:tcW w:w="3119"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rPr>
                <w:sz w:val="16"/>
              </w:rPr>
            </w:pPr>
            <w:r>
              <w:rPr>
                <w:sz w:val="16"/>
              </w:rPr>
              <w:t>от 0 до 4 лет</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683 586</w:t>
            </w:r>
          </w:p>
        </w:tc>
        <w:tc>
          <w:tcPr>
            <w:tcW w:w="80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688 898</w:t>
            </w:r>
          </w:p>
        </w:tc>
        <w:tc>
          <w:tcPr>
            <w:tcW w:w="80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693 928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698 514</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702 777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706 834</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710 803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714 750</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718 594</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722 241</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725 592</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728 551</w:t>
            </w:r>
          </w:p>
        </w:tc>
        <w:tc>
          <w:tcPr>
            <w:tcW w:w="749"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731 068</w:t>
            </w:r>
          </w:p>
        </w:tc>
      </w:tr>
      <w:tr w:rsidR="00000000">
        <w:trPr>
          <w:gridAfter w:val="1"/>
          <w:wAfter w:w="10" w:type="dxa"/>
          <w:cantSplit/>
        </w:trPr>
        <w:tc>
          <w:tcPr>
            <w:tcW w:w="3119"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left" w:pos="240"/>
              </w:tabs>
              <w:spacing w:before="20" w:after="20" w:line="216" w:lineRule="exact"/>
              <w:rPr>
                <w:sz w:val="16"/>
              </w:rPr>
            </w:pPr>
            <w:r>
              <w:rPr>
                <w:sz w:val="16"/>
              </w:rPr>
              <w:tab/>
              <w:t>менее</w:t>
            </w:r>
            <w:r>
              <w:rPr>
                <w:sz w:val="16"/>
                <w:lang w:val="fr-FR"/>
              </w:rPr>
              <w:t xml:space="preserve"> 1 года</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140 244</w:t>
            </w:r>
          </w:p>
        </w:tc>
        <w:tc>
          <w:tcPr>
            <w:tcW w:w="80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141 180</w:t>
            </w:r>
          </w:p>
        </w:tc>
        <w:tc>
          <w:tcPr>
            <w:tcW w:w="80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142 028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142 802</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143 522</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144 206</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144 876</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145 548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146 210</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146 835</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147 397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147 870</w:t>
            </w:r>
          </w:p>
        </w:tc>
        <w:tc>
          <w:tcPr>
            <w:tcW w:w="749"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148 238</w:t>
            </w:r>
          </w:p>
        </w:tc>
      </w:tr>
      <w:tr w:rsidR="00000000">
        <w:trPr>
          <w:gridAfter w:val="1"/>
          <w:wAfter w:w="10" w:type="dxa"/>
          <w:cantSplit/>
        </w:trPr>
        <w:tc>
          <w:tcPr>
            <w:tcW w:w="3119"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left" w:pos="240"/>
              </w:tabs>
              <w:spacing w:before="20" w:after="20" w:line="216" w:lineRule="exact"/>
              <w:rPr>
                <w:sz w:val="16"/>
              </w:rPr>
            </w:pPr>
            <w:r>
              <w:rPr>
                <w:sz w:val="16"/>
              </w:rPr>
              <w:tab/>
            </w:r>
            <w:r>
              <w:rPr>
                <w:sz w:val="16"/>
                <w:lang w:val="fr-FR"/>
              </w:rPr>
              <w:t>1</w:t>
            </w:r>
            <w:r>
              <w:rPr>
                <w:sz w:val="16"/>
              </w:rPr>
              <w:t xml:space="preserve"> год</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137 982</w:t>
            </w:r>
          </w:p>
        </w:tc>
        <w:tc>
          <w:tcPr>
            <w:tcW w:w="80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138 997</w:t>
            </w:r>
          </w:p>
        </w:tc>
        <w:tc>
          <w:tcPr>
            <w:tcW w:w="80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139 939</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140 802</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141 608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142 374</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143 123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143 868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144 597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145 287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145 913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146 453</w:t>
            </w:r>
          </w:p>
        </w:tc>
        <w:tc>
          <w:tcPr>
            <w:tcW w:w="749"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146 892</w:t>
            </w:r>
          </w:p>
        </w:tc>
      </w:tr>
      <w:tr w:rsidR="00000000">
        <w:trPr>
          <w:gridAfter w:val="1"/>
          <w:wAfter w:w="10" w:type="dxa"/>
          <w:cantSplit/>
        </w:trPr>
        <w:tc>
          <w:tcPr>
            <w:tcW w:w="3119"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left" w:pos="240"/>
              </w:tabs>
              <w:spacing w:before="20" w:after="20" w:line="216" w:lineRule="exact"/>
              <w:rPr>
                <w:sz w:val="16"/>
              </w:rPr>
            </w:pPr>
            <w:r>
              <w:rPr>
                <w:sz w:val="16"/>
              </w:rPr>
              <w:tab/>
              <w:t>2 года</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136 525</w:t>
            </w:r>
          </w:p>
        </w:tc>
        <w:tc>
          <w:tcPr>
            <w:tcW w:w="80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137 587</w:t>
            </w:r>
          </w:p>
        </w:tc>
        <w:tc>
          <w:tcPr>
            <w:tcW w:w="80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138 594</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139 514</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140 370</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141 187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141 988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142 785</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143 564</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144 304</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144 984</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145 582</w:t>
            </w:r>
          </w:p>
        </w:tc>
        <w:tc>
          <w:tcPr>
            <w:tcW w:w="749"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146 086</w:t>
            </w:r>
          </w:p>
        </w:tc>
      </w:tr>
      <w:tr w:rsidR="00000000">
        <w:trPr>
          <w:gridAfter w:val="1"/>
          <w:wAfter w:w="10" w:type="dxa"/>
          <w:cantSplit/>
        </w:trPr>
        <w:tc>
          <w:tcPr>
            <w:tcW w:w="3119"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left" w:pos="240"/>
              </w:tabs>
              <w:spacing w:before="20" w:after="20" w:line="216" w:lineRule="exact"/>
              <w:rPr>
                <w:sz w:val="16"/>
              </w:rPr>
            </w:pPr>
            <w:r>
              <w:rPr>
                <w:sz w:val="16"/>
              </w:rPr>
              <w:tab/>
              <w:t>3 года</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135 137</w:t>
            </w:r>
          </w:p>
        </w:tc>
        <w:tc>
          <w:tcPr>
            <w:tcW w:w="80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136 252</w:t>
            </w:r>
          </w:p>
        </w:tc>
        <w:tc>
          <w:tcPr>
            <w:tcW w:w="80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137 327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138 308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139 218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140 085</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140 935</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141 778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142 598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143 377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144 100</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144 750</w:t>
            </w:r>
          </w:p>
        </w:tc>
        <w:tc>
          <w:tcPr>
            <w:tcW w:w="749"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145 319</w:t>
            </w:r>
          </w:p>
        </w:tc>
      </w:tr>
      <w:tr w:rsidR="00000000">
        <w:trPr>
          <w:gridAfter w:val="1"/>
          <w:wAfter w:w="10" w:type="dxa"/>
          <w:cantSplit/>
        </w:trPr>
        <w:tc>
          <w:tcPr>
            <w:tcW w:w="3119"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left" w:pos="240"/>
              </w:tabs>
              <w:spacing w:before="20" w:after="20" w:line="216" w:lineRule="exact"/>
              <w:rPr>
                <w:sz w:val="16"/>
              </w:rPr>
            </w:pPr>
            <w:r>
              <w:rPr>
                <w:sz w:val="16"/>
              </w:rPr>
              <w:tab/>
              <w:t>4 года</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133 698</w:t>
            </w:r>
          </w:p>
        </w:tc>
        <w:tc>
          <w:tcPr>
            <w:tcW w:w="80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134 883</w:t>
            </w:r>
          </w:p>
        </w:tc>
        <w:tc>
          <w:tcPr>
            <w:tcW w:w="80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136 040</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137 089</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138 059</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138 980</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139 882</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140 770</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141 625</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142 438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143 198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143 897</w:t>
            </w:r>
          </w:p>
        </w:tc>
        <w:tc>
          <w:tcPr>
            <w:tcW w:w="749"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144 532</w:t>
            </w:r>
          </w:p>
        </w:tc>
      </w:tr>
      <w:tr w:rsidR="00000000">
        <w:trPr>
          <w:gridAfter w:val="1"/>
          <w:wAfter w:w="10" w:type="dxa"/>
          <w:cantSplit/>
        </w:trPr>
        <w:tc>
          <w:tcPr>
            <w:tcW w:w="3119"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rPr>
                <w:sz w:val="16"/>
              </w:rPr>
            </w:pPr>
            <w:r>
              <w:rPr>
                <w:sz w:val="16"/>
              </w:rPr>
              <w:t>от 5 до 11 лет</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643 170</w:t>
            </w:r>
          </w:p>
        </w:tc>
        <w:tc>
          <w:tcPr>
            <w:tcW w:w="80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651 372</w:t>
            </w:r>
          </w:p>
        </w:tc>
        <w:tc>
          <w:tcPr>
            <w:tcW w:w="80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659 086</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665 886</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672 012</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677 704</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683 201</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688 441</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693 265</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697 765</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702 037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706 173</w:t>
            </w:r>
          </w:p>
        </w:tc>
        <w:tc>
          <w:tcPr>
            <w:tcW w:w="749"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710 225</w:t>
            </w:r>
          </w:p>
        </w:tc>
      </w:tr>
      <w:tr w:rsidR="00000000">
        <w:trPr>
          <w:gridAfter w:val="1"/>
          <w:wAfter w:w="10" w:type="dxa"/>
          <w:cantSplit/>
        </w:trPr>
        <w:tc>
          <w:tcPr>
            <w:tcW w:w="3119"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left" w:pos="240"/>
              </w:tabs>
              <w:spacing w:before="20" w:after="20" w:line="216" w:lineRule="exact"/>
              <w:rPr>
                <w:sz w:val="16"/>
              </w:rPr>
            </w:pPr>
            <w:r>
              <w:rPr>
                <w:sz w:val="16"/>
              </w:rPr>
              <w:tab/>
              <w:t>5 лет</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132 282</w:t>
            </w:r>
          </w:p>
        </w:tc>
        <w:tc>
          <w:tcPr>
            <w:tcW w:w="80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133 290</w:t>
            </w:r>
          </w:p>
        </w:tc>
        <w:tc>
          <w:tcPr>
            <w:tcW w:w="80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134 474</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135 644</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136 783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137 869</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138 884</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139 820</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140 690</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141 505</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142 277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143 017</w:t>
            </w:r>
          </w:p>
        </w:tc>
        <w:tc>
          <w:tcPr>
            <w:tcW w:w="749"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143 737</w:t>
            </w:r>
          </w:p>
        </w:tc>
      </w:tr>
      <w:tr w:rsidR="00000000">
        <w:trPr>
          <w:gridAfter w:val="1"/>
          <w:wAfter w:w="10" w:type="dxa"/>
          <w:cantSplit/>
        </w:trPr>
        <w:tc>
          <w:tcPr>
            <w:tcW w:w="3119"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left" w:pos="240"/>
              </w:tabs>
              <w:spacing w:before="20" w:after="20" w:line="216" w:lineRule="exact"/>
              <w:rPr>
                <w:sz w:val="16"/>
              </w:rPr>
            </w:pPr>
            <w:r>
              <w:rPr>
                <w:sz w:val="16"/>
              </w:rPr>
              <w:tab/>
              <w:t>6 лет</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130 617</w:t>
            </w:r>
          </w:p>
        </w:tc>
        <w:tc>
          <w:tcPr>
            <w:tcW w:w="80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131 883</w:t>
            </w:r>
          </w:p>
        </w:tc>
        <w:tc>
          <w:tcPr>
            <w:tcW w:w="80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133 219</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134 471</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135 647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136 757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137 809</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138 793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139 703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140 555</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141 364</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142 146</w:t>
            </w:r>
          </w:p>
        </w:tc>
        <w:tc>
          <w:tcPr>
            <w:tcW w:w="749"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142 915</w:t>
            </w:r>
          </w:p>
        </w:tc>
      </w:tr>
      <w:tr w:rsidR="00000000">
        <w:trPr>
          <w:gridAfter w:val="1"/>
          <w:wAfter w:w="10" w:type="dxa"/>
          <w:cantSplit/>
        </w:trPr>
        <w:tc>
          <w:tcPr>
            <w:tcW w:w="3119"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left" w:pos="240"/>
              </w:tabs>
              <w:spacing w:before="20" w:after="20" w:line="216" w:lineRule="exact"/>
              <w:rPr>
                <w:sz w:val="16"/>
              </w:rPr>
            </w:pPr>
            <w:r>
              <w:rPr>
                <w:sz w:val="16"/>
              </w:rPr>
              <w:tab/>
              <w:t>7 лет</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128 809</w:t>
            </w:r>
          </w:p>
        </w:tc>
        <w:tc>
          <w:tcPr>
            <w:tcW w:w="80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130 403</w:t>
            </w:r>
          </w:p>
        </w:tc>
        <w:tc>
          <w:tcPr>
            <w:tcW w:w="80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131 921</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133 265</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134 478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135 608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136 698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137 736</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138 693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139 586</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140 436</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141 262</w:t>
            </w:r>
          </w:p>
        </w:tc>
        <w:tc>
          <w:tcPr>
            <w:tcW w:w="749"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142 075</w:t>
            </w:r>
          </w:p>
        </w:tc>
      </w:tr>
      <w:tr w:rsidR="00000000">
        <w:trPr>
          <w:gridAfter w:val="1"/>
          <w:wAfter w:w="10" w:type="dxa"/>
          <w:cantSplit/>
        </w:trPr>
        <w:tc>
          <w:tcPr>
            <w:tcW w:w="3119"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left" w:pos="240"/>
              </w:tabs>
              <w:spacing w:before="20" w:after="20" w:line="216" w:lineRule="exact"/>
              <w:rPr>
                <w:sz w:val="16"/>
              </w:rPr>
            </w:pPr>
            <w:r>
              <w:rPr>
                <w:sz w:val="16"/>
              </w:rPr>
              <w:tab/>
              <w:t>8 лет</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126 826</w:t>
            </w:r>
          </w:p>
        </w:tc>
        <w:tc>
          <w:tcPr>
            <w:tcW w:w="80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128 794</w:t>
            </w:r>
          </w:p>
        </w:tc>
        <w:tc>
          <w:tcPr>
            <w:tcW w:w="80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130 519</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131 971</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133 234</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134 392</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135 529</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136 632</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137 643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138 585</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139 480</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140 350</w:t>
            </w:r>
          </w:p>
        </w:tc>
        <w:tc>
          <w:tcPr>
            <w:tcW w:w="749"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141 204</w:t>
            </w:r>
          </w:p>
        </w:tc>
      </w:tr>
      <w:tr w:rsidR="00000000">
        <w:trPr>
          <w:gridAfter w:val="1"/>
          <w:wAfter w:w="10" w:type="dxa"/>
          <w:cantSplit/>
        </w:trPr>
        <w:tc>
          <w:tcPr>
            <w:tcW w:w="3119"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left" w:pos="240"/>
              </w:tabs>
              <w:spacing w:before="20" w:after="20" w:line="216" w:lineRule="exact"/>
              <w:rPr>
                <w:sz w:val="16"/>
              </w:rPr>
            </w:pPr>
            <w:r>
              <w:rPr>
                <w:sz w:val="16"/>
              </w:rPr>
              <w:tab/>
              <w:t>9 лет</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124 636</w:t>
            </w:r>
          </w:p>
        </w:tc>
        <w:tc>
          <w:tcPr>
            <w:tcW w:w="80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127 002</w:t>
            </w:r>
          </w:p>
        </w:tc>
        <w:tc>
          <w:tcPr>
            <w:tcW w:w="80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128 952</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130 535</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131 870</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133 078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134 281</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135 460</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136 536</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137 534</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138 480</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139 398</w:t>
            </w:r>
          </w:p>
        </w:tc>
        <w:tc>
          <w:tcPr>
            <w:tcW w:w="749"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140 294</w:t>
            </w:r>
          </w:p>
        </w:tc>
      </w:tr>
      <w:tr w:rsidR="00000000">
        <w:trPr>
          <w:gridAfter w:val="1"/>
          <w:wAfter w:w="10" w:type="dxa"/>
          <w:cantSplit/>
        </w:trPr>
        <w:tc>
          <w:tcPr>
            <w:tcW w:w="3119"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rPr>
                <w:sz w:val="16"/>
              </w:rPr>
            </w:pPr>
            <w:r>
              <w:rPr>
                <w:sz w:val="16"/>
              </w:rPr>
              <w:t>от 12 до 14 лет</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580 881</w:t>
            </w:r>
          </w:p>
        </w:tc>
        <w:tc>
          <w:tcPr>
            <w:tcW w:w="80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597 813</w:t>
            </w:r>
          </w:p>
        </w:tc>
        <w:tc>
          <w:tcPr>
            <w:tcW w:w="80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611 223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622 303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631 733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640 195</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648 371</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656 107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662 948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669 125</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674 870</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680 414</w:t>
            </w:r>
          </w:p>
        </w:tc>
        <w:tc>
          <w:tcPr>
            <w:tcW w:w="749"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685 692</w:t>
            </w:r>
          </w:p>
        </w:tc>
      </w:tr>
      <w:tr w:rsidR="00000000">
        <w:trPr>
          <w:gridAfter w:val="1"/>
          <w:wAfter w:w="10" w:type="dxa"/>
          <w:cantSplit/>
        </w:trPr>
        <w:tc>
          <w:tcPr>
            <w:tcW w:w="3119"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left" w:pos="240"/>
              </w:tabs>
              <w:spacing w:before="20" w:after="20" w:line="216" w:lineRule="exact"/>
              <w:rPr>
                <w:sz w:val="16"/>
              </w:rPr>
            </w:pPr>
            <w:r>
              <w:rPr>
                <w:sz w:val="16"/>
              </w:rPr>
              <w:tab/>
              <w:t>10 лет</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122 358</w:t>
            </w:r>
          </w:p>
        </w:tc>
        <w:tc>
          <w:tcPr>
            <w:tcW w:w="80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125 143</w:t>
            </w:r>
          </w:p>
        </w:tc>
        <w:tc>
          <w:tcPr>
            <w:tcW w:w="80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127 317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129 014</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130 400</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131 640</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132 900</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134 163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135 319</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136 393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137 407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138 385</w:t>
            </w:r>
          </w:p>
        </w:tc>
        <w:tc>
          <w:tcPr>
            <w:tcW w:w="749"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139 326</w:t>
            </w:r>
          </w:p>
        </w:tc>
      </w:tr>
      <w:tr w:rsidR="00000000">
        <w:trPr>
          <w:gridAfter w:val="1"/>
          <w:wAfter w:w="10" w:type="dxa"/>
          <w:cantSplit/>
        </w:trPr>
        <w:tc>
          <w:tcPr>
            <w:tcW w:w="3119"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left" w:pos="240"/>
              </w:tabs>
              <w:spacing w:before="20" w:after="20" w:line="216" w:lineRule="exact"/>
              <w:rPr>
                <w:sz w:val="16"/>
              </w:rPr>
            </w:pPr>
            <w:r>
              <w:rPr>
                <w:sz w:val="16"/>
              </w:rPr>
              <w:tab/>
              <w:t>11 лет</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120 109</w:t>
            </w:r>
          </w:p>
        </w:tc>
        <w:tc>
          <w:tcPr>
            <w:tcW w:w="80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123 337</w:t>
            </w:r>
          </w:p>
        </w:tc>
        <w:tc>
          <w:tcPr>
            <w:tcW w:w="80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125 710</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127 467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128 837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130 049</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131 332</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132 679</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133 938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135 119</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136 232</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137 290</w:t>
            </w:r>
          </w:p>
        </w:tc>
        <w:tc>
          <w:tcPr>
            <w:tcW w:w="749"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138 281</w:t>
            </w:r>
          </w:p>
        </w:tc>
      </w:tr>
      <w:tr w:rsidR="00000000">
        <w:trPr>
          <w:gridAfter w:val="1"/>
          <w:wAfter w:w="10" w:type="dxa"/>
          <w:cantSplit/>
        </w:trPr>
        <w:tc>
          <w:tcPr>
            <w:tcW w:w="3119"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left" w:pos="240"/>
              </w:tabs>
              <w:spacing w:before="20" w:after="20" w:line="216" w:lineRule="exact"/>
              <w:rPr>
                <w:sz w:val="16"/>
              </w:rPr>
            </w:pPr>
            <w:r>
              <w:rPr>
                <w:sz w:val="16"/>
              </w:rPr>
              <w:tab/>
              <w:t>12 лет</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117 109</w:t>
            </w:r>
          </w:p>
        </w:tc>
        <w:tc>
          <w:tcPr>
            <w:tcW w:w="80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120 661</w:t>
            </w:r>
          </w:p>
        </w:tc>
        <w:tc>
          <w:tcPr>
            <w:tcW w:w="80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123 283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125 274</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126 859</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128 264</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129 715</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131 198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132 563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133 829</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135 016</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136 141</w:t>
            </w:r>
          </w:p>
        </w:tc>
        <w:tc>
          <w:tcPr>
            <w:tcW w:w="749"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137 189</w:t>
            </w:r>
          </w:p>
        </w:tc>
      </w:tr>
      <w:tr w:rsidR="00000000">
        <w:trPr>
          <w:gridAfter w:val="1"/>
          <w:wAfter w:w="10" w:type="dxa"/>
          <w:cantSplit/>
        </w:trPr>
        <w:tc>
          <w:tcPr>
            <w:tcW w:w="3119"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left" w:pos="240"/>
              </w:tabs>
              <w:spacing w:before="20" w:after="20" w:line="216" w:lineRule="exact"/>
              <w:rPr>
                <w:sz w:val="16"/>
              </w:rPr>
            </w:pPr>
            <w:r>
              <w:rPr>
                <w:sz w:val="16"/>
              </w:rPr>
              <w:tab/>
              <w:t>13 лет</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113 026</w:t>
            </w:r>
          </w:p>
        </w:tc>
        <w:tc>
          <w:tcPr>
            <w:tcW w:w="80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116 713</w:t>
            </w:r>
          </w:p>
        </w:tc>
        <w:tc>
          <w:tcPr>
            <w:tcW w:w="80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119 660</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122 155</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124 313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126 252</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128 088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129 780</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131 252</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132 562</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133 772</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134 942</w:t>
            </w:r>
          </w:p>
        </w:tc>
        <w:tc>
          <w:tcPr>
            <w:tcW w:w="749"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136 054</w:t>
            </w:r>
          </w:p>
        </w:tc>
      </w:tr>
      <w:tr w:rsidR="00000000">
        <w:trPr>
          <w:gridAfter w:val="1"/>
          <w:wAfter w:w="10" w:type="dxa"/>
          <w:cantSplit/>
        </w:trPr>
        <w:tc>
          <w:tcPr>
            <w:tcW w:w="3119"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left" w:pos="240"/>
              </w:tabs>
              <w:spacing w:before="20" w:after="20" w:line="216" w:lineRule="exact"/>
              <w:rPr>
                <w:sz w:val="16"/>
              </w:rPr>
            </w:pPr>
            <w:r>
              <w:rPr>
                <w:sz w:val="16"/>
              </w:rPr>
              <w:tab/>
              <w:t>14 лет</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108 279</w:t>
            </w:r>
          </w:p>
        </w:tc>
        <w:tc>
          <w:tcPr>
            <w:tcW w:w="80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111 959</w:t>
            </w:r>
          </w:p>
        </w:tc>
        <w:tc>
          <w:tcPr>
            <w:tcW w:w="80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115 253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118 393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121 323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123 989</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126 336</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128 287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129 876</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131 222</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132 443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133 656</w:t>
            </w:r>
          </w:p>
        </w:tc>
        <w:tc>
          <w:tcPr>
            <w:tcW w:w="749"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sz w:val="16"/>
                <w:lang w:val="fr-FR"/>
              </w:rPr>
            </w:pPr>
            <w:r>
              <w:rPr>
                <w:sz w:val="16"/>
                <w:lang w:val="fr-FR"/>
              </w:rPr>
              <w:t>134 842</w:t>
            </w:r>
          </w:p>
        </w:tc>
      </w:tr>
      <w:tr w:rsidR="00000000">
        <w:trPr>
          <w:gridAfter w:val="1"/>
          <w:wAfter w:w="10" w:type="dxa"/>
          <w:cantSplit/>
        </w:trPr>
        <w:tc>
          <w:tcPr>
            <w:tcW w:w="311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20" w:after="20" w:line="216" w:lineRule="exact"/>
              <w:jc w:val="center"/>
              <w:rPr>
                <w:b/>
                <w:bCs/>
                <w:sz w:val="16"/>
              </w:rPr>
            </w:pPr>
            <w:r>
              <w:rPr>
                <w:b/>
                <w:bCs/>
                <w:sz w:val="16"/>
              </w:rPr>
              <w:t>Доля жителей в возрасте до 15 лет</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lang w:val="fr-FR"/>
              </w:rPr>
            </w:pPr>
            <w:r>
              <w:rPr>
                <w:b/>
                <w:bCs/>
                <w:sz w:val="16"/>
                <w:lang w:val="fr-FR"/>
              </w:rPr>
              <w:t>40,7</w:t>
            </w:r>
          </w:p>
        </w:tc>
        <w:tc>
          <w:tcPr>
            <w:tcW w:w="80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lang w:val="fr-FR"/>
              </w:rPr>
            </w:pPr>
            <w:r>
              <w:rPr>
                <w:b/>
                <w:bCs/>
                <w:sz w:val="16"/>
                <w:lang w:val="fr-FR"/>
              </w:rPr>
              <w:t>40,4</w:t>
            </w:r>
          </w:p>
        </w:tc>
        <w:tc>
          <w:tcPr>
            <w:tcW w:w="80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lang w:val="fr-FR"/>
              </w:rPr>
            </w:pPr>
            <w:r>
              <w:rPr>
                <w:b/>
                <w:bCs/>
                <w:sz w:val="16"/>
                <w:lang w:val="fr-FR"/>
              </w:rPr>
              <w:t>40</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lang w:val="fr-FR"/>
              </w:rPr>
            </w:pPr>
            <w:r>
              <w:rPr>
                <w:b/>
                <w:bCs/>
                <w:sz w:val="16"/>
                <w:lang w:val="fr-FR"/>
              </w:rPr>
              <w:t>39,6</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lang w:val="fr-FR"/>
              </w:rPr>
            </w:pPr>
            <w:r>
              <w:rPr>
                <w:b/>
                <w:bCs/>
                <w:sz w:val="16"/>
                <w:lang w:val="fr-FR"/>
              </w:rPr>
              <w:t>39,1</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lang w:val="fr-FR"/>
              </w:rPr>
            </w:pPr>
            <w:r>
              <w:rPr>
                <w:b/>
                <w:bCs/>
                <w:sz w:val="16"/>
                <w:lang w:val="fr-FR"/>
              </w:rPr>
              <w:t>38,7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lang w:val="fr-FR"/>
              </w:rPr>
            </w:pPr>
            <w:r>
              <w:rPr>
                <w:b/>
                <w:bCs/>
                <w:sz w:val="16"/>
                <w:lang w:val="fr-FR"/>
              </w:rPr>
              <w:t>38,2</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lang w:val="fr-FR"/>
              </w:rPr>
            </w:pPr>
            <w:r>
              <w:rPr>
                <w:b/>
                <w:bCs/>
                <w:sz w:val="16"/>
                <w:lang w:val="fr-FR"/>
              </w:rPr>
              <w:t>37,7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lang w:val="fr-FR"/>
              </w:rPr>
            </w:pPr>
            <w:r>
              <w:rPr>
                <w:b/>
                <w:bCs/>
                <w:sz w:val="16"/>
                <w:lang w:val="fr-FR"/>
              </w:rPr>
              <w:t>37,3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lang w:val="fr-FR"/>
              </w:rPr>
            </w:pPr>
            <w:r>
              <w:rPr>
                <w:b/>
                <w:bCs/>
                <w:sz w:val="16"/>
                <w:lang w:val="fr-FR"/>
              </w:rPr>
              <w:t>36,8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lang w:val="fr-FR"/>
              </w:rPr>
            </w:pPr>
            <w:r>
              <w:rPr>
                <w:b/>
                <w:bCs/>
                <w:sz w:val="16"/>
                <w:lang w:val="fr-FR"/>
              </w:rPr>
              <w:t>36,3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lang w:val="fr-FR"/>
              </w:rPr>
            </w:pPr>
            <w:r>
              <w:rPr>
                <w:b/>
                <w:bCs/>
                <w:sz w:val="16"/>
                <w:lang w:val="fr-FR"/>
              </w:rPr>
              <w:t>35,9</w:t>
            </w:r>
          </w:p>
        </w:tc>
        <w:tc>
          <w:tcPr>
            <w:tcW w:w="749"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lang w:val="fr-FR"/>
              </w:rPr>
            </w:pPr>
            <w:r>
              <w:rPr>
                <w:b/>
                <w:bCs/>
                <w:sz w:val="16"/>
                <w:lang w:val="fr-FR"/>
              </w:rPr>
              <w:t>35,4</w:t>
            </w:r>
          </w:p>
        </w:tc>
      </w:tr>
      <w:tr w:rsidR="00000000">
        <w:trPr>
          <w:gridAfter w:val="1"/>
          <w:wAfter w:w="10" w:type="dxa"/>
          <w:cantSplit/>
        </w:trPr>
        <w:tc>
          <w:tcPr>
            <w:tcW w:w="3119"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center"/>
              <w:rPr>
                <w:b/>
                <w:bCs/>
                <w:sz w:val="16"/>
              </w:rPr>
            </w:pPr>
            <w:r>
              <w:rPr>
                <w:b/>
                <w:bCs/>
                <w:sz w:val="16"/>
              </w:rPr>
              <w:t>Общее число жителей в возрасте до 15 лет</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1 907 637</w:t>
            </w:r>
          </w:p>
        </w:tc>
        <w:tc>
          <w:tcPr>
            <w:tcW w:w="80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1 938 083</w:t>
            </w:r>
          </w:p>
        </w:tc>
        <w:tc>
          <w:tcPr>
            <w:tcW w:w="80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1 964 236</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1 986 703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2 006 521</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2 024 732</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2 042 375</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2 059 298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2 074 807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2 089 131</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2 102 499</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2 115 138</w:t>
            </w:r>
          </w:p>
        </w:tc>
        <w:tc>
          <w:tcPr>
            <w:tcW w:w="749"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2 126 985</w:t>
            </w:r>
          </w:p>
        </w:tc>
      </w:tr>
      <w:tr w:rsidR="00000000">
        <w:trPr>
          <w:gridAfter w:val="1"/>
          <w:wAfter w:w="10" w:type="dxa"/>
          <w:cantSplit/>
        </w:trPr>
        <w:tc>
          <w:tcPr>
            <w:tcW w:w="3119"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center"/>
              <w:rPr>
                <w:b/>
                <w:bCs/>
                <w:sz w:val="16"/>
              </w:rPr>
            </w:pPr>
            <w:r>
              <w:rPr>
                <w:b/>
                <w:bCs/>
                <w:sz w:val="16"/>
              </w:rPr>
              <w:t>Всего по стране</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4 688 855</w:t>
            </w:r>
          </w:p>
        </w:tc>
        <w:tc>
          <w:tcPr>
            <w:tcW w:w="80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4 798 950</w:t>
            </w:r>
          </w:p>
        </w:tc>
        <w:tc>
          <w:tcPr>
            <w:tcW w:w="80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4 908 587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5 017 920</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5 127 167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5 236 543</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5 346 267</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5 456 418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5 566 852</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5 677 448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5 788 088</w:t>
            </w:r>
          </w:p>
        </w:tc>
        <w:tc>
          <w:tcPr>
            <w:tcW w:w="79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5 898 651</w:t>
            </w:r>
          </w:p>
        </w:tc>
        <w:tc>
          <w:tcPr>
            <w:tcW w:w="749"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20" w:after="20" w:line="216" w:lineRule="exact"/>
              <w:jc w:val="right"/>
              <w:rPr>
                <w:b/>
                <w:bCs/>
                <w:sz w:val="16"/>
              </w:rPr>
            </w:pPr>
            <w:r>
              <w:rPr>
                <w:b/>
                <w:bCs/>
                <w:sz w:val="16"/>
              </w:rPr>
              <w:t>6 009 143</w:t>
            </w:r>
          </w:p>
        </w:tc>
      </w:tr>
    </w:tbl>
    <w:p w:rsidR="00000000" w:rsidRDefault="00000000">
      <w:pPr>
        <w:rPr>
          <w:sz w:val="16"/>
        </w:rPr>
      </w:pPr>
    </w:p>
    <w:p w:rsidR="00000000" w:rsidRDefault="00000000">
      <w:pPr>
        <w:rPr>
          <w:sz w:val="18"/>
        </w:rPr>
      </w:pPr>
      <w:r>
        <w:rPr>
          <w:i/>
          <w:iCs/>
          <w:sz w:val="18"/>
        </w:rPr>
        <w:t>Источник</w:t>
      </w:r>
      <w:r>
        <w:rPr>
          <w:sz w:val="18"/>
        </w:rPr>
        <w:t>:  ТСП/ГУСоП, перечень населения и жилого фонда в стране 2002 года.</w:t>
      </w:r>
    </w:p>
    <w:p w:rsidR="00000000" w:rsidRDefault="00000000">
      <w:pPr>
        <w:spacing w:line="720" w:lineRule="auto"/>
      </w:pPr>
    </w:p>
    <w:p w:rsidR="00000000" w:rsidRDefault="00000000">
      <w:pPr>
        <w:spacing w:line="720" w:lineRule="auto"/>
        <w:sectPr w:rsidR="00000000">
          <w:pgSz w:w="16838" w:h="11906" w:orient="landscape" w:code="9"/>
          <w:pgMar w:top="1701" w:right="851" w:bottom="851" w:left="1701" w:header="851" w:footer="851" w:gutter="0"/>
          <w:cols w:space="720"/>
          <w:formProt w:val="0"/>
          <w:noEndnote/>
          <w:titlePg/>
        </w:sectPr>
      </w:pPr>
    </w:p>
    <w:p w:rsidR="00000000" w:rsidRDefault="00000000">
      <w:pPr>
        <w:spacing w:line="240" w:lineRule="auto"/>
        <w:rPr>
          <w:b/>
        </w:rPr>
      </w:pPr>
      <w:r>
        <w:rPr>
          <w:b/>
        </w:rPr>
        <w:t>5.</w:t>
      </w:r>
      <w:r>
        <w:rPr>
          <w:b/>
        </w:rPr>
        <w:tab/>
        <w:t>Доля населения в возрасте 65 лет и старше</w:t>
      </w:r>
    </w:p>
    <w:p w:rsidR="00000000" w:rsidRDefault="00000000">
      <w:pPr>
        <w:spacing w:line="240" w:lineRule="auto"/>
        <w:rPr>
          <w:b/>
          <w:sz w:val="16"/>
        </w:rPr>
      </w:pPr>
    </w:p>
    <w:p w:rsidR="00000000" w:rsidRDefault="00000000">
      <w:pPr>
        <w:autoSpaceDE w:val="0"/>
        <w:autoSpaceDN w:val="0"/>
        <w:adjustRightInd w:val="0"/>
      </w:pPr>
      <w:r>
        <w:t>31.</w:t>
      </w:r>
      <w:r>
        <w:tab/>
        <w:t>Доля населения в возрасте 65 лет и старше несколько увеличилась.  В частности, в отличие от статистических данных за период 1994-2005 годов доля этой категории населения возросла с 4,2% до 4,7% от общей численности населения.  Кроме того, наиболее многочисленной группой населения является категория лиц в возрасте от 65</w:t>
      </w:r>
      <w:r>
        <w:rPr>
          <w:lang w:val="en-US"/>
        </w:rPr>
        <w:t> </w:t>
      </w:r>
      <w:r>
        <w:t>до</w:t>
      </w:r>
      <w:r>
        <w:rPr>
          <w:lang w:val="en-US"/>
        </w:rPr>
        <w:t> </w:t>
      </w:r>
      <w:r>
        <w:t>70 лет (см. приводимые ниже данные с разбивкой).</w:t>
      </w:r>
    </w:p>
    <w:p w:rsidR="00000000" w:rsidRDefault="00000000">
      <w:pPr>
        <w:autoSpaceDE w:val="0"/>
        <w:autoSpaceDN w:val="0"/>
        <w:adjustRightInd w:val="0"/>
        <w:spacing w:line="216" w:lineRule="auto"/>
        <w:rPr>
          <w:sz w:val="16"/>
        </w:rPr>
      </w:pPr>
    </w:p>
    <w:tbl>
      <w:tblPr>
        <w:tblW w:w="9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75"/>
        <w:gridCol w:w="656"/>
        <w:gridCol w:w="657"/>
        <w:gridCol w:w="657"/>
        <w:gridCol w:w="656"/>
        <w:gridCol w:w="657"/>
        <w:gridCol w:w="657"/>
        <w:gridCol w:w="656"/>
        <w:gridCol w:w="657"/>
        <w:gridCol w:w="657"/>
        <w:gridCol w:w="656"/>
        <w:gridCol w:w="657"/>
        <w:gridCol w:w="657"/>
        <w:gridCol w:w="657"/>
      </w:tblGrid>
      <w:tr w:rsidR="00000000">
        <w:trPr>
          <w:cantSplit/>
        </w:trPr>
        <w:tc>
          <w:tcPr>
            <w:tcW w:w="875" w:type="dxa"/>
            <w:vAlign w:val="bottom"/>
          </w:tcPr>
          <w:p w:rsidR="00000000" w:rsidRDefault="00000000">
            <w:pPr>
              <w:spacing w:beforeLines="40" w:before="96" w:afterLines="40" w:after="96" w:line="216" w:lineRule="auto"/>
              <w:jc w:val="center"/>
              <w:rPr>
                <w:b/>
                <w:bCs/>
                <w:sz w:val="16"/>
                <w:szCs w:val="16"/>
              </w:rPr>
            </w:pPr>
            <w:r>
              <w:rPr>
                <w:b/>
                <w:bCs/>
                <w:sz w:val="16"/>
                <w:szCs w:val="16"/>
              </w:rPr>
              <w:t>Доля населения в возрасте 65 лет и старше</w:t>
            </w:r>
          </w:p>
        </w:tc>
        <w:tc>
          <w:tcPr>
            <w:tcW w:w="656" w:type="dxa"/>
            <w:noWrap/>
            <w:vAlign w:val="bottom"/>
          </w:tcPr>
          <w:p w:rsidR="00000000" w:rsidRDefault="00000000">
            <w:pPr>
              <w:spacing w:beforeLines="40" w:before="96" w:afterLines="40" w:after="96" w:line="216" w:lineRule="auto"/>
              <w:jc w:val="center"/>
              <w:rPr>
                <w:b/>
                <w:bCs/>
                <w:sz w:val="16"/>
                <w:szCs w:val="16"/>
              </w:rPr>
            </w:pPr>
            <w:r>
              <w:rPr>
                <w:b/>
                <w:bCs/>
                <w:sz w:val="16"/>
                <w:szCs w:val="16"/>
              </w:rPr>
              <w:t>4,2</w:t>
            </w:r>
          </w:p>
        </w:tc>
        <w:tc>
          <w:tcPr>
            <w:tcW w:w="657" w:type="dxa"/>
            <w:noWrap/>
            <w:vAlign w:val="bottom"/>
          </w:tcPr>
          <w:p w:rsidR="00000000" w:rsidRDefault="00000000">
            <w:pPr>
              <w:spacing w:beforeLines="40" w:before="96" w:afterLines="40" w:after="96" w:line="216" w:lineRule="auto"/>
              <w:jc w:val="center"/>
              <w:rPr>
                <w:b/>
                <w:bCs/>
                <w:sz w:val="16"/>
                <w:szCs w:val="16"/>
              </w:rPr>
            </w:pPr>
            <w:r>
              <w:rPr>
                <w:b/>
                <w:bCs/>
                <w:sz w:val="16"/>
                <w:szCs w:val="16"/>
              </w:rPr>
              <w:t>4,2</w:t>
            </w:r>
          </w:p>
        </w:tc>
        <w:tc>
          <w:tcPr>
            <w:tcW w:w="657" w:type="dxa"/>
            <w:noWrap/>
            <w:vAlign w:val="bottom"/>
          </w:tcPr>
          <w:p w:rsidR="00000000" w:rsidRDefault="00000000">
            <w:pPr>
              <w:spacing w:beforeLines="40" w:before="96" w:afterLines="40" w:after="96" w:line="216" w:lineRule="auto"/>
              <w:jc w:val="center"/>
              <w:rPr>
                <w:b/>
                <w:bCs/>
                <w:sz w:val="16"/>
                <w:szCs w:val="16"/>
              </w:rPr>
            </w:pPr>
            <w:r>
              <w:rPr>
                <w:b/>
                <w:bCs/>
                <w:sz w:val="16"/>
                <w:szCs w:val="16"/>
              </w:rPr>
              <w:t>4,3</w:t>
            </w:r>
          </w:p>
        </w:tc>
        <w:tc>
          <w:tcPr>
            <w:tcW w:w="656" w:type="dxa"/>
            <w:noWrap/>
            <w:vAlign w:val="bottom"/>
          </w:tcPr>
          <w:p w:rsidR="00000000" w:rsidRDefault="00000000">
            <w:pPr>
              <w:spacing w:beforeLines="40" w:before="96" w:afterLines="40" w:after="96" w:line="216" w:lineRule="auto"/>
              <w:jc w:val="center"/>
              <w:rPr>
                <w:b/>
                <w:bCs/>
                <w:sz w:val="16"/>
                <w:szCs w:val="16"/>
              </w:rPr>
            </w:pPr>
            <w:r>
              <w:rPr>
                <w:b/>
                <w:bCs/>
                <w:sz w:val="16"/>
                <w:szCs w:val="16"/>
              </w:rPr>
              <w:t>4,3</w:t>
            </w:r>
          </w:p>
        </w:tc>
        <w:tc>
          <w:tcPr>
            <w:tcW w:w="657" w:type="dxa"/>
            <w:noWrap/>
            <w:vAlign w:val="bottom"/>
          </w:tcPr>
          <w:p w:rsidR="00000000" w:rsidRDefault="00000000">
            <w:pPr>
              <w:spacing w:beforeLines="40" w:before="96" w:afterLines="40" w:after="96" w:line="216" w:lineRule="auto"/>
              <w:jc w:val="center"/>
              <w:rPr>
                <w:b/>
                <w:bCs/>
                <w:sz w:val="16"/>
                <w:szCs w:val="16"/>
              </w:rPr>
            </w:pPr>
            <w:r>
              <w:rPr>
                <w:b/>
                <w:bCs/>
                <w:sz w:val="16"/>
                <w:szCs w:val="16"/>
              </w:rPr>
              <w:t>4,3</w:t>
            </w:r>
          </w:p>
        </w:tc>
        <w:tc>
          <w:tcPr>
            <w:tcW w:w="657" w:type="dxa"/>
            <w:noWrap/>
            <w:vAlign w:val="bottom"/>
          </w:tcPr>
          <w:p w:rsidR="00000000" w:rsidRDefault="00000000">
            <w:pPr>
              <w:spacing w:beforeLines="40" w:before="96" w:afterLines="40" w:after="96" w:line="216" w:lineRule="auto"/>
              <w:jc w:val="center"/>
              <w:rPr>
                <w:b/>
                <w:bCs/>
                <w:sz w:val="16"/>
                <w:szCs w:val="16"/>
              </w:rPr>
            </w:pPr>
            <w:r>
              <w:rPr>
                <w:b/>
                <w:bCs/>
                <w:sz w:val="16"/>
                <w:szCs w:val="16"/>
              </w:rPr>
              <w:t>4,3</w:t>
            </w:r>
          </w:p>
        </w:tc>
        <w:tc>
          <w:tcPr>
            <w:tcW w:w="656" w:type="dxa"/>
            <w:noWrap/>
            <w:vAlign w:val="bottom"/>
          </w:tcPr>
          <w:p w:rsidR="00000000" w:rsidRDefault="00000000">
            <w:pPr>
              <w:spacing w:beforeLines="40" w:before="96" w:afterLines="40" w:after="96" w:line="216" w:lineRule="auto"/>
              <w:jc w:val="center"/>
              <w:rPr>
                <w:b/>
                <w:bCs/>
                <w:sz w:val="16"/>
                <w:szCs w:val="16"/>
              </w:rPr>
            </w:pPr>
            <w:r>
              <w:rPr>
                <w:b/>
                <w:bCs/>
                <w:sz w:val="16"/>
                <w:szCs w:val="16"/>
              </w:rPr>
              <w:t>4,3</w:t>
            </w:r>
          </w:p>
        </w:tc>
        <w:tc>
          <w:tcPr>
            <w:tcW w:w="657" w:type="dxa"/>
            <w:noWrap/>
            <w:vAlign w:val="bottom"/>
          </w:tcPr>
          <w:p w:rsidR="00000000" w:rsidRDefault="00000000">
            <w:pPr>
              <w:spacing w:beforeLines="40" w:before="96" w:afterLines="40" w:after="96" w:line="216" w:lineRule="auto"/>
              <w:jc w:val="center"/>
              <w:rPr>
                <w:b/>
                <w:bCs/>
                <w:sz w:val="16"/>
                <w:szCs w:val="16"/>
              </w:rPr>
            </w:pPr>
            <w:r>
              <w:rPr>
                <w:b/>
                <w:bCs/>
                <w:sz w:val="16"/>
                <w:szCs w:val="16"/>
              </w:rPr>
              <w:t>4,4</w:t>
            </w:r>
          </w:p>
        </w:tc>
        <w:tc>
          <w:tcPr>
            <w:tcW w:w="657" w:type="dxa"/>
            <w:noWrap/>
            <w:vAlign w:val="bottom"/>
          </w:tcPr>
          <w:p w:rsidR="00000000" w:rsidRDefault="00000000">
            <w:pPr>
              <w:spacing w:beforeLines="40" w:before="96" w:afterLines="40" w:after="96" w:line="216" w:lineRule="auto"/>
              <w:jc w:val="center"/>
              <w:rPr>
                <w:b/>
                <w:bCs/>
                <w:sz w:val="16"/>
                <w:szCs w:val="16"/>
              </w:rPr>
            </w:pPr>
            <w:r>
              <w:rPr>
                <w:b/>
                <w:bCs/>
                <w:sz w:val="16"/>
                <w:szCs w:val="16"/>
              </w:rPr>
              <w:t>4,5</w:t>
            </w:r>
          </w:p>
        </w:tc>
        <w:tc>
          <w:tcPr>
            <w:tcW w:w="656" w:type="dxa"/>
            <w:noWrap/>
            <w:vAlign w:val="bottom"/>
          </w:tcPr>
          <w:p w:rsidR="00000000" w:rsidRDefault="00000000">
            <w:pPr>
              <w:spacing w:beforeLines="40" w:before="96" w:afterLines="40" w:after="96" w:line="216" w:lineRule="auto"/>
              <w:jc w:val="center"/>
              <w:rPr>
                <w:b/>
                <w:bCs/>
                <w:sz w:val="16"/>
                <w:szCs w:val="16"/>
              </w:rPr>
            </w:pPr>
            <w:r>
              <w:rPr>
                <w:b/>
                <w:bCs/>
                <w:sz w:val="16"/>
                <w:szCs w:val="16"/>
              </w:rPr>
              <w:t>4,5</w:t>
            </w:r>
          </w:p>
        </w:tc>
        <w:tc>
          <w:tcPr>
            <w:tcW w:w="657" w:type="dxa"/>
            <w:noWrap/>
            <w:vAlign w:val="bottom"/>
          </w:tcPr>
          <w:p w:rsidR="00000000" w:rsidRDefault="00000000">
            <w:pPr>
              <w:spacing w:beforeLines="40" w:before="96" w:afterLines="40" w:after="96" w:line="216" w:lineRule="auto"/>
              <w:jc w:val="center"/>
              <w:rPr>
                <w:b/>
                <w:bCs/>
                <w:sz w:val="16"/>
                <w:szCs w:val="16"/>
              </w:rPr>
            </w:pPr>
            <w:r>
              <w:rPr>
                <w:b/>
                <w:bCs/>
                <w:sz w:val="16"/>
                <w:szCs w:val="16"/>
              </w:rPr>
              <w:t>4,6</w:t>
            </w:r>
          </w:p>
        </w:tc>
        <w:tc>
          <w:tcPr>
            <w:tcW w:w="657" w:type="dxa"/>
            <w:noWrap/>
            <w:vAlign w:val="bottom"/>
          </w:tcPr>
          <w:p w:rsidR="00000000" w:rsidRDefault="00000000">
            <w:pPr>
              <w:spacing w:beforeLines="40" w:before="96" w:afterLines="40" w:after="96" w:line="216" w:lineRule="auto"/>
              <w:jc w:val="center"/>
              <w:rPr>
                <w:b/>
                <w:bCs/>
                <w:sz w:val="16"/>
                <w:szCs w:val="16"/>
              </w:rPr>
            </w:pPr>
            <w:r>
              <w:rPr>
                <w:b/>
                <w:bCs/>
                <w:sz w:val="16"/>
                <w:szCs w:val="16"/>
              </w:rPr>
              <w:t>4,7</w:t>
            </w:r>
          </w:p>
        </w:tc>
        <w:tc>
          <w:tcPr>
            <w:tcW w:w="657" w:type="dxa"/>
            <w:noWrap/>
            <w:vAlign w:val="bottom"/>
          </w:tcPr>
          <w:p w:rsidR="00000000" w:rsidRDefault="00000000">
            <w:pPr>
              <w:spacing w:beforeLines="40" w:before="96" w:afterLines="40" w:after="96" w:line="216" w:lineRule="auto"/>
              <w:jc w:val="center"/>
              <w:rPr>
                <w:b/>
                <w:bCs/>
                <w:sz w:val="16"/>
                <w:szCs w:val="16"/>
              </w:rPr>
            </w:pPr>
            <w:r>
              <w:rPr>
                <w:b/>
                <w:bCs/>
                <w:sz w:val="16"/>
                <w:szCs w:val="16"/>
              </w:rPr>
              <w:t>4,8</w:t>
            </w:r>
          </w:p>
        </w:tc>
      </w:tr>
      <w:tr w:rsidR="00000000">
        <w:trPr>
          <w:cantSplit/>
        </w:trPr>
        <w:tc>
          <w:tcPr>
            <w:tcW w:w="875" w:type="dxa"/>
            <w:noWrap/>
            <w:vAlign w:val="bottom"/>
          </w:tcPr>
          <w:p w:rsidR="00000000" w:rsidRDefault="00000000">
            <w:pPr>
              <w:spacing w:beforeLines="40" w:before="96" w:afterLines="40" w:after="96"/>
              <w:rPr>
                <w:sz w:val="16"/>
                <w:szCs w:val="16"/>
              </w:rPr>
            </w:pPr>
            <w:r>
              <w:rPr>
                <w:sz w:val="16"/>
                <w:szCs w:val="16"/>
              </w:rPr>
              <w:t>от 65 до 69 лет</w:t>
            </w:r>
          </w:p>
        </w:tc>
        <w:tc>
          <w:tcPr>
            <w:tcW w:w="656" w:type="dxa"/>
            <w:noWrap/>
            <w:vAlign w:val="bottom"/>
          </w:tcPr>
          <w:p w:rsidR="00000000" w:rsidRDefault="00000000">
            <w:pPr>
              <w:spacing w:beforeLines="40" w:before="96" w:afterLines="40" w:after="96"/>
              <w:jc w:val="right"/>
              <w:rPr>
                <w:sz w:val="16"/>
                <w:szCs w:val="16"/>
              </w:rPr>
            </w:pPr>
            <w:r>
              <w:rPr>
                <w:sz w:val="16"/>
                <w:szCs w:val="16"/>
              </w:rPr>
              <w:t>77 507</w:t>
            </w:r>
          </w:p>
        </w:tc>
        <w:tc>
          <w:tcPr>
            <w:tcW w:w="657" w:type="dxa"/>
            <w:noWrap/>
            <w:vAlign w:val="bottom"/>
          </w:tcPr>
          <w:p w:rsidR="00000000" w:rsidRDefault="00000000">
            <w:pPr>
              <w:spacing w:beforeLines="40" w:before="96" w:afterLines="40" w:after="96"/>
              <w:jc w:val="right"/>
              <w:rPr>
                <w:sz w:val="16"/>
                <w:szCs w:val="16"/>
              </w:rPr>
            </w:pPr>
            <w:r>
              <w:rPr>
                <w:sz w:val="16"/>
                <w:szCs w:val="16"/>
              </w:rPr>
              <w:t>79 276</w:t>
            </w:r>
          </w:p>
        </w:tc>
        <w:tc>
          <w:tcPr>
            <w:tcW w:w="657" w:type="dxa"/>
            <w:noWrap/>
            <w:vAlign w:val="bottom"/>
          </w:tcPr>
          <w:p w:rsidR="00000000" w:rsidRDefault="00000000">
            <w:pPr>
              <w:spacing w:beforeLines="40" w:before="96" w:afterLines="40" w:after="96"/>
              <w:jc w:val="right"/>
              <w:rPr>
                <w:sz w:val="16"/>
                <w:szCs w:val="16"/>
              </w:rPr>
            </w:pPr>
            <w:r>
              <w:rPr>
                <w:sz w:val="16"/>
                <w:szCs w:val="16"/>
              </w:rPr>
              <w:t>80 013</w:t>
            </w:r>
          </w:p>
        </w:tc>
        <w:tc>
          <w:tcPr>
            <w:tcW w:w="656" w:type="dxa"/>
            <w:noWrap/>
            <w:vAlign w:val="bottom"/>
          </w:tcPr>
          <w:p w:rsidR="00000000" w:rsidRDefault="00000000">
            <w:pPr>
              <w:spacing w:beforeLines="40" w:before="96" w:afterLines="40" w:after="96"/>
              <w:jc w:val="right"/>
              <w:rPr>
                <w:sz w:val="16"/>
                <w:szCs w:val="16"/>
              </w:rPr>
            </w:pPr>
            <w:r>
              <w:rPr>
                <w:sz w:val="16"/>
                <w:szCs w:val="16"/>
              </w:rPr>
              <w:t>79 906</w:t>
            </w:r>
          </w:p>
        </w:tc>
        <w:tc>
          <w:tcPr>
            <w:tcW w:w="657" w:type="dxa"/>
            <w:noWrap/>
            <w:vAlign w:val="bottom"/>
          </w:tcPr>
          <w:p w:rsidR="00000000" w:rsidRDefault="00000000">
            <w:pPr>
              <w:spacing w:beforeLines="40" w:before="96" w:afterLines="40" w:after="96"/>
              <w:jc w:val="right"/>
              <w:rPr>
                <w:sz w:val="16"/>
                <w:szCs w:val="16"/>
              </w:rPr>
            </w:pPr>
            <w:r>
              <w:rPr>
                <w:sz w:val="16"/>
                <w:szCs w:val="16"/>
              </w:rPr>
              <w:t>79 640</w:t>
            </w:r>
          </w:p>
        </w:tc>
        <w:tc>
          <w:tcPr>
            <w:tcW w:w="657" w:type="dxa"/>
            <w:noWrap/>
            <w:vAlign w:val="bottom"/>
          </w:tcPr>
          <w:p w:rsidR="00000000" w:rsidRDefault="00000000">
            <w:pPr>
              <w:spacing w:beforeLines="40" w:before="96" w:afterLines="40" w:after="96"/>
              <w:jc w:val="right"/>
              <w:rPr>
                <w:sz w:val="16"/>
                <w:szCs w:val="16"/>
              </w:rPr>
            </w:pPr>
            <w:r>
              <w:rPr>
                <w:sz w:val="16"/>
                <w:szCs w:val="16"/>
              </w:rPr>
              <w:t>79 899</w:t>
            </w:r>
          </w:p>
        </w:tc>
        <w:tc>
          <w:tcPr>
            <w:tcW w:w="656" w:type="dxa"/>
            <w:noWrap/>
            <w:vAlign w:val="bottom"/>
          </w:tcPr>
          <w:p w:rsidR="00000000" w:rsidRDefault="00000000">
            <w:pPr>
              <w:spacing w:beforeLines="40" w:before="96" w:afterLines="40" w:after="96"/>
              <w:jc w:val="right"/>
              <w:rPr>
                <w:sz w:val="16"/>
                <w:szCs w:val="16"/>
              </w:rPr>
            </w:pPr>
            <w:r>
              <w:rPr>
                <w:sz w:val="16"/>
                <w:szCs w:val="16"/>
              </w:rPr>
              <w:t>81 368</w:t>
            </w:r>
          </w:p>
        </w:tc>
        <w:tc>
          <w:tcPr>
            <w:tcW w:w="657" w:type="dxa"/>
            <w:noWrap/>
            <w:vAlign w:val="bottom"/>
          </w:tcPr>
          <w:p w:rsidR="00000000" w:rsidRDefault="00000000">
            <w:pPr>
              <w:spacing w:beforeLines="40" w:before="96" w:afterLines="40" w:after="96"/>
              <w:jc w:val="right"/>
              <w:rPr>
                <w:sz w:val="16"/>
                <w:szCs w:val="16"/>
              </w:rPr>
            </w:pPr>
            <w:r>
              <w:rPr>
                <w:sz w:val="16"/>
                <w:szCs w:val="16"/>
              </w:rPr>
              <w:t>84 407</w:t>
            </w:r>
          </w:p>
        </w:tc>
        <w:tc>
          <w:tcPr>
            <w:tcW w:w="657" w:type="dxa"/>
            <w:noWrap/>
            <w:vAlign w:val="bottom"/>
          </w:tcPr>
          <w:p w:rsidR="00000000" w:rsidRDefault="00000000">
            <w:pPr>
              <w:spacing w:beforeLines="40" w:before="96" w:afterLines="40" w:after="96"/>
              <w:jc w:val="right"/>
              <w:rPr>
                <w:sz w:val="16"/>
                <w:szCs w:val="16"/>
              </w:rPr>
            </w:pPr>
            <w:r>
              <w:rPr>
                <w:sz w:val="16"/>
                <w:szCs w:val="16"/>
              </w:rPr>
              <w:t>88 562</w:t>
            </w:r>
          </w:p>
        </w:tc>
        <w:tc>
          <w:tcPr>
            <w:tcW w:w="656" w:type="dxa"/>
            <w:noWrap/>
            <w:vAlign w:val="bottom"/>
          </w:tcPr>
          <w:p w:rsidR="00000000" w:rsidRDefault="00000000">
            <w:pPr>
              <w:spacing w:beforeLines="40" w:before="96" w:afterLines="40" w:after="96"/>
              <w:jc w:val="right"/>
              <w:rPr>
                <w:sz w:val="16"/>
                <w:szCs w:val="16"/>
              </w:rPr>
            </w:pPr>
            <w:r>
              <w:rPr>
                <w:sz w:val="16"/>
                <w:szCs w:val="16"/>
              </w:rPr>
              <w:t>93 288</w:t>
            </w:r>
          </w:p>
        </w:tc>
        <w:tc>
          <w:tcPr>
            <w:tcW w:w="657" w:type="dxa"/>
            <w:noWrap/>
            <w:vAlign w:val="bottom"/>
          </w:tcPr>
          <w:p w:rsidR="00000000" w:rsidRDefault="00000000">
            <w:pPr>
              <w:spacing w:beforeLines="40" w:before="96" w:afterLines="40" w:after="96"/>
              <w:jc w:val="right"/>
              <w:rPr>
                <w:sz w:val="16"/>
                <w:szCs w:val="16"/>
              </w:rPr>
            </w:pPr>
            <w:r>
              <w:rPr>
                <w:sz w:val="16"/>
                <w:szCs w:val="16"/>
              </w:rPr>
              <w:t>98 045</w:t>
            </w:r>
          </w:p>
        </w:tc>
        <w:tc>
          <w:tcPr>
            <w:tcW w:w="657" w:type="dxa"/>
            <w:noWrap/>
            <w:vAlign w:val="bottom"/>
          </w:tcPr>
          <w:p w:rsidR="00000000" w:rsidRDefault="00000000">
            <w:pPr>
              <w:spacing w:beforeLines="40" w:before="96" w:afterLines="40" w:after="96"/>
              <w:jc w:val="right"/>
              <w:rPr>
                <w:sz w:val="16"/>
                <w:szCs w:val="16"/>
              </w:rPr>
            </w:pPr>
            <w:r>
              <w:rPr>
                <w:sz w:val="16"/>
                <w:szCs w:val="16"/>
              </w:rPr>
              <w:t>102 290</w:t>
            </w:r>
          </w:p>
        </w:tc>
        <w:tc>
          <w:tcPr>
            <w:tcW w:w="657" w:type="dxa"/>
            <w:noWrap/>
            <w:vAlign w:val="bottom"/>
          </w:tcPr>
          <w:p w:rsidR="00000000" w:rsidRDefault="00000000">
            <w:pPr>
              <w:spacing w:beforeLines="40" w:before="96" w:afterLines="40" w:after="96"/>
              <w:jc w:val="right"/>
              <w:rPr>
                <w:sz w:val="16"/>
                <w:szCs w:val="16"/>
              </w:rPr>
            </w:pPr>
            <w:r>
              <w:rPr>
                <w:sz w:val="16"/>
                <w:szCs w:val="16"/>
              </w:rPr>
              <w:t>105 775</w:t>
            </w:r>
          </w:p>
        </w:tc>
      </w:tr>
      <w:tr w:rsidR="00000000">
        <w:trPr>
          <w:cantSplit/>
        </w:trPr>
        <w:tc>
          <w:tcPr>
            <w:tcW w:w="875" w:type="dxa"/>
            <w:noWrap/>
            <w:vAlign w:val="bottom"/>
          </w:tcPr>
          <w:p w:rsidR="00000000" w:rsidRDefault="00000000">
            <w:pPr>
              <w:tabs>
                <w:tab w:val="left" w:pos="240"/>
              </w:tabs>
              <w:spacing w:beforeLines="40" w:before="96" w:afterLines="40" w:after="96"/>
              <w:rPr>
                <w:sz w:val="16"/>
                <w:szCs w:val="16"/>
              </w:rPr>
            </w:pPr>
            <w:r>
              <w:rPr>
                <w:sz w:val="16"/>
                <w:szCs w:val="16"/>
              </w:rPr>
              <w:tab/>
              <w:t>65 лет</w:t>
            </w:r>
          </w:p>
        </w:tc>
        <w:tc>
          <w:tcPr>
            <w:tcW w:w="656" w:type="dxa"/>
            <w:noWrap/>
            <w:vAlign w:val="bottom"/>
          </w:tcPr>
          <w:p w:rsidR="00000000" w:rsidRDefault="00000000">
            <w:pPr>
              <w:spacing w:beforeLines="40" w:before="96" w:afterLines="40" w:after="96"/>
              <w:jc w:val="right"/>
              <w:rPr>
                <w:sz w:val="16"/>
                <w:szCs w:val="16"/>
              </w:rPr>
            </w:pPr>
            <w:r>
              <w:rPr>
                <w:sz w:val="16"/>
                <w:szCs w:val="16"/>
              </w:rPr>
              <w:t>16 421</w:t>
            </w:r>
          </w:p>
        </w:tc>
        <w:tc>
          <w:tcPr>
            <w:tcW w:w="657" w:type="dxa"/>
            <w:noWrap/>
            <w:vAlign w:val="bottom"/>
          </w:tcPr>
          <w:p w:rsidR="00000000" w:rsidRDefault="00000000">
            <w:pPr>
              <w:spacing w:beforeLines="40" w:before="96" w:afterLines="40" w:after="96"/>
              <w:jc w:val="right"/>
              <w:rPr>
                <w:sz w:val="16"/>
                <w:szCs w:val="16"/>
              </w:rPr>
            </w:pPr>
            <w:r>
              <w:rPr>
                <w:sz w:val="16"/>
                <w:szCs w:val="16"/>
              </w:rPr>
              <w:t>16 711</w:t>
            </w:r>
          </w:p>
        </w:tc>
        <w:tc>
          <w:tcPr>
            <w:tcW w:w="657" w:type="dxa"/>
            <w:noWrap/>
            <w:vAlign w:val="bottom"/>
          </w:tcPr>
          <w:p w:rsidR="00000000" w:rsidRDefault="00000000">
            <w:pPr>
              <w:spacing w:beforeLines="40" w:before="96" w:afterLines="40" w:after="96"/>
              <w:jc w:val="right"/>
              <w:rPr>
                <w:sz w:val="16"/>
                <w:szCs w:val="16"/>
              </w:rPr>
            </w:pPr>
            <w:r>
              <w:rPr>
                <w:sz w:val="16"/>
                <w:szCs w:val="16"/>
              </w:rPr>
              <w:t>16 997</w:t>
            </w:r>
          </w:p>
        </w:tc>
        <w:tc>
          <w:tcPr>
            <w:tcW w:w="656" w:type="dxa"/>
            <w:noWrap/>
            <w:vAlign w:val="bottom"/>
          </w:tcPr>
          <w:p w:rsidR="00000000" w:rsidRDefault="00000000">
            <w:pPr>
              <w:spacing w:beforeLines="40" w:before="96" w:afterLines="40" w:after="96"/>
              <w:jc w:val="right"/>
              <w:rPr>
                <w:sz w:val="16"/>
                <w:szCs w:val="16"/>
              </w:rPr>
            </w:pPr>
            <w:r>
              <w:rPr>
                <w:sz w:val="16"/>
                <w:szCs w:val="16"/>
              </w:rPr>
              <w:t>17 258</w:t>
            </w:r>
          </w:p>
        </w:tc>
        <w:tc>
          <w:tcPr>
            <w:tcW w:w="657" w:type="dxa"/>
            <w:noWrap/>
            <w:vAlign w:val="bottom"/>
          </w:tcPr>
          <w:p w:rsidR="00000000" w:rsidRDefault="00000000">
            <w:pPr>
              <w:spacing w:beforeLines="40" w:before="96" w:afterLines="40" w:after="96"/>
              <w:jc w:val="right"/>
              <w:rPr>
                <w:sz w:val="16"/>
                <w:szCs w:val="16"/>
              </w:rPr>
            </w:pPr>
            <w:r>
              <w:rPr>
                <w:sz w:val="16"/>
                <w:szCs w:val="16"/>
              </w:rPr>
              <w:t>17 549</w:t>
            </w:r>
          </w:p>
        </w:tc>
        <w:tc>
          <w:tcPr>
            <w:tcW w:w="657" w:type="dxa"/>
            <w:noWrap/>
            <w:vAlign w:val="bottom"/>
          </w:tcPr>
          <w:p w:rsidR="00000000" w:rsidRDefault="00000000">
            <w:pPr>
              <w:spacing w:beforeLines="40" w:before="96" w:afterLines="40" w:after="96"/>
              <w:jc w:val="right"/>
              <w:rPr>
                <w:sz w:val="16"/>
                <w:szCs w:val="16"/>
              </w:rPr>
            </w:pPr>
            <w:r>
              <w:rPr>
                <w:sz w:val="16"/>
                <w:szCs w:val="16"/>
              </w:rPr>
              <w:t>17 923</w:t>
            </w:r>
          </w:p>
        </w:tc>
        <w:tc>
          <w:tcPr>
            <w:tcW w:w="656" w:type="dxa"/>
            <w:noWrap/>
            <w:vAlign w:val="bottom"/>
          </w:tcPr>
          <w:p w:rsidR="00000000" w:rsidRDefault="00000000">
            <w:pPr>
              <w:spacing w:beforeLines="40" w:before="96" w:afterLines="40" w:after="96"/>
              <w:jc w:val="right"/>
              <w:rPr>
                <w:sz w:val="16"/>
                <w:szCs w:val="16"/>
              </w:rPr>
            </w:pPr>
            <w:r>
              <w:rPr>
                <w:sz w:val="16"/>
                <w:szCs w:val="16"/>
              </w:rPr>
              <w:t>18 433</w:t>
            </w:r>
          </w:p>
        </w:tc>
        <w:tc>
          <w:tcPr>
            <w:tcW w:w="657" w:type="dxa"/>
            <w:noWrap/>
            <w:vAlign w:val="bottom"/>
          </w:tcPr>
          <w:p w:rsidR="00000000" w:rsidRDefault="00000000">
            <w:pPr>
              <w:spacing w:beforeLines="40" w:before="96" w:afterLines="40" w:after="96"/>
              <w:jc w:val="right"/>
              <w:rPr>
                <w:sz w:val="16"/>
                <w:szCs w:val="16"/>
              </w:rPr>
            </w:pPr>
            <w:r>
              <w:rPr>
                <w:sz w:val="16"/>
                <w:szCs w:val="16"/>
              </w:rPr>
              <w:t>19 119</w:t>
            </w:r>
          </w:p>
        </w:tc>
        <w:tc>
          <w:tcPr>
            <w:tcW w:w="657" w:type="dxa"/>
            <w:noWrap/>
            <w:vAlign w:val="bottom"/>
          </w:tcPr>
          <w:p w:rsidR="00000000" w:rsidRDefault="00000000">
            <w:pPr>
              <w:spacing w:beforeLines="40" w:before="96" w:afterLines="40" w:after="96"/>
              <w:jc w:val="right"/>
              <w:rPr>
                <w:sz w:val="16"/>
                <w:szCs w:val="16"/>
              </w:rPr>
            </w:pPr>
            <w:r>
              <w:rPr>
                <w:sz w:val="16"/>
                <w:szCs w:val="16"/>
              </w:rPr>
              <w:t>19 947</w:t>
            </w:r>
          </w:p>
        </w:tc>
        <w:tc>
          <w:tcPr>
            <w:tcW w:w="656" w:type="dxa"/>
            <w:noWrap/>
            <w:vAlign w:val="bottom"/>
          </w:tcPr>
          <w:p w:rsidR="00000000" w:rsidRDefault="00000000">
            <w:pPr>
              <w:spacing w:beforeLines="40" w:before="96" w:afterLines="40" w:after="96"/>
              <w:jc w:val="right"/>
              <w:rPr>
                <w:sz w:val="16"/>
                <w:szCs w:val="16"/>
              </w:rPr>
            </w:pPr>
            <w:r>
              <w:rPr>
                <w:sz w:val="16"/>
                <w:szCs w:val="16"/>
              </w:rPr>
              <w:t>20 855</w:t>
            </w:r>
          </w:p>
        </w:tc>
        <w:tc>
          <w:tcPr>
            <w:tcW w:w="657" w:type="dxa"/>
            <w:noWrap/>
            <w:vAlign w:val="bottom"/>
          </w:tcPr>
          <w:p w:rsidR="00000000" w:rsidRDefault="00000000">
            <w:pPr>
              <w:spacing w:beforeLines="40" w:before="96" w:afterLines="40" w:after="96"/>
              <w:jc w:val="right"/>
              <w:rPr>
                <w:sz w:val="16"/>
                <w:szCs w:val="16"/>
              </w:rPr>
            </w:pPr>
            <w:r>
              <w:rPr>
                <w:sz w:val="16"/>
                <w:szCs w:val="16"/>
              </w:rPr>
              <w:t>21 781</w:t>
            </w:r>
          </w:p>
        </w:tc>
        <w:tc>
          <w:tcPr>
            <w:tcW w:w="657" w:type="dxa"/>
            <w:noWrap/>
            <w:vAlign w:val="bottom"/>
          </w:tcPr>
          <w:p w:rsidR="00000000" w:rsidRDefault="00000000">
            <w:pPr>
              <w:spacing w:beforeLines="40" w:before="96" w:afterLines="40" w:after="96"/>
              <w:jc w:val="right"/>
              <w:rPr>
                <w:sz w:val="16"/>
                <w:szCs w:val="16"/>
              </w:rPr>
            </w:pPr>
            <w:r>
              <w:rPr>
                <w:sz w:val="16"/>
                <w:szCs w:val="16"/>
              </w:rPr>
              <w:t>22 664</w:t>
            </w:r>
          </w:p>
        </w:tc>
        <w:tc>
          <w:tcPr>
            <w:tcW w:w="657" w:type="dxa"/>
            <w:noWrap/>
            <w:vAlign w:val="bottom"/>
          </w:tcPr>
          <w:p w:rsidR="00000000" w:rsidRDefault="00000000">
            <w:pPr>
              <w:spacing w:beforeLines="40" w:before="96" w:afterLines="40" w:after="96"/>
              <w:jc w:val="right"/>
              <w:rPr>
                <w:sz w:val="16"/>
                <w:szCs w:val="16"/>
              </w:rPr>
            </w:pPr>
            <w:r>
              <w:rPr>
                <w:sz w:val="16"/>
                <w:szCs w:val="16"/>
              </w:rPr>
              <w:t>23 453</w:t>
            </w:r>
          </w:p>
        </w:tc>
      </w:tr>
      <w:tr w:rsidR="00000000">
        <w:trPr>
          <w:cantSplit/>
        </w:trPr>
        <w:tc>
          <w:tcPr>
            <w:tcW w:w="875" w:type="dxa"/>
            <w:noWrap/>
            <w:vAlign w:val="bottom"/>
          </w:tcPr>
          <w:p w:rsidR="00000000" w:rsidRDefault="00000000">
            <w:pPr>
              <w:tabs>
                <w:tab w:val="left" w:pos="240"/>
              </w:tabs>
              <w:spacing w:beforeLines="40" w:before="96" w:afterLines="40" w:after="96"/>
              <w:rPr>
                <w:sz w:val="16"/>
                <w:szCs w:val="16"/>
              </w:rPr>
            </w:pPr>
            <w:r>
              <w:rPr>
                <w:sz w:val="16"/>
                <w:szCs w:val="16"/>
              </w:rPr>
              <w:tab/>
              <w:t>66 лет</w:t>
            </w:r>
          </w:p>
        </w:tc>
        <w:tc>
          <w:tcPr>
            <w:tcW w:w="656" w:type="dxa"/>
            <w:noWrap/>
            <w:vAlign w:val="bottom"/>
          </w:tcPr>
          <w:p w:rsidR="00000000" w:rsidRDefault="00000000">
            <w:pPr>
              <w:spacing w:beforeLines="40" w:before="96" w:afterLines="40" w:after="96"/>
              <w:jc w:val="right"/>
              <w:rPr>
                <w:sz w:val="16"/>
                <w:szCs w:val="16"/>
              </w:rPr>
            </w:pPr>
            <w:r>
              <w:rPr>
                <w:sz w:val="16"/>
                <w:szCs w:val="16"/>
              </w:rPr>
              <w:t>16 256</w:t>
            </w:r>
          </w:p>
        </w:tc>
        <w:tc>
          <w:tcPr>
            <w:tcW w:w="657" w:type="dxa"/>
            <w:noWrap/>
            <w:vAlign w:val="bottom"/>
          </w:tcPr>
          <w:p w:rsidR="00000000" w:rsidRDefault="00000000">
            <w:pPr>
              <w:spacing w:beforeLines="40" w:before="96" w:afterLines="40" w:after="96"/>
              <w:jc w:val="right"/>
              <w:rPr>
                <w:sz w:val="16"/>
                <w:szCs w:val="16"/>
              </w:rPr>
            </w:pPr>
            <w:r>
              <w:rPr>
                <w:sz w:val="16"/>
                <w:szCs w:val="16"/>
              </w:rPr>
              <w:t>16 595</w:t>
            </w:r>
          </w:p>
        </w:tc>
        <w:tc>
          <w:tcPr>
            <w:tcW w:w="657" w:type="dxa"/>
            <w:noWrap/>
            <w:vAlign w:val="bottom"/>
          </w:tcPr>
          <w:p w:rsidR="00000000" w:rsidRDefault="00000000">
            <w:pPr>
              <w:spacing w:beforeLines="40" w:before="96" w:afterLines="40" w:after="96"/>
              <w:jc w:val="right"/>
              <w:rPr>
                <w:sz w:val="16"/>
                <w:szCs w:val="16"/>
              </w:rPr>
            </w:pPr>
            <w:r>
              <w:rPr>
                <w:sz w:val="16"/>
                <w:szCs w:val="16"/>
              </w:rPr>
              <w:t>16 719</w:t>
            </w:r>
          </w:p>
        </w:tc>
        <w:tc>
          <w:tcPr>
            <w:tcW w:w="656" w:type="dxa"/>
            <w:noWrap/>
            <w:vAlign w:val="bottom"/>
          </w:tcPr>
          <w:p w:rsidR="00000000" w:rsidRDefault="00000000">
            <w:pPr>
              <w:spacing w:beforeLines="40" w:before="96" w:afterLines="40" w:after="96"/>
              <w:jc w:val="right"/>
              <w:rPr>
                <w:sz w:val="16"/>
                <w:szCs w:val="16"/>
              </w:rPr>
            </w:pPr>
            <w:r>
              <w:rPr>
                <w:sz w:val="16"/>
                <w:szCs w:val="16"/>
              </w:rPr>
              <w:t>16 664</w:t>
            </w:r>
          </w:p>
        </w:tc>
        <w:tc>
          <w:tcPr>
            <w:tcW w:w="657" w:type="dxa"/>
            <w:noWrap/>
            <w:vAlign w:val="bottom"/>
          </w:tcPr>
          <w:p w:rsidR="00000000" w:rsidRDefault="00000000">
            <w:pPr>
              <w:spacing w:beforeLines="40" w:before="96" w:afterLines="40" w:after="96"/>
              <w:jc w:val="right"/>
              <w:rPr>
                <w:sz w:val="16"/>
                <w:szCs w:val="16"/>
              </w:rPr>
            </w:pPr>
            <w:r>
              <w:rPr>
                <w:sz w:val="16"/>
                <w:szCs w:val="16"/>
              </w:rPr>
              <w:t>16 582</w:t>
            </w:r>
          </w:p>
        </w:tc>
        <w:tc>
          <w:tcPr>
            <w:tcW w:w="657" w:type="dxa"/>
            <w:noWrap/>
            <w:vAlign w:val="bottom"/>
          </w:tcPr>
          <w:p w:rsidR="00000000" w:rsidRDefault="00000000">
            <w:pPr>
              <w:spacing w:beforeLines="40" w:before="96" w:afterLines="40" w:after="96"/>
              <w:jc w:val="right"/>
              <w:rPr>
                <w:sz w:val="16"/>
                <w:szCs w:val="16"/>
              </w:rPr>
            </w:pPr>
            <w:r>
              <w:rPr>
                <w:sz w:val="16"/>
                <w:szCs w:val="16"/>
              </w:rPr>
              <w:t>16 628</w:t>
            </w:r>
          </w:p>
        </w:tc>
        <w:tc>
          <w:tcPr>
            <w:tcW w:w="656" w:type="dxa"/>
            <w:noWrap/>
            <w:vAlign w:val="bottom"/>
          </w:tcPr>
          <w:p w:rsidR="00000000" w:rsidRDefault="00000000">
            <w:pPr>
              <w:spacing w:beforeLines="40" w:before="96" w:afterLines="40" w:after="96"/>
              <w:jc w:val="right"/>
              <w:rPr>
                <w:sz w:val="16"/>
                <w:szCs w:val="16"/>
              </w:rPr>
            </w:pPr>
            <w:r>
              <w:rPr>
                <w:sz w:val="16"/>
                <w:szCs w:val="16"/>
              </w:rPr>
              <w:t>16 954</w:t>
            </w:r>
          </w:p>
        </w:tc>
        <w:tc>
          <w:tcPr>
            <w:tcW w:w="657" w:type="dxa"/>
            <w:noWrap/>
            <w:vAlign w:val="bottom"/>
          </w:tcPr>
          <w:p w:rsidR="00000000" w:rsidRDefault="00000000">
            <w:pPr>
              <w:spacing w:beforeLines="40" w:before="96" w:afterLines="40" w:after="96"/>
              <w:jc w:val="right"/>
              <w:rPr>
                <w:sz w:val="16"/>
                <w:szCs w:val="16"/>
              </w:rPr>
            </w:pPr>
            <w:r>
              <w:rPr>
                <w:sz w:val="16"/>
                <w:szCs w:val="16"/>
              </w:rPr>
              <w:t>17 654</w:t>
            </w:r>
          </w:p>
        </w:tc>
        <w:tc>
          <w:tcPr>
            <w:tcW w:w="657" w:type="dxa"/>
            <w:noWrap/>
            <w:vAlign w:val="bottom"/>
          </w:tcPr>
          <w:p w:rsidR="00000000" w:rsidRDefault="00000000">
            <w:pPr>
              <w:spacing w:beforeLines="40" w:before="96" w:afterLines="40" w:after="96"/>
              <w:jc w:val="right"/>
              <w:rPr>
                <w:sz w:val="16"/>
                <w:szCs w:val="16"/>
              </w:rPr>
            </w:pPr>
            <w:r>
              <w:rPr>
                <w:sz w:val="16"/>
                <w:szCs w:val="16"/>
              </w:rPr>
              <w:t>18 626</w:t>
            </w:r>
          </w:p>
        </w:tc>
        <w:tc>
          <w:tcPr>
            <w:tcW w:w="656" w:type="dxa"/>
            <w:noWrap/>
            <w:vAlign w:val="bottom"/>
          </w:tcPr>
          <w:p w:rsidR="00000000" w:rsidRDefault="00000000">
            <w:pPr>
              <w:spacing w:beforeLines="40" w:before="96" w:afterLines="40" w:after="96"/>
              <w:jc w:val="right"/>
              <w:rPr>
                <w:sz w:val="16"/>
                <w:szCs w:val="16"/>
              </w:rPr>
            </w:pPr>
            <w:r>
              <w:rPr>
                <w:sz w:val="16"/>
                <w:szCs w:val="16"/>
              </w:rPr>
              <w:t>19 729</w:t>
            </w:r>
          </w:p>
        </w:tc>
        <w:tc>
          <w:tcPr>
            <w:tcW w:w="657" w:type="dxa"/>
            <w:noWrap/>
            <w:vAlign w:val="bottom"/>
          </w:tcPr>
          <w:p w:rsidR="00000000" w:rsidRDefault="00000000">
            <w:pPr>
              <w:spacing w:beforeLines="40" w:before="96" w:afterLines="40" w:after="96"/>
              <w:jc w:val="right"/>
              <w:rPr>
                <w:sz w:val="16"/>
                <w:szCs w:val="16"/>
              </w:rPr>
            </w:pPr>
            <w:r>
              <w:rPr>
                <w:sz w:val="16"/>
                <w:szCs w:val="16"/>
              </w:rPr>
              <w:t>20 823</w:t>
            </w:r>
          </w:p>
        </w:tc>
        <w:tc>
          <w:tcPr>
            <w:tcW w:w="657" w:type="dxa"/>
            <w:noWrap/>
            <w:vAlign w:val="bottom"/>
          </w:tcPr>
          <w:p w:rsidR="00000000" w:rsidRDefault="00000000">
            <w:pPr>
              <w:spacing w:beforeLines="40" w:before="96" w:afterLines="40" w:after="96"/>
              <w:jc w:val="right"/>
              <w:rPr>
                <w:sz w:val="16"/>
                <w:szCs w:val="16"/>
              </w:rPr>
            </w:pPr>
            <w:r>
              <w:rPr>
                <w:sz w:val="16"/>
                <w:szCs w:val="16"/>
              </w:rPr>
              <w:t>21 768</w:t>
            </w:r>
          </w:p>
        </w:tc>
        <w:tc>
          <w:tcPr>
            <w:tcW w:w="657" w:type="dxa"/>
            <w:noWrap/>
            <w:vAlign w:val="bottom"/>
          </w:tcPr>
          <w:p w:rsidR="00000000" w:rsidRDefault="00000000">
            <w:pPr>
              <w:spacing w:beforeLines="40" w:before="96" w:afterLines="40" w:after="96"/>
              <w:jc w:val="right"/>
              <w:rPr>
                <w:sz w:val="16"/>
                <w:szCs w:val="16"/>
              </w:rPr>
            </w:pPr>
            <w:r>
              <w:rPr>
                <w:sz w:val="16"/>
                <w:szCs w:val="16"/>
              </w:rPr>
              <w:t>22 494</w:t>
            </w:r>
          </w:p>
        </w:tc>
      </w:tr>
      <w:tr w:rsidR="00000000">
        <w:trPr>
          <w:cantSplit/>
        </w:trPr>
        <w:tc>
          <w:tcPr>
            <w:tcW w:w="875" w:type="dxa"/>
            <w:noWrap/>
            <w:vAlign w:val="bottom"/>
          </w:tcPr>
          <w:p w:rsidR="00000000" w:rsidRDefault="00000000">
            <w:pPr>
              <w:tabs>
                <w:tab w:val="left" w:pos="240"/>
              </w:tabs>
              <w:spacing w:beforeLines="40" w:before="96" w:afterLines="40" w:after="96"/>
              <w:rPr>
                <w:sz w:val="16"/>
                <w:szCs w:val="16"/>
              </w:rPr>
            </w:pPr>
            <w:r>
              <w:rPr>
                <w:sz w:val="16"/>
                <w:szCs w:val="16"/>
              </w:rPr>
              <w:tab/>
              <w:t>67 лет</w:t>
            </w:r>
          </w:p>
        </w:tc>
        <w:tc>
          <w:tcPr>
            <w:tcW w:w="656" w:type="dxa"/>
            <w:noWrap/>
            <w:vAlign w:val="bottom"/>
          </w:tcPr>
          <w:p w:rsidR="00000000" w:rsidRDefault="00000000">
            <w:pPr>
              <w:spacing w:beforeLines="40" w:before="96" w:afterLines="40" w:after="96"/>
              <w:jc w:val="right"/>
              <w:rPr>
                <w:sz w:val="16"/>
                <w:szCs w:val="16"/>
              </w:rPr>
            </w:pPr>
            <w:r>
              <w:rPr>
                <w:sz w:val="16"/>
                <w:szCs w:val="16"/>
              </w:rPr>
              <w:t>15 850</w:t>
            </w:r>
          </w:p>
        </w:tc>
        <w:tc>
          <w:tcPr>
            <w:tcW w:w="657" w:type="dxa"/>
            <w:noWrap/>
            <w:vAlign w:val="bottom"/>
          </w:tcPr>
          <w:p w:rsidR="00000000" w:rsidRDefault="00000000">
            <w:pPr>
              <w:spacing w:beforeLines="40" w:before="96" w:afterLines="40" w:after="96"/>
              <w:jc w:val="right"/>
              <w:rPr>
                <w:sz w:val="16"/>
                <w:szCs w:val="16"/>
              </w:rPr>
            </w:pPr>
            <w:r>
              <w:rPr>
                <w:sz w:val="16"/>
                <w:szCs w:val="16"/>
              </w:rPr>
              <w:t>16 226</w:t>
            </w:r>
          </w:p>
        </w:tc>
        <w:tc>
          <w:tcPr>
            <w:tcW w:w="657" w:type="dxa"/>
            <w:noWrap/>
            <w:vAlign w:val="bottom"/>
          </w:tcPr>
          <w:p w:rsidR="00000000" w:rsidRDefault="00000000">
            <w:pPr>
              <w:spacing w:beforeLines="40" w:before="96" w:afterLines="40" w:after="96"/>
              <w:jc w:val="right"/>
              <w:rPr>
                <w:sz w:val="16"/>
                <w:szCs w:val="16"/>
              </w:rPr>
            </w:pPr>
            <w:r>
              <w:rPr>
                <w:sz w:val="16"/>
                <w:szCs w:val="16"/>
              </w:rPr>
              <w:t>16 267</w:t>
            </w:r>
          </w:p>
        </w:tc>
        <w:tc>
          <w:tcPr>
            <w:tcW w:w="656" w:type="dxa"/>
            <w:noWrap/>
            <w:vAlign w:val="bottom"/>
          </w:tcPr>
          <w:p w:rsidR="00000000" w:rsidRDefault="00000000">
            <w:pPr>
              <w:spacing w:beforeLines="40" w:before="96" w:afterLines="40" w:after="96"/>
              <w:jc w:val="right"/>
              <w:rPr>
                <w:sz w:val="16"/>
                <w:szCs w:val="16"/>
              </w:rPr>
            </w:pPr>
            <w:r>
              <w:rPr>
                <w:sz w:val="16"/>
                <w:szCs w:val="16"/>
              </w:rPr>
              <w:t>16 042</w:t>
            </w:r>
          </w:p>
        </w:tc>
        <w:tc>
          <w:tcPr>
            <w:tcW w:w="657" w:type="dxa"/>
            <w:noWrap/>
            <w:vAlign w:val="bottom"/>
          </w:tcPr>
          <w:p w:rsidR="00000000" w:rsidRDefault="00000000">
            <w:pPr>
              <w:spacing w:beforeLines="40" w:before="96" w:afterLines="40" w:after="96"/>
              <w:jc w:val="right"/>
              <w:rPr>
                <w:sz w:val="16"/>
                <w:szCs w:val="16"/>
              </w:rPr>
            </w:pPr>
            <w:r>
              <w:rPr>
                <w:sz w:val="16"/>
                <w:szCs w:val="16"/>
              </w:rPr>
              <w:t>15 756</w:t>
            </w:r>
          </w:p>
        </w:tc>
        <w:tc>
          <w:tcPr>
            <w:tcW w:w="657" w:type="dxa"/>
            <w:noWrap/>
            <w:vAlign w:val="bottom"/>
          </w:tcPr>
          <w:p w:rsidR="00000000" w:rsidRDefault="00000000">
            <w:pPr>
              <w:spacing w:beforeLines="40" w:before="96" w:afterLines="40" w:after="96"/>
              <w:jc w:val="right"/>
              <w:rPr>
                <w:sz w:val="16"/>
                <w:szCs w:val="16"/>
              </w:rPr>
            </w:pPr>
            <w:r>
              <w:rPr>
                <w:sz w:val="16"/>
                <w:szCs w:val="16"/>
              </w:rPr>
              <w:t>15 613</w:t>
            </w:r>
          </w:p>
        </w:tc>
        <w:tc>
          <w:tcPr>
            <w:tcW w:w="656" w:type="dxa"/>
            <w:noWrap/>
            <w:vAlign w:val="bottom"/>
          </w:tcPr>
          <w:p w:rsidR="00000000" w:rsidRDefault="00000000">
            <w:pPr>
              <w:spacing w:beforeLines="40" w:before="96" w:afterLines="40" w:after="96"/>
              <w:jc w:val="right"/>
              <w:rPr>
                <w:sz w:val="16"/>
                <w:szCs w:val="16"/>
              </w:rPr>
            </w:pPr>
            <w:r>
              <w:rPr>
                <w:sz w:val="16"/>
                <w:szCs w:val="16"/>
              </w:rPr>
              <w:t>15 818</w:t>
            </w:r>
          </w:p>
        </w:tc>
        <w:tc>
          <w:tcPr>
            <w:tcW w:w="657" w:type="dxa"/>
            <w:noWrap/>
            <w:vAlign w:val="bottom"/>
          </w:tcPr>
          <w:p w:rsidR="00000000" w:rsidRDefault="00000000">
            <w:pPr>
              <w:spacing w:beforeLines="40" w:before="96" w:afterLines="40" w:after="96"/>
              <w:jc w:val="right"/>
              <w:rPr>
                <w:sz w:val="16"/>
                <w:szCs w:val="16"/>
              </w:rPr>
            </w:pPr>
            <w:r>
              <w:rPr>
                <w:sz w:val="16"/>
                <w:szCs w:val="16"/>
              </w:rPr>
              <w:t>16 487</w:t>
            </w:r>
          </w:p>
        </w:tc>
        <w:tc>
          <w:tcPr>
            <w:tcW w:w="657" w:type="dxa"/>
            <w:noWrap/>
            <w:vAlign w:val="bottom"/>
          </w:tcPr>
          <w:p w:rsidR="00000000" w:rsidRDefault="00000000">
            <w:pPr>
              <w:spacing w:beforeLines="40" w:before="96" w:afterLines="40" w:after="96"/>
              <w:jc w:val="right"/>
              <w:rPr>
                <w:sz w:val="16"/>
                <w:szCs w:val="16"/>
              </w:rPr>
            </w:pPr>
            <w:r>
              <w:rPr>
                <w:sz w:val="16"/>
                <w:szCs w:val="16"/>
              </w:rPr>
              <w:t>17 482</w:t>
            </w:r>
          </w:p>
        </w:tc>
        <w:tc>
          <w:tcPr>
            <w:tcW w:w="656" w:type="dxa"/>
            <w:noWrap/>
            <w:vAlign w:val="bottom"/>
          </w:tcPr>
          <w:p w:rsidR="00000000" w:rsidRDefault="00000000">
            <w:pPr>
              <w:spacing w:beforeLines="40" w:before="96" w:afterLines="40" w:after="96"/>
              <w:jc w:val="right"/>
              <w:rPr>
                <w:sz w:val="16"/>
                <w:szCs w:val="16"/>
              </w:rPr>
            </w:pPr>
            <w:r>
              <w:rPr>
                <w:sz w:val="16"/>
                <w:szCs w:val="16"/>
              </w:rPr>
              <w:t>18 632</w:t>
            </w:r>
          </w:p>
        </w:tc>
        <w:tc>
          <w:tcPr>
            <w:tcW w:w="657" w:type="dxa"/>
            <w:noWrap/>
            <w:vAlign w:val="bottom"/>
          </w:tcPr>
          <w:p w:rsidR="00000000" w:rsidRDefault="00000000">
            <w:pPr>
              <w:spacing w:beforeLines="40" w:before="96" w:afterLines="40" w:after="96"/>
              <w:jc w:val="right"/>
              <w:rPr>
                <w:sz w:val="16"/>
                <w:szCs w:val="16"/>
              </w:rPr>
            </w:pPr>
            <w:r>
              <w:rPr>
                <w:sz w:val="16"/>
                <w:szCs w:val="16"/>
              </w:rPr>
              <w:t>19 764</w:t>
            </w:r>
          </w:p>
        </w:tc>
        <w:tc>
          <w:tcPr>
            <w:tcW w:w="657" w:type="dxa"/>
            <w:noWrap/>
            <w:vAlign w:val="bottom"/>
          </w:tcPr>
          <w:p w:rsidR="00000000" w:rsidRDefault="00000000">
            <w:pPr>
              <w:spacing w:beforeLines="40" w:before="96" w:afterLines="40" w:after="96"/>
              <w:jc w:val="right"/>
              <w:rPr>
                <w:sz w:val="16"/>
                <w:szCs w:val="16"/>
              </w:rPr>
            </w:pPr>
            <w:r>
              <w:rPr>
                <w:sz w:val="16"/>
                <w:szCs w:val="16"/>
              </w:rPr>
              <w:t>20 705</w:t>
            </w:r>
          </w:p>
        </w:tc>
        <w:tc>
          <w:tcPr>
            <w:tcW w:w="657" w:type="dxa"/>
            <w:noWrap/>
            <w:vAlign w:val="bottom"/>
          </w:tcPr>
          <w:p w:rsidR="00000000" w:rsidRDefault="00000000">
            <w:pPr>
              <w:spacing w:beforeLines="40" w:before="96" w:afterLines="40" w:after="96"/>
              <w:jc w:val="right"/>
              <w:rPr>
                <w:sz w:val="16"/>
                <w:szCs w:val="16"/>
              </w:rPr>
            </w:pPr>
            <w:r>
              <w:rPr>
                <w:sz w:val="16"/>
                <w:szCs w:val="16"/>
              </w:rPr>
              <w:t>21 384</w:t>
            </w:r>
          </w:p>
        </w:tc>
      </w:tr>
      <w:tr w:rsidR="00000000">
        <w:trPr>
          <w:cantSplit/>
        </w:trPr>
        <w:tc>
          <w:tcPr>
            <w:tcW w:w="875" w:type="dxa"/>
            <w:noWrap/>
            <w:vAlign w:val="bottom"/>
          </w:tcPr>
          <w:p w:rsidR="00000000" w:rsidRDefault="00000000">
            <w:pPr>
              <w:tabs>
                <w:tab w:val="left" w:pos="240"/>
              </w:tabs>
              <w:spacing w:beforeLines="40" w:before="96" w:afterLines="40" w:after="96"/>
              <w:rPr>
                <w:sz w:val="16"/>
                <w:szCs w:val="16"/>
              </w:rPr>
            </w:pPr>
            <w:r>
              <w:rPr>
                <w:sz w:val="16"/>
                <w:szCs w:val="16"/>
              </w:rPr>
              <w:tab/>
              <w:t>68 лет</w:t>
            </w:r>
          </w:p>
        </w:tc>
        <w:tc>
          <w:tcPr>
            <w:tcW w:w="656" w:type="dxa"/>
            <w:noWrap/>
            <w:vAlign w:val="bottom"/>
          </w:tcPr>
          <w:p w:rsidR="00000000" w:rsidRDefault="00000000">
            <w:pPr>
              <w:spacing w:beforeLines="40" w:before="96" w:afterLines="40" w:after="96"/>
              <w:jc w:val="right"/>
              <w:rPr>
                <w:sz w:val="16"/>
                <w:szCs w:val="16"/>
              </w:rPr>
            </w:pPr>
            <w:r>
              <w:rPr>
                <w:sz w:val="16"/>
                <w:szCs w:val="16"/>
              </w:rPr>
              <w:t>15 030</w:t>
            </w:r>
          </w:p>
        </w:tc>
        <w:tc>
          <w:tcPr>
            <w:tcW w:w="657" w:type="dxa"/>
            <w:noWrap/>
            <w:vAlign w:val="bottom"/>
          </w:tcPr>
          <w:p w:rsidR="00000000" w:rsidRDefault="00000000">
            <w:pPr>
              <w:spacing w:beforeLines="40" w:before="96" w:afterLines="40" w:after="96"/>
              <w:jc w:val="right"/>
              <w:rPr>
                <w:sz w:val="16"/>
                <w:szCs w:val="16"/>
              </w:rPr>
            </w:pPr>
            <w:r>
              <w:rPr>
                <w:sz w:val="16"/>
                <w:szCs w:val="16"/>
              </w:rPr>
              <w:t>15 416</w:t>
            </w:r>
          </w:p>
        </w:tc>
        <w:tc>
          <w:tcPr>
            <w:tcW w:w="657" w:type="dxa"/>
            <w:noWrap/>
            <w:vAlign w:val="bottom"/>
          </w:tcPr>
          <w:p w:rsidR="00000000" w:rsidRDefault="00000000">
            <w:pPr>
              <w:spacing w:beforeLines="40" w:before="96" w:afterLines="40" w:after="96"/>
              <w:jc w:val="right"/>
              <w:rPr>
                <w:sz w:val="16"/>
                <w:szCs w:val="16"/>
              </w:rPr>
            </w:pPr>
            <w:r>
              <w:rPr>
                <w:sz w:val="16"/>
                <w:szCs w:val="16"/>
              </w:rPr>
              <w:t>15 499</w:t>
            </w:r>
          </w:p>
        </w:tc>
        <w:tc>
          <w:tcPr>
            <w:tcW w:w="656" w:type="dxa"/>
            <w:noWrap/>
            <w:vAlign w:val="bottom"/>
          </w:tcPr>
          <w:p w:rsidR="00000000" w:rsidRDefault="00000000">
            <w:pPr>
              <w:spacing w:beforeLines="40" w:before="96" w:afterLines="40" w:after="96"/>
              <w:jc w:val="right"/>
              <w:rPr>
                <w:sz w:val="16"/>
                <w:szCs w:val="16"/>
              </w:rPr>
            </w:pPr>
            <w:r>
              <w:rPr>
                <w:sz w:val="16"/>
                <w:szCs w:val="16"/>
              </w:rPr>
              <w:t>15 345</w:t>
            </w:r>
          </w:p>
        </w:tc>
        <w:tc>
          <w:tcPr>
            <w:tcW w:w="657" w:type="dxa"/>
            <w:noWrap/>
            <w:vAlign w:val="bottom"/>
          </w:tcPr>
          <w:p w:rsidR="00000000" w:rsidRDefault="00000000">
            <w:pPr>
              <w:spacing w:beforeLines="40" w:before="96" w:afterLines="40" w:after="96"/>
              <w:jc w:val="right"/>
              <w:rPr>
                <w:sz w:val="16"/>
                <w:szCs w:val="16"/>
              </w:rPr>
            </w:pPr>
            <w:r>
              <w:rPr>
                <w:sz w:val="16"/>
                <w:szCs w:val="16"/>
              </w:rPr>
              <w:t>15 129</w:t>
            </w:r>
          </w:p>
        </w:tc>
        <w:tc>
          <w:tcPr>
            <w:tcW w:w="657" w:type="dxa"/>
            <w:noWrap/>
            <w:vAlign w:val="bottom"/>
          </w:tcPr>
          <w:p w:rsidR="00000000" w:rsidRDefault="00000000">
            <w:pPr>
              <w:spacing w:beforeLines="40" w:before="96" w:afterLines="40" w:after="96"/>
              <w:jc w:val="right"/>
              <w:rPr>
                <w:sz w:val="16"/>
                <w:szCs w:val="16"/>
              </w:rPr>
            </w:pPr>
            <w:r>
              <w:rPr>
                <w:sz w:val="16"/>
                <w:szCs w:val="16"/>
              </w:rPr>
              <w:t>15 027</w:t>
            </w:r>
          </w:p>
        </w:tc>
        <w:tc>
          <w:tcPr>
            <w:tcW w:w="656" w:type="dxa"/>
            <w:noWrap/>
            <w:vAlign w:val="bottom"/>
          </w:tcPr>
          <w:p w:rsidR="00000000" w:rsidRDefault="00000000">
            <w:pPr>
              <w:spacing w:beforeLines="40" w:before="96" w:afterLines="40" w:after="96"/>
              <w:jc w:val="right"/>
              <w:rPr>
                <w:sz w:val="16"/>
                <w:szCs w:val="16"/>
              </w:rPr>
            </w:pPr>
            <w:r>
              <w:rPr>
                <w:sz w:val="16"/>
                <w:szCs w:val="16"/>
              </w:rPr>
              <w:t>15 215</w:t>
            </w:r>
          </w:p>
        </w:tc>
        <w:tc>
          <w:tcPr>
            <w:tcW w:w="657" w:type="dxa"/>
            <w:noWrap/>
            <w:vAlign w:val="bottom"/>
          </w:tcPr>
          <w:p w:rsidR="00000000" w:rsidRDefault="00000000">
            <w:pPr>
              <w:spacing w:beforeLines="40" w:before="96" w:afterLines="40" w:after="96"/>
              <w:jc w:val="right"/>
              <w:rPr>
                <w:sz w:val="16"/>
                <w:szCs w:val="16"/>
              </w:rPr>
            </w:pPr>
            <w:r>
              <w:rPr>
                <w:sz w:val="16"/>
                <w:szCs w:val="16"/>
              </w:rPr>
              <w:t>15 780</w:t>
            </w:r>
          </w:p>
        </w:tc>
        <w:tc>
          <w:tcPr>
            <w:tcW w:w="657" w:type="dxa"/>
            <w:noWrap/>
            <w:vAlign w:val="bottom"/>
          </w:tcPr>
          <w:p w:rsidR="00000000" w:rsidRDefault="00000000">
            <w:pPr>
              <w:spacing w:beforeLines="40" w:before="96" w:afterLines="40" w:after="96"/>
              <w:jc w:val="right"/>
              <w:rPr>
                <w:sz w:val="16"/>
                <w:szCs w:val="16"/>
              </w:rPr>
            </w:pPr>
            <w:r>
              <w:rPr>
                <w:sz w:val="16"/>
                <w:szCs w:val="16"/>
              </w:rPr>
              <w:t>16 604</w:t>
            </w:r>
          </w:p>
        </w:tc>
        <w:tc>
          <w:tcPr>
            <w:tcW w:w="656" w:type="dxa"/>
            <w:noWrap/>
            <w:vAlign w:val="bottom"/>
          </w:tcPr>
          <w:p w:rsidR="00000000" w:rsidRDefault="00000000">
            <w:pPr>
              <w:spacing w:beforeLines="40" w:before="96" w:afterLines="40" w:after="96"/>
              <w:jc w:val="right"/>
              <w:rPr>
                <w:sz w:val="16"/>
                <w:szCs w:val="16"/>
              </w:rPr>
            </w:pPr>
            <w:r>
              <w:rPr>
                <w:sz w:val="16"/>
                <w:szCs w:val="16"/>
              </w:rPr>
              <w:t>17 557</w:t>
            </w:r>
          </w:p>
        </w:tc>
        <w:tc>
          <w:tcPr>
            <w:tcW w:w="657" w:type="dxa"/>
            <w:noWrap/>
            <w:vAlign w:val="bottom"/>
          </w:tcPr>
          <w:p w:rsidR="00000000" w:rsidRDefault="00000000">
            <w:pPr>
              <w:spacing w:beforeLines="40" w:before="96" w:afterLines="40" w:after="96"/>
              <w:jc w:val="right"/>
              <w:rPr>
                <w:sz w:val="16"/>
                <w:szCs w:val="16"/>
              </w:rPr>
            </w:pPr>
            <w:r>
              <w:rPr>
                <w:sz w:val="16"/>
                <w:szCs w:val="16"/>
              </w:rPr>
              <w:t>18 512</w:t>
            </w:r>
          </w:p>
        </w:tc>
        <w:tc>
          <w:tcPr>
            <w:tcW w:w="657" w:type="dxa"/>
            <w:noWrap/>
            <w:vAlign w:val="bottom"/>
          </w:tcPr>
          <w:p w:rsidR="00000000" w:rsidRDefault="00000000">
            <w:pPr>
              <w:spacing w:beforeLines="40" w:before="96" w:afterLines="40" w:after="96"/>
              <w:jc w:val="right"/>
              <w:rPr>
                <w:sz w:val="16"/>
                <w:szCs w:val="16"/>
              </w:rPr>
            </w:pPr>
            <w:r>
              <w:rPr>
                <w:sz w:val="16"/>
                <w:szCs w:val="16"/>
              </w:rPr>
              <w:t>19 340</w:t>
            </w:r>
          </w:p>
        </w:tc>
        <w:tc>
          <w:tcPr>
            <w:tcW w:w="657" w:type="dxa"/>
            <w:noWrap/>
            <w:vAlign w:val="bottom"/>
          </w:tcPr>
          <w:p w:rsidR="00000000" w:rsidRDefault="00000000">
            <w:pPr>
              <w:spacing w:beforeLines="40" w:before="96" w:afterLines="40" w:after="96"/>
              <w:jc w:val="right"/>
              <w:rPr>
                <w:sz w:val="16"/>
                <w:szCs w:val="16"/>
              </w:rPr>
            </w:pPr>
            <w:r>
              <w:rPr>
                <w:sz w:val="16"/>
                <w:szCs w:val="16"/>
              </w:rPr>
              <w:t>19 992</w:t>
            </w:r>
          </w:p>
        </w:tc>
      </w:tr>
      <w:tr w:rsidR="00000000">
        <w:trPr>
          <w:cantSplit/>
        </w:trPr>
        <w:tc>
          <w:tcPr>
            <w:tcW w:w="875" w:type="dxa"/>
            <w:noWrap/>
            <w:vAlign w:val="bottom"/>
          </w:tcPr>
          <w:p w:rsidR="00000000" w:rsidRDefault="00000000">
            <w:pPr>
              <w:tabs>
                <w:tab w:val="left" w:pos="240"/>
              </w:tabs>
              <w:spacing w:beforeLines="40" w:before="96" w:afterLines="40" w:after="96"/>
              <w:rPr>
                <w:sz w:val="16"/>
                <w:szCs w:val="16"/>
              </w:rPr>
            </w:pPr>
            <w:r>
              <w:rPr>
                <w:sz w:val="16"/>
                <w:szCs w:val="16"/>
              </w:rPr>
              <w:tab/>
              <w:t>69 лет</w:t>
            </w:r>
          </w:p>
        </w:tc>
        <w:tc>
          <w:tcPr>
            <w:tcW w:w="656" w:type="dxa"/>
            <w:noWrap/>
            <w:vAlign w:val="bottom"/>
          </w:tcPr>
          <w:p w:rsidR="00000000" w:rsidRDefault="00000000">
            <w:pPr>
              <w:spacing w:beforeLines="40" w:before="96" w:afterLines="40" w:after="96"/>
              <w:jc w:val="right"/>
              <w:rPr>
                <w:sz w:val="16"/>
                <w:szCs w:val="16"/>
              </w:rPr>
            </w:pPr>
            <w:r>
              <w:rPr>
                <w:sz w:val="16"/>
                <w:szCs w:val="16"/>
              </w:rPr>
              <w:t>13 949</w:t>
            </w:r>
          </w:p>
        </w:tc>
        <w:tc>
          <w:tcPr>
            <w:tcW w:w="657" w:type="dxa"/>
            <w:noWrap/>
            <w:vAlign w:val="bottom"/>
          </w:tcPr>
          <w:p w:rsidR="00000000" w:rsidRDefault="00000000">
            <w:pPr>
              <w:spacing w:beforeLines="40" w:before="96" w:afterLines="40" w:after="96"/>
              <w:jc w:val="right"/>
              <w:rPr>
                <w:sz w:val="16"/>
                <w:szCs w:val="16"/>
              </w:rPr>
            </w:pPr>
            <w:r>
              <w:rPr>
                <w:sz w:val="16"/>
                <w:szCs w:val="16"/>
              </w:rPr>
              <w:t>14 328</w:t>
            </w:r>
          </w:p>
        </w:tc>
        <w:tc>
          <w:tcPr>
            <w:tcW w:w="657" w:type="dxa"/>
            <w:noWrap/>
            <w:vAlign w:val="bottom"/>
          </w:tcPr>
          <w:p w:rsidR="00000000" w:rsidRDefault="00000000">
            <w:pPr>
              <w:spacing w:beforeLines="40" w:before="96" w:afterLines="40" w:after="96"/>
              <w:jc w:val="right"/>
              <w:rPr>
                <w:sz w:val="16"/>
                <w:szCs w:val="16"/>
              </w:rPr>
            </w:pPr>
            <w:r>
              <w:rPr>
                <w:sz w:val="16"/>
                <w:szCs w:val="16"/>
              </w:rPr>
              <w:t>14 531</w:t>
            </w:r>
          </w:p>
        </w:tc>
        <w:tc>
          <w:tcPr>
            <w:tcW w:w="656" w:type="dxa"/>
            <w:noWrap/>
            <w:vAlign w:val="bottom"/>
          </w:tcPr>
          <w:p w:rsidR="00000000" w:rsidRDefault="00000000">
            <w:pPr>
              <w:spacing w:beforeLines="40" w:before="96" w:afterLines="40" w:after="96"/>
              <w:jc w:val="right"/>
              <w:rPr>
                <w:sz w:val="16"/>
                <w:szCs w:val="16"/>
              </w:rPr>
            </w:pPr>
            <w:r>
              <w:rPr>
                <w:sz w:val="16"/>
                <w:szCs w:val="16"/>
              </w:rPr>
              <w:t>14 597</w:t>
            </w:r>
          </w:p>
        </w:tc>
        <w:tc>
          <w:tcPr>
            <w:tcW w:w="657" w:type="dxa"/>
            <w:noWrap/>
            <w:vAlign w:val="bottom"/>
          </w:tcPr>
          <w:p w:rsidR="00000000" w:rsidRDefault="00000000">
            <w:pPr>
              <w:spacing w:beforeLines="40" w:before="96" w:afterLines="40" w:after="96"/>
              <w:jc w:val="right"/>
              <w:rPr>
                <w:sz w:val="16"/>
                <w:szCs w:val="16"/>
              </w:rPr>
            </w:pPr>
            <w:r>
              <w:rPr>
                <w:sz w:val="16"/>
                <w:szCs w:val="16"/>
              </w:rPr>
              <w:t>14 624</w:t>
            </w:r>
          </w:p>
        </w:tc>
        <w:tc>
          <w:tcPr>
            <w:tcW w:w="657" w:type="dxa"/>
            <w:noWrap/>
            <w:vAlign w:val="bottom"/>
          </w:tcPr>
          <w:p w:rsidR="00000000" w:rsidRDefault="00000000">
            <w:pPr>
              <w:spacing w:beforeLines="40" w:before="96" w:afterLines="40" w:after="96"/>
              <w:jc w:val="right"/>
              <w:rPr>
                <w:sz w:val="16"/>
                <w:szCs w:val="16"/>
              </w:rPr>
            </w:pPr>
            <w:r>
              <w:rPr>
                <w:sz w:val="16"/>
                <w:szCs w:val="16"/>
              </w:rPr>
              <w:t>14 708</w:t>
            </w:r>
          </w:p>
        </w:tc>
        <w:tc>
          <w:tcPr>
            <w:tcW w:w="656" w:type="dxa"/>
            <w:noWrap/>
            <w:vAlign w:val="bottom"/>
          </w:tcPr>
          <w:p w:rsidR="00000000" w:rsidRDefault="00000000">
            <w:pPr>
              <w:spacing w:beforeLines="40" w:before="96" w:afterLines="40" w:after="96"/>
              <w:jc w:val="right"/>
              <w:rPr>
                <w:sz w:val="16"/>
                <w:szCs w:val="16"/>
              </w:rPr>
            </w:pPr>
            <w:r>
              <w:rPr>
                <w:sz w:val="16"/>
                <w:szCs w:val="16"/>
              </w:rPr>
              <w:t>14 947</w:t>
            </w:r>
          </w:p>
        </w:tc>
        <w:tc>
          <w:tcPr>
            <w:tcW w:w="657" w:type="dxa"/>
            <w:noWrap/>
            <w:vAlign w:val="bottom"/>
          </w:tcPr>
          <w:p w:rsidR="00000000" w:rsidRDefault="00000000">
            <w:pPr>
              <w:spacing w:beforeLines="40" w:before="96" w:afterLines="40" w:after="96"/>
              <w:jc w:val="right"/>
              <w:rPr>
                <w:sz w:val="16"/>
                <w:szCs w:val="16"/>
              </w:rPr>
            </w:pPr>
            <w:r>
              <w:rPr>
                <w:sz w:val="16"/>
                <w:szCs w:val="16"/>
              </w:rPr>
              <w:t>15 367</w:t>
            </w:r>
          </w:p>
        </w:tc>
        <w:tc>
          <w:tcPr>
            <w:tcW w:w="657" w:type="dxa"/>
            <w:noWrap/>
            <w:vAlign w:val="bottom"/>
          </w:tcPr>
          <w:p w:rsidR="00000000" w:rsidRDefault="00000000">
            <w:pPr>
              <w:spacing w:beforeLines="40" w:before="96" w:afterLines="40" w:after="96"/>
              <w:jc w:val="right"/>
              <w:rPr>
                <w:sz w:val="16"/>
                <w:szCs w:val="16"/>
              </w:rPr>
            </w:pPr>
            <w:r>
              <w:rPr>
                <w:sz w:val="16"/>
                <w:szCs w:val="16"/>
              </w:rPr>
              <w:t>15 903</w:t>
            </w:r>
          </w:p>
        </w:tc>
        <w:tc>
          <w:tcPr>
            <w:tcW w:w="656" w:type="dxa"/>
            <w:noWrap/>
            <w:vAlign w:val="bottom"/>
          </w:tcPr>
          <w:p w:rsidR="00000000" w:rsidRDefault="00000000">
            <w:pPr>
              <w:spacing w:beforeLines="40" w:before="96" w:afterLines="40" w:after="96"/>
              <w:jc w:val="right"/>
              <w:rPr>
                <w:sz w:val="16"/>
                <w:szCs w:val="16"/>
              </w:rPr>
            </w:pPr>
            <w:r>
              <w:rPr>
                <w:sz w:val="16"/>
                <w:szCs w:val="16"/>
              </w:rPr>
              <w:t>16 516</w:t>
            </w:r>
          </w:p>
        </w:tc>
        <w:tc>
          <w:tcPr>
            <w:tcW w:w="657" w:type="dxa"/>
            <w:noWrap/>
            <w:vAlign w:val="bottom"/>
          </w:tcPr>
          <w:p w:rsidR="00000000" w:rsidRDefault="00000000">
            <w:pPr>
              <w:spacing w:beforeLines="40" w:before="96" w:afterLines="40" w:after="96"/>
              <w:jc w:val="right"/>
              <w:rPr>
                <w:sz w:val="16"/>
                <w:szCs w:val="16"/>
              </w:rPr>
            </w:pPr>
            <w:r>
              <w:rPr>
                <w:sz w:val="16"/>
                <w:szCs w:val="16"/>
              </w:rPr>
              <w:t>17 166</w:t>
            </w:r>
          </w:p>
        </w:tc>
        <w:tc>
          <w:tcPr>
            <w:tcW w:w="657" w:type="dxa"/>
            <w:noWrap/>
            <w:vAlign w:val="bottom"/>
          </w:tcPr>
          <w:p w:rsidR="00000000" w:rsidRDefault="00000000">
            <w:pPr>
              <w:spacing w:beforeLines="40" w:before="96" w:afterLines="40" w:after="96"/>
              <w:jc w:val="right"/>
              <w:rPr>
                <w:sz w:val="16"/>
                <w:szCs w:val="16"/>
              </w:rPr>
            </w:pPr>
            <w:r>
              <w:rPr>
                <w:sz w:val="16"/>
                <w:szCs w:val="16"/>
              </w:rPr>
              <w:t>17 814</w:t>
            </w:r>
          </w:p>
        </w:tc>
        <w:tc>
          <w:tcPr>
            <w:tcW w:w="657" w:type="dxa"/>
            <w:noWrap/>
            <w:vAlign w:val="bottom"/>
          </w:tcPr>
          <w:p w:rsidR="00000000" w:rsidRDefault="00000000">
            <w:pPr>
              <w:spacing w:beforeLines="40" w:before="96" w:afterLines="40" w:after="96"/>
              <w:jc w:val="right"/>
              <w:rPr>
                <w:sz w:val="16"/>
                <w:szCs w:val="16"/>
              </w:rPr>
            </w:pPr>
            <w:r>
              <w:rPr>
                <w:sz w:val="16"/>
                <w:szCs w:val="16"/>
              </w:rPr>
              <w:t>18 453</w:t>
            </w:r>
          </w:p>
        </w:tc>
      </w:tr>
      <w:tr w:rsidR="00000000">
        <w:trPr>
          <w:cantSplit/>
        </w:trPr>
        <w:tc>
          <w:tcPr>
            <w:tcW w:w="875" w:type="dxa"/>
            <w:noWrap/>
            <w:vAlign w:val="bottom"/>
          </w:tcPr>
          <w:p w:rsidR="00000000" w:rsidRDefault="00000000">
            <w:pPr>
              <w:spacing w:beforeLines="40" w:before="96" w:afterLines="40" w:after="96"/>
              <w:rPr>
                <w:sz w:val="16"/>
                <w:szCs w:val="16"/>
              </w:rPr>
            </w:pPr>
            <w:r>
              <w:rPr>
                <w:sz w:val="16"/>
                <w:szCs w:val="16"/>
              </w:rPr>
              <w:t>от 70 до 74 лет</w:t>
            </w:r>
          </w:p>
        </w:tc>
        <w:tc>
          <w:tcPr>
            <w:tcW w:w="656" w:type="dxa"/>
            <w:noWrap/>
            <w:vAlign w:val="bottom"/>
          </w:tcPr>
          <w:p w:rsidR="00000000" w:rsidRDefault="00000000">
            <w:pPr>
              <w:spacing w:beforeLines="40" w:before="96" w:afterLines="40" w:after="96"/>
              <w:jc w:val="right"/>
              <w:rPr>
                <w:sz w:val="16"/>
                <w:szCs w:val="16"/>
              </w:rPr>
            </w:pPr>
            <w:r>
              <w:rPr>
                <w:sz w:val="16"/>
                <w:szCs w:val="16"/>
              </w:rPr>
              <w:t>55 467</w:t>
            </w:r>
          </w:p>
        </w:tc>
        <w:tc>
          <w:tcPr>
            <w:tcW w:w="657" w:type="dxa"/>
            <w:noWrap/>
            <w:vAlign w:val="bottom"/>
          </w:tcPr>
          <w:p w:rsidR="00000000" w:rsidRDefault="00000000">
            <w:pPr>
              <w:spacing w:beforeLines="40" w:before="96" w:afterLines="40" w:after="96"/>
              <w:jc w:val="right"/>
              <w:rPr>
                <w:sz w:val="16"/>
                <w:szCs w:val="16"/>
              </w:rPr>
            </w:pPr>
            <w:r>
              <w:rPr>
                <w:sz w:val="16"/>
                <w:szCs w:val="16"/>
              </w:rPr>
              <w:t>57 352</w:t>
            </w:r>
          </w:p>
        </w:tc>
        <w:tc>
          <w:tcPr>
            <w:tcW w:w="657" w:type="dxa"/>
            <w:noWrap/>
            <w:vAlign w:val="bottom"/>
          </w:tcPr>
          <w:p w:rsidR="00000000" w:rsidRDefault="00000000">
            <w:pPr>
              <w:spacing w:beforeLines="40" w:before="96" w:afterLines="40" w:after="96"/>
              <w:jc w:val="right"/>
              <w:rPr>
                <w:sz w:val="16"/>
                <w:szCs w:val="16"/>
              </w:rPr>
            </w:pPr>
            <w:r>
              <w:rPr>
                <w:sz w:val="16"/>
                <w:szCs w:val="16"/>
              </w:rPr>
              <w:t>59 495</w:t>
            </w:r>
          </w:p>
        </w:tc>
        <w:tc>
          <w:tcPr>
            <w:tcW w:w="656" w:type="dxa"/>
            <w:noWrap/>
            <w:vAlign w:val="bottom"/>
          </w:tcPr>
          <w:p w:rsidR="00000000" w:rsidRDefault="00000000">
            <w:pPr>
              <w:spacing w:beforeLines="40" w:before="96" w:afterLines="40" w:after="96"/>
              <w:jc w:val="right"/>
              <w:rPr>
                <w:sz w:val="16"/>
                <w:szCs w:val="16"/>
              </w:rPr>
            </w:pPr>
            <w:r>
              <w:rPr>
                <w:sz w:val="16"/>
                <w:szCs w:val="16"/>
              </w:rPr>
              <w:t>61 881</w:t>
            </w:r>
          </w:p>
        </w:tc>
        <w:tc>
          <w:tcPr>
            <w:tcW w:w="657" w:type="dxa"/>
            <w:noWrap/>
            <w:vAlign w:val="bottom"/>
          </w:tcPr>
          <w:p w:rsidR="00000000" w:rsidRDefault="00000000">
            <w:pPr>
              <w:spacing w:beforeLines="40" w:before="96" w:afterLines="40" w:after="96"/>
              <w:jc w:val="right"/>
              <w:rPr>
                <w:sz w:val="16"/>
                <w:szCs w:val="16"/>
              </w:rPr>
            </w:pPr>
            <w:r>
              <w:rPr>
                <w:sz w:val="16"/>
                <w:szCs w:val="16"/>
              </w:rPr>
              <w:t>64 269</w:t>
            </w:r>
          </w:p>
        </w:tc>
        <w:tc>
          <w:tcPr>
            <w:tcW w:w="657" w:type="dxa"/>
            <w:noWrap/>
            <w:vAlign w:val="bottom"/>
          </w:tcPr>
          <w:p w:rsidR="00000000" w:rsidRDefault="00000000">
            <w:pPr>
              <w:spacing w:beforeLines="40" w:before="96" w:afterLines="40" w:after="96"/>
              <w:jc w:val="right"/>
              <w:rPr>
                <w:sz w:val="16"/>
                <w:szCs w:val="16"/>
              </w:rPr>
            </w:pPr>
            <w:r>
              <w:rPr>
                <w:sz w:val="16"/>
                <w:szCs w:val="16"/>
              </w:rPr>
              <w:t>66 417</w:t>
            </w:r>
          </w:p>
        </w:tc>
        <w:tc>
          <w:tcPr>
            <w:tcW w:w="656" w:type="dxa"/>
            <w:noWrap/>
            <w:vAlign w:val="bottom"/>
          </w:tcPr>
          <w:p w:rsidR="00000000" w:rsidRDefault="00000000">
            <w:pPr>
              <w:spacing w:beforeLines="40" w:before="96" w:afterLines="40" w:after="96"/>
              <w:jc w:val="right"/>
              <w:rPr>
                <w:sz w:val="16"/>
                <w:szCs w:val="16"/>
              </w:rPr>
            </w:pPr>
            <w:r>
              <w:rPr>
                <w:sz w:val="16"/>
                <w:szCs w:val="16"/>
              </w:rPr>
              <w:t>68 086</w:t>
            </w:r>
          </w:p>
        </w:tc>
        <w:tc>
          <w:tcPr>
            <w:tcW w:w="657" w:type="dxa"/>
            <w:noWrap/>
            <w:vAlign w:val="bottom"/>
          </w:tcPr>
          <w:p w:rsidR="00000000" w:rsidRDefault="00000000">
            <w:pPr>
              <w:spacing w:beforeLines="40" w:before="96" w:afterLines="40" w:after="96"/>
              <w:jc w:val="right"/>
              <w:rPr>
                <w:sz w:val="16"/>
                <w:szCs w:val="16"/>
              </w:rPr>
            </w:pPr>
            <w:r>
              <w:rPr>
                <w:sz w:val="16"/>
                <w:szCs w:val="16"/>
              </w:rPr>
              <w:t>68 891</w:t>
            </w:r>
          </w:p>
        </w:tc>
        <w:tc>
          <w:tcPr>
            <w:tcW w:w="657" w:type="dxa"/>
            <w:noWrap/>
            <w:vAlign w:val="bottom"/>
          </w:tcPr>
          <w:p w:rsidR="00000000" w:rsidRDefault="00000000">
            <w:pPr>
              <w:spacing w:beforeLines="40" w:before="96" w:afterLines="40" w:after="96"/>
              <w:jc w:val="right"/>
              <w:rPr>
                <w:sz w:val="16"/>
                <w:szCs w:val="16"/>
              </w:rPr>
            </w:pPr>
            <w:r>
              <w:rPr>
                <w:sz w:val="16"/>
                <w:szCs w:val="16"/>
              </w:rPr>
              <w:t>68 992</w:t>
            </w:r>
          </w:p>
        </w:tc>
        <w:tc>
          <w:tcPr>
            <w:tcW w:w="656" w:type="dxa"/>
            <w:noWrap/>
            <w:vAlign w:val="bottom"/>
          </w:tcPr>
          <w:p w:rsidR="00000000" w:rsidRDefault="00000000">
            <w:pPr>
              <w:spacing w:beforeLines="40" w:before="96" w:afterLines="40" w:after="96"/>
              <w:jc w:val="right"/>
              <w:rPr>
                <w:sz w:val="16"/>
                <w:szCs w:val="16"/>
              </w:rPr>
            </w:pPr>
            <w:r>
              <w:rPr>
                <w:sz w:val="16"/>
                <w:szCs w:val="16"/>
              </w:rPr>
              <w:t>68 966</w:t>
            </w:r>
          </w:p>
        </w:tc>
        <w:tc>
          <w:tcPr>
            <w:tcW w:w="657" w:type="dxa"/>
            <w:noWrap/>
            <w:vAlign w:val="bottom"/>
          </w:tcPr>
          <w:p w:rsidR="00000000" w:rsidRDefault="00000000">
            <w:pPr>
              <w:spacing w:beforeLines="40" w:before="96" w:afterLines="40" w:after="96"/>
              <w:jc w:val="right"/>
              <w:rPr>
                <w:sz w:val="16"/>
                <w:szCs w:val="16"/>
              </w:rPr>
            </w:pPr>
            <w:r>
              <w:rPr>
                <w:sz w:val="16"/>
                <w:szCs w:val="16"/>
              </w:rPr>
              <w:t>69 389</w:t>
            </w:r>
          </w:p>
        </w:tc>
        <w:tc>
          <w:tcPr>
            <w:tcW w:w="657" w:type="dxa"/>
            <w:noWrap/>
            <w:vAlign w:val="bottom"/>
          </w:tcPr>
          <w:p w:rsidR="00000000" w:rsidRDefault="00000000">
            <w:pPr>
              <w:spacing w:beforeLines="40" w:before="96" w:afterLines="40" w:after="96"/>
              <w:jc w:val="right"/>
              <w:rPr>
                <w:sz w:val="16"/>
                <w:szCs w:val="16"/>
              </w:rPr>
            </w:pPr>
            <w:r>
              <w:rPr>
                <w:sz w:val="16"/>
                <w:szCs w:val="16"/>
              </w:rPr>
              <w:t>70 837</w:t>
            </w:r>
          </w:p>
        </w:tc>
        <w:tc>
          <w:tcPr>
            <w:tcW w:w="657" w:type="dxa"/>
            <w:noWrap/>
            <w:vAlign w:val="bottom"/>
          </w:tcPr>
          <w:p w:rsidR="00000000" w:rsidRDefault="00000000">
            <w:pPr>
              <w:spacing w:beforeLines="40" w:before="96" w:afterLines="40" w:after="96"/>
              <w:jc w:val="right"/>
              <w:rPr>
                <w:sz w:val="16"/>
                <w:szCs w:val="16"/>
              </w:rPr>
            </w:pPr>
            <w:r>
              <w:rPr>
                <w:sz w:val="16"/>
                <w:szCs w:val="16"/>
              </w:rPr>
              <w:t>73 616</w:t>
            </w:r>
          </w:p>
        </w:tc>
      </w:tr>
      <w:tr w:rsidR="00000000">
        <w:trPr>
          <w:cantSplit/>
        </w:trPr>
        <w:tc>
          <w:tcPr>
            <w:tcW w:w="875" w:type="dxa"/>
            <w:noWrap/>
            <w:vAlign w:val="bottom"/>
          </w:tcPr>
          <w:p w:rsidR="00000000" w:rsidRDefault="00000000">
            <w:pPr>
              <w:tabs>
                <w:tab w:val="left" w:pos="240"/>
              </w:tabs>
              <w:spacing w:beforeLines="40" w:before="96" w:afterLines="40" w:after="96"/>
              <w:rPr>
                <w:sz w:val="16"/>
                <w:szCs w:val="16"/>
              </w:rPr>
            </w:pPr>
            <w:r>
              <w:rPr>
                <w:sz w:val="16"/>
                <w:szCs w:val="16"/>
              </w:rPr>
              <w:tab/>
              <w:t>70 лет</w:t>
            </w:r>
          </w:p>
        </w:tc>
        <w:tc>
          <w:tcPr>
            <w:tcW w:w="656" w:type="dxa"/>
            <w:noWrap/>
            <w:vAlign w:val="bottom"/>
          </w:tcPr>
          <w:p w:rsidR="00000000" w:rsidRDefault="00000000">
            <w:pPr>
              <w:spacing w:beforeLines="40" w:before="96" w:afterLines="40" w:after="96"/>
              <w:jc w:val="right"/>
              <w:rPr>
                <w:sz w:val="16"/>
                <w:szCs w:val="16"/>
              </w:rPr>
            </w:pPr>
            <w:r>
              <w:rPr>
                <w:sz w:val="16"/>
                <w:szCs w:val="16"/>
              </w:rPr>
              <w:t>12 932</w:t>
            </w:r>
          </w:p>
        </w:tc>
        <w:tc>
          <w:tcPr>
            <w:tcW w:w="657" w:type="dxa"/>
            <w:noWrap/>
            <w:vAlign w:val="bottom"/>
          </w:tcPr>
          <w:p w:rsidR="00000000" w:rsidRDefault="00000000">
            <w:pPr>
              <w:spacing w:beforeLines="40" w:before="96" w:afterLines="40" w:after="96"/>
              <w:jc w:val="right"/>
              <w:rPr>
                <w:sz w:val="16"/>
                <w:szCs w:val="16"/>
              </w:rPr>
            </w:pPr>
            <w:r>
              <w:rPr>
                <w:sz w:val="16"/>
                <w:szCs w:val="16"/>
              </w:rPr>
              <w:t>13 313</w:t>
            </w:r>
          </w:p>
        </w:tc>
        <w:tc>
          <w:tcPr>
            <w:tcW w:w="657" w:type="dxa"/>
            <w:noWrap/>
            <w:vAlign w:val="bottom"/>
          </w:tcPr>
          <w:p w:rsidR="00000000" w:rsidRDefault="00000000">
            <w:pPr>
              <w:spacing w:beforeLines="40" w:before="96" w:afterLines="40" w:after="96"/>
              <w:jc w:val="right"/>
              <w:rPr>
                <w:sz w:val="16"/>
                <w:szCs w:val="16"/>
              </w:rPr>
            </w:pPr>
            <w:r>
              <w:rPr>
                <w:sz w:val="16"/>
                <w:szCs w:val="16"/>
              </w:rPr>
              <w:t>13 623</w:t>
            </w:r>
          </w:p>
        </w:tc>
        <w:tc>
          <w:tcPr>
            <w:tcW w:w="656" w:type="dxa"/>
            <w:noWrap/>
            <w:vAlign w:val="bottom"/>
          </w:tcPr>
          <w:p w:rsidR="00000000" w:rsidRDefault="00000000">
            <w:pPr>
              <w:spacing w:beforeLines="40" w:before="96" w:afterLines="40" w:after="96"/>
              <w:jc w:val="right"/>
              <w:rPr>
                <w:sz w:val="16"/>
                <w:szCs w:val="16"/>
              </w:rPr>
            </w:pPr>
            <w:r>
              <w:rPr>
                <w:sz w:val="16"/>
                <w:szCs w:val="16"/>
              </w:rPr>
              <w:t>13 882</w:t>
            </w:r>
          </w:p>
        </w:tc>
        <w:tc>
          <w:tcPr>
            <w:tcW w:w="657" w:type="dxa"/>
            <w:noWrap/>
            <w:vAlign w:val="bottom"/>
          </w:tcPr>
          <w:p w:rsidR="00000000" w:rsidRDefault="00000000">
            <w:pPr>
              <w:spacing w:beforeLines="40" w:before="96" w:afterLines="40" w:after="96"/>
              <w:jc w:val="right"/>
              <w:rPr>
                <w:sz w:val="16"/>
                <w:szCs w:val="16"/>
              </w:rPr>
            </w:pPr>
            <w:r>
              <w:rPr>
                <w:sz w:val="16"/>
                <w:szCs w:val="16"/>
              </w:rPr>
              <w:t>14 119</w:t>
            </w:r>
          </w:p>
        </w:tc>
        <w:tc>
          <w:tcPr>
            <w:tcW w:w="657" w:type="dxa"/>
            <w:noWrap/>
            <w:vAlign w:val="bottom"/>
          </w:tcPr>
          <w:p w:rsidR="00000000" w:rsidRDefault="00000000">
            <w:pPr>
              <w:spacing w:beforeLines="40" w:before="96" w:afterLines="40" w:after="96"/>
              <w:jc w:val="right"/>
              <w:rPr>
                <w:sz w:val="16"/>
                <w:szCs w:val="16"/>
              </w:rPr>
            </w:pPr>
            <w:r>
              <w:rPr>
                <w:sz w:val="16"/>
                <w:szCs w:val="16"/>
              </w:rPr>
              <w:t>14 362</w:t>
            </w:r>
          </w:p>
        </w:tc>
        <w:tc>
          <w:tcPr>
            <w:tcW w:w="656" w:type="dxa"/>
            <w:noWrap/>
            <w:vAlign w:val="bottom"/>
          </w:tcPr>
          <w:p w:rsidR="00000000" w:rsidRDefault="00000000">
            <w:pPr>
              <w:spacing w:beforeLines="40" w:before="96" w:afterLines="40" w:after="96"/>
              <w:jc w:val="right"/>
              <w:rPr>
                <w:sz w:val="16"/>
                <w:szCs w:val="16"/>
              </w:rPr>
            </w:pPr>
            <w:r>
              <w:rPr>
                <w:sz w:val="16"/>
                <w:szCs w:val="16"/>
              </w:rPr>
              <w:t>14 640</w:t>
            </w:r>
          </w:p>
        </w:tc>
        <w:tc>
          <w:tcPr>
            <w:tcW w:w="657" w:type="dxa"/>
            <w:noWrap/>
            <w:vAlign w:val="bottom"/>
          </w:tcPr>
          <w:p w:rsidR="00000000" w:rsidRDefault="00000000">
            <w:pPr>
              <w:spacing w:beforeLines="40" w:before="96" w:afterLines="40" w:after="96"/>
              <w:jc w:val="right"/>
              <w:rPr>
                <w:sz w:val="16"/>
                <w:szCs w:val="16"/>
              </w:rPr>
            </w:pPr>
            <w:r>
              <w:rPr>
                <w:sz w:val="16"/>
                <w:szCs w:val="16"/>
              </w:rPr>
              <w:t>14 926</w:t>
            </w:r>
          </w:p>
        </w:tc>
        <w:tc>
          <w:tcPr>
            <w:tcW w:w="657" w:type="dxa"/>
            <w:noWrap/>
            <w:vAlign w:val="bottom"/>
          </w:tcPr>
          <w:p w:rsidR="00000000" w:rsidRDefault="00000000">
            <w:pPr>
              <w:spacing w:beforeLines="40" w:before="96" w:afterLines="40" w:after="96"/>
              <w:jc w:val="right"/>
              <w:rPr>
                <w:sz w:val="16"/>
                <w:szCs w:val="16"/>
              </w:rPr>
            </w:pPr>
            <w:r>
              <w:rPr>
                <w:sz w:val="16"/>
                <w:szCs w:val="16"/>
              </w:rPr>
              <w:t>15 201</w:t>
            </w:r>
          </w:p>
        </w:tc>
        <w:tc>
          <w:tcPr>
            <w:tcW w:w="656" w:type="dxa"/>
            <w:noWrap/>
            <w:vAlign w:val="bottom"/>
          </w:tcPr>
          <w:p w:rsidR="00000000" w:rsidRDefault="00000000">
            <w:pPr>
              <w:spacing w:beforeLines="40" w:before="96" w:afterLines="40" w:after="96"/>
              <w:jc w:val="right"/>
              <w:rPr>
                <w:sz w:val="16"/>
                <w:szCs w:val="16"/>
              </w:rPr>
            </w:pPr>
            <w:r>
              <w:rPr>
                <w:sz w:val="16"/>
                <w:szCs w:val="16"/>
              </w:rPr>
              <w:t>15 505</w:t>
            </w:r>
          </w:p>
        </w:tc>
        <w:tc>
          <w:tcPr>
            <w:tcW w:w="657" w:type="dxa"/>
            <w:noWrap/>
            <w:vAlign w:val="bottom"/>
          </w:tcPr>
          <w:p w:rsidR="00000000" w:rsidRDefault="00000000">
            <w:pPr>
              <w:spacing w:beforeLines="40" w:before="96" w:afterLines="40" w:after="96"/>
              <w:jc w:val="right"/>
              <w:rPr>
                <w:sz w:val="16"/>
                <w:szCs w:val="16"/>
              </w:rPr>
            </w:pPr>
            <w:r>
              <w:rPr>
                <w:sz w:val="16"/>
                <w:szCs w:val="16"/>
              </w:rPr>
              <w:t>15 880</w:t>
            </w:r>
          </w:p>
        </w:tc>
        <w:tc>
          <w:tcPr>
            <w:tcW w:w="657" w:type="dxa"/>
            <w:noWrap/>
            <w:vAlign w:val="bottom"/>
          </w:tcPr>
          <w:p w:rsidR="00000000" w:rsidRDefault="00000000">
            <w:pPr>
              <w:spacing w:beforeLines="40" w:before="96" w:afterLines="40" w:after="96"/>
              <w:jc w:val="right"/>
              <w:rPr>
                <w:sz w:val="16"/>
                <w:szCs w:val="16"/>
              </w:rPr>
            </w:pPr>
            <w:r>
              <w:rPr>
                <w:sz w:val="16"/>
                <w:szCs w:val="16"/>
              </w:rPr>
              <w:t>16 366</w:t>
            </w:r>
          </w:p>
        </w:tc>
        <w:tc>
          <w:tcPr>
            <w:tcW w:w="657" w:type="dxa"/>
            <w:noWrap/>
            <w:vAlign w:val="bottom"/>
          </w:tcPr>
          <w:p w:rsidR="00000000" w:rsidRDefault="00000000">
            <w:pPr>
              <w:spacing w:beforeLines="40" w:before="96" w:afterLines="40" w:after="96"/>
              <w:jc w:val="right"/>
              <w:rPr>
                <w:sz w:val="16"/>
                <w:szCs w:val="16"/>
              </w:rPr>
            </w:pPr>
            <w:r>
              <w:rPr>
                <w:sz w:val="16"/>
                <w:szCs w:val="16"/>
              </w:rPr>
              <w:t>16 997</w:t>
            </w:r>
          </w:p>
        </w:tc>
      </w:tr>
      <w:tr w:rsidR="00000000">
        <w:trPr>
          <w:cantSplit/>
        </w:trPr>
        <w:tc>
          <w:tcPr>
            <w:tcW w:w="875" w:type="dxa"/>
            <w:noWrap/>
            <w:vAlign w:val="bottom"/>
          </w:tcPr>
          <w:p w:rsidR="00000000" w:rsidRDefault="00000000">
            <w:pPr>
              <w:tabs>
                <w:tab w:val="left" w:pos="240"/>
              </w:tabs>
              <w:spacing w:beforeLines="40" w:before="96" w:afterLines="40" w:after="96"/>
              <w:rPr>
                <w:sz w:val="16"/>
                <w:szCs w:val="16"/>
              </w:rPr>
            </w:pPr>
            <w:r>
              <w:rPr>
                <w:sz w:val="16"/>
                <w:szCs w:val="16"/>
              </w:rPr>
              <w:tab/>
              <w:t>71 лет</w:t>
            </w:r>
          </w:p>
        </w:tc>
        <w:tc>
          <w:tcPr>
            <w:tcW w:w="656" w:type="dxa"/>
            <w:noWrap/>
            <w:vAlign w:val="bottom"/>
          </w:tcPr>
          <w:p w:rsidR="00000000" w:rsidRDefault="00000000">
            <w:pPr>
              <w:spacing w:beforeLines="40" w:before="96" w:afterLines="40" w:after="96"/>
              <w:jc w:val="right"/>
              <w:rPr>
                <w:sz w:val="16"/>
                <w:szCs w:val="16"/>
              </w:rPr>
            </w:pPr>
            <w:r>
              <w:rPr>
                <w:sz w:val="16"/>
                <w:szCs w:val="16"/>
              </w:rPr>
              <w:t>11 911</w:t>
            </w:r>
          </w:p>
        </w:tc>
        <w:tc>
          <w:tcPr>
            <w:tcW w:w="657" w:type="dxa"/>
            <w:noWrap/>
            <w:vAlign w:val="bottom"/>
          </w:tcPr>
          <w:p w:rsidR="00000000" w:rsidRDefault="00000000">
            <w:pPr>
              <w:spacing w:beforeLines="40" w:before="96" w:afterLines="40" w:after="96"/>
              <w:jc w:val="right"/>
              <w:rPr>
                <w:sz w:val="16"/>
                <w:szCs w:val="16"/>
              </w:rPr>
            </w:pPr>
            <w:r>
              <w:rPr>
                <w:sz w:val="16"/>
                <w:szCs w:val="16"/>
              </w:rPr>
              <w:t>12 299</w:t>
            </w:r>
          </w:p>
        </w:tc>
        <w:tc>
          <w:tcPr>
            <w:tcW w:w="657" w:type="dxa"/>
            <w:noWrap/>
            <w:vAlign w:val="bottom"/>
          </w:tcPr>
          <w:p w:rsidR="00000000" w:rsidRDefault="00000000">
            <w:pPr>
              <w:spacing w:beforeLines="40" w:before="96" w:afterLines="40" w:after="96"/>
              <w:jc w:val="right"/>
              <w:rPr>
                <w:sz w:val="16"/>
                <w:szCs w:val="16"/>
              </w:rPr>
            </w:pPr>
            <w:r>
              <w:rPr>
                <w:sz w:val="16"/>
                <w:szCs w:val="16"/>
              </w:rPr>
              <w:t>12 727</w:t>
            </w:r>
          </w:p>
        </w:tc>
        <w:tc>
          <w:tcPr>
            <w:tcW w:w="656" w:type="dxa"/>
            <w:noWrap/>
            <w:vAlign w:val="bottom"/>
          </w:tcPr>
          <w:p w:rsidR="00000000" w:rsidRDefault="00000000">
            <w:pPr>
              <w:spacing w:beforeLines="40" w:before="96" w:afterLines="40" w:after="96"/>
              <w:jc w:val="right"/>
              <w:rPr>
                <w:sz w:val="16"/>
                <w:szCs w:val="16"/>
              </w:rPr>
            </w:pPr>
            <w:r>
              <w:rPr>
                <w:sz w:val="16"/>
                <w:szCs w:val="16"/>
              </w:rPr>
              <w:t>13 194</w:t>
            </w:r>
          </w:p>
        </w:tc>
        <w:tc>
          <w:tcPr>
            <w:tcW w:w="657" w:type="dxa"/>
            <w:noWrap/>
            <w:vAlign w:val="bottom"/>
          </w:tcPr>
          <w:p w:rsidR="00000000" w:rsidRDefault="00000000">
            <w:pPr>
              <w:spacing w:beforeLines="40" w:before="96" w:afterLines="40" w:after="96"/>
              <w:jc w:val="right"/>
              <w:rPr>
                <w:sz w:val="16"/>
                <w:szCs w:val="16"/>
              </w:rPr>
            </w:pPr>
            <w:r>
              <w:rPr>
                <w:sz w:val="16"/>
                <w:szCs w:val="16"/>
              </w:rPr>
              <w:t>13 656</w:t>
            </w:r>
          </w:p>
        </w:tc>
        <w:tc>
          <w:tcPr>
            <w:tcW w:w="657" w:type="dxa"/>
            <w:noWrap/>
            <w:vAlign w:val="bottom"/>
          </w:tcPr>
          <w:p w:rsidR="00000000" w:rsidRDefault="00000000">
            <w:pPr>
              <w:spacing w:beforeLines="40" w:before="96" w:afterLines="40" w:after="96"/>
              <w:jc w:val="right"/>
              <w:rPr>
                <w:sz w:val="16"/>
                <w:szCs w:val="16"/>
              </w:rPr>
            </w:pPr>
            <w:r>
              <w:rPr>
                <w:sz w:val="16"/>
                <w:szCs w:val="16"/>
              </w:rPr>
              <w:t>14 070</w:t>
            </w:r>
          </w:p>
        </w:tc>
        <w:tc>
          <w:tcPr>
            <w:tcW w:w="656" w:type="dxa"/>
            <w:noWrap/>
            <w:vAlign w:val="bottom"/>
          </w:tcPr>
          <w:p w:rsidR="00000000" w:rsidRDefault="00000000">
            <w:pPr>
              <w:spacing w:beforeLines="40" w:before="96" w:afterLines="40" w:after="96"/>
              <w:jc w:val="right"/>
              <w:rPr>
                <w:sz w:val="16"/>
                <w:szCs w:val="16"/>
              </w:rPr>
            </w:pPr>
            <w:r>
              <w:rPr>
                <w:sz w:val="16"/>
                <w:szCs w:val="16"/>
              </w:rPr>
              <w:t>14 391</w:t>
            </w:r>
          </w:p>
        </w:tc>
        <w:tc>
          <w:tcPr>
            <w:tcW w:w="657" w:type="dxa"/>
            <w:noWrap/>
            <w:vAlign w:val="bottom"/>
          </w:tcPr>
          <w:p w:rsidR="00000000" w:rsidRDefault="00000000">
            <w:pPr>
              <w:spacing w:beforeLines="40" w:before="96" w:afterLines="40" w:after="96"/>
              <w:jc w:val="right"/>
              <w:rPr>
                <w:sz w:val="16"/>
                <w:szCs w:val="16"/>
              </w:rPr>
            </w:pPr>
            <w:r>
              <w:rPr>
                <w:sz w:val="16"/>
                <w:szCs w:val="16"/>
              </w:rPr>
              <w:t>14 533</w:t>
            </w:r>
          </w:p>
        </w:tc>
        <w:tc>
          <w:tcPr>
            <w:tcW w:w="657" w:type="dxa"/>
            <w:noWrap/>
            <w:vAlign w:val="bottom"/>
          </w:tcPr>
          <w:p w:rsidR="00000000" w:rsidRDefault="00000000">
            <w:pPr>
              <w:spacing w:beforeLines="40" w:before="96" w:afterLines="40" w:after="96"/>
              <w:jc w:val="right"/>
              <w:rPr>
                <w:sz w:val="16"/>
                <w:szCs w:val="16"/>
              </w:rPr>
            </w:pPr>
            <w:r>
              <w:rPr>
                <w:sz w:val="16"/>
                <w:szCs w:val="16"/>
              </w:rPr>
              <w:t>14 527</w:t>
            </w:r>
          </w:p>
        </w:tc>
        <w:tc>
          <w:tcPr>
            <w:tcW w:w="656" w:type="dxa"/>
            <w:noWrap/>
            <w:vAlign w:val="bottom"/>
          </w:tcPr>
          <w:p w:rsidR="00000000" w:rsidRDefault="00000000">
            <w:pPr>
              <w:spacing w:beforeLines="40" w:before="96" w:afterLines="40" w:after="96"/>
              <w:jc w:val="right"/>
              <w:rPr>
                <w:sz w:val="16"/>
                <w:szCs w:val="16"/>
              </w:rPr>
            </w:pPr>
            <w:r>
              <w:rPr>
                <w:sz w:val="16"/>
                <w:szCs w:val="16"/>
              </w:rPr>
              <w:t>14 500</w:t>
            </w:r>
          </w:p>
        </w:tc>
        <w:tc>
          <w:tcPr>
            <w:tcW w:w="657" w:type="dxa"/>
            <w:noWrap/>
            <w:vAlign w:val="bottom"/>
          </w:tcPr>
          <w:p w:rsidR="00000000" w:rsidRDefault="00000000">
            <w:pPr>
              <w:spacing w:beforeLines="40" w:before="96" w:afterLines="40" w:after="96"/>
              <w:jc w:val="right"/>
              <w:rPr>
                <w:sz w:val="16"/>
                <w:szCs w:val="16"/>
              </w:rPr>
            </w:pPr>
            <w:r>
              <w:rPr>
                <w:sz w:val="16"/>
                <w:szCs w:val="16"/>
              </w:rPr>
              <w:t>14 582</w:t>
            </w:r>
          </w:p>
        </w:tc>
        <w:tc>
          <w:tcPr>
            <w:tcW w:w="657" w:type="dxa"/>
            <w:noWrap/>
            <w:vAlign w:val="bottom"/>
          </w:tcPr>
          <w:p w:rsidR="00000000" w:rsidRDefault="00000000">
            <w:pPr>
              <w:spacing w:beforeLines="40" w:before="96" w:afterLines="40" w:after="96"/>
              <w:jc w:val="right"/>
              <w:rPr>
                <w:sz w:val="16"/>
                <w:szCs w:val="16"/>
              </w:rPr>
            </w:pPr>
            <w:r>
              <w:rPr>
                <w:sz w:val="16"/>
                <w:szCs w:val="16"/>
              </w:rPr>
              <w:t>14 902</w:t>
            </w:r>
          </w:p>
        </w:tc>
        <w:tc>
          <w:tcPr>
            <w:tcW w:w="657" w:type="dxa"/>
            <w:noWrap/>
            <w:vAlign w:val="bottom"/>
          </w:tcPr>
          <w:p w:rsidR="00000000" w:rsidRDefault="00000000">
            <w:pPr>
              <w:spacing w:beforeLines="40" w:before="96" w:afterLines="40" w:after="96"/>
              <w:jc w:val="right"/>
              <w:rPr>
                <w:sz w:val="16"/>
                <w:szCs w:val="16"/>
              </w:rPr>
            </w:pPr>
            <w:r>
              <w:rPr>
                <w:sz w:val="16"/>
                <w:szCs w:val="16"/>
              </w:rPr>
              <w:t>15 539</w:t>
            </w:r>
          </w:p>
        </w:tc>
      </w:tr>
      <w:tr w:rsidR="00000000">
        <w:trPr>
          <w:cantSplit/>
        </w:trPr>
        <w:tc>
          <w:tcPr>
            <w:tcW w:w="875" w:type="dxa"/>
            <w:noWrap/>
            <w:vAlign w:val="bottom"/>
          </w:tcPr>
          <w:p w:rsidR="00000000" w:rsidRDefault="00000000">
            <w:pPr>
              <w:tabs>
                <w:tab w:val="left" w:pos="240"/>
              </w:tabs>
              <w:spacing w:beforeLines="40" w:before="96" w:afterLines="40" w:after="96"/>
              <w:rPr>
                <w:sz w:val="16"/>
                <w:szCs w:val="16"/>
              </w:rPr>
            </w:pPr>
            <w:r>
              <w:rPr>
                <w:sz w:val="16"/>
                <w:szCs w:val="16"/>
              </w:rPr>
              <w:tab/>
              <w:t>72 лет</w:t>
            </w:r>
          </w:p>
        </w:tc>
        <w:tc>
          <w:tcPr>
            <w:tcW w:w="656" w:type="dxa"/>
            <w:noWrap/>
            <w:vAlign w:val="bottom"/>
          </w:tcPr>
          <w:p w:rsidR="00000000" w:rsidRDefault="00000000">
            <w:pPr>
              <w:spacing w:beforeLines="40" w:before="96" w:afterLines="40" w:after="96"/>
              <w:jc w:val="right"/>
              <w:rPr>
                <w:sz w:val="16"/>
                <w:szCs w:val="16"/>
              </w:rPr>
            </w:pPr>
            <w:r>
              <w:rPr>
                <w:sz w:val="16"/>
                <w:szCs w:val="16"/>
              </w:rPr>
              <w:t>10 968</w:t>
            </w:r>
          </w:p>
        </w:tc>
        <w:tc>
          <w:tcPr>
            <w:tcW w:w="657" w:type="dxa"/>
            <w:noWrap/>
            <w:vAlign w:val="bottom"/>
          </w:tcPr>
          <w:p w:rsidR="00000000" w:rsidRDefault="00000000">
            <w:pPr>
              <w:spacing w:beforeLines="40" w:before="96" w:afterLines="40" w:after="96"/>
              <w:jc w:val="right"/>
              <w:rPr>
                <w:sz w:val="16"/>
                <w:szCs w:val="16"/>
              </w:rPr>
            </w:pPr>
            <w:r>
              <w:rPr>
                <w:sz w:val="16"/>
                <w:szCs w:val="16"/>
              </w:rPr>
              <w:t>11 355</w:t>
            </w:r>
          </w:p>
        </w:tc>
        <w:tc>
          <w:tcPr>
            <w:tcW w:w="657" w:type="dxa"/>
            <w:noWrap/>
            <w:vAlign w:val="bottom"/>
          </w:tcPr>
          <w:p w:rsidR="00000000" w:rsidRDefault="00000000">
            <w:pPr>
              <w:spacing w:beforeLines="40" w:before="96" w:afterLines="40" w:after="96"/>
              <w:jc w:val="right"/>
              <w:rPr>
                <w:sz w:val="16"/>
                <w:szCs w:val="16"/>
              </w:rPr>
            </w:pPr>
            <w:r>
              <w:rPr>
                <w:sz w:val="16"/>
                <w:szCs w:val="16"/>
              </w:rPr>
              <w:t>11 854</w:t>
            </w:r>
          </w:p>
        </w:tc>
        <w:tc>
          <w:tcPr>
            <w:tcW w:w="656" w:type="dxa"/>
            <w:noWrap/>
            <w:vAlign w:val="bottom"/>
          </w:tcPr>
          <w:p w:rsidR="00000000" w:rsidRDefault="00000000">
            <w:pPr>
              <w:spacing w:beforeLines="40" w:before="96" w:afterLines="40" w:after="96"/>
              <w:jc w:val="right"/>
              <w:rPr>
                <w:sz w:val="16"/>
                <w:szCs w:val="16"/>
              </w:rPr>
            </w:pPr>
            <w:r>
              <w:rPr>
                <w:sz w:val="16"/>
                <w:szCs w:val="16"/>
              </w:rPr>
              <w:t>12 449</w:t>
            </w:r>
          </w:p>
        </w:tc>
        <w:tc>
          <w:tcPr>
            <w:tcW w:w="657" w:type="dxa"/>
            <w:noWrap/>
            <w:vAlign w:val="bottom"/>
          </w:tcPr>
          <w:p w:rsidR="00000000" w:rsidRDefault="00000000">
            <w:pPr>
              <w:spacing w:beforeLines="40" w:before="96" w:afterLines="40" w:after="96"/>
              <w:jc w:val="right"/>
              <w:rPr>
                <w:sz w:val="16"/>
                <w:szCs w:val="16"/>
              </w:rPr>
            </w:pPr>
            <w:r>
              <w:rPr>
                <w:sz w:val="16"/>
                <w:szCs w:val="16"/>
              </w:rPr>
              <w:t>13 053</w:t>
            </w:r>
          </w:p>
        </w:tc>
        <w:tc>
          <w:tcPr>
            <w:tcW w:w="657" w:type="dxa"/>
            <w:noWrap/>
            <w:vAlign w:val="bottom"/>
          </w:tcPr>
          <w:p w:rsidR="00000000" w:rsidRDefault="00000000">
            <w:pPr>
              <w:spacing w:beforeLines="40" w:before="96" w:afterLines="40" w:after="96"/>
              <w:jc w:val="right"/>
              <w:rPr>
                <w:sz w:val="16"/>
                <w:szCs w:val="16"/>
              </w:rPr>
            </w:pPr>
            <w:r>
              <w:rPr>
                <w:sz w:val="16"/>
                <w:szCs w:val="16"/>
              </w:rPr>
              <w:t>13 577</w:t>
            </w:r>
          </w:p>
        </w:tc>
        <w:tc>
          <w:tcPr>
            <w:tcW w:w="656" w:type="dxa"/>
            <w:noWrap/>
            <w:vAlign w:val="bottom"/>
          </w:tcPr>
          <w:p w:rsidR="00000000" w:rsidRDefault="00000000">
            <w:pPr>
              <w:spacing w:beforeLines="40" w:before="96" w:afterLines="40" w:after="96"/>
              <w:jc w:val="right"/>
              <w:rPr>
                <w:sz w:val="16"/>
                <w:szCs w:val="16"/>
              </w:rPr>
            </w:pPr>
            <w:r>
              <w:rPr>
                <w:sz w:val="16"/>
                <w:szCs w:val="16"/>
              </w:rPr>
              <w:t>13 931</w:t>
            </w:r>
          </w:p>
        </w:tc>
        <w:tc>
          <w:tcPr>
            <w:tcW w:w="657" w:type="dxa"/>
            <w:noWrap/>
            <w:vAlign w:val="bottom"/>
          </w:tcPr>
          <w:p w:rsidR="00000000" w:rsidRDefault="00000000">
            <w:pPr>
              <w:spacing w:beforeLines="40" w:before="96" w:afterLines="40" w:after="96"/>
              <w:jc w:val="right"/>
              <w:rPr>
                <w:sz w:val="16"/>
                <w:szCs w:val="16"/>
              </w:rPr>
            </w:pPr>
            <w:r>
              <w:rPr>
                <w:sz w:val="16"/>
                <w:szCs w:val="16"/>
              </w:rPr>
              <w:t>13 999</w:t>
            </w:r>
          </w:p>
        </w:tc>
        <w:tc>
          <w:tcPr>
            <w:tcW w:w="657" w:type="dxa"/>
            <w:noWrap/>
            <w:vAlign w:val="bottom"/>
          </w:tcPr>
          <w:p w:rsidR="00000000" w:rsidRDefault="00000000">
            <w:pPr>
              <w:spacing w:beforeLines="40" w:before="96" w:afterLines="40" w:after="96"/>
              <w:jc w:val="right"/>
              <w:rPr>
                <w:sz w:val="16"/>
                <w:szCs w:val="16"/>
              </w:rPr>
            </w:pPr>
            <w:r>
              <w:rPr>
                <w:sz w:val="16"/>
                <w:szCs w:val="16"/>
              </w:rPr>
              <w:t>13 840</w:t>
            </w:r>
          </w:p>
        </w:tc>
        <w:tc>
          <w:tcPr>
            <w:tcW w:w="656" w:type="dxa"/>
            <w:noWrap/>
            <w:vAlign w:val="bottom"/>
          </w:tcPr>
          <w:p w:rsidR="00000000" w:rsidRDefault="00000000">
            <w:pPr>
              <w:spacing w:beforeLines="40" w:before="96" w:afterLines="40" w:after="96"/>
              <w:jc w:val="right"/>
              <w:rPr>
                <w:sz w:val="16"/>
                <w:szCs w:val="16"/>
              </w:rPr>
            </w:pPr>
            <w:r>
              <w:rPr>
                <w:sz w:val="16"/>
                <w:szCs w:val="16"/>
              </w:rPr>
              <w:t>13 629</w:t>
            </w:r>
          </w:p>
        </w:tc>
        <w:tc>
          <w:tcPr>
            <w:tcW w:w="657" w:type="dxa"/>
            <w:noWrap/>
            <w:vAlign w:val="bottom"/>
          </w:tcPr>
          <w:p w:rsidR="00000000" w:rsidRDefault="00000000">
            <w:pPr>
              <w:spacing w:beforeLines="40" w:before="96" w:afterLines="40" w:after="96"/>
              <w:jc w:val="right"/>
              <w:rPr>
                <w:sz w:val="16"/>
                <w:szCs w:val="16"/>
              </w:rPr>
            </w:pPr>
            <w:r>
              <w:rPr>
                <w:sz w:val="16"/>
                <w:szCs w:val="16"/>
              </w:rPr>
              <w:t>13 541</w:t>
            </w:r>
          </w:p>
        </w:tc>
        <w:tc>
          <w:tcPr>
            <w:tcW w:w="657" w:type="dxa"/>
            <w:noWrap/>
            <w:vAlign w:val="bottom"/>
          </w:tcPr>
          <w:p w:rsidR="00000000" w:rsidRDefault="00000000">
            <w:pPr>
              <w:spacing w:beforeLines="40" w:before="96" w:afterLines="40" w:after="96"/>
              <w:jc w:val="right"/>
              <w:rPr>
                <w:sz w:val="16"/>
                <w:szCs w:val="16"/>
              </w:rPr>
            </w:pPr>
            <w:r>
              <w:rPr>
                <w:sz w:val="16"/>
                <w:szCs w:val="16"/>
              </w:rPr>
              <w:t>13 752</w:t>
            </w:r>
          </w:p>
        </w:tc>
        <w:tc>
          <w:tcPr>
            <w:tcW w:w="657" w:type="dxa"/>
            <w:noWrap/>
            <w:vAlign w:val="bottom"/>
          </w:tcPr>
          <w:p w:rsidR="00000000" w:rsidRDefault="00000000">
            <w:pPr>
              <w:spacing w:beforeLines="40" w:before="96" w:afterLines="40" w:after="96"/>
              <w:jc w:val="right"/>
              <w:rPr>
                <w:sz w:val="16"/>
                <w:szCs w:val="16"/>
              </w:rPr>
            </w:pPr>
            <w:r>
              <w:rPr>
                <w:sz w:val="16"/>
                <w:szCs w:val="16"/>
              </w:rPr>
              <w:t>14 358</w:t>
            </w:r>
          </w:p>
        </w:tc>
      </w:tr>
      <w:tr w:rsidR="00000000">
        <w:trPr>
          <w:cantSplit/>
        </w:trPr>
        <w:tc>
          <w:tcPr>
            <w:tcW w:w="875" w:type="dxa"/>
            <w:noWrap/>
            <w:vAlign w:val="bottom"/>
          </w:tcPr>
          <w:p w:rsidR="00000000" w:rsidRDefault="00000000">
            <w:pPr>
              <w:tabs>
                <w:tab w:val="left" w:pos="240"/>
              </w:tabs>
              <w:spacing w:beforeLines="40" w:before="96" w:afterLines="40" w:after="96"/>
              <w:rPr>
                <w:sz w:val="16"/>
                <w:szCs w:val="16"/>
              </w:rPr>
            </w:pPr>
            <w:r>
              <w:rPr>
                <w:sz w:val="16"/>
                <w:szCs w:val="16"/>
              </w:rPr>
              <w:tab/>
              <w:t>73 лет</w:t>
            </w:r>
          </w:p>
        </w:tc>
        <w:tc>
          <w:tcPr>
            <w:tcW w:w="656" w:type="dxa"/>
            <w:noWrap/>
            <w:vAlign w:val="bottom"/>
          </w:tcPr>
          <w:p w:rsidR="00000000" w:rsidRDefault="00000000">
            <w:pPr>
              <w:spacing w:beforeLines="40" w:before="96" w:afterLines="40" w:after="96"/>
              <w:jc w:val="right"/>
              <w:rPr>
                <w:sz w:val="16"/>
                <w:szCs w:val="16"/>
              </w:rPr>
            </w:pPr>
            <w:r>
              <w:rPr>
                <w:sz w:val="16"/>
                <w:szCs w:val="16"/>
              </w:rPr>
              <w:t>10 175</w:t>
            </w:r>
          </w:p>
        </w:tc>
        <w:tc>
          <w:tcPr>
            <w:tcW w:w="657" w:type="dxa"/>
            <w:noWrap/>
            <w:vAlign w:val="bottom"/>
          </w:tcPr>
          <w:p w:rsidR="00000000" w:rsidRDefault="00000000">
            <w:pPr>
              <w:spacing w:beforeLines="40" w:before="96" w:afterLines="40" w:after="96"/>
              <w:jc w:val="right"/>
              <w:rPr>
                <w:sz w:val="16"/>
                <w:szCs w:val="16"/>
              </w:rPr>
            </w:pPr>
            <w:r>
              <w:rPr>
                <w:sz w:val="16"/>
                <w:szCs w:val="16"/>
              </w:rPr>
              <w:t>10 550</w:t>
            </w:r>
          </w:p>
        </w:tc>
        <w:tc>
          <w:tcPr>
            <w:tcW w:w="657" w:type="dxa"/>
            <w:noWrap/>
            <w:vAlign w:val="bottom"/>
          </w:tcPr>
          <w:p w:rsidR="00000000" w:rsidRDefault="00000000">
            <w:pPr>
              <w:spacing w:beforeLines="40" w:before="96" w:afterLines="40" w:after="96"/>
              <w:jc w:val="right"/>
              <w:rPr>
                <w:sz w:val="16"/>
                <w:szCs w:val="16"/>
              </w:rPr>
            </w:pPr>
            <w:r>
              <w:rPr>
                <w:sz w:val="16"/>
                <w:szCs w:val="16"/>
              </w:rPr>
              <w:t>11 036</w:t>
            </w:r>
          </w:p>
        </w:tc>
        <w:tc>
          <w:tcPr>
            <w:tcW w:w="656" w:type="dxa"/>
            <w:noWrap/>
            <w:vAlign w:val="bottom"/>
          </w:tcPr>
          <w:p w:rsidR="00000000" w:rsidRDefault="00000000">
            <w:pPr>
              <w:spacing w:beforeLines="40" w:before="96" w:afterLines="40" w:after="96"/>
              <w:jc w:val="right"/>
              <w:rPr>
                <w:sz w:val="16"/>
                <w:szCs w:val="16"/>
              </w:rPr>
            </w:pPr>
            <w:r>
              <w:rPr>
                <w:sz w:val="16"/>
                <w:szCs w:val="16"/>
              </w:rPr>
              <w:t>11 619</w:t>
            </w:r>
          </w:p>
        </w:tc>
        <w:tc>
          <w:tcPr>
            <w:tcW w:w="657" w:type="dxa"/>
            <w:noWrap/>
            <w:vAlign w:val="bottom"/>
          </w:tcPr>
          <w:p w:rsidR="00000000" w:rsidRDefault="00000000">
            <w:pPr>
              <w:spacing w:beforeLines="40" w:before="96" w:afterLines="40" w:after="96"/>
              <w:jc w:val="right"/>
              <w:rPr>
                <w:sz w:val="16"/>
                <w:szCs w:val="16"/>
              </w:rPr>
            </w:pPr>
            <w:r>
              <w:rPr>
                <w:sz w:val="16"/>
                <w:szCs w:val="16"/>
              </w:rPr>
              <w:t>12 214</w:t>
            </w:r>
          </w:p>
        </w:tc>
        <w:tc>
          <w:tcPr>
            <w:tcW w:w="657" w:type="dxa"/>
            <w:noWrap/>
            <w:vAlign w:val="bottom"/>
          </w:tcPr>
          <w:p w:rsidR="00000000" w:rsidRDefault="00000000">
            <w:pPr>
              <w:spacing w:beforeLines="40" w:before="96" w:afterLines="40" w:after="96"/>
              <w:jc w:val="right"/>
              <w:rPr>
                <w:sz w:val="16"/>
                <w:szCs w:val="16"/>
              </w:rPr>
            </w:pPr>
            <w:r>
              <w:rPr>
                <w:sz w:val="16"/>
                <w:szCs w:val="16"/>
              </w:rPr>
              <w:t>12 735</w:t>
            </w:r>
          </w:p>
        </w:tc>
        <w:tc>
          <w:tcPr>
            <w:tcW w:w="656" w:type="dxa"/>
            <w:noWrap/>
            <w:vAlign w:val="bottom"/>
          </w:tcPr>
          <w:p w:rsidR="00000000" w:rsidRDefault="00000000">
            <w:pPr>
              <w:spacing w:beforeLines="40" w:before="96" w:afterLines="40" w:after="96"/>
              <w:jc w:val="right"/>
              <w:rPr>
                <w:sz w:val="16"/>
                <w:szCs w:val="16"/>
              </w:rPr>
            </w:pPr>
            <w:r>
              <w:rPr>
                <w:sz w:val="16"/>
                <w:szCs w:val="16"/>
              </w:rPr>
              <w:t>13 097</w:t>
            </w:r>
          </w:p>
        </w:tc>
        <w:tc>
          <w:tcPr>
            <w:tcW w:w="657" w:type="dxa"/>
            <w:noWrap/>
            <w:vAlign w:val="bottom"/>
          </w:tcPr>
          <w:p w:rsidR="00000000" w:rsidRDefault="00000000">
            <w:pPr>
              <w:spacing w:beforeLines="40" w:before="96" w:afterLines="40" w:after="96"/>
              <w:jc w:val="right"/>
              <w:rPr>
                <w:sz w:val="16"/>
                <w:szCs w:val="16"/>
              </w:rPr>
            </w:pPr>
            <w:r>
              <w:rPr>
                <w:sz w:val="16"/>
                <w:szCs w:val="16"/>
              </w:rPr>
              <w:t>13 199</w:t>
            </w:r>
          </w:p>
        </w:tc>
        <w:tc>
          <w:tcPr>
            <w:tcW w:w="657" w:type="dxa"/>
            <w:noWrap/>
            <w:vAlign w:val="bottom"/>
          </w:tcPr>
          <w:p w:rsidR="00000000" w:rsidRDefault="00000000">
            <w:pPr>
              <w:spacing w:beforeLines="40" w:before="96" w:afterLines="40" w:after="96"/>
              <w:jc w:val="right"/>
              <w:rPr>
                <w:sz w:val="16"/>
                <w:szCs w:val="16"/>
              </w:rPr>
            </w:pPr>
            <w:r>
              <w:rPr>
                <w:sz w:val="16"/>
                <w:szCs w:val="16"/>
              </w:rPr>
              <w:t>13 100</w:t>
            </w:r>
          </w:p>
        </w:tc>
        <w:tc>
          <w:tcPr>
            <w:tcW w:w="656" w:type="dxa"/>
            <w:noWrap/>
            <w:vAlign w:val="bottom"/>
          </w:tcPr>
          <w:p w:rsidR="00000000" w:rsidRDefault="00000000">
            <w:pPr>
              <w:spacing w:beforeLines="40" w:before="96" w:afterLines="40" w:after="96"/>
              <w:jc w:val="right"/>
              <w:rPr>
                <w:sz w:val="16"/>
                <w:szCs w:val="16"/>
              </w:rPr>
            </w:pPr>
            <w:r>
              <w:rPr>
                <w:sz w:val="16"/>
                <w:szCs w:val="16"/>
              </w:rPr>
              <w:t>12 948</w:t>
            </w:r>
          </w:p>
        </w:tc>
        <w:tc>
          <w:tcPr>
            <w:tcW w:w="657" w:type="dxa"/>
            <w:noWrap/>
            <w:vAlign w:val="bottom"/>
          </w:tcPr>
          <w:p w:rsidR="00000000" w:rsidRDefault="00000000">
            <w:pPr>
              <w:spacing w:beforeLines="40" w:before="96" w:afterLines="40" w:after="96"/>
              <w:jc w:val="right"/>
              <w:rPr>
                <w:sz w:val="16"/>
                <w:szCs w:val="16"/>
              </w:rPr>
            </w:pPr>
            <w:r>
              <w:rPr>
                <w:sz w:val="16"/>
                <w:szCs w:val="16"/>
              </w:rPr>
              <w:t>12 894</w:t>
            </w:r>
          </w:p>
        </w:tc>
        <w:tc>
          <w:tcPr>
            <w:tcW w:w="657" w:type="dxa"/>
            <w:noWrap/>
            <w:vAlign w:val="bottom"/>
          </w:tcPr>
          <w:p w:rsidR="00000000" w:rsidRDefault="00000000">
            <w:pPr>
              <w:spacing w:beforeLines="40" w:before="96" w:afterLines="40" w:after="96"/>
              <w:jc w:val="right"/>
              <w:rPr>
                <w:sz w:val="16"/>
                <w:szCs w:val="16"/>
              </w:rPr>
            </w:pPr>
            <w:r>
              <w:rPr>
                <w:sz w:val="16"/>
                <w:szCs w:val="16"/>
              </w:rPr>
              <w:t>13 088</w:t>
            </w:r>
          </w:p>
        </w:tc>
        <w:tc>
          <w:tcPr>
            <w:tcW w:w="657" w:type="dxa"/>
            <w:noWrap/>
            <w:vAlign w:val="bottom"/>
          </w:tcPr>
          <w:p w:rsidR="00000000" w:rsidRDefault="00000000">
            <w:pPr>
              <w:spacing w:beforeLines="40" w:before="96" w:afterLines="40" w:after="96"/>
              <w:jc w:val="right"/>
              <w:rPr>
                <w:sz w:val="16"/>
                <w:szCs w:val="16"/>
              </w:rPr>
            </w:pPr>
            <w:r>
              <w:rPr>
                <w:sz w:val="16"/>
                <w:szCs w:val="16"/>
              </w:rPr>
              <w:t>13 603</w:t>
            </w:r>
          </w:p>
        </w:tc>
      </w:tr>
      <w:tr w:rsidR="00000000">
        <w:trPr>
          <w:cantSplit/>
        </w:trPr>
        <w:tc>
          <w:tcPr>
            <w:tcW w:w="875" w:type="dxa"/>
            <w:noWrap/>
            <w:vAlign w:val="bottom"/>
          </w:tcPr>
          <w:p w:rsidR="00000000" w:rsidRDefault="00000000">
            <w:pPr>
              <w:tabs>
                <w:tab w:val="left" w:pos="240"/>
              </w:tabs>
              <w:spacing w:beforeLines="40" w:before="96" w:afterLines="40" w:after="96"/>
              <w:rPr>
                <w:sz w:val="16"/>
                <w:szCs w:val="16"/>
              </w:rPr>
            </w:pPr>
            <w:r>
              <w:rPr>
                <w:sz w:val="16"/>
                <w:szCs w:val="16"/>
              </w:rPr>
              <w:tab/>
              <w:t>74 лет</w:t>
            </w:r>
          </w:p>
        </w:tc>
        <w:tc>
          <w:tcPr>
            <w:tcW w:w="656" w:type="dxa"/>
            <w:noWrap/>
            <w:vAlign w:val="bottom"/>
          </w:tcPr>
          <w:p w:rsidR="00000000" w:rsidRDefault="00000000">
            <w:pPr>
              <w:spacing w:beforeLines="40" w:before="96" w:afterLines="40" w:after="96"/>
              <w:jc w:val="right"/>
              <w:rPr>
                <w:sz w:val="16"/>
                <w:szCs w:val="16"/>
              </w:rPr>
            </w:pPr>
            <w:r>
              <w:rPr>
                <w:sz w:val="16"/>
                <w:szCs w:val="16"/>
              </w:rPr>
              <w:t>9 481</w:t>
            </w:r>
          </w:p>
        </w:tc>
        <w:tc>
          <w:tcPr>
            <w:tcW w:w="657" w:type="dxa"/>
            <w:noWrap/>
            <w:vAlign w:val="bottom"/>
          </w:tcPr>
          <w:p w:rsidR="00000000" w:rsidRDefault="00000000">
            <w:pPr>
              <w:spacing w:beforeLines="40" w:before="96" w:afterLines="40" w:after="96"/>
              <w:jc w:val="right"/>
              <w:rPr>
                <w:sz w:val="16"/>
                <w:szCs w:val="16"/>
              </w:rPr>
            </w:pPr>
            <w:r>
              <w:rPr>
                <w:sz w:val="16"/>
                <w:szCs w:val="16"/>
              </w:rPr>
              <w:t>9 835</w:t>
            </w:r>
          </w:p>
        </w:tc>
        <w:tc>
          <w:tcPr>
            <w:tcW w:w="657" w:type="dxa"/>
            <w:noWrap/>
            <w:vAlign w:val="bottom"/>
          </w:tcPr>
          <w:p w:rsidR="00000000" w:rsidRDefault="00000000">
            <w:pPr>
              <w:spacing w:beforeLines="40" w:before="96" w:afterLines="40" w:after="96"/>
              <w:jc w:val="right"/>
              <w:rPr>
                <w:sz w:val="16"/>
                <w:szCs w:val="16"/>
              </w:rPr>
            </w:pPr>
            <w:r>
              <w:rPr>
                <w:sz w:val="16"/>
                <w:szCs w:val="16"/>
              </w:rPr>
              <w:t>10 256</w:t>
            </w:r>
          </w:p>
        </w:tc>
        <w:tc>
          <w:tcPr>
            <w:tcW w:w="656" w:type="dxa"/>
            <w:noWrap/>
            <w:vAlign w:val="bottom"/>
          </w:tcPr>
          <w:p w:rsidR="00000000" w:rsidRDefault="00000000">
            <w:pPr>
              <w:spacing w:beforeLines="40" w:before="96" w:afterLines="40" w:after="96"/>
              <w:jc w:val="right"/>
              <w:rPr>
                <w:sz w:val="16"/>
                <w:szCs w:val="16"/>
              </w:rPr>
            </w:pPr>
            <w:r>
              <w:rPr>
                <w:sz w:val="16"/>
                <w:szCs w:val="16"/>
              </w:rPr>
              <w:t>10 737</w:t>
            </w:r>
          </w:p>
        </w:tc>
        <w:tc>
          <w:tcPr>
            <w:tcW w:w="657" w:type="dxa"/>
            <w:noWrap/>
            <w:vAlign w:val="bottom"/>
          </w:tcPr>
          <w:p w:rsidR="00000000" w:rsidRDefault="00000000">
            <w:pPr>
              <w:spacing w:beforeLines="40" w:before="96" w:afterLines="40" w:after="96"/>
              <w:jc w:val="right"/>
              <w:rPr>
                <w:sz w:val="16"/>
                <w:szCs w:val="16"/>
              </w:rPr>
            </w:pPr>
            <w:r>
              <w:rPr>
                <w:sz w:val="16"/>
                <w:szCs w:val="16"/>
              </w:rPr>
              <w:t>11 227</w:t>
            </w:r>
          </w:p>
        </w:tc>
        <w:tc>
          <w:tcPr>
            <w:tcW w:w="657" w:type="dxa"/>
            <w:noWrap/>
            <w:vAlign w:val="bottom"/>
          </w:tcPr>
          <w:p w:rsidR="00000000" w:rsidRDefault="00000000">
            <w:pPr>
              <w:spacing w:beforeLines="40" w:before="96" w:afterLines="40" w:after="96"/>
              <w:jc w:val="right"/>
              <w:rPr>
                <w:sz w:val="16"/>
                <w:szCs w:val="16"/>
              </w:rPr>
            </w:pPr>
            <w:r>
              <w:rPr>
                <w:sz w:val="16"/>
                <w:szCs w:val="16"/>
              </w:rPr>
              <w:t>11 674</w:t>
            </w:r>
          </w:p>
        </w:tc>
        <w:tc>
          <w:tcPr>
            <w:tcW w:w="656" w:type="dxa"/>
            <w:noWrap/>
            <w:vAlign w:val="bottom"/>
          </w:tcPr>
          <w:p w:rsidR="00000000" w:rsidRDefault="00000000">
            <w:pPr>
              <w:spacing w:beforeLines="40" w:before="96" w:afterLines="40" w:after="96"/>
              <w:jc w:val="right"/>
              <w:rPr>
                <w:sz w:val="16"/>
                <w:szCs w:val="16"/>
              </w:rPr>
            </w:pPr>
            <w:r>
              <w:rPr>
                <w:sz w:val="16"/>
                <w:szCs w:val="16"/>
              </w:rPr>
              <w:t>12 028</w:t>
            </w:r>
          </w:p>
        </w:tc>
        <w:tc>
          <w:tcPr>
            <w:tcW w:w="657" w:type="dxa"/>
            <w:noWrap/>
            <w:vAlign w:val="bottom"/>
          </w:tcPr>
          <w:p w:rsidR="00000000" w:rsidRDefault="00000000">
            <w:pPr>
              <w:spacing w:beforeLines="40" w:before="96" w:afterLines="40" w:after="96"/>
              <w:jc w:val="right"/>
              <w:rPr>
                <w:sz w:val="16"/>
                <w:szCs w:val="16"/>
              </w:rPr>
            </w:pPr>
            <w:r>
              <w:rPr>
                <w:sz w:val="16"/>
                <w:szCs w:val="16"/>
              </w:rPr>
              <w:t>12 233</w:t>
            </w:r>
          </w:p>
        </w:tc>
        <w:tc>
          <w:tcPr>
            <w:tcW w:w="657" w:type="dxa"/>
            <w:noWrap/>
            <w:vAlign w:val="bottom"/>
          </w:tcPr>
          <w:p w:rsidR="00000000" w:rsidRDefault="00000000">
            <w:pPr>
              <w:spacing w:beforeLines="40" w:before="96" w:afterLines="40" w:after="96"/>
              <w:jc w:val="right"/>
              <w:rPr>
                <w:sz w:val="16"/>
                <w:szCs w:val="16"/>
              </w:rPr>
            </w:pPr>
            <w:r>
              <w:rPr>
                <w:sz w:val="16"/>
                <w:szCs w:val="16"/>
              </w:rPr>
              <w:t>12 325</w:t>
            </w:r>
          </w:p>
        </w:tc>
        <w:tc>
          <w:tcPr>
            <w:tcW w:w="656" w:type="dxa"/>
            <w:noWrap/>
            <w:vAlign w:val="bottom"/>
          </w:tcPr>
          <w:p w:rsidR="00000000" w:rsidRDefault="00000000">
            <w:pPr>
              <w:spacing w:beforeLines="40" w:before="96" w:afterLines="40" w:after="96"/>
              <w:jc w:val="right"/>
              <w:rPr>
                <w:sz w:val="16"/>
                <w:szCs w:val="16"/>
              </w:rPr>
            </w:pPr>
            <w:r>
              <w:rPr>
                <w:sz w:val="16"/>
                <w:szCs w:val="16"/>
              </w:rPr>
              <w:t>12 384</w:t>
            </w:r>
          </w:p>
        </w:tc>
        <w:tc>
          <w:tcPr>
            <w:tcW w:w="657" w:type="dxa"/>
            <w:noWrap/>
            <w:vAlign w:val="bottom"/>
          </w:tcPr>
          <w:p w:rsidR="00000000" w:rsidRDefault="00000000">
            <w:pPr>
              <w:spacing w:beforeLines="40" w:before="96" w:afterLines="40" w:after="96"/>
              <w:jc w:val="right"/>
              <w:rPr>
                <w:sz w:val="16"/>
                <w:szCs w:val="16"/>
              </w:rPr>
            </w:pPr>
            <w:r>
              <w:rPr>
                <w:sz w:val="16"/>
                <w:szCs w:val="16"/>
              </w:rPr>
              <w:t>12 492</w:t>
            </w:r>
          </w:p>
        </w:tc>
        <w:tc>
          <w:tcPr>
            <w:tcW w:w="657" w:type="dxa"/>
            <w:noWrap/>
            <w:vAlign w:val="bottom"/>
          </w:tcPr>
          <w:p w:rsidR="00000000" w:rsidRDefault="00000000">
            <w:pPr>
              <w:spacing w:beforeLines="40" w:before="96" w:afterLines="40" w:after="96"/>
              <w:jc w:val="right"/>
              <w:rPr>
                <w:sz w:val="16"/>
                <w:szCs w:val="16"/>
              </w:rPr>
            </w:pPr>
            <w:r>
              <w:rPr>
                <w:sz w:val="16"/>
                <w:szCs w:val="16"/>
              </w:rPr>
              <w:t>12 729</w:t>
            </w:r>
          </w:p>
        </w:tc>
        <w:tc>
          <w:tcPr>
            <w:tcW w:w="657" w:type="dxa"/>
            <w:noWrap/>
            <w:vAlign w:val="bottom"/>
          </w:tcPr>
          <w:p w:rsidR="00000000" w:rsidRDefault="00000000">
            <w:pPr>
              <w:spacing w:beforeLines="40" w:before="96" w:afterLines="40" w:after="96"/>
              <w:jc w:val="right"/>
              <w:rPr>
                <w:sz w:val="16"/>
                <w:szCs w:val="16"/>
              </w:rPr>
            </w:pPr>
            <w:r>
              <w:rPr>
                <w:sz w:val="16"/>
                <w:szCs w:val="16"/>
              </w:rPr>
              <w:t>13 120</w:t>
            </w:r>
          </w:p>
        </w:tc>
      </w:tr>
      <w:tr w:rsidR="00000000">
        <w:trPr>
          <w:cantSplit/>
        </w:trPr>
        <w:tc>
          <w:tcPr>
            <w:tcW w:w="875" w:type="dxa"/>
            <w:noWrap/>
            <w:vAlign w:val="bottom"/>
          </w:tcPr>
          <w:p w:rsidR="00000000" w:rsidRDefault="00000000">
            <w:pPr>
              <w:spacing w:beforeLines="40" w:before="96" w:afterLines="40" w:after="96"/>
              <w:rPr>
                <w:sz w:val="16"/>
                <w:szCs w:val="16"/>
              </w:rPr>
            </w:pPr>
            <w:r>
              <w:rPr>
                <w:sz w:val="16"/>
                <w:szCs w:val="16"/>
              </w:rPr>
              <w:t>от 75 до 79 лет</w:t>
            </w:r>
          </w:p>
        </w:tc>
        <w:tc>
          <w:tcPr>
            <w:tcW w:w="656" w:type="dxa"/>
            <w:noWrap/>
            <w:vAlign w:val="bottom"/>
          </w:tcPr>
          <w:p w:rsidR="00000000" w:rsidRDefault="00000000">
            <w:pPr>
              <w:spacing w:beforeLines="40" w:before="96" w:afterLines="40" w:after="96"/>
              <w:jc w:val="right"/>
              <w:rPr>
                <w:sz w:val="16"/>
                <w:szCs w:val="16"/>
              </w:rPr>
            </w:pPr>
            <w:r>
              <w:rPr>
                <w:sz w:val="16"/>
                <w:szCs w:val="16"/>
              </w:rPr>
              <w:t>36 691</w:t>
            </w:r>
          </w:p>
        </w:tc>
        <w:tc>
          <w:tcPr>
            <w:tcW w:w="657" w:type="dxa"/>
            <w:noWrap/>
            <w:vAlign w:val="bottom"/>
          </w:tcPr>
          <w:p w:rsidR="00000000" w:rsidRDefault="00000000">
            <w:pPr>
              <w:spacing w:beforeLines="40" w:before="96" w:afterLines="40" w:after="96"/>
              <w:jc w:val="right"/>
              <w:rPr>
                <w:sz w:val="16"/>
                <w:szCs w:val="16"/>
              </w:rPr>
            </w:pPr>
            <w:r>
              <w:rPr>
                <w:sz w:val="16"/>
                <w:szCs w:val="16"/>
              </w:rPr>
              <w:t>38 129</w:t>
            </w:r>
          </w:p>
        </w:tc>
        <w:tc>
          <w:tcPr>
            <w:tcW w:w="657" w:type="dxa"/>
            <w:noWrap/>
            <w:vAlign w:val="bottom"/>
          </w:tcPr>
          <w:p w:rsidR="00000000" w:rsidRDefault="00000000">
            <w:pPr>
              <w:spacing w:beforeLines="40" w:before="96" w:afterLines="40" w:after="96"/>
              <w:jc w:val="right"/>
              <w:rPr>
                <w:sz w:val="16"/>
                <w:szCs w:val="16"/>
              </w:rPr>
            </w:pPr>
            <w:r>
              <w:rPr>
                <w:sz w:val="16"/>
                <w:szCs w:val="16"/>
              </w:rPr>
              <w:t>39 584</w:t>
            </w:r>
          </w:p>
        </w:tc>
        <w:tc>
          <w:tcPr>
            <w:tcW w:w="656" w:type="dxa"/>
            <w:noWrap/>
            <w:vAlign w:val="bottom"/>
          </w:tcPr>
          <w:p w:rsidR="00000000" w:rsidRDefault="00000000">
            <w:pPr>
              <w:spacing w:beforeLines="40" w:before="96" w:afterLines="40" w:after="96"/>
              <w:jc w:val="right"/>
              <w:rPr>
                <w:sz w:val="16"/>
                <w:szCs w:val="16"/>
              </w:rPr>
            </w:pPr>
            <w:r>
              <w:rPr>
                <w:sz w:val="16"/>
                <w:szCs w:val="16"/>
              </w:rPr>
              <w:t>41 063</w:t>
            </w:r>
          </w:p>
        </w:tc>
        <w:tc>
          <w:tcPr>
            <w:tcW w:w="657" w:type="dxa"/>
            <w:noWrap/>
            <w:vAlign w:val="bottom"/>
          </w:tcPr>
          <w:p w:rsidR="00000000" w:rsidRDefault="00000000">
            <w:pPr>
              <w:spacing w:beforeLines="40" w:before="96" w:afterLines="40" w:after="96"/>
              <w:jc w:val="right"/>
              <w:rPr>
                <w:sz w:val="16"/>
                <w:szCs w:val="16"/>
              </w:rPr>
            </w:pPr>
            <w:r>
              <w:rPr>
                <w:sz w:val="16"/>
                <w:szCs w:val="16"/>
              </w:rPr>
              <w:t>42 592</w:t>
            </w:r>
          </w:p>
        </w:tc>
        <w:tc>
          <w:tcPr>
            <w:tcW w:w="657" w:type="dxa"/>
            <w:noWrap/>
            <w:vAlign w:val="bottom"/>
          </w:tcPr>
          <w:p w:rsidR="00000000" w:rsidRDefault="00000000">
            <w:pPr>
              <w:spacing w:beforeLines="40" w:before="96" w:afterLines="40" w:after="96"/>
              <w:jc w:val="right"/>
              <w:rPr>
                <w:sz w:val="16"/>
                <w:szCs w:val="16"/>
              </w:rPr>
            </w:pPr>
            <w:r>
              <w:rPr>
                <w:sz w:val="16"/>
                <w:szCs w:val="16"/>
              </w:rPr>
              <w:t>44 200</w:t>
            </w:r>
          </w:p>
        </w:tc>
        <w:tc>
          <w:tcPr>
            <w:tcW w:w="656" w:type="dxa"/>
            <w:noWrap/>
            <w:vAlign w:val="bottom"/>
          </w:tcPr>
          <w:p w:rsidR="00000000" w:rsidRDefault="00000000">
            <w:pPr>
              <w:spacing w:beforeLines="40" w:before="96" w:afterLines="40" w:after="96"/>
              <w:jc w:val="right"/>
              <w:rPr>
                <w:sz w:val="16"/>
                <w:szCs w:val="16"/>
              </w:rPr>
            </w:pPr>
            <w:r>
              <w:rPr>
                <w:sz w:val="16"/>
                <w:szCs w:val="16"/>
              </w:rPr>
              <w:t>45 911</w:t>
            </w:r>
          </w:p>
        </w:tc>
        <w:tc>
          <w:tcPr>
            <w:tcW w:w="657" w:type="dxa"/>
            <w:noWrap/>
            <w:vAlign w:val="bottom"/>
          </w:tcPr>
          <w:p w:rsidR="00000000" w:rsidRDefault="00000000">
            <w:pPr>
              <w:spacing w:beforeLines="40" w:before="96" w:afterLines="40" w:after="96"/>
              <w:jc w:val="right"/>
              <w:rPr>
                <w:sz w:val="16"/>
                <w:szCs w:val="16"/>
              </w:rPr>
            </w:pPr>
            <w:r>
              <w:rPr>
                <w:sz w:val="16"/>
                <w:szCs w:val="16"/>
              </w:rPr>
              <w:t>47 876</w:t>
            </w:r>
          </w:p>
        </w:tc>
        <w:tc>
          <w:tcPr>
            <w:tcW w:w="657" w:type="dxa"/>
            <w:noWrap/>
            <w:vAlign w:val="bottom"/>
          </w:tcPr>
          <w:p w:rsidR="00000000" w:rsidRDefault="00000000">
            <w:pPr>
              <w:spacing w:beforeLines="40" w:before="96" w:afterLines="40" w:after="96"/>
              <w:jc w:val="right"/>
              <w:rPr>
                <w:sz w:val="16"/>
                <w:szCs w:val="16"/>
              </w:rPr>
            </w:pPr>
            <w:r>
              <w:rPr>
                <w:sz w:val="16"/>
                <w:szCs w:val="16"/>
              </w:rPr>
              <w:t>50 078</w:t>
            </w:r>
          </w:p>
        </w:tc>
        <w:tc>
          <w:tcPr>
            <w:tcW w:w="656" w:type="dxa"/>
            <w:noWrap/>
            <w:vAlign w:val="bottom"/>
          </w:tcPr>
          <w:p w:rsidR="00000000" w:rsidRDefault="00000000">
            <w:pPr>
              <w:spacing w:beforeLines="40" w:before="96" w:afterLines="40" w:after="96"/>
              <w:jc w:val="right"/>
              <w:rPr>
                <w:sz w:val="16"/>
                <w:szCs w:val="16"/>
              </w:rPr>
            </w:pPr>
            <w:r>
              <w:rPr>
                <w:sz w:val="16"/>
                <w:szCs w:val="16"/>
              </w:rPr>
              <w:t>52 291</w:t>
            </w:r>
          </w:p>
        </w:tc>
        <w:tc>
          <w:tcPr>
            <w:tcW w:w="657" w:type="dxa"/>
            <w:noWrap/>
            <w:vAlign w:val="bottom"/>
          </w:tcPr>
          <w:p w:rsidR="00000000" w:rsidRDefault="00000000">
            <w:pPr>
              <w:spacing w:beforeLines="40" w:before="96" w:afterLines="40" w:after="96"/>
              <w:jc w:val="right"/>
              <w:rPr>
                <w:sz w:val="16"/>
                <w:szCs w:val="16"/>
              </w:rPr>
            </w:pPr>
            <w:r>
              <w:rPr>
                <w:sz w:val="16"/>
                <w:szCs w:val="16"/>
              </w:rPr>
              <w:t>54 290</w:t>
            </w:r>
          </w:p>
        </w:tc>
        <w:tc>
          <w:tcPr>
            <w:tcW w:w="657" w:type="dxa"/>
            <w:noWrap/>
            <w:vAlign w:val="bottom"/>
          </w:tcPr>
          <w:p w:rsidR="00000000" w:rsidRDefault="00000000">
            <w:pPr>
              <w:spacing w:beforeLines="40" w:before="96" w:afterLines="40" w:after="96"/>
              <w:jc w:val="right"/>
              <w:rPr>
                <w:sz w:val="16"/>
                <w:szCs w:val="16"/>
              </w:rPr>
            </w:pPr>
            <w:r>
              <w:rPr>
                <w:sz w:val="16"/>
                <w:szCs w:val="16"/>
              </w:rPr>
              <w:t>55 851</w:t>
            </w:r>
          </w:p>
        </w:tc>
        <w:tc>
          <w:tcPr>
            <w:tcW w:w="657" w:type="dxa"/>
            <w:noWrap/>
            <w:vAlign w:val="bottom"/>
          </w:tcPr>
          <w:p w:rsidR="00000000" w:rsidRDefault="00000000">
            <w:pPr>
              <w:spacing w:beforeLines="40" w:before="96" w:afterLines="40" w:after="96"/>
              <w:jc w:val="right"/>
              <w:rPr>
                <w:sz w:val="16"/>
                <w:szCs w:val="16"/>
              </w:rPr>
            </w:pPr>
            <w:r>
              <w:rPr>
                <w:sz w:val="16"/>
                <w:szCs w:val="16"/>
              </w:rPr>
              <w:t>56 643</w:t>
            </w:r>
          </w:p>
        </w:tc>
      </w:tr>
      <w:tr w:rsidR="00000000">
        <w:trPr>
          <w:cantSplit/>
        </w:trPr>
        <w:tc>
          <w:tcPr>
            <w:tcW w:w="875" w:type="dxa"/>
            <w:noWrap/>
            <w:vAlign w:val="bottom"/>
          </w:tcPr>
          <w:p w:rsidR="00000000" w:rsidRDefault="00000000">
            <w:pPr>
              <w:tabs>
                <w:tab w:val="left" w:pos="240"/>
              </w:tabs>
              <w:spacing w:beforeLines="40" w:before="96" w:afterLines="40" w:after="96"/>
              <w:rPr>
                <w:sz w:val="16"/>
                <w:szCs w:val="16"/>
              </w:rPr>
            </w:pPr>
            <w:r>
              <w:rPr>
                <w:sz w:val="16"/>
                <w:szCs w:val="16"/>
              </w:rPr>
              <w:tab/>
              <w:t>75 лет</w:t>
            </w:r>
          </w:p>
        </w:tc>
        <w:tc>
          <w:tcPr>
            <w:tcW w:w="656" w:type="dxa"/>
            <w:noWrap/>
            <w:vAlign w:val="bottom"/>
          </w:tcPr>
          <w:p w:rsidR="00000000" w:rsidRDefault="00000000">
            <w:pPr>
              <w:spacing w:beforeLines="40" w:before="96" w:afterLines="40" w:after="96"/>
              <w:jc w:val="right"/>
              <w:rPr>
                <w:sz w:val="16"/>
                <w:szCs w:val="16"/>
              </w:rPr>
            </w:pPr>
            <w:r>
              <w:rPr>
                <w:sz w:val="16"/>
                <w:szCs w:val="16"/>
              </w:rPr>
              <w:t>8 766</w:t>
            </w:r>
          </w:p>
        </w:tc>
        <w:tc>
          <w:tcPr>
            <w:tcW w:w="657" w:type="dxa"/>
            <w:noWrap/>
            <w:vAlign w:val="bottom"/>
          </w:tcPr>
          <w:p w:rsidR="00000000" w:rsidRDefault="00000000">
            <w:pPr>
              <w:spacing w:beforeLines="40" w:before="96" w:afterLines="40" w:after="96"/>
              <w:jc w:val="right"/>
              <w:rPr>
                <w:sz w:val="16"/>
                <w:szCs w:val="16"/>
              </w:rPr>
            </w:pPr>
            <w:r>
              <w:rPr>
                <w:sz w:val="16"/>
                <w:szCs w:val="16"/>
              </w:rPr>
              <w:t>9 098</w:t>
            </w:r>
          </w:p>
        </w:tc>
        <w:tc>
          <w:tcPr>
            <w:tcW w:w="657" w:type="dxa"/>
            <w:noWrap/>
            <w:vAlign w:val="bottom"/>
          </w:tcPr>
          <w:p w:rsidR="00000000" w:rsidRDefault="00000000">
            <w:pPr>
              <w:spacing w:beforeLines="40" w:before="96" w:afterLines="40" w:after="96"/>
              <w:jc w:val="right"/>
              <w:rPr>
                <w:sz w:val="16"/>
                <w:szCs w:val="16"/>
              </w:rPr>
            </w:pPr>
            <w:r>
              <w:rPr>
                <w:sz w:val="16"/>
                <w:szCs w:val="16"/>
              </w:rPr>
              <w:t>9 467</w:t>
            </w:r>
          </w:p>
        </w:tc>
        <w:tc>
          <w:tcPr>
            <w:tcW w:w="656" w:type="dxa"/>
            <w:noWrap/>
            <w:vAlign w:val="bottom"/>
          </w:tcPr>
          <w:p w:rsidR="00000000" w:rsidRDefault="00000000">
            <w:pPr>
              <w:spacing w:beforeLines="40" w:before="96" w:afterLines="40" w:after="96"/>
              <w:jc w:val="right"/>
              <w:rPr>
                <w:sz w:val="16"/>
                <w:szCs w:val="16"/>
              </w:rPr>
            </w:pPr>
            <w:r>
              <w:rPr>
                <w:sz w:val="16"/>
                <w:szCs w:val="16"/>
              </w:rPr>
              <w:t>9 870</w:t>
            </w:r>
          </w:p>
        </w:tc>
        <w:tc>
          <w:tcPr>
            <w:tcW w:w="657" w:type="dxa"/>
            <w:noWrap/>
            <w:vAlign w:val="bottom"/>
          </w:tcPr>
          <w:p w:rsidR="00000000" w:rsidRDefault="00000000">
            <w:pPr>
              <w:spacing w:beforeLines="40" w:before="96" w:afterLines="40" w:after="96"/>
              <w:jc w:val="right"/>
              <w:rPr>
                <w:sz w:val="16"/>
                <w:szCs w:val="16"/>
              </w:rPr>
            </w:pPr>
            <w:r>
              <w:rPr>
                <w:sz w:val="16"/>
                <w:szCs w:val="16"/>
              </w:rPr>
              <w:t>10 282</w:t>
            </w:r>
          </w:p>
        </w:tc>
        <w:tc>
          <w:tcPr>
            <w:tcW w:w="657" w:type="dxa"/>
            <w:noWrap/>
            <w:vAlign w:val="bottom"/>
          </w:tcPr>
          <w:p w:rsidR="00000000" w:rsidRDefault="00000000">
            <w:pPr>
              <w:spacing w:beforeLines="40" w:before="96" w:afterLines="40" w:after="96"/>
              <w:jc w:val="right"/>
              <w:rPr>
                <w:sz w:val="16"/>
                <w:szCs w:val="16"/>
              </w:rPr>
            </w:pPr>
            <w:r>
              <w:rPr>
                <w:sz w:val="16"/>
                <w:szCs w:val="16"/>
              </w:rPr>
              <w:t>10 677</w:t>
            </w:r>
          </w:p>
        </w:tc>
        <w:tc>
          <w:tcPr>
            <w:tcW w:w="656" w:type="dxa"/>
            <w:noWrap/>
            <w:vAlign w:val="bottom"/>
          </w:tcPr>
          <w:p w:rsidR="00000000" w:rsidRDefault="00000000">
            <w:pPr>
              <w:spacing w:beforeLines="40" w:before="96" w:afterLines="40" w:after="96"/>
              <w:jc w:val="right"/>
              <w:rPr>
                <w:sz w:val="16"/>
                <w:szCs w:val="16"/>
              </w:rPr>
            </w:pPr>
            <w:r>
              <w:rPr>
                <w:sz w:val="16"/>
                <w:szCs w:val="16"/>
              </w:rPr>
              <w:t>11 031</w:t>
            </w:r>
          </w:p>
        </w:tc>
        <w:tc>
          <w:tcPr>
            <w:tcW w:w="657" w:type="dxa"/>
            <w:noWrap/>
            <w:vAlign w:val="bottom"/>
          </w:tcPr>
          <w:p w:rsidR="00000000" w:rsidRDefault="00000000">
            <w:pPr>
              <w:spacing w:beforeLines="40" w:before="96" w:afterLines="40" w:after="96"/>
              <w:jc w:val="right"/>
              <w:rPr>
                <w:sz w:val="16"/>
                <w:szCs w:val="16"/>
              </w:rPr>
            </w:pPr>
            <w:r>
              <w:rPr>
                <w:sz w:val="16"/>
                <w:szCs w:val="16"/>
              </w:rPr>
              <w:t>11 328</w:t>
            </w:r>
          </w:p>
        </w:tc>
        <w:tc>
          <w:tcPr>
            <w:tcW w:w="657" w:type="dxa"/>
            <w:noWrap/>
            <w:vAlign w:val="bottom"/>
          </w:tcPr>
          <w:p w:rsidR="00000000" w:rsidRDefault="00000000">
            <w:pPr>
              <w:spacing w:beforeLines="40" w:before="96" w:afterLines="40" w:after="96"/>
              <w:jc w:val="right"/>
              <w:rPr>
                <w:sz w:val="16"/>
                <w:szCs w:val="16"/>
              </w:rPr>
            </w:pPr>
            <w:r>
              <w:rPr>
                <w:sz w:val="16"/>
                <w:szCs w:val="16"/>
              </w:rPr>
              <w:t>11 586</w:t>
            </w:r>
          </w:p>
        </w:tc>
        <w:tc>
          <w:tcPr>
            <w:tcW w:w="656" w:type="dxa"/>
            <w:noWrap/>
            <w:vAlign w:val="bottom"/>
          </w:tcPr>
          <w:p w:rsidR="00000000" w:rsidRDefault="00000000">
            <w:pPr>
              <w:spacing w:beforeLines="40" w:before="96" w:afterLines="40" w:after="96"/>
              <w:jc w:val="right"/>
              <w:rPr>
                <w:sz w:val="16"/>
                <w:szCs w:val="16"/>
              </w:rPr>
            </w:pPr>
            <w:r>
              <w:rPr>
                <w:sz w:val="16"/>
                <w:szCs w:val="16"/>
              </w:rPr>
              <w:t>11 826</w:t>
            </w:r>
          </w:p>
        </w:tc>
        <w:tc>
          <w:tcPr>
            <w:tcW w:w="657" w:type="dxa"/>
            <w:noWrap/>
            <w:vAlign w:val="bottom"/>
          </w:tcPr>
          <w:p w:rsidR="00000000" w:rsidRDefault="00000000">
            <w:pPr>
              <w:spacing w:beforeLines="40" w:before="96" w:afterLines="40" w:after="96"/>
              <w:jc w:val="right"/>
              <w:rPr>
                <w:sz w:val="16"/>
                <w:szCs w:val="16"/>
              </w:rPr>
            </w:pPr>
            <w:r>
              <w:rPr>
                <w:sz w:val="16"/>
                <w:szCs w:val="16"/>
              </w:rPr>
              <w:t>12 071</w:t>
            </w:r>
          </w:p>
        </w:tc>
        <w:tc>
          <w:tcPr>
            <w:tcW w:w="657" w:type="dxa"/>
            <w:noWrap/>
            <w:vAlign w:val="bottom"/>
          </w:tcPr>
          <w:p w:rsidR="00000000" w:rsidRDefault="00000000">
            <w:pPr>
              <w:spacing w:beforeLines="40" w:before="96" w:afterLines="40" w:after="96"/>
              <w:jc w:val="right"/>
              <w:rPr>
                <w:sz w:val="16"/>
                <w:szCs w:val="16"/>
              </w:rPr>
            </w:pPr>
            <w:r>
              <w:rPr>
                <w:sz w:val="16"/>
                <w:szCs w:val="16"/>
              </w:rPr>
              <w:t>12 343</w:t>
            </w:r>
          </w:p>
        </w:tc>
        <w:tc>
          <w:tcPr>
            <w:tcW w:w="657" w:type="dxa"/>
            <w:noWrap/>
            <w:vAlign w:val="bottom"/>
          </w:tcPr>
          <w:p w:rsidR="00000000" w:rsidRDefault="00000000">
            <w:pPr>
              <w:spacing w:beforeLines="40" w:before="96" w:afterLines="40" w:after="96"/>
              <w:jc w:val="right"/>
              <w:rPr>
                <w:sz w:val="16"/>
                <w:szCs w:val="16"/>
              </w:rPr>
            </w:pPr>
            <w:r>
              <w:rPr>
                <w:sz w:val="16"/>
                <w:szCs w:val="16"/>
              </w:rPr>
              <w:t>12 618</w:t>
            </w:r>
          </w:p>
        </w:tc>
      </w:tr>
      <w:tr w:rsidR="00000000">
        <w:trPr>
          <w:cantSplit/>
        </w:trPr>
        <w:tc>
          <w:tcPr>
            <w:tcW w:w="875" w:type="dxa"/>
            <w:noWrap/>
            <w:vAlign w:val="bottom"/>
          </w:tcPr>
          <w:p w:rsidR="00000000" w:rsidRDefault="00000000">
            <w:pPr>
              <w:tabs>
                <w:tab w:val="left" w:pos="240"/>
              </w:tabs>
              <w:spacing w:beforeLines="40" w:before="96" w:afterLines="40" w:after="96"/>
              <w:rPr>
                <w:sz w:val="16"/>
                <w:szCs w:val="16"/>
              </w:rPr>
            </w:pPr>
            <w:r>
              <w:rPr>
                <w:sz w:val="16"/>
                <w:szCs w:val="16"/>
              </w:rPr>
              <w:tab/>
              <w:t>76 лет</w:t>
            </w:r>
          </w:p>
        </w:tc>
        <w:tc>
          <w:tcPr>
            <w:tcW w:w="656" w:type="dxa"/>
            <w:noWrap/>
            <w:vAlign w:val="bottom"/>
          </w:tcPr>
          <w:p w:rsidR="00000000" w:rsidRDefault="00000000">
            <w:pPr>
              <w:spacing w:beforeLines="40" w:before="96" w:afterLines="40" w:after="96"/>
              <w:jc w:val="right"/>
              <w:rPr>
                <w:sz w:val="16"/>
                <w:szCs w:val="16"/>
              </w:rPr>
            </w:pPr>
            <w:r>
              <w:rPr>
                <w:sz w:val="16"/>
                <w:szCs w:val="16"/>
              </w:rPr>
              <w:t>8 059</w:t>
            </w:r>
          </w:p>
        </w:tc>
        <w:tc>
          <w:tcPr>
            <w:tcW w:w="657" w:type="dxa"/>
            <w:noWrap/>
            <w:vAlign w:val="bottom"/>
          </w:tcPr>
          <w:p w:rsidR="00000000" w:rsidRDefault="00000000">
            <w:pPr>
              <w:spacing w:beforeLines="40" w:before="96" w:afterLines="40" w:after="96"/>
              <w:jc w:val="right"/>
              <w:rPr>
                <w:sz w:val="16"/>
                <w:szCs w:val="16"/>
              </w:rPr>
            </w:pPr>
            <w:r>
              <w:rPr>
                <w:sz w:val="16"/>
                <w:szCs w:val="16"/>
              </w:rPr>
              <w:t>8 369</w:t>
            </w:r>
          </w:p>
        </w:tc>
        <w:tc>
          <w:tcPr>
            <w:tcW w:w="657" w:type="dxa"/>
            <w:noWrap/>
            <w:vAlign w:val="bottom"/>
          </w:tcPr>
          <w:p w:rsidR="00000000" w:rsidRDefault="00000000">
            <w:pPr>
              <w:spacing w:beforeLines="40" w:before="96" w:afterLines="40" w:after="96"/>
              <w:jc w:val="right"/>
              <w:rPr>
                <w:sz w:val="16"/>
                <w:szCs w:val="16"/>
              </w:rPr>
            </w:pPr>
            <w:r>
              <w:rPr>
                <w:sz w:val="16"/>
                <w:szCs w:val="16"/>
              </w:rPr>
              <w:t>8 685</w:t>
            </w:r>
          </w:p>
        </w:tc>
        <w:tc>
          <w:tcPr>
            <w:tcW w:w="656" w:type="dxa"/>
            <w:noWrap/>
            <w:vAlign w:val="bottom"/>
          </w:tcPr>
          <w:p w:rsidR="00000000" w:rsidRDefault="00000000">
            <w:pPr>
              <w:spacing w:beforeLines="40" w:before="96" w:afterLines="40" w:after="96"/>
              <w:jc w:val="right"/>
              <w:rPr>
                <w:sz w:val="16"/>
                <w:szCs w:val="16"/>
              </w:rPr>
            </w:pPr>
            <w:r>
              <w:rPr>
                <w:sz w:val="16"/>
                <w:szCs w:val="16"/>
              </w:rPr>
              <w:t>9 010</w:t>
            </w:r>
          </w:p>
        </w:tc>
        <w:tc>
          <w:tcPr>
            <w:tcW w:w="657" w:type="dxa"/>
            <w:noWrap/>
            <w:vAlign w:val="bottom"/>
          </w:tcPr>
          <w:p w:rsidR="00000000" w:rsidRDefault="00000000">
            <w:pPr>
              <w:spacing w:beforeLines="40" w:before="96" w:afterLines="40" w:after="96"/>
              <w:jc w:val="right"/>
              <w:rPr>
                <w:sz w:val="16"/>
                <w:szCs w:val="16"/>
              </w:rPr>
            </w:pPr>
            <w:r>
              <w:rPr>
                <w:sz w:val="16"/>
                <w:szCs w:val="16"/>
              </w:rPr>
              <w:t>9 345</w:t>
            </w:r>
          </w:p>
        </w:tc>
        <w:tc>
          <w:tcPr>
            <w:tcW w:w="657" w:type="dxa"/>
            <w:noWrap/>
            <w:vAlign w:val="bottom"/>
          </w:tcPr>
          <w:p w:rsidR="00000000" w:rsidRDefault="00000000">
            <w:pPr>
              <w:spacing w:beforeLines="40" w:before="96" w:afterLines="40" w:after="96"/>
              <w:jc w:val="right"/>
              <w:rPr>
                <w:sz w:val="16"/>
                <w:szCs w:val="16"/>
              </w:rPr>
            </w:pPr>
            <w:r>
              <w:rPr>
                <w:sz w:val="16"/>
                <w:szCs w:val="16"/>
              </w:rPr>
              <w:t>9 691</w:t>
            </w:r>
          </w:p>
        </w:tc>
        <w:tc>
          <w:tcPr>
            <w:tcW w:w="656" w:type="dxa"/>
            <w:noWrap/>
            <w:vAlign w:val="bottom"/>
          </w:tcPr>
          <w:p w:rsidR="00000000" w:rsidRDefault="00000000">
            <w:pPr>
              <w:spacing w:beforeLines="40" w:before="96" w:afterLines="40" w:after="96"/>
              <w:jc w:val="right"/>
              <w:rPr>
                <w:sz w:val="16"/>
                <w:szCs w:val="16"/>
              </w:rPr>
            </w:pPr>
            <w:r>
              <w:rPr>
                <w:sz w:val="16"/>
                <w:szCs w:val="16"/>
              </w:rPr>
              <w:t>10 049</w:t>
            </w:r>
          </w:p>
        </w:tc>
        <w:tc>
          <w:tcPr>
            <w:tcW w:w="657" w:type="dxa"/>
            <w:noWrap/>
            <w:vAlign w:val="bottom"/>
          </w:tcPr>
          <w:p w:rsidR="00000000" w:rsidRDefault="00000000">
            <w:pPr>
              <w:spacing w:beforeLines="40" w:before="96" w:afterLines="40" w:after="96"/>
              <w:jc w:val="right"/>
              <w:rPr>
                <w:sz w:val="16"/>
                <w:szCs w:val="16"/>
              </w:rPr>
            </w:pPr>
            <w:r>
              <w:rPr>
                <w:sz w:val="16"/>
                <w:szCs w:val="16"/>
              </w:rPr>
              <w:t>10 448</w:t>
            </w:r>
          </w:p>
        </w:tc>
        <w:tc>
          <w:tcPr>
            <w:tcW w:w="657" w:type="dxa"/>
            <w:noWrap/>
            <w:vAlign w:val="bottom"/>
          </w:tcPr>
          <w:p w:rsidR="00000000" w:rsidRDefault="00000000">
            <w:pPr>
              <w:spacing w:beforeLines="40" w:before="96" w:afterLines="40" w:after="96"/>
              <w:jc w:val="right"/>
              <w:rPr>
                <w:sz w:val="16"/>
                <w:szCs w:val="16"/>
              </w:rPr>
            </w:pPr>
            <w:r>
              <w:rPr>
                <w:sz w:val="16"/>
                <w:szCs w:val="16"/>
              </w:rPr>
              <w:t>10 885</w:t>
            </w:r>
          </w:p>
        </w:tc>
        <w:tc>
          <w:tcPr>
            <w:tcW w:w="656" w:type="dxa"/>
            <w:noWrap/>
            <w:vAlign w:val="bottom"/>
          </w:tcPr>
          <w:p w:rsidR="00000000" w:rsidRDefault="00000000">
            <w:pPr>
              <w:spacing w:beforeLines="40" w:before="96" w:afterLines="40" w:after="96"/>
              <w:jc w:val="right"/>
              <w:rPr>
                <w:sz w:val="16"/>
                <w:szCs w:val="16"/>
              </w:rPr>
            </w:pPr>
            <w:r>
              <w:rPr>
                <w:sz w:val="16"/>
                <w:szCs w:val="16"/>
              </w:rPr>
              <w:t>11 320</w:t>
            </w:r>
          </w:p>
        </w:tc>
        <w:tc>
          <w:tcPr>
            <w:tcW w:w="657" w:type="dxa"/>
            <w:noWrap/>
            <w:vAlign w:val="bottom"/>
          </w:tcPr>
          <w:p w:rsidR="00000000" w:rsidRDefault="00000000">
            <w:pPr>
              <w:spacing w:beforeLines="40" w:before="96" w:afterLines="40" w:after="96"/>
              <w:jc w:val="right"/>
              <w:rPr>
                <w:sz w:val="16"/>
                <w:szCs w:val="16"/>
              </w:rPr>
            </w:pPr>
            <w:r>
              <w:rPr>
                <w:sz w:val="16"/>
                <w:szCs w:val="16"/>
              </w:rPr>
              <w:t>11 713</w:t>
            </w:r>
          </w:p>
        </w:tc>
        <w:tc>
          <w:tcPr>
            <w:tcW w:w="657" w:type="dxa"/>
            <w:noWrap/>
            <w:vAlign w:val="bottom"/>
          </w:tcPr>
          <w:p w:rsidR="00000000" w:rsidRDefault="00000000">
            <w:pPr>
              <w:spacing w:beforeLines="40" w:before="96" w:afterLines="40" w:after="96"/>
              <w:jc w:val="right"/>
              <w:rPr>
                <w:sz w:val="16"/>
                <w:szCs w:val="16"/>
              </w:rPr>
            </w:pPr>
            <w:r>
              <w:rPr>
                <w:sz w:val="16"/>
                <w:szCs w:val="16"/>
              </w:rPr>
              <w:t>12 021</w:t>
            </w:r>
          </w:p>
        </w:tc>
        <w:tc>
          <w:tcPr>
            <w:tcW w:w="657" w:type="dxa"/>
            <w:noWrap/>
            <w:vAlign w:val="bottom"/>
          </w:tcPr>
          <w:p w:rsidR="00000000" w:rsidRDefault="00000000">
            <w:pPr>
              <w:spacing w:beforeLines="40" w:before="96" w:afterLines="40" w:after="96"/>
              <w:jc w:val="right"/>
              <w:rPr>
                <w:sz w:val="16"/>
                <w:szCs w:val="16"/>
              </w:rPr>
            </w:pPr>
            <w:r>
              <w:rPr>
                <w:sz w:val="16"/>
                <w:szCs w:val="16"/>
              </w:rPr>
              <w:t>12 174</w:t>
            </w:r>
          </w:p>
        </w:tc>
      </w:tr>
      <w:tr w:rsidR="00000000">
        <w:trPr>
          <w:cantSplit/>
        </w:trPr>
        <w:tc>
          <w:tcPr>
            <w:tcW w:w="875" w:type="dxa"/>
            <w:noWrap/>
            <w:vAlign w:val="bottom"/>
          </w:tcPr>
          <w:p w:rsidR="00000000" w:rsidRDefault="00000000">
            <w:pPr>
              <w:tabs>
                <w:tab w:val="left" w:pos="240"/>
              </w:tabs>
              <w:spacing w:beforeLines="40" w:before="96" w:afterLines="40" w:after="96"/>
              <w:rPr>
                <w:sz w:val="16"/>
                <w:szCs w:val="16"/>
              </w:rPr>
            </w:pPr>
            <w:r>
              <w:rPr>
                <w:sz w:val="16"/>
                <w:szCs w:val="16"/>
              </w:rPr>
              <w:tab/>
              <w:t>77 лет</w:t>
            </w:r>
          </w:p>
        </w:tc>
        <w:tc>
          <w:tcPr>
            <w:tcW w:w="656" w:type="dxa"/>
            <w:noWrap/>
            <w:vAlign w:val="bottom"/>
          </w:tcPr>
          <w:p w:rsidR="00000000" w:rsidRDefault="00000000">
            <w:pPr>
              <w:spacing w:beforeLines="40" w:before="96" w:afterLines="40" w:after="96"/>
              <w:jc w:val="right"/>
              <w:rPr>
                <w:sz w:val="16"/>
                <w:szCs w:val="16"/>
              </w:rPr>
            </w:pPr>
            <w:r>
              <w:rPr>
                <w:sz w:val="16"/>
                <w:szCs w:val="16"/>
              </w:rPr>
              <w:t>7 350</w:t>
            </w:r>
          </w:p>
        </w:tc>
        <w:tc>
          <w:tcPr>
            <w:tcW w:w="657" w:type="dxa"/>
            <w:noWrap/>
            <w:vAlign w:val="bottom"/>
          </w:tcPr>
          <w:p w:rsidR="00000000" w:rsidRDefault="00000000">
            <w:pPr>
              <w:spacing w:beforeLines="40" w:before="96" w:afterLines="40" w:after="96"/>
              <w:jc w:val="right"/>
              <w:rPr>
                <w:sz w:val="16"/>
                <w:szCs w:val="16"/>
              </w:rPr>
            </w:pPr>
            <w:r>
              <w:rPr>
                <w:sz w:val="16"/>
                <w:szCs w:val="16"/>
              </w:rPr>
              <w:t>7 637</w:t>
            </w:r>
          </w:p>
        </w:tc>
        <w:tc>
          <w:tcPr>
            <w:tcW w:w="657" w:type="dxa"/>
            <w:noWrap/>
            <w:vAlign w:val="bottom"/>
          </w:tcPr>
          <w:p w:rsidR="00000000" w:rsidRDefault="00000000">
            <w:pPr>
              <w:spacing w:beforeLines="40" w:before="96" w:afterLines="40" w:after="96"/>
              <w:jc w:val="right"/>
              <w:rPr>
                <w:sz w:val="16"/>
                <w:szCs w:val="16"/>
              </w:rPr>
            </w:pPr>
            <w:r>
              <w:rPr>
                <w:sz w:val="16"/>
                <w:szCs w:val="16"/>
              </w:rPr>
              <w:t>7 910</w:t>
            </w:r>
          </w:p>
        </w:tc>
        <w:tc>
          <w:tcPr>
            <w:tcW w:w="656" w:type="dxa"/>
            <w:noWrap/>
            <w:vAlign w:val="bottom"/>
          </w:tcPr>
          <w:p w:rsidR="00000000" w:rsidRDefault="00000000">
            <w:pPr>
              <w:spacing w:beforeLines="40" w:before="96" w:afterLines="40" w:after="96"/>
              <w:jc w:val="right"/>
              <w:rPr>
                <w:sz w:val="16"/>
                <w:szCs w:val="16"/>
              </w:rPr>
            </w:pPr>
            <w:r>
              <w:rPr>
                <w:sz w:val="16"/>
                <w:szCs w:val="16"/>
              </w:rPr>
              <w:t>8 175</w:t>
            </w:r>
          </w:p>
        </w:tc>
        <w:tc>
          <w:tcPr>
            <w:tcW w:w="657" w:type="dxa"/>
            <w:noWrap/>
            <w:vAlign w:val="bottom"/>
          </w:tcPr>
          <w:p w:rsidR="00000000" w:rsidRDefault="00000000">
            <w:pPr>
              <w:spacing w:beforeLines="40" w:before="96" w:afterLines="40" w:after="96"/>
              <w:jc w:val="right"/>
              <w:rPr>
                <w:sz w:val="16"/>
                <w:szCs w:val="16"/>
              </w:rPr>
            </w:pPr>
            <w:r>
              <w:rPr>
                <w:sz w:val="16"/>
                <w:szCs w:val="16"/>
              </w:rPr>
              <w:t>8 450</w:t>
            </w:r>
          </w:p>
        </w:tc>
        <w:tc>
          <w:tcPr>
            <w:tcW w:w="657" w:type="dxa"/>
            <w:noWrap/>
            <w:vAlign w:val="bottom"/>
          </w:tcPr>
          <w:p w:rsidR="00000000" w:rsidRDefault="00000000">
            <w:pPr>
              <w:spacing w:beforeLines="40" w:before="96" w:afterLines="40" w:after="96"/>
              <w:jc w:val="right"/>
              <w:rPr>
                <w:sz w:val="16"/>
                <w:szCs w:val="16"/>
              </w:rPr>
            </w:pPr>
            <w:r>
              <w:rPr>
                <w:sz w:val="16"/>
                <w:szCs w:val="16"/>
              </w:rPr>
              <w:t>8 755</w:t>
            </w:r>
          </w:p>
        </w:tc>
        <w:tc>
          <w:tcPr>
            <w:tcW w:w="656" w:type="dxa"/>
            <w:noWrap/>
            <w:vAlign w:val="bottom"/>
          </w:tcPr>
          <w:p w:rsidR="00000000" w:rsidRDefault="00000000">
            <w:pPr>
              <w:spacing w:beforeLines="40" w:before="96" w:afterLines="40" w:after="96"/>
              <w:jc w:val="right"/>
              <w:rPr>
                <w:sz w:val="16"/>
                <w:szCs w:val="16"/>
              </w:rPr>
            </w:pPr>
            <w:r>
              <w:rPr>
                <w:sz w:val="16"/>
                <w:szCs w:val="16"/>
              </w:rPr>
              <w:t>9 109</w:t>
            </w:r>
          </w:p>
        </w:tc>
        <w:tc>
          <w:tcPr>
            <w:tcW w:w="657" w:type="dxa"/>
            <w:noWrap/>
            <w:vAlign w:val="bottom"/>
          </w:tcPr>
          <w:p w:rsidR="00000000" w:rsidRDefault="00000000">
            <w:pPr>
              <w:spacing w:beforeLines="40" w:before="96" w:afterLines="40" w:after="96"/>
              <w:jc w:val="right"/>
              <w:rPr>
                <w:sz w:val="16"/>
                <w:szCs w:val="16"/>
              </w:rPr>
            </w:pPr>
            <w:r>
              <w:rPr>
                <w:sz w:val="16"/>
                <w:szCs w:val="16"/>
              </w:rPr>
              <w:t>9 566</w:t>
            </w:r>
          </w:p>
        </w:tc>
        <w:tc>
          <w:tcPr>
            <w:tcW w:w="657" w:type="dxa"/>
            <w:noWrap/>
            <w:vAlign w:val="bottom"/>
          </w:tcPr>
          <w:p w:rsidR="00000000" w:rsidRDefault="00000000">
            <w:pPr>
              <w:spacing w:beforeLines="40" w:before="96" w:afterLines="40" w:after="96"/>
              <w:jc w:val="right"/>
              <w:rPr>
                <w:sz w:val="16"/>
                <w:szCs w:val="16"/>
              </w:rPr>
            </w:pPr>
            <w:r>
              <w:rPr>
                <w:sz w:val="16"/>
                <w:szCs w:val="16"/>
              </w:rPr>
              <w:t>10 112</w:t>
            </w:r>
          </w:p>
        </w:tc>
        <w:tc>
          <w:tcPr>
            <w:tcW w:w="656" w:type="dxa"/>
            <w:noWrap/>
            <w:vAlign w:val="bottom"/>
          </w:tcPr>
          <w:p w:rsidR="00000000" w:rsidRDefault="00000000">
            <w:pPr>
              <w:spacing w:beforeLines="40" w:before="96" w:afterLines="40" w:after="96"/>
              <w:jc w:val="right"/>
              <w:rPr>
                <w:sz w:val="16"/>
                <w:szCs w:val="16"/>
              </w:rPr>
            </w:pPr>
            <w:r>
              <w:rPr>
                <w:sz w:val="16"/>
                <w:szCs w:val="16"/>
              </w:rPr>
              <w:t>10 667</w:t>
            </w:r>
          </w:p>
        </w:tc>
        <w:tc>
          <w:tcPr>
            <w:tcW w:w="657" w:type="dxa"/>
            <w:noWrap/>
            <w:vAlign w:val="bottom"/>
          </w:tcPr>
          <w:p w:rsidR="00000000" w:rsidRDefault="00000000">
            <w:pPr>
              <w:spacing w:beforeLines="40" w:before="96" w:afterLines="40" w:after="96"/>
              <w:jc w:val="right"/>
              <w:rPr>
                <w:sz w:val="16"/>
                <w:szCs w:val="16"/>
              </w:rPr>
            </w:pPr>
            <w:r>
              <w:rPr>
                <w:sz w:val="16"/>
                <w:szCs w:val="16"/>
              </w:rPr>
              <w:t>11 152</w:t>
            </w:r>
          </w:p>
        </w:tc>
        <w:tc>
          <w:tcPr>
            <w:tcW w:w="657" w:type="dxa"/>
            <w:noWrap/>
            <w:vAlign w:val="bottom"/>
          </w:tcPr>
          <w:p w:rsidR="00000000" w:rsidRDefault="00000000">
            <w:pPr>
              <w:spacing w:beforeLines="40" w:before="96" w:afterLines="40" w:after="96"/>
              <w:jc w:val="right"/>
              <w:rPr>
                <w:sz w:val="16"/>
                <w:szCs w:val="16"/>
              </w:rPr>
            </w:pPr>
            <w:r>
              <w:rPr>
                <w:sz w:val="16"/>
                <w:szCs w:val="16"/>
              </w:rPr>
              <w:t>11 486</w:t>
            </w:r>
          </w:p>
        </w:tc>
        <w:tc>
          <w:tcPr>
            <w:tcW w:w="657" w:type="dxa"/>
            <w:noWrap/>
            <w:vAlign w:val="bottom"/>
          </w:tcPr>
          <w:p w:rsidR="00000000" w:rsidRDefault="00000000">
            <w:pPr>
              <w:spacing w:beforeLines="40" w:before="96" w:afterLines="40" w:after="96"/>
              <w:jc w:val="right"/>
              <w:rPr>
                <w:sz w:val="16"/>
                <w:szCs w:val="16"/>
              </w:rPr>
            </w:pPr>
            <w:r>
              <w:rPr>
                <w:sz w:val="16"/>
                <w:szCs w:val="16"/>
              </w:rPr>
              <w:t>11 570</w:t>
            </w:r>
          </w:p>
        </w:tc>
      </w:tr>
      <w:tr w:rsidR="00000000">
        <w:trPr>
          <w:cantSplit/>
        </w:trPr>
        <w:tc>
          <w:tcPr>
            <w:tcW w:w="875" w:type="dxa"/>
            <w:noWrap/>
            <w:vAlign w:val="bottom"/>
          </w:tcPr>
          <w:p w:rsidR="00000000" w:rsidRDefault="00000000">
            <w:pPr>
              <w:tabs>
                <w:tab w:val="left" w:pos="240"/>
              </w:tabs>
              <w:spacing w:beforeLines="40" w:before="96" w:afterLines="40" w:after="96"/>
              <w:rPr>
                <w:sz w:val="16"/>
                <w:szCs w:val="16"/>
              </w:rPr>
            </w:pPr>
            <w:r>
              <w:rPr>
                <w:sz w:val="16"/>
                <w:szCs w:val="16"/>
              </w:rPr>
              <w:tab/>
              <w:t>78 лет</w:t>
            </w:r>
          </w:p>
        </w:tc>
        <w:tc>
          <w:tcPr>
            <w:tcW w:w="656" w:type="dxa"/>
            <w:noWrap/>
            <w:vAlign w:val="bottom"/>
          </w:tcPr>
          <w:p w:rsidR="00000000" w:rsidRDefault="00000000">
            <w:pPr>
              <w:spacing w:beforeLines="40" w:before="96" w:afterLines="40" w:after="96"/>
              <w:jc w:val="right"/>
              <w:rPr>
                <w:sz w:val="16"/>
                <w:szCs w:val="16"/>
              </w:rPr>
            </w:pPr>
            <w:r>
              <w:rPr>
                <w:sz w:val="16"/>
                <w:szCs w:val="16"/>
              </w:rPr>
              <w:t>6 622</w:t>
            </w:r>
          </w:p>
        </w:tc>
        <w:tc>
          <w:tcPr>
            <w:tcW w:w="657" w:type="dxa"/>
            <w:noWrap/>
            <w:vAlign w:val="bottom"/>
          </w:tcPr>
          <w:p w:rsidR="00000000" w:rsidRDefault="00000000">
            <w:pPr>
              <w:spacing w:beforeLines="40" w:before="96" w:afterLines="40" w:after="96"/>
              <w:jc w:val="right"/>
              <w:rPr>
                <w:sz w:val="16"/>
                <w:szCs w:val="16"/>
              </w:rPr>
            </w:pPr>
            <w:r>
              <w:rPr>
                <w:sz w:val="16"/>
                <w:szCs w:val="16"/>
              </w:rPr>
              <w:t>6 887</w:t>
            </w:r>
          </w:p>
        </w:tc>
        <w:tc>
          <w:tcPr>
            <w:tcW w:w="657" w:type="dxa"/>
            <w:noWrap/>
            <w:vAlign w:val="bottom"/>
          </w:tcPr>
          <w:p w:rsidR="00000000" w:rsidRDefault="00000000">
            <w:pPr>
              <w:spacing w:beforeLines="40" w:before="96" w:afterLines="40" w:after="96"/>
              <w:jc w:val="right"/>
              <w:rPr>
                <w:sz w:val="16"/>
                <w:szCs w:val="16"/>
              </w:rPr>
            </w:pPr>
            <w:r>
              <w:rPr>
                <w:sz w:val="16"/>
                <w:szCs w:val="16"/>
              </w:rPr>
              <w:t>7 139</w:t>
            </w:r>
          </w:p>
        </w:tc>
        <w:tc>
          <w:tcPr>
            <w:tcW w:w="656" w:type="dxa"/>
            <w:noWrap/>
            <w:vAlign w:val="bottom"/>
          </w:tcPr>
          <w:p w:rsidR="00000000" w:rsidRDefault="00000000">
            <w:pPr>
              <w:spacing w:beforeLines="40" w:before="96" w:afterLines="40" w:after="96"/>
              <w:jc w:val="right"/>
              <w:rPr>
                <w:sz w:val="16"/>
                <w:szCs w:val="16"/>
              </w:rPr>
            </w:pPr>
            <w:r>
              <w:rPr>
                <w:sz w:val="16"/>
                <w:szCs w:val="16"/>
              </w:rPr>
              <w:t>7 382</w:t>
            </w:r>
          </w:p>
        </w:tc>
        <w:tc>
          <w:tcPr>
            <w:tcW w:w="657" w:type="dxa"/>
            <w:noWrap/>
            <w:vAlign w:val="bottom"/>
          </w:tcPr>
          <w:p w:rsidR="00000000" w:rsidRDefault="00000000">
            <w:pPr>
              <w:spacing w:beforeLines="40" w:before="96" w:afterLines="40" w:after="96"/>
              <w:jc w:val="right"/>
              <w:rPr>
                <w:sz w:val="16"/>
                <w:szCs w:val="16"/>
              </w:rPr>
            </w:pPr>
            <w:r>
              <w:rPr>
                <w:sz w:val="16"/>
                <w:szCs w:val="16"/>
              </w:rPr>
              <w:t>7 635</w:t>
            </w:r>
          </w:p>
        </w:tc>
        <w:tc>
          <w:tcPr>
            <w:tcW w:w="657" w:type="dxa"/>
            <w:noWrap/>
            <w:vAlign w:val="bottom"/>
          </w:tcPr>
          <w:p w:rsidR="00000000" w:rsidRDefault="00000000">
            <w:pPr>
              <w:spacing w:beforeLines="40" w:before="96" w:afterLines="40" w:after="96"/>
              <w:jc w:val="right"/>
              <w:rPr>
                <w:sz w:val="16"/>
                <w:szCs w:val="16"/>
              </w:rPr>
            </w:pPr>
            <w:r>
              <w:rPr>
                <w:sz w:val="16"/>
                <w:szCs w:val="16"/>
              </w:rPr>
              <w:t>7 920</w:t>
            </w:r>
          </w:p>
        </w:tc>
        <w:tc>
          <w:tcPr>
            <w:tcW w:w="656" w:type="dxa"/>
            <w:noWrap/>
            <w:vAlign w:val="bottom"/>
          </w:tcPr>
          <w:p w:rsidR="00000000" w:rsidRDefault="00000000">
            <w:pPr>
              <w:spacing w:beforeLines="40" w:before="96" w:afterLines="40" w:after="96"/>
              <w:jc w:val="right"/>
              <w:rPr>
                <w:sz w:val="16"/>
                <w:szCs w:val="16"/>
              </w:rPr>
            </w:pPr>
            <w:r>
              <w:rPr>
                <w:sz w:val="16"/>
                <w:szCs w:val="16"/>
              </w:rPr>
              <w:t>8 256</w:t>
            </w:r>
          </w:p>
        </w:tc>
        <w:tc>
          <w:tcPr>
            <w:tcW w:w="657" w:type="dxa"/>
            <w:noWrap/>
            <w:vAlign w:val="bottom"/>
          </w:tcPr>
          <w:p w:rsidR="00000000" w:rsidRDefault="00000000">
            <w:pPr>
              <w:spacing w:beforeLines="40" w:before="96" w:afterLines="40" w:after="96"/>
              <w:jc w:val="right"/>
              <w:rPr>
                <w:sz w:val="16"/>
                <w:szCs w:val="16"/>
              </w:rPr>
            </w:pPr>
            <w:r>
              <w:rPr>
                <w:sz w:val="16"/>
                <w:szCs w:val="16"/>
              </w:rPr>
              <w:t>8 695</w:t>
            </w:r>
          </w:p>
        </w:tc>
        <w:tc>
          <w:tcPr>
            <w:tcW w:w="657" w:type="dxa"/>
            <w:noWrap/>
            <w:vAlign w:val="bottom"/>
          </w:tcPr>
          <w:p w:rsidR="00000000" w:rsidRDefault="00000000">
            <w:pPr>
              <w:spacing w:beforeLines="40" w:before="96" w:afterLines="40" w:after="96"/>
              <w:jc w:val="right"/>
              <w:rPr>
                <w:sz w:val="16"/>
                <w:szCs w:val="16"/>
              </w:rPr>
            </w:pPr>
            <w:r>
              <w:rPr>
                <w:sz w:val="16"/>
                <w:szCs w:val="16"/>
              </w:rPr>
              <w:t>9 224</w:t>
            </w:r>
          </w:p>
        </w:tc>
        <w:tc>
          <w:tcPr>
            <w:tcW w:w="656" w:type="dxa"/>
            <w:noWrap/>
            <w:vAlign w:val="bottom"/>
          </w:tcPr>
          <w:p w:rsidR="00000000" w:rsidRDefault="00000000">
            <w:pPr>
              <w:spacing w:beforeLines="40" w:before="96" w:afterLines="40" w:after="96"/>
              <w:jc w:val="right"/>
              <w:rPr>
                <w:sz w:val="16"/>
                <w:szCs w:val="16"/>
              </w:rPr>
            </w:pPr>
            <w:r>
              <w:rPr>
                <w:sz w:val="16"/>
                <w:szCs w:val="16"/>
              </w:rPr>
              <w:t>9 765</w:t>
            </w:r>
          </w:p>
        </w:tc>
        <w:tc>
          <w:tcPr>
            <w:tcW w:w="657" w:type="dxa"/>
            <w:noWrap/>
            <w:vAlign w:val="bottom"/>
          </w:tcPr>
          <w:p w:rsidR="00000000" w:rsidRDefault="00000000">
            <w:pPr>
              <w:spacing w:beforeLines="40" w:before="96" w:afterLines="40" w:after="96"/>
              <w:jc w:val="right"/>
              <w:rPr>
                <w:sz w:val="16"/>
                <w:szCs w:val="16"/>
              </w:rPr>
            </w:pPr>
            <w:r>
              <w:rPr>
                <w:sz w:val="16"/>
                <w:szCs w:val="16"/>
              </w:rPr>
              <w:t>10 240</w:t>
            </w:r>
          </w:p>
        </w:tc>
        <w:tc>
          <w:tcPr>
            <w:tcW w:w="657" w:type="dxa"/>
            <w:noWrap/>
            <w:vAlign w:val="bottom"/>
          </w:tcPr>
          <w:p w:rsidR="00000000" w:rsidRDefault="00000000">
            <w:pPr>
              <w:spacing w:beforeLines="40" w:before="96" w:afterLines="40" w:after="96"/>
              <w:jc w:val="right"/>
              <w:rPr>
                <w:sz w:val="16"/>
                <w:szCs w:val="16"/>
              </w:rPr>
            </w:pPr>
            <w:r>
              <w:rPr>
                <w:sz w:val="16"/>
                <w:szCs w:val="16"/>
              </w:rPr>
              <w:t>10 573</w:t>
            </w:r>
          </w:p>
        </w:tc>
        <w:tc>
          <w:tcPr>
            <w:tcW w:w="657" w:type="dxa"/>
            <w:noWrap/>
            <w:vAlign w:val="bottom"/>
          </w:tcPr>
          <w:p w:rsidR="00000000" w:rsidRDefault="00000000">
            <w:pPr>
              <w:spacing w:beforeLines="40" w:before="96" w:afterLines="40" w:after="96"/>
              <w:jc w:val="right"/>
              <w:rPr>
                <w:sz w:val="16"/>
                <w:szCs w:val="16"/>
              </w:rPr>
            </w:pPr>
            <w:r>
              <w:rPr>
                <w:sz w:val="16"/>
                <w:szCs w:val="16"/>
              </w:rPr>
              <w:t>10 676</w:t>
            </w:r>
          </w:p>
        </w:tc>
      </w:tr>
      <w:tr w:rsidR="00000000">
        <w:trPr>
          <w:cantSplit/>
        </w:trPr>
        <w:tc>
          <w:tcPr>
            <w:tcW w:w="875" w:type="dxa"/>
            <w:noWrap/>
            <w:vAlign w:val="bottom"/>
          </w:tcPr>
          <w:p w:rsidR="00000000" w:rsidRDefault="00000000">
            <w:pPr>
              <w:tabs>
                <w:tab w:val="left" w:pos="240"/>
              </w:tabs>
              <w:spacing w:beforeLines="40" w:before="96" w:afterLines="40" w:after="96"/>
              <w:rPr>
                <w:sz w:val="16"/>
                <w:szCs w:val="16"/>
              </w:rPr>
            </w:pPr>
            <w:r>
              <w:rPr>
                <w:sz w:val="16"/>
                <w:szCs w:val="16"/>
              </w:rPr>
              <w:tab/>
              <w:t>79 лет</w:t>
            </w:r>
          </w:p>
        </w:tc>
        <w:tc>
          <w:tcPr>
            <w:tcW w:w="656" w:type="dxa"/>
            <w:noWrap/>
            <w:vAlign w:val="bottom"/>
          </w:tcPr>
          <w:p w:rsidR="00000000" w:rsidRDefault="00000000">
            <w:pPr>
              <w:spacing w:beforeLines="40" w:before="96" w:afterLines="40" w:after="96"/>
              <w:jc w:val="right"/>
              <w:rPr>
                <w:sz w:val="16"/>
                <w:szCs w:val="16"/>
              </w:rPr>
            </w:pPr>
            <w:r>
              <w:rPr>
                <w:sz w:val="16"/>
                <w:szCs w:val="16"/>
              </w:rPr>
              <w:t>5 894</w:t>
            </w:r>
          </w:p>
        </w:tc>
        <w:tc>
          <w:tcPr>
            <w:tcW w:w="657" w:type="dxa"/>
            <w:noWrap/>
            <w:vAlign w:val="bottom"/>
          </w:tcPr>
          <w:p w:rsidR="00000000" w:rsidRDefault="00000000">
            <w:pPr>
              <w:spacing w:beforeLines="40" w:before="96" w:afterLines="40" w:after="96"/>
              <w:jc w:val="right"/>
              <w:rPr>
                <w:sz w:val="16"/>
                <w:szCs w:val="16"/>
              </w:rPr>
            </w:pPr>
            <w:r>
              <w:rPr>
                <w:sz w:val="16"/>
                <w:szCs w:val="16"/>
              </w:rPr>
              <w:t>6 138</w:t>
            </w:r>
          </w:p>
        </w:tc>
        <w:tc>
          <w:tcPr>
            <w:tcW w:w="657" w:type="dxa"/>
            <w:noWrap/>
            <w:vAlign w:val="bottom"/>
          </w:tcPr>
          <w:p w:rsidR="00000000" w:rsidRDefault="00000000">
            <w:pPr>
              <w:spacing w:beforeLines="40" w:before="96" w:afterLines="40" w:after="96"/>
              <w:jc w:val="right"/>
              <w:rPr>
                <w:sz w:val="16"/>
                <w:szCs w:val="16"/>
              </w:rPr>
            </w:pPr>
            <w:r>
              <w:rPr>
                <w:sz w:val="16"/>
                <w:szCs w:val="16"/>
              </w:rPr>
              <w:t>6 382</w:t>
            </w:r>
          </w:p>
        </w:tc>
        <w:tc>
          <w:tcPr>
            <w:tcW w:w="656" w:type="dxa"/>
            <w:noWrap/>
            <w:vAlign w:val="bottom"/>
          </w:tcPr>
          <w:p w:rsidR="00000000" w:rsidRDefault="00000000">
            <w:pPr>
              <w:spacing w:beforeLines="40" w:before="96" w:afterLines="40" w:after="96"/>
              <w:jc w:val="right"/>
              <w:rPr>
                <w:sz w:val="16"/>
                <w:szCs w:val="16"/>
              </w:rPr>
            </w:pPr>
            <w:r>
              <w:rPr>
                <w:sz w:val="16"/>
                <w:szCs w:val="16"/>
              </w:rPr>
              <w:t>6 625</w:t>
            </w:r>
          </w:p>
        </w:tc>
        <w:tc>
          <w:tcPr>
            <w:tcW w:w="657" w:type="dxa"/>
            <w:noWrap/>
            <w:vAlign w:val="bottom"/>
          </w:tcPr>
          <w:p w:rsidR="00000000" w:rsidRDefault="00000000">
            <w:pPr>
              <w:spacing w:beforeLines="40" w:before="96" w:afterLines="40" w:after="96"/>
              <w:jc w:val="right"/>
              <w:rPr>
                <w:sz w:val="16"/>
                <w:szCs w:val="16"/>
              </w:rPr>
            </w:pPr>
            <w:r>
              <w:rPr>
                <w:sz w:val="16"/>
                <w:szCs w:val="16"/>
              </w:rPr>
              <w:t>6 880</w:t>
            </w:r>
          </w:p>
        </w:tc>
        <w:tc>
          <w:tcPr>
            <w:tcW w:w="657" w:type="dxa"/>
            <w:noWrap/>
            <w:vAlign w:val="bottom"/>
          </w:tcPr>
          <w:p w:rsidR="00000000" w:rsidRDefault="00000000">
            <w:pPr>
              <w:spacing w:beforeLines="40" w:before="96" w:afterLines="40" w:after="96"/>
              <w:jc w:val="right"/>
              <w:rPr>
                <w:sz w:val="16"/>
                <w:szCs w:val="16"/>
              </w:rPr>
            </w:pPr>
            <w:r>
              <w:rPr>
                <w:sz w:val="16"/>
                <w:szCs w:val="16"/>
              </w:rPr>
              <w:t>7 157</w:t>
            </w:r>
          </w:p>
        </w:tc>
        <w:tc>
          <w:tcPr>
            <w:tcW w:w="656" w:type="dxa"/>
            <w:noWrap/>
            <w:vAlign w:val="bottom"/>
          </w:tcPr>
          <w:p w:rsidR="00000000" w:rsidRDefault="00000000">
            <w:pPr>
              <w:spacing w:beforeLines="40" w:before="96" w:afterLines="40" w:after="96"/>
              <w:jc w:val="right"/>
              <w:rPr>
                <w:sz w:val="16"/>
                <w:szCs w:val="16"/>
              </w:rPr>
            </w:pPr>
            <w:r>
              <w:rPr>
                <w:sz w:val="16"/>
                <w:szCs w:val="16"/>
              </w:rPr>
              <w:t>7 466</w:t>
            </w:r>
          </w:p>
        </w:tc>
        <w:tc>
          <w:tcPr>
            <w:tcW w:w="657" w:type="dxa"/>
            <w:noWrap/>
            <w:vAlign w:val="bottom"/>
          </w:tcPr>
          <w:p w:rsidR="00000000" w:rsidRDefault="00000000">
            <w:pPr>
              <w:spacing w:beforeLines="40" w:before="96" w:afterLines="40" w:after="96"/>
              <w:jc w:val="right"/>
              <w:rPr>
                <w:sz w:val="16"/>
                <w:szCs w:val="16"/>
              </w:rPr>
            </w:pPr>
            <w:r>
              <w:rPr>
                <w:sz w:val="16"/>
                <w:szCs w:val="16"/>
              </w:rPr>
              <w:t>7 840</w:t>
            </w:r>
          </w:p>
        </w:tc>
        <w:tc>
          <w:tcPr>
            <w:tcW w:w="657" w:type="dxa"/>
            <w:noWrap/>
            <w:vAlign w:val="bottom"/>
          </w:tcPr>
          <w:p w:rsidR="00000000" w:rsidRDefault="00000000">
            <w:pPr>
              <w:spacing w:beforeLines="40" w:before="96" w:afterLines="40" w:after="96"/>
              <w:jc w:val="right"/>
              <w:rPr>
                <w:sz w:val="16"/>
                <w:szCs w:val="16"/>
              </w:rPr>
            </w:pPr>
            <w:r>
              <w:rPr>
                <w:sz w:val="16"/>
                <w:szCs w:val="16"/>
              </w:rPr>
              <w:t>8 272</w:t>
            </w:r>
          </w:p>
        </w:tc>
        <w:tc>
          <w:tcPr>
            <w:tcW w:w="656" w:type="dxa"/>
            <w:noWrap/>
            <w:vAlign w:val="bottom"/>
          </w:tcPr>
          <w:p w:rsidR="00000000" w:rsidRDefault="00000000">
            <w:pPr>
              <w:spacing w:beforeLines="40" w:before="96" w:afterLines="40" w:after="96"/>
              <w:jc w:val="right"/>
              <w:rPr>
                <w:sz w:val="16"/>
                <w:szCs w:val="16"/>
              </w:rPr>
            </w:pPr>
            <w:r>
              <w:rPr>
                <w:sz w:val="16"/>
                <w:szCs w:val="16"/>
              </w:rPr>
              <w:t>8 713</w:t>
            </w:r>
          </w:p>
        </w:tc>
        <w:tc>
          <w:tcPr>
            <w:tcW w:w="657" w:type="dxa"/>
            <w:noWrap/>
            <w:vAlign w:val="bottom"/>
          </w:tcPr>
          <w:p w:rsidR="00000000" w:rsidRDefault="00000000">
            <w:pPr>
              <w:spacing w:beforeLines="40" w:before="96" w:afterLines="40" w:after="96"/>
              <w:jc w:val="right"/>
              <w:rPr>
                <w:sz w:val="16"/>
                <w:szCs w:val="16"/>
              </w:rPr>
            </w:pPr>
            <w:r>
              <w:rPr>
                <w:sz w:val="16"/>
                <w:szCs w:val="16"/>
              </w:rPr>
              <w:t>9 114</w:t>
            </w:r>
          </w:p>
        </w:tc>
        <w:tc>
          <w:tcPr>
            <w:tcW w:w="657" w:type="dxa"/>
            <w:noWrap/>
            <w:vAlign w:val="bottom"/>
          </w:tcPr>
          <w:p w:rsidR="00000000" w:rsidRDefault="00000000">
            <w:pPr>
              <w:spacing w:beforeLines="40" w:before="96" w:afterLines="40" w:after="96"/>
              <w:jc w:val="right"/>
              <w:rPr>
                <w:sz w:val="16"/>
                <w:szCs w:val="16"/>
              </w:rPr>
            </w:pPr>
            <w:r>
              <w:rPr>
                <w:sz w:val="16"/>
                <w:szCs w:val="16"/>
              </w:rPr>
              <w:t>9 428</w:t>
            </w:r>
          </w:p>
        </w:tc>
        <w:tc>
          <w:tcPr>
            <w:tcW w:w="657" w:type="dxa"/>
            <w:noWrap/>
            <w:vAlign w:val="bottom"/>
          </w:tcPr>
          <w:p w:rsidR="00000000" w:rsidRDefault="00000000">
            <w:pPr>
              <w:spacing w:beforeLines="40" w:before="96" w:afterLines="40" w:after="96"/>
              <w:jc w:val="right"/>
              <w:rPr>
                <w:sz w:val="16"/>
                <w:szCs w:val="16"/>
              </w:rPr>
            </w:pPr>
            <w:r>
              <w:rPr>
                <w:sz w:val="16"/>
                <w:szCs w:val="16"/>
              </w:rPr>
              <w:t>9 605</w:t>
            </w:r>
          </w:p>
        </w:tc>
      </w:tr>
      <w:tr w:rsidR="00000000">
        <w:trPr>
          <w:cantSplit/>
        </w:trPr>
        <w:tc>
          <w:tcPr>
            <w:tcW w:w="875" w:type="dxa"/>
            <w:noWrap/>
            <w:vAlign w:val="bottom"/>
          </w:tcPr>
          <w:p w:rsidR="00000000" w:rsidRDefault="00000000">
            <w:pPr>
              <w:spacing w:beforeLines="40" w:before="96" w:afterLines="40" w:after="96"/>
              <w:rPr>
                <w:sz w:val="16"/>
                <w:szCs w:val="16"/>
              </w:rPr>
            </w:pPr>
            <w:r>
              <w:rPr>
                <w:sz w:val="16"/>
                <w:szCs w:val="16"/>
              </w:rPr>
              <w:t xml:space="preserve">80 лет и старше </w:t>
            </w:r>
          </w:p>
        </w:tc>
        <w:tc>
          <w:tcPr>
            <w:tcW w:w="656" w:type="dxa"/>
            <w:noWrap/>
            <w:vAlign w:val="bottom"/>
          </w:tcPr>
          <w:p w:rsidR="00000000" w:rsidRDefault="00000000">
            <w:pPr>
              <w:spacing w:beforeLines="40" w:before="96" w:afterLines="40" w:after="96"/>
              <w:jc w:val="right"/>
              <w:rPr>
                <w:sz w:val="16"/>
                <w:szCs w:val="16"/>
                <w:lang w:val="fr-FR"/>
              </w:rPr>
            </w:pPr>
            <w:r>
              <w:rPr>
                <w:sz w:val="16"/>
                <w:szCs w:val="16"/>
                <w:lang w:val="fr-FR"/>
              </w:rPr>
              <w:t>27 656</w:t>
            </w:r>
          </w:p>
        </w:tc>
        <w:tc>
          <w:tcPr>
            <w:tcW w:w="657" w:type="dxa"/>
            <w:noWrap/>
            <w:vAlign w:val="bottom"/>
          </w:tcPr>
          <w:p w:rsidR="00000000" w:rsidRDefault="00000000">
            <w:pPr>
              <w:spacing w:beforeLines="40" w:before="96" w:afterLines="40" w:after="96"/>
              <w:jc w:val="right"/>
              <w:rPr>
                <w:sz w:val="16"/>
                <w:szCs w:val="16"/>
                <w:lang w:val="fr-FR"/>
              </w:rPr>
            </w:pPr>
            <w:r>
              <w:rPr>
                <w:sz w:val="16"/>
                <w:szCs w:val="16"/>
                <w:lang w:val="fr-FR"/>
              </w:rPr>
              <w:t>29 001</w:t>
            </w:r>
          </w:p>
        </w:tc>
        <w:tc>
          <w:tcPr>
            <w:tcW w:w="657" w:type="dxa"/>
            <w:noWrap/>
            <w:vAlign w:val="bottom"/>
          </w:tcPr>
          <w:p w:rsidR="00000000" w:rsidRDefault="00000000">
            <w:pPr>
              <w:spacing w:beforeLines="40" w:before="96" w:afterLines="40" w:after="96"/>
              <w:jc w:val="right"/>
              <w:rPr>
                <w:sz w:val="16"/>
                <w:szCs w:val="16"/>
                <w:lang w:val="fr-FR"/>
              </w:rPr>
            </w:pPr>
            <w:r>
              <w:rPr>
                <w:sz w:val="16"/>
                <w:szCs w:val="16"/>
                <w:lang w:val="fr-FR"/>
              </w:rPr>
              <w:t>30 424</w:t>
            </w:r>
          </w:p>
        </w:tc>
        <w:tc>
          <w:tcPr>
            <w:tcW w:w="656" w:type="dxa"/>
            <w:noWrap/>
            <w:vAlign w:val="bottom"/>
          </w:tcPr>
          <w:p w:rsidR="00000000" w:rsidRDefault="00000000">
            <w:pPr>
              <w:spacing w:beforeLines="40" w:before="96" w:afterLines="40" w:after="96"/>
              <w:jc w:val="right"/>
              <w:rPr>
                <w:sz w:val="16"/>
                <w:szCs w:val="16"/>
                <w:lang w:val="fr-FR"/>
              </w:rPr>
            </w:pPr>
            <w:r>
              <w:rPr>
                <w:sz w:val="16"/>
                <w:szCs w:val="16"/>
                <w:lang w:val="fr-FR"/>
              </w:rPr>
              <w:t>31 917</w:t>
            </w:r>
          </w:p>
        </w:tc>
        <w:tc>
          <w:tcPr>
            <w:tcW w:w="657" w:type="dxa"/>
            <w:noWrap/>
            <w:vAlign w:val="bottom"/>
          </w:tcPr>
          <w:p w:rsidR="00000000" w:rsidRDefault="00000000">
            <w:pPr>
              <w:spacing w:beforeLines="40" w:before="96" w:afterLines="40" w:after="96"/>
              <w:jc w:val="right"/>
              <w:rPr>
                <w:sz w:val="16"/>
                <w:szCs w:val="16"/>
                <w:lang w:val="fr-FR"/>
              </w:rPr>
            </w:pPr>
            <w:r>
              <w:rPr>
                <w:sz w:val="16"/>
                <w:szCs w:val="16"/>
                <w:lang w:val="fr-FR"/>
              </w:rPr>
              <w:t>33 490</w:t>
            </w:r>
          </w:p>
        </w:tc>
        <w:tc>
          <w:tcPr>
            <w:tcW w:w="657" w:type="dxa"/>
            <w:noWrap/>
            <w:vAlign w:val="bottom"/>
          </w:tcPr>
          <w:p w:rsidR="00000000" w:rsidRDefault="00000000">
            <w:pPr>
              <w:spacing w:beforeLines="40" w:before="96" w:afterLines="40" w:after="96"/>
              <w:jc w:val="right"/>
              <w:rPr>
                <w:sz w:val="16"/>
                <w:szCs w:val="16"/>
                <w:lang w:val="fr-FR"/>
              </w:rPr>
            </w:pPr>
            <w:r>
              <w:rPr>
                <w:sz w:val="16"/>
                <w:szCs w:val="16"/>
                <w:lang w:val="fr-FR"/>
              </w:rPr>
              <w:t>35 149</w:t>
            </w:r>
          </w:p>
        </w:tc>
        <w:tc>
          <w:tcPr>
            <w:tcW w:w="656" w:type="dxa"/>
            <w:noWrap/>
            <w:vAlign w:val="bottom"/>
          </w:tcPr>
          <w:p w:rsidR="00000000" w:rsidRDefault="00000000">
            <w:pPr>
              <w:spacing w:beforeLines="40" w:before="96" w:afterLines="40" w:after="96"/>
              <w:jc w:val="right"/>
              <w:rPr>
                <w:sz w:val="16"/>
                <w:szCs w:val="16"/>
                <w:lang w:val="fr-FR"/>
              </w:rPr>
            </w:pPr>
            <w:r>
              <w:rPr>
                <w:sz w:val="16"/>
                <w:szCs w:val="16"/>
                <w:lang w:val="fr-FR"/>
              </w:rPr>
              <w:t>36 903</w:t>
            </w:r>
          </w:p>
        </w:tc>
        <w:tc>
          <w:tcPr>
            <w:tcW w:w="657" w:type="dxa"/>
            <w:noWrap/>
            <w:vAlign w:val="bottom"/>
          </w:tcPr>
          <w:p w:rsidR="00000000" w:rsidRDefault="00000000">
            <w:pPr>
              <w:spacing w:beforeLines="40" w:before="96" w:afterLines="40" w:after="96"/>
              <w:jc w:val="right"/>
              <w:rPr>
                <w:sz w:val="16"/>
                <w:szCs w:val="16"/>
                <w:lang w:val="fr-FR"/>
              </w:rPr>
            </w:pPr>
            <w:r>
              <w:rPr>
                <w:sz w:val="16"/>
                <w:szCs w:val="16"/>
                <w:lang w:val="fr-FR"/>
              </w:rPr>
              <w:t>38 753</w:t>
            </w:r>
          </w:p>
        </w:tc>
        <w:tc>
          <w:tcPr>
            <w:tcW w:w="657" w:type="dxa"/>
            <w:noWrap/>
            <w:vAlign w:val="bottom"/>
          </w:tcPr>
          <w:p w:rsidR="00000000" w:rsidRDefault="00000000">
            <w:pPr>
              <w:spacing w:beforeLines="40" w:before="96" w:afterLines="40" w:after="96"/>
              <w:jc w:val="right"/>
              <w:rPr>
                <w:sz w:val="16"/>
                <w:szCs w:val="16"/>
                <w:lang w:val="fr-FR"/>
              </w:rPr>
            </w:pPr>
            <w:r>
              <w:rPr>
                <w:sz w:val="16"/>
                <w:szCs w:val="16"/>
                <w:lang w:val="fr-FR"/>
              </w:rPr>
              <w:t>40 693</w:t>
            </w:r>
          </w:p>
        </w:tc>
        <w:tc>
          <w:tcPr>
            <w:tcW w:w="656" w:type="dxa"/>
            <w:noWrap/>
            <w:vAlign w:val="bottom"/>
          </w:tcPr>
          <w:p w:rsidR="00000000" w:rsidRDefault="00000000">
            <w:pPr>
              <w:spacing w:beforeLines="40" w:before="96" w:afterLines="40" w:after="96"/>
              <w:jc w:val="right"/>
              <w:rPr>
                <w:sz w:val="16"/>
                <w:szCs w:val="16"/>
                <w:lang w:val="fr-FR"/>
              </w:rPr>
            </w:pPr>
            <w:r>
              <w:rPr>
                <w:sz w:val="16"/>
                <w:szCs w:val="16"/>
                <w:lang w:val="fr-FR"/>
              </w:rPr>
              <w:t>42 723</w:t>
            </w:r>
          </w:p>
        </w:tc>
        <w:tc>
          <w:tcPr>
            <w:tcW w:w="657" w:type="dxa"/>
            <w:noWrap/>
            <w:vAlign w:val="bottom"/>
          </w:tcPr>
          <w:p w:rsidR="00000000" w:rsidRDefault="00000000">
            <w:pPr>
              <w:spacing w:beforeLines="40" w:before="96" w:afterLines="40" w:after="96"/>
              <w:jc w:val="right"/>
              <w:rPr>
                <w:sz w:val="16"/>
                <w:szCs w:val="16"/>
                <w:lang w:val="fr-FR"/>
              </w:rPr>
            </w:pPr>
            <w:r>
              <w:rPr>
                <w:sz w:val="16"/>
                <w:szCs w:val="16"/>
                <w:lang w:val="fr-FR"/>
              </w:rPr>
              <w:t>44 840</w:t>
            </w:r>
          </w:p>
        </w:tc>
        <w:tc>
          <w:tcPr>
            <w:tcW w:w="657" w:type="dxa"/>
            <w:noWrap/>
            <w:vAlign w:val="bottom"/>
          </w:tcPr>
          <w:p w:rsidR="00000000" w:rsidRDefault="00000000">
            <w:pPr>
              <w:spacing w:beforeLines="40" w:before="96" w:afterLines="40" w:after="96"/>
              <w:jc w:val="right"/>
              <w:rPr>
                <w:sz w:val="16"/>
                <w:szCs w:val="16"/>
                <w:lang w:val="fr-FR"/>
              </w:rPr>
            </w:pPr>
            <w:r>
              <w:rPr>
                <w:sz w:val="16"/>
                <w:szCs w:val="16"/>
                <w:lang w:val="fr-FR"/>
              </w:rPr>
              <w:t>47 046</w:t>
            </w:r>
          </w:p>
        </w:tc>
        <w:tc>
          <w:tcPr>
            <w:tcW w:w="657" w:type="dxa"/>
            <w:noWrap/>
            <w:vAlign w:val="bottom"/>
          </w:tcPr>
          <w:p w:rsidR="00000000" w:rsidRDefault="00000000">
            <w:pPr>
              <w:spacing w:beforeLines="40" w:before="96" w:afterLines="40" w:after="96"/>
              <w:jc w:val="right"/>
              <w:rPr>
                <w:sz w:val="16"/>
                <w:szCs w:val="16"/>
                <w:lang w:val="fr-FR"/>
              </w:rPr>
            </w:pPr>
            <w:r>
              <w:rPr>
                <w:sz w:val="16"/>
                <w:szCs w:val="16"/>
                <w:lang w:val="fr-FR"/>
              </w:rPr>
              <w:t>49 416</w:t>
            </w:r>
          </w:p>
        </w:tc>
      </w:tr>
    </w:tbl>
    <w:p w:rsidR="00000000" w:rsidRDefault="00000000">
      <w:pPr>
        <w:spacing w:after="40" w:line="216" w:lineRule="auto"/>
        <w:rPr>
          <w:i/>
          <w:iCs/>
          <w:sz w:val="16"/>
          <w:szCs w:val="16"/>
        </w:rPr>
      </w:pPr>
    </w:p>
    <w:p w:rsidR="00000000" w:rsidRDefault="00000000">
      <w:pPr>
        <w:spacing w:after="40" w:line="216" w:lineRule="auto"/>
        <w:rPr>
          <w:sz w:val="18"/>
          <w:szCs w:val="16"/>
        </w:rPr>
      </w:pPr>
      <w:r>
        <w:rPr>
          <w:i/>
          <w:iCs/>
          <w:sz w:val="18"/>
          <w:szCs w:val="16"/>
        </w:rPr>
        <w:t>Источник</w:t>
      </w:r>
      <w:r>
        <w:rPr>
          <w:sz w:val="18"/>
          <w:szCs w:val="16"/>
        </w:rPr>
        <w:t>:  ТСП/ГУСоП, перепись населения и жилого фонда в стране 2002 года.</w:t>
      </w:r>
    </w:p>
    <w:p w:rsidR="00000000" w:rsidRDefault="00000000">
      <w:pPr>
        <w:spacing w:after="40"/>
        <w:rPr>
          <w:b/>
          <w:color w:val="000000"/>
          <w:sz w:val="16"/>
        </w:rPr>
      </w:pPr>
    </w:p>
    <w:p w:rsidR="00000000" w:rsidRDefault="00000000">
      <w:pPr>
        <w:rPr>
          <w:b/>
          <w:color w:val="000000"/>
        </w:rPr>
      </w:pPr>
      <w:r>
        <w:rPr>
          <w:b/>
          <w:color w:val="000000"/>
        </w:rPr>
        <w:t>6.</w:t>
      </w:r>
      <w:r>
        <w:rPr>
          <w:b/>
          <w:color w:val="000000"/>
        </w:rPr>
        <w:tab/>
        <w:t>Городское и сельское население</w:t>
      </w:r>
    </w:p>
    <w:p w:rsidR="00000000" w:rsidRDefault="00000000">
      <w:pPr>
        <w:rPr>
          <w:b/>
          <w:color w:val="000000"/>
        </w:rPr>
      </w:pPr>
    </w:p>
    <w:p w:rsidR="00000000" w:rsidRDefault="00000000">
      <w:pPr>
        <w:autoSpaceDE w:val="0"/>
        <w:autoSpaceDN w:val="0"/>
        <w:adjustRightInd w:val="0"/>
      </w:pPr>
      <w:r>
        <w:t>32.</w:t>
      </w:r>
      <w:r>
        <w:tab/>
        <w:t>За последнее десятилетие произошло изменение исторически сложившегося положения, когда численность сельского населения превышала численность городского населения, и данные, собранные в ходе проведенной в 2002 году переписи населения, указывают на то, что городское население составляет сейчас 56,7% от общей численности населения по сравнению с 43,3% тех, кто проживает в сельских районах.  Ниже приводятся данные, которые позволяют проследить эволюцию этого явления в Парагвае.</w:t>
      </w:r>
    </w:p>
    <w:p w:rsidR="00000000" w:rsidRDefault="00000000">
      <w:pPr>
        <w:autoSpaceDE w:val="0"/>
        <w:autoSpaceDN w:val="0"/>
        <w:adjustRightInd w:val="0"/>
      </w:pPr>
    </w:p>
    <w:p w:rsidR="00000000" w:rsidRDefault="00000000">
      <w:pPr>
        <w:autoSpaceDE w:val="0"/>
        <w:autoSpaceDN w:val="0"/>
        <w:adjustRightInd w:val="0"/>
        <w:spacing w:line="216" w:lineRule="auto"/>
        <w:jc w:val="center"/>
        <w:rPr>
          <w:b/>
          <w:bCs/>
          <w:szCs w:val="22"/>
        </w:rPr>
      </w:pPr>
      <w:r>
        <w:rPr>
          <w:b/>
          <w:bCs/>
          <w:szCs w:val="22"/>
        </w:rPr>
        <w:t>Парагвай:  Оценка численности населения с разбивкой по городским-сельским районам за календарный год</w:t>
      </w:r>
      <w:r>
        <w:rPr>
          <w:b/>
          <w:bCs/>
          <w:szCs w:val="22"/>
          <w:vertAlign w:val="superscript"/>
        </w:rPr>
        <w:t>1</w:t>
      </w:r>
      <w:r>
        <w:rPr>
          <w:b/>
          <w:bCs/>
          <w:szCs w:val="22"/>
        </w:rPr>
        <w:t>, 2000-2005 годы</w:t>
      </w:r>
    </w:p>
    <w:p w:rsidR="00000000" w:rsidRDefault="00000000">
      <w:pPr>
        <w:autoSpaceDE w:val="0"/>
        <w:autoSpaceDN w:val="0"/>
        <w:adjustRightInd w:val="0"/>
        <w:jc w:val="cente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71"/>
        <w:gridCol w:w="1033"/>
        <w:gridCol w:w="1033"/>
        <w:gridCol w:w="1348"/>
        <w:gridCol w:w="1210"/>
        <w:gridCol w:w="1033"/>
        <w:gridCol w:w="1033"/>
        <w:gridCol w:w="1350"/>
      </w:tblGrid>
      <w:tr w:rsidR="00000000">
        <w:trPr>
          <w:cantSplit/>
        </w:trPr>
        <w:tc>
          <w:tcPr>
            <w:tcW w:w="4785" w:type="dxa"/>
            <w:gridSpan w:val="4"/>
            <w:noWrap/>
            <w:vAlign w:val="bottom"/>
          </w:tcPr>
          <w:p w:rsidR="00000000" w:rsidRDefault="00000000">
            <w:pPr>
              <w:spacing w:before="20" w:after="20" w:line="240" w:lineRule="auto"/>
              <w:jc w:val="center"/>
              <w:rPr>
                <w:color w:val="FFFFFF"/>
                <w:sz w:val="16"/>
                <w:szCs w:val="22"/>
              </w:rPr>
            </w:pPr>
            <w:r>
              <w:rPr>
                <w:b/>
                <w:bCs/>
                <w:sz w:val="16"/>
                <w:szCs w:val="22"/>
              </w:rPr>
              <w:t>Городские районы</w:t>
            </w:r>
          </w:p>
        </w:tc>
        <w:tc>
          <w:tcPr>
            <w:tcW w:w="4626" w:type="dxa"/>
            <w:gridSpan w:val="4"/>
            <w:noWrap/>
            <w:vAlign w:val="bottom"/>
          </w:tcPr>
          <w:p w:rsidR="00000000" w:rsidRDefault="00000000">
            <w:pPr>
              <w:spacing w:before="20" w:after="20" w:line="240" w:lineRule="auto"/>
              <w:jc w:val="center"/>
              <w:rPr>
                <w:b/>
                <w:bCs/>
                <w:sz w:val="16"/>
                <w:szCs w:val="22"/>
              </w:rPr>
            </w:pPr>
            <w:r>
              <w:rPr>
                <w:b/>
                <w:bCs/>
                <w:sz w:val="16"/>
                <w:szCs w:val="22"/>
              </w:rPr>
              <w:t>Сельские районы</w:t>
            </w:r>
          </w:p>
        </w:tc>
      </w:tr>
      <w:tr w:rsidR="00000000">
        <w:trPr>
          <w:cantSplit/>
        </w:trPr>
        <w:tc>
          <w:tcPr>
            <w:tcW w:w="1371" w:type="dxa"/>
            <w:vMerge w:val="restart"/>
            <w:vAlign w:val="center"/>
          </w:tcPr>
          <w:p w:rsidR="00000000" w:rsidRDefault="00000000">
            <w:pPr>
              <w:spacing w:before="20" w:after="20" w:line="240" w:lineRule="auto"/>
              <w:jc w:val="center"/>
              <w:rPr>
                <w:b/>
                <w:bCs/>
                <w:sz w:val="16"/>
                <w:szCs w:val="22"/>
              </w:rPr>
            </w:pPr>
            <w:r>
              <w:rPr>
                <w:b/>
                <w:bCs/>
                <w:sz w:val="16"/>
                <w:szCs w:val="22"/>
              </w:rPr>
              <w:t>Годы</w:t>
            </w:r>
          </w:p>
        </w:tc>
        <w:tc>
          <w:tcPr>
            <w:tcW w:w="3414" w:type="dxa"/>
            <w:gridSpan w:val="3"/>
            <w:noWrap/>
            <w:vAlign w:val="bottom"/>
          </w:tcPr>
          <w:p w:rsidR="00000000" w:rsidRDefault="00000000">
            <w:pPr>
              <w:spacing w:before="20" w:after="20" w:line="240" w:lineRule="auto"/>
              <w:jc w:val="center"/>
              <w:rPr>
                <w:b/>
                <w:bCs/>
                <w:sz w:val="16"/>
                <w:szCs w:val="22"/>
              </w:rPr>
            </w:pPr>
            <w:r>
              <w:rPr>
                <w:b/>
                <w:bCs/>
                <w:sz w:val="16"/>
                <w:szCs w:val="22"/>
              </w:rPr>
              <w:t>Городское население</w:t>
            </w:r>
          </w:p>
        </w:tc>
        <w:tc>
          <w:tcPr>
            <w:tcW w:w="1210" w:type="dxa"/>
            <w:vMerge w:val="restart"/>
            <w:vAlign w:val="center"/>
          </w:tcPr>
          <w:p w:rsidR="00000000" w:rsidRDefault="00000000">
            <w:pPr>
              <w:spacing w:before="20" w:after="20" w:line="240" w:lineRule="auto"/>
              <w:jc w:val="center"/>
              <w:rPr>
                <w:b/>
                <w:bCs/>
                <w:sz w:val="16"/>
                <w:szCs w:val="22"/>
              </w:rPr>
            </w:pPr>
            <w:r>
              <w:rPr>
                <w:b/>
                <w:bCs/>
                <w:sz w:val="16"/>
                <w:szCs w:val="22"/>
              </w:rPr>
              <w:t>Годы</w:t>
            </w:r>
          </w:p>
        </w:tc>
        <w:tc>
          <w:tcPr>
            <w:tcW w:w="3416" w:type="dxa"/>
            <w:gridSpan w:val="3"/>
            <w:noWrap/>
            <w:vAlign w:val="bottom"/>
          </w:tcPr>
          <w:p w:rsidR="00000000" w:rsidRDefault="00000000">
            <w:pPr>
              <w:spacing w:before="20" w:after="20" w:line="240" w:lineRule="auto"/>
              <w:jc w:val="center"/>
              <w:rPr>
                <w:b/>
                <w:bCs/>
                <w:sz w:val="16"/>
                <w:szCs w:val="22"/>
              </w:rPr>
            </w:pPr>
            <w:r>
              <w:rPr>
                <w:b/>
                <w:bCs/>
                <w:sz w:val="16"/>
                <w:szCs w:val="22"/>
              </w:rPr>
              <w:t>Сельское население</w:t>
            </w:r>
          </w:p>
        </w:tc>
      </w:tr>
      <w:tr w:rsidR="00000000">
        <w:trPr>
          <w:cantSplit/>
        </w:trPr>
        <w:tc>
          <w:tcPr>
            <w:tcW w:w="1371" w:type="dxa"/>
            <w:vMerge/>
            <w:vAlign w:val="center"/>
          </w:tcPr>
          <w:p w:rsidR="00000000" w:rsidRDefault="00000000">
            <w:pPr>
              <w:spacing w:before="20" w:after="20" w:line="240" w:lineRule="auto"/>
              <w:rPr>
                <w:b/>
                <w:bCs/>
                <w:sz w:val="16"/>
                <w:szCs w:val="22"/>
              </w:rPr>
            </w:pPr>
          </w:p>
        </w:tc>
        <w:tc>
          <w:tcPr>
            <w:tcW w:w="1033" w:type="dxa"/>
            <w:noWrap/>
            <w:vAlign w:val="bottom"/>
          </w:tcPr>
          <w:p w:rsidR="00000000" w:rsidRDefault="00000000">
            <w:pPr>
              <w:spacing w:before="20" w:after="20" w:line="240" w:lineRule="auto"/>
              <w:jc w:val="center"/>
              <w:rPr>
                <w:b/>
                <w:bCs/>
                <w:sz w:val="16"/>
                <w:szCs w:val="22"/>
              </w:rPr>
            </w:pPr>
            <w:r>
              <w:rPr>
                <w:b/>
                <w:bCs/>
                <w:sz w:val="16"/>
                <w:szCs w:val="22"/>
              </w:rPr>
              <w:t>Мужчины</w:t>
            </w:r>
          </w:p>
        </w:tc>
        <w:tc>
          <w:tcPr>
            <w:tcW w:w="1033" w:type="dxa"/>
            <w:noWrap/>
            <w:vAlign w:val="bottom"/>
          </w:tcPr>
          <w:p w:rsidR="00000000" w:rsidRDefault="00000000">
            <w:pPr>
              <w:spacing w:before="20" w:after="20" w:line="240" w:lineRule="auto"/>
              <w:jc w:val="center"/>
              <w:rPr>
                <w:b/>
                <w:bCs/>
                <w:sz w:val="16"/>
                <w:szCs w:val="22"/>
              </w:rPr>
            </w:pPr>
            <w:r>
              <w:rPr>
                <w:b/>
                <w:bCs/>
                <w:sz w:val="16"/>
                <w:szCs w:val="22"/>
              </w:rPr>
              <w:t>Женщины</w:t>
            </w:r>
          </w:p>
        </w:tc>
        <w:tc>
          <w:tcPr>
            <w:tcW w:w="1348" w:type="dxa"/>
            <w:noWrap/>
            <w:vAlign w:val="bottom"/>
          </w:tcPr>
          <w:p w:rsidR="00000000" w:rsidRDefault="00000000">
            <w:pPr>
              <w:spacing w:before="20" w:after="20" w:line="240" w:lineRule="auto"/>
              <w:jc w:val="center"/>
              <w:rPr>
                <w:b/>
                <w:bCs/>
                <w:sz w:val="16"/>
                <w:szCs w:val="22"/>
              </w:rPr>
            </w:pPr>
            <w:r>
              <w:rPr>
                <w:b/>
                <w:bCs/>
                <w:sz w:val="16"/>
                <w:szCs w:val="22"/>
              </w:rPr>
              <w:t>Оба пола</w:t>
            </w:r>
          </w:p>
        </w:tc>
        <w:tc>
          <w:tcPr>
            <w:tcW w:w="1210" w:type="dxa"/>
            <w:vMerge/>
            <w:vAlign w:val="center"/>
          </w:tcPr>
          <w:p w:rsidR="00000000" w:rsidRDefault="00000000">
            <w:pPr>
              <w:spacing w:before="20" w:after="20" w:line="240" w:lineRule="auto"/>
              <w:rPr>
                <w:b/>
                <w:bCs/>
                <w:sz w:val="16"/>
                <w:szCs w:val="22"/>
              </w:rPr>
            </w:pPr>
          </w:p>
        </w:tc>
        <w:tc>
          <w:tcPr>
            <w:tcW w:w="1033" w:type="dxa"/>
            <w:noWrap/>
            <w:vAlign w:val="bottom"/>
          </w:tcPr>
          <w:p w:rsidR="00000000" w:rsidRDefault="00000000">
            <w:pPr>
              <w:spacing w:before="20" w:after="20" w:line="240" w:lineRule="auto"/>
              <w:jc w:val="center"/>
              <w:rPr>
                <w:b/>
                <w:bCs/>
                <w:sz w:val="16"/>
                <w:szCs w:val="22"/>
              </w:rPr>
            </w:pPr>
            <w:r>
              <w:rPr>
                <w:b/>
                <w:bCs/>
                <w:sz w:val="16"/>
                <w:szCs w:val="22"/>
              </w:rPr>
              <w:t>Мужчины</w:t>
            </w:r>
          </w:p>
        </w:tc>
        <w:tc>
          <w:tcPr>
            <w:tcW w:w="1033" w:type="dxa"/>
            <w:noWrap/>
            <w:vAlign w:val="bottom"/>
          </w:tcPr>
          <w:p w:rsidR="00000000" w:rsidRDefault="00000000">
            <w:pPr>
              <w:spacing w:before="20" w:after="20" w:line="240" w:lineRule="auto"/>
              <w:jc w:val="center"/>
              <w:rPr>
                <w:b/>
                <w:bCs/>
                <w:sz w:val="16"/>
                <w:szCs w:val="22"/>
              </w:rPr>
            </w:pPr>
            <w:r>
              <w:rPr>
                <w:b/>
                <w:bCs/>
                <w:sz w:val="16"/>
                <w:szCs w:val="22"/>
              </w:rPr>
              <w:t>Женщины</w:t>
            </w:r>
          </w:p>
        </w:tc>
        <w:tc>
          <w:tcPr>
            <w:tcW w:w="1350" w:type="dxa"/>
            <w:noWrap/>
            <w:vAlign w:val="bottom"/>
          </w:tcPr>
          <w:p w:rsidR="00000000" w:rsidRDefault="00000000">
            <w:pPr>
              <w:spacing w:before="20" w:after="20" w:line="240" w:lineRule="auto"/>
              <w:jc w:val="center"/>
              <w:rPr>
                <w:b/>
                <w:bCs/>
                <w:sz w:val="16"/>
                <w:szCs w:val="22"/>
              </w:rPr>
            </w:pPr>
            <w:r>
              <w:rPr>
                <w:b/>
                <w:bCs/>
                <w:sz w:val="16"/>
                <w:szCs w:val="22"/>
              </w:rPr>
              <w:t>Оба пола</w:t>
            </w:r>
          </w:p>
        </w:tc>
      </w:tr>
      <w:tr w:rsidR="00000000">
        <w:trPr>
          <w:cantSplit/>
        </w:trPr>
        <w:tc>
          <w:tcPr>
            <w:tcW w:w="1371" w:type="dxa"/>
            <w:noWrap/>
            <w:vAlign w:val="bottom"/>
          </w:tcPr>
          <w:p w:rsidR="00000000" w:rsidRDefault="00000000">
            <w:pPr>
              <w:spacing w:before="20" w:after="20" w:line="240" w:lineRule="auto"/>
              <w:jc w:val="center"/>
              <w:rPr>
                <w:sz w:val="16"/>
                <w:szCs w:val="22"/>
              </w:rPr>
            </w:pPr>
            <w:r>
              <w:rPr>
                <w:sz w:val="16"/>
                <w:szCs w:val="22"/>
              </w:rPr>
              <w:t>2000</w:t>
            </w:r>
          </w:p>
        </w:tc>
        <w:tc>
          <w:tcPr>
            <w:tcW w:w="1033" w:type="dxa"/>
            <w:noWrap/>
            <w:vAlign w:val="bottom"/>
          </w:tcPr>
          <w:p w:rsidR="00000000" w:rsidRDefault="00000000">
            <w:pPr>
              <w:spacing w:before="20" w:after="20" w:line="240" w:lineRule="auto"/>
              <w:jc w:val="center"/>
              <w:rPr>
                <w:sz w:val="16"/>
                <w:szCs w:val="22"/>
              </w:rPr>
            </w:pPr>
            <w:r>
              <w:rPr>
                <w:sz w:val="16"/>
                <w:szCs w:val="22"/>
              </w:rPr>
              <w:t>1 433 399</w:t>
            </w:r>
          </w:p>
        </w:tc>
        <w:tc>
          <w:tcPr>
            <w:tcW w:w="1033" w:type="dxa"/>
            <w:noWrap/>
            <w:vAlign w:val="bottom"/>
          </w:tcPr>
          <w:p w:rsidR="00000000" w:rsidRDefault="00000000">
            <w:pPr>
              <w:spacing w:before="20" w:after="20" w:line="240" w:lineRule="auto"/>
              <w:jc w:val="center"/>
              <w:rPr>
                <w:sz w:val="16"/>
                <w:szCs w:val="22"/>
              </w:rPr>
            </w:pPr>
            <w:r>
              <w:rPr>
                <w:sz w:val="16"/>
                <w:szCs w:val="22"/>
              </w:rPr>
              <w:t>1 506 545</w:t>
            </w:r>
          </w:p>
        </w:tc>
        <w:tc>
          <w:tcPr>
            <w:tcW w:w="1348" w:type="dxa"/>
            <w:noWrap/>
            <w:vAlign w:val="bottom"/>
          </w:tcPr>
          <w:p w:rsidR="00000000" w:rsidRDefault="00000000">
            <w:pPr>
              <w:spacing w:before="20" w:after="20" w:line="240" w:lineRule="auto"/>
              <w:jc w:val="center"/>
              <w:rPr>
                <w:sz w:val="16"/>
                <w:szCs w:val="22"/>
              </w:rPr>
            </w:pPr>
            <w:r>
              <w:rPr>
                <w:sz w:val="16"/>
                <w:szCs w:val="22"/>
              </w:rPr>
              <w:t>2 939 944</w:t>
            </w:r>
          </w:p>
        </w:tc>
        <w:tc>
          <w:tcPr>
            <w:tcW w:w="1210" w:type="dxa"/>
            <w:noWrap/>
            <w:vAlign w:val="bottom"/>
          </w:tcPr>
          <w:p w:rsidR="00000000" w:rsidRDefault="00000000">
            <w:pPr>
              <w:spacing w:before="20" w:after="20" w:line="240" w:lineRule="auto"/>
              <w:jc w:val="center"/>
              <w:rPr>
                <w:sz w:val="16"/>
                <w:szCs w:val="22"/>
              </w:rPr>
            </w:pPr>
            <w:r>
              <w:rPr>
                <w:sz w:val="16"/>
                <w:szCs w:val="22"/>
              </w:rPr>
              <w:t>2000</w:t>
            </w:r>
          </w:p>
        </w:tc>
        <w:tc>
          <w:tcPr>
            <w:tcW w:w="1033" w:type="dxa"/>
            <w:noWrap/>
            <w:vAlign w:val="bottom"/>
          </w:tcPr>
          <w:p w:rsidR="00000000" w:rsidRDefault="00000000">
            <w:pPr>
              <w:spacing w:before="20" w:after="20" w:line="240" w:lineRule="auto"/>
              <w:jc w:val="center"/>
              <w:rPr>
                <w:sz w:val="16"/>
                <w:szCs w:val="22"/>
              </w:rPr>
            </w:pPr>
            <w:r>
              <w:rPr>
                <w:sz w:val="16"/>
                <w:szCs w:val="22"/>
              </w:rPr>
              <w:t>1 272 125</w:t>
            </w:r>
          </w:p>
        </w:tc>
        <w:tc>
          <w:tcPr>
            <w:tcW w:w="1033" w:type="dxa"/>
            <w:noWrap/>
            <w:vAlign w:val="bottom"/>
          </w:tcPr>
          <w:p w:rsidR="00000000" w:rsidRDefault="00000000">
            <w:pPr>
              <w:spacing w:before="20" w:after="20" w:line="240" w:lineRule="auto"/>
              <w:jc w:val="center"/>
              <w:rPr>
                <w:sz w:val="16"/>
                <w:szCs w:val="22"/>
              </w:rPr>
            </w:pPr>
            <w:r>
              <w:rPr>
                <w:sz w:val="16"/>
                <w:szCs w:val="22"/>
              </w:rPr>
              <w:t>1 134 198</w:t>
            </w:r>
          </w:p>
        </w:tc>
        <w:tc>
          <w:tcPr>
            <w:tcW w:w="1350" w:type="dxa"/>
            <w:noWrap/>
            <w:vAlign w:val="bottom"/>
          </w:tcPr>
          <w:p w:rsidR="00000000" w:rsidRDefault="00000000">
            <w:pPr>
              <w:spacing w:before="20" w:after="20" w:line="240" w:lineRule="auto"/>
              <w:jc w:val="center"/>
              <w:rPr>
                <w:sz w:val="16"/>
                <w:szCs w:val="22"/>
              </w:rPr>
            </w:pPr>
            <w:r>
              <w:rPr>
                <w:sz w:val="16"/>
                <w:szCs w:val="22"/>
              </w:rPr>
              <w:t>2 406 323</w:t>
            </w:r>
          </w:p>
        </w:tc>
      </w:tr>
      <w:tr w:rsidR="00000000">
        <w:trPr>
          <w:cantSplit/>
        </w:trPr>
        <w:tc>
          <w:tcPr>
            <w:tcW w:w="1371" w:type="dxa"/>
            <w:noWrap/>
            <w:vAlign w:val="bottom"/>
          </w:tcPr>
          <w:p w:rsidR="00000000" w:rsidRDefault="00000000">
            <w:pPr>
              <w:spacing w:before="20" w:after="20" w:line="240" w:lineRule="auto"/>
              <w:jc w:val="center"/>
              <w:rPr>
                <w:sz w:val="16"/>
                <w:szCs w:val="22"/>
              </w:rPr>
            </w:pPr>
            <w:r>
              <w:rPr>
                <w:sz w:val="16"/>
                <w:szCs w:val="22"/>
              </w:rPr>
              <w:t>2001</w:t>
            </w:r>
          </w:p>
        </w:tc>
        <w:tc>
          <w:tcPr>
            <w:tcW w:w="1033" w:type="dxa"/>
            <w:noWrap/>
            <w:vAlign w:val="bottom"/>
          </w:tcPr>
          <w:p w:rsidR="00000000" w:rsidRDefault="00000000">
            <w:pPr>
              <w:spacing w:before="20" w:after="20" w:line="240" w:lineRule="auto"/>
              <w:jc w:val="center"/>
              <w:rPr>
                <w:sz w:val="16"/>
                <w:szCs w:val="22"/>
              </w:rPr>
            </w:pPr>
            <w:r>
              <w:rPr>
                <w:sz w:val="16"/>
                <w:szCs w:val="22"/>
              </w:rPr>
              <w:t>1 473 081</w:t>
            </w:r>
          </w:p>
        </w:tc>
        <w:tc>
          <w:tcPr>
            <w:tcW w:w="1033" w:type="dxa"/>
            <w:noWrap/>
            <w:vAlign w:val="bottom"/>
          </w:tcPr>
          <w:p w:rsidR="00000000" w:rsidRDefault="00000000">
            <w:pPr>
              <w:spacing w:before="20" w:after="20" w:line="240" w:lineRule="auto"/>
              <w:jc w:val="center"/>
              <w:rPr>
                <w:sz w:val="16"/>
                <w:szCs w:val="22"/>
              </w:rPr>
            </w:pPr>
            <w:r>
              <w:rPr>
                <w:sz w:val="16"/>
                <w:szCs w:val="22"/>
              </w:rPr>
              <w:t>1 547 200</w:t>
            </w:r>
          </w:p>
        </w:tc>
        <w:tc>
          <w:tcPr>
            <w:tcW w:w="1348" w:type="dxa"/>
            <w:noWrap/>
            <w:vAlign w:val="bottom"/>
          </w:tcPr>
          <w:p w:rsidR="00000000" w:rsidRDefault="00000000">
            <w:pPr>
              <w:spacing w:before="20" w:after="20" w:line="240" w:lineRule="auto"/>
              <w:jc w:val="center"/>
              <w:rPr>
                <w:sz w:val="16"/>
                <w:szCs w:val="22"/>
              </w:rPr>
            </w:pPr>
            <w:r>
              <w:rPr>
                <w:sz w:val="16"/>
                <w:szCs w:val="22"/>
              </w:rPr>
              <w:t>3 020 281</w:t>
            </w:r>
          </w:p>
        </w:tc>
        <w:tc>
          <w:tcPr>
            <w:tcW w:w="1210" w:type="dxa"/>
            <w:noWrap/>
            <w:vAlign w:val="bottom"/>
          </w:tcPr>
          <w:p w:rsidR="00000000" w:rsidRDefault="00000000">
            <w:pPr>
              <w:spacing w:before="20" w:after="20" w:line="240" w:lineRule="auto"/>
              <w:jc w:val="center"/>
              <w:rPr>
                <w:sz w:val="16"/>
                <w:szCs w:val="22"/>
              </w:rPr>
            </w:pPr>
            <w:r>
              <w:rPr>
                <w:sz w:val="16"/>
                <w:szCs w:val="22"/>
              </w:rPr>
              <w:t>2001</w:t>
            </w:r>
          </w:p>
        </w:tc>
        <w:tc>
          <w:tcPr>
            <w:tcW w:w="1033" w:type="dxa"/>
            <w:noWrap/>
            <w:vAlign w:val="bottom"/>
          </w:tcPr>
          <w:p w:rsidR="00000000" w:rsidRDefault="00000000">
            <w:pPr>
              <w:spacing w:before="20" w:after="20" w:line="240" w:lineRule="auto"/>
              <w:jc w:val="center"/>
              <w:rPr>
                <w:sz w:val="16"/>
                <w:szCs w:val="22"/>
              </w:rPr>
            </w:pPr>
            <w:r>
              <w:rPr>
                <w:sz w:val="16"/>
                <w:szCs w:val="22"/>
              </w:rPr>
              <w:t>1 288 060</w:t>
            </w:r>
          </w:p>
        </w:tc>
        <w:tc>
          <w:tcPr>
            <w:tcW w:w="1033" w:type="dxa"/>
            <w:noWrap/>
            <w:vAlign w:val="bottom"/>
          </w:tcPr>
          <w:p w:rsidR="00000000" w:rsidRDefault="00000000">
            <w:pPr>
              <w:spacing w:before="20" w:after="20" w:line="240" w:lineRule="auto"/>
              <w:jc w:val="center"/>
              <w:rPr>
                <w:sz w:val="16"/>
                <w:szCs w:val="22"/>
              </w:rPr>
            </w:pPr>
            <w:r>
              <w:rPr>
                <w:sz w:val="16"/>
                <w:szCs w:val="22"/>
              </w:rPr>
              <w:t>1 148 077</w:t>
            </w:r>
          </w:p>
        </w:tc>
        <w:tc>
          <w:tcPr>
            <w:tcW w:w="1350" w:type="dxa"/>
            <w:noWrap/>
            <w:vAlign w:val="bottom"/>
          </w:tcPr>
          <w:p w:rsidR="00000000" w:rsidRDefault="00000000">
            <w:pPr>
              <w:spacing w:before="20" w:after="20" w:line="240" w:lineRule="auto"/>
              <w:jc w:val="center"/>
              <w:rPr>
                <w:sz w:val="16"/>
                <w:szCs w:val="22"/>
              </w:rPr>
            </w:pPr>
            <w:r>
              <w:rPr>
                <w:sz w:val="16"/>
                <w:szCs w:val="22"/>
              </w:rPr>
              <w:t>2 436 137</w:t>
            </w:r>
          </w:p>
        </w:tc>
      </w:tr>
      <w:tr w:rsidR="00000000">
        <w:trPr>
          <w:cantSplit/>
        </w:trPr>
        <w:tc>
          <w:tcPr>
            <w:tcW w:w="1371" w:type="dxa"/>
            <w:noWrap/>
            <w:vAlign w:val="bottom"/>
          </w:tcPr>
          <w:p w:rsidR="00000000" w:rsidRDefault="00000000">
            <w:pPr>
              <w:spacing w:before="20" w:after="20" w:line="240" w:lineRule="auto"/>
              <w:jc w:val="center"/>
              <w:rPr>
                <w:sz w:val="16"/>
                <w:szCs w:val="22"/>
              </w:rPr>
            </w:pPr>
            <w:r>
              <w:rPr>
                <w:sz w:val="16"/>
                <w:szCs w:val="22"/>
              </w:rPr>
              <w:t>2002</w:t>
            </w:r>
          </w:p>
        </w:tc>
        <w:tc>
          <w:tcPr>
            <w:tcW w:w="1033" w:type="dxa"/>
            <w:noWrap/>
            <w:vAlign w:val="bottom"/>
          </w:tcPr>
          <w:p w:rsidR="00000000" w:rsidRDefault="00000000">
            <w:pPr>
              <w:spacing w:before="20" w:after="20" w:line="240" w:lineRule="auto"/>
              <w:jc w:val="center"/>
              <w:rPr>
                <w:sz w:val="16"/>
                <w:szCs w:val="22"/>
              </w:rPr>
            </w:pPr>
            <w:r>
              <w:rPr>
                <w:sz w:val="16"/>
                <w:szCs w:val="22"/>
              </w:rPr>
              <w:t>1 513 168</w:t>
            </w:r>
          </w:p>
        </w:tc>
        <w:tc>
          <w:tcPr>
            <w:tcW w:w="1033" w:type="dxa"/>
            <w:noWrap/>
            <w:vAlign w:val="bottom"/>
          </w:tcPr>
          <w:p w:rsidR="00000000" w:rsidRDefault="00000000">
            <w:pPr>
              <w:spacing w:before="20" w:after="20" w:line="240" w:lineRule="auto"/>
              <w:jc w:val="center"/>
              <w:rPr>
                <w:sz w:val="16"/>
                <w:szCs w:val="22"/>
              </w:rPr>
            </w:pPr>
            <w:r>
              <w:rPr>
                <w:sz w:val="16"/>
                <w:szCs w:val="22"/>
              </w:rPr>
              <w:t>1 588 244</w:t>
            </w:r>
          </w:p>
        </w:tc>
        <w:tc>
          <w:tcPr>
            <w:tcW w:w="1348" w:type="dxa"/>
            <w:noWrap/>
            <w:vAlign w:val="bottom"/>
          </w:tcPr>
          <w:p w:rsidR="00000000" w:rsidRDefault="00000000">
            <w:pPr>
              <w:spacing w:before="20" w:after="20" w:line="240" w:lineRule="auto"/>
              <w:jc w:val="center"/>
              <w:rPr>
                <w:sz w:val="16"/>
                <w:szCs w:val="22"/>
              </w:rPr>
            </w:pPr>
            <w:r>
              <w:rPr>
                <w:sz w:val="16"/>
                <w:szCs w:val="22"/>
              </w:rPr>
              <w:t>3 101 412</w:t>
            </w:r>
          </w:p>
        </w:tc>
        <w:tc>
          <w:tcPr>
            <w:tcW w:w="1210" w:type="dxa"/>
            <w:noWrap/>
            <w:vAlign w:val="bottom"/>
          </w:tcPr>
          <w:p w:rsidR="00000000" w:rsidRDefault="00000000">
            <w:pPr>
              <w:spacing w:before="20" w:after="20" w:line="240" w:lineRule="auto"/>
              <w:jc w:val="center"/>
              <w:rPr>
                <w:sz w:val="16"/>
                <w:szCs w:val="22"/>
              </w:rPr>
            </w:pPr>
            <w:r>
              <w:rPr>
                <w:sz w:val="16"/>
                <w:szCs w:val="22"/>
              </w:rPr>
              <w:t>2002</w:t>
            </w:r>
          </w:p>
        </w:tc>
        <w:tc>
          <w:tcPr>
            <w:tcW w:w="1033" w:type="dxa"/>
            <w:noWrap/>
            <w:vAlign w:val="bottom"/>
          </w:tcPr>
          <w:p w:rsidR="00000000" w:rsidRDefault="00000000">
            <w:pPr>
              <w:spacing w:before="20" w:after="20" w:line="240" w:lineRule="auto"/>
              <w:jc w:val="center"/>
              <w:rPr>
                <w:sz w:val="16"/>
                <w:szCs w:val="22"/>
              </w:rPr>
            </w:pPr>
            <w:r>
              <w:rPr>
                <w:sz w:val="16"/>
                <w:szCs w:val="22"/>
              </w:rPr>
              <w:t>1 303 520</w:t>
            </w:r>
          </w:p>
        </w:tc>
        <w:tc>
          <w:tcPr>
            <w:tcW w:w="1033" w:type="dxa"/>
            <w:noWrap/>
            <w:vAlign w:val="bottom"/>
          </w:tcPr>
          <w:p w:rsidR="00000000" w:rsidRDefault="00000000">
            <w:pPr>
              <w:spacing w:before="20" w:after="20" w:line="240" w:lineRule="auto"/>
              <w:jc w:val="center"/>
              <w:rPr>
                <w:sz w:val="16"/>
                <w:szCs w:val="22"/>
              </w:rPr>
            </w:pPr>
            <w:r>
              <w:rPr>
                <w:sz w:val="16"/>
                <w:szCs w:val="22"/>
              </w:rPr>
              <w:t>1 161 920</w:t>
            </w:r>
          </w:p>
        </w:tc>
        <w:tc>
          <w:tcPr>
            <w:tcW w:w="1350" w:type="dxa"/>
            <w:noWrap/>
            <w:vAlign w:val="bottom"/>
          </w:tcPr>
          <w:p w:rsidR="00000000" w:rsidRDefault="00000000">
            <w:pPr>
              <w:spacing w:before="20" w:after="20" w:line="240" w:lineRule="auto"/>
              <w:jc w:val="center"/>
              <w:rPr>
                <w:sz w:val="16"/>
                <w:szCs w:val="22"/>
              </w:rPr>
            </w:pPr>
            <w:r>
              <w:rPr>
                <w:sz w:val="16"/>
                <w:szCs w:val="22"/>
              </w:rPr>
              <w:t>2 465 439</w:t>
            </w:r>
          </w:p>
        </w:tc>
      </w:tr>
      <w:tr w:rsidR="00000000">
        <w:trPr>
          <w:cantSplit/>
        </w:trPr>
        <w:tc>
          <w:tcPr>
            <w:tcW w:w="1371" w:type="dxa"/>
            <w:noWrap/>
            <w:vAlign w:val="bottom"/>
          </w:tcPr>
          <w:p w:rsidR="00000000" w:rsidRDefault="00000000">
            <w:pPr>
              <w:spacing w:before="20" w:after="20" w:line="240" w:lineRule="auto"/>
              <w:jc w:val="center"/>
              <w:rPr>
                <w:sz w:val="16"/>
                <w:szCs w:val="22"/>
              </w:rPr>
            </w:pPr>
            <w:r>
              <w:rPr>
                <w:sz w:val="16"/>
                <w:szCs w:val="22"/>
              </w:rPr>
              <w:t>2003</w:t>
            </w:r>
          </w:p>
        </w:tc>
        <w:tc>
          <w:tcPr>
            <w:tcW w:w="1033" w:type="dxa"/>
            <w:noWrap/>
            <w:vAlign w:val="bottom"/>
          </w:tcPr>
          <w:p w:rsidR="00000000" w:rsidRDefault="00000000">
            <w:pPr>
              <w:spacing w:before="20" w:after="20" w:line="240" w:lineRule="auto"/>
              <w:jc w:val="center"/>
              <w:rPr>
                <w:sz w:val="16"/>
                <w:szCs w:val="22"/>
              </w:rPr>
            </w:pPr>
            <w:r>
              <w:rPr>
                <w:sz w:val="16"/>
                <w:szCs w:val="22"/>
              </w:rPr>
              <w:t>1 553 561</w:t>
            </w:r>
          </w:p>
        </w:tc>
        <w:tc>
          <w:tcPr>
            <w:tcW w:w="1033" w:type="dxa"/>
            <w:noWrap/>
            <w:vAlign w:val="bottom"/>
          </w:tcPr>
          <w:p w:rsidR="00000000" w:rsidRDefault="00000000">
            <w:pPr>
              <w:spacing w:before="20" w:after="20" w:line="240" w:lineRule="auto"/>
              <w:jc w:val="center"/>
              <w:rPr>
                <w:sz w:val="16"/>
                <w:szCs w:val="22"/>
              </w:rPr>
            </w:pPr>
            <w:r>
              <w:rPr>
                <w:sz w:val="16"/>
                <w:szCs w:val="22"/>
              </w:rPr>
              <w:t>1 629 599</w:t>
            </w:r>
          </w:p>
        </w:tc>
        <w:tc>
          <w:tcPr>
            <w:tcW w:w="1348" w:type="dxa"/>
            <w:noWrap/>
            <w:vAlign w:val="bottom"/>
          </w:tcPr>
          <w:p w:rsidR="00000000" w:rsidRDefault="00000000">
            <w:pPr>
              <w:spacing w:before="20" w:after="20" w:line="240" w:lineRule="auto"/>
              <w:jc w:val="center"/>
              <w:rPr>
                <w:sz w:val="16"/>
                <w:szCs w:val="22"/>
              </w:rPr>
            </w:pPr>
            <w:r>
              <w:rPr>
                <w:sz w:val="16"/>
                <w:szCs w:val="22"/>
              </w:rPr>
              <w:t>3 183 160</w:t>
            </w:r>
          </w:p>
        </w:tc>
        <w:tc>
          <w:tcPr>
            <w:tcW w:w="1210" w:type="dxa"/>
            <w:noWrap/>
            <w:vAlign w:val="bottom"/>
          </w:tcPr>
          <w:p w:rsidR="00000000" w:rsidRDefault="00000000">
            <w:pPr>
              <w:spacing w:before="20" w:after="20" w:line="240" w:lineRule="auto"/>
              <w:jc w:val="center"/>
              <w:rPr>
                <w:sz w:val="16"/>
                <w:szCs w:val="22"/>
              </w:rPr>
            </w:pPr>
            <w:r>
              <w:rPr>
                <w:sz w:val="16"/>
                <w:szCs w:val="22"/>
              </w:rPr>
              <w:t>2003</w:t>
            </w:r>
          </w:p>
        </w:tc>
        <w:tc>
          <w:tcPr>
            <w:tcW w:w="1033" w:type="dxa"/>
            <w:noWrap/>
            <w:vAlign w:val="bottom"/>
          </w:tcPr>
          <w:p w:rsidR="00000000" w:rsidRDefault="00000000">
            <w:pPr>
              <w:spacing w:before="20" w:after="20" w:line="240" w:lineRule="auto"/>
              <w:jc w:val="center"/>
              <w:rPr>
                <w:sz w:val="16"/>
                <w:szCs w:val="22"/>
              </w:rPr>
            </w:pPr>
            <w:r>
              <w:rPr>
                <w:sz w:val="16"/>
                <w:szCs w:val="22"/>
              </w:rPr>
              <w:t>1 318 625</w:t>
            </w:r>
          </w:p>
        </w:tc>
        <w:tc>
          <w:tcPr>
            <w:tcW w:w="1033" w:type="dxa"/>
            <w:noWrap/>
            <w:vAlign w:val="bottom"/>
          </w:tcPr>
          <w:p w:rsidR="00000000" w:rsidRDefault="00000000">
            <w:pPr>
              <w:spacing w:before="20" w:after="20" w:line="240" w:lineRule="auto"/>
              <w:jc w:val="center"/>
              <w:rPr>
                <w:sz w:val="16"/>
                <w:szCs w:val="22"/>
              </w:rPr>
            </w:pPr>
            <w:r>
              <w:rPr>
                <w:sz w:val="16"/>
                <w:szCs w:val="22"/>
              </w:rPr>
              <w:t>1 175 663</w:t>
            </w:r>
          </w:p>
        </w:tc>
        <w:tc>
          <w:tcPr>
            <w:tcW w:w="1350" w:type="dxa"/>
            <w:noWrap/>
            <w:vAlign w:val="bottom"/>
          </w:tcPr>
          <w:p w:rsidR="00000000" w:rsidRDefault="00000000">
            <w:pPr>
              <w:spacing w:before="20" w:after="20" w:line="240" w:lineRule="auto"/>
              <w:jc w:val="center"/>
              <w:rPr>
                <w:sz w:val="16"/>
                <w:szCs w:val="22"/>
              </w:rPr>
            </w:pPr>
            <w:r>
              <w:rPr>
                <w:sz w:val="16"/>
                <w:szCs w:val="22"/>
              </w:rPr>
              <w:t>2 494 288</w:t>
            </w:r>
          </w:p>
        </w:tc>
      </w:tr>
      <w:tr w:rsidR="00000000">
        <w:trPr>
          <w:cantSplit/>
        </w:trPr>
        <w:tc>
          <w:tcPr>
            <w:tcW w:w="1371" w:type="dxa"/>
            <w:noWrap/>
            <w:vAlign w:val="bottom"/>
          </w:tcPr>
          <w:p w:rsidR="00000000" w:rsidRDefault="00000000">
            <w:pPr>
              <w:spacing w:before="20" w:after="20" w:line="240" w:lineRule="auto"/>
              <w:jc w:val="center"/>
              <w:rPr>
                <w:sz w:val="16"/>
                <w:szCs w:val="22"/>
              </w:rPr>
            </w:pPr>
            <w:r>
              <w:rPr>
                <w:sz w:val="16"/>
                <w:szCs w:val="22"/>
              </w:rPr>
              <w:t>2004</w:t>
            </w:r>
          </w:p>
        </w:tc>
        <w:tc>
          <w:tcPr>
            <w:tcW w:w="1033" w:type="dxa"/>
            <w:noWrap/>
            <w:vAlign w:val="bottom"/>
          </w:tcPr>
          <w:p w:rsidR="00000000" w:rsidRDefault="00000000">
            <w:pPr>
              <w:spacing w:before="20" w:after="20" w:line="240" w:lineRule="auto"/>
              <w:jc w:val="center"/>
              <w:rPr>
                <w:sz w:val="16"/>
                <w:szCs w:val="22"/>
              </w:rPr>
            </w:pPr>
            <w:r>
              <w:rPr>
                <w:sz w:val="16"/>
                <w:szCs w:val="22"/>
              </w:rPr>
              <w:t>1 594 161</w:t>
            </w:r>
          </w:p>
        </w:tc>
        <w:tc>
          <w:tcPr>
            <w:tcW w:w="1033" w:type="dxa"/>
            <w:noWrap/>
            <w:vAlign w:val="bottom"/>
          </w:tcPr>
          <w:p w:rsidR="00000000" w:rsidRDefault="00000000">
            <w:pPr>
              <w:spacing w:before="20" w:after="20" w:line="240" w:lineRule="auto"/>
              <w:jc w:val="center"/>
              <w:rPr>
                <w:sz w:val="16"/>
                <w:szCs w:val="22"/>
              </w:rPr>
            </w:pPr>
            <w:r>
              <w:rPr>
                <w:sz w:val="16"/>
                <w:szCs w:val="22"/>
              </w:rPr>
              <w:t>1 671 185</w:t>
            </w:r>
          </w:p>
        </w:tc>
        <w:tc>
          <w:tcPr>
            <w:tcW w:w="1348" w:type="dxa"/>
            <w:noWrap/>
            <w:vAlign w:val="bottom"/>
          </w:tcPr>
          <w:p w:rsidR="00000000" w:rsidRDefault="00000000">
            <w:pPr>
              <w:spacing w:before="20" w:after="20" w:line="240" w:lineRule="auto"/>
              <w:jc w:val="center"/>
              <w:rPr>
                <w:sz w:val="16"/>
                <w:szCs w:val="22"/>
              </w:rPr>
            </w:pPr>
            <w:r>
              <w:rPr>
                <w:sz w:val="16"/>
                <w:szCs w:val="22"/>
              </w:rPr>
              <w:t>3 265 346</w:t>
            </w:r>
          </w:p>
        </w:tc>
        <w:tc>
          <w:tcPr>
            <w:tcW w:w="1210" w:type="dxa"/>
            <w:noWrap/>
            <w:vAlign w:val="bottom"/>
          </w:tcPr>
          <w:p w:rsidR="00000000" w:rsidRDefault="00000000">
            <w:pPr>
              <w:spacing w:before="20" w:after="20" w:line="240" w:lineRule="auto"/>
              <w:jc w:val="center"/>
              <w:rPr>
                <w:sz w:val="16"/>
                <w:szCs w:val="22"/>
              </w:rPr>
            </w:pPr>
            <w:r>
              <w:rPr>
                <w:sz w:val="16"/>
                <w:szCs w:val="22"/>
              </w:rPr>
              <w:t>2004</w:t>
            </w:r>
          </w:p>
        </w:tc>
        <w:tc>
          <w:tcPr>
            <w:tcW w:w="1033" w:type="dxa"/>
            <w:noWrap/>
            <w:vAlign w:val="bottom"/>
          </w:tcPr>
          <w:p w:rsidR="00000000" w:rsidRDefault="00000000">
            <w:pPr>
              <w:spacing w:before="20" w:after="20" w:line="240" w:lineRule="auto"/>
              <w:jc w:val="center"/>
              <w:rPr>
                <w:sz w:val="16"/>
                <w:szCs w:val="22"/>
              </w:rPr>
            </w:pPr>
            <w:r>
              <w:rPr>
                <w:sz w:val="16"/>
                <w:szCs w:val="22"/>
              </w:rPr>
              <w:t>1 333 497</w:t>
            </w:r>
          </w:p>
        </w:tc>
        <w:tc>
          <w:tcPr>
            <w:tcW w:w="1033" w:type="dxa"/>
            <w:noWrap/>
            <w:vAlign w:val="bottom"/>
          </w:tcPr>
          <w:p w:rsidR="00000000" w:rsidRDefault="00000000">
            <w:pPr>
              <w:spacing w:before="20" w:after="20" w:line="240" w:lineRule="auto"/>
              <w:jc w:val="center"/>
              <w:rPr>
                <w:sz w:val="16"/>
                <w:szCs w:val="22"/>
              </w:rPr>
            </w:pPr>
            <w:r>
              <w:rPr>
                <w:sz w:val="16"/>
                <w:szCs w:val="22"/>
              </w:rPr>
              <w:t>1 189 245</w:t>
            </w:r>
          </w:p>
        </w:tc>
        <w:tc>
          <w:tcPr>
            <w:tcW w:w="1350" w:type="dxa"/>
            <w:noWrap/>
            <w:vAlign w:val="bottom"/>
          </w:tcPr>
          <w:p w:rsidR="00000000" w:rsidRDefault="00000000">
            <w:pPr>
              <w:spacing w:before="20" w:after="20" w:line="240" w:lineRule="auto"/>
              <w:jc w:val="center"/>
              <w:rPr>
                <w:sz w:val="16"/>
                <w:szCs w:val="22"/>
              </w:rPr>
            </w:pPr>
            <w:r>
              <w:rPr>
                <w:sz w:val="16"/>
                <w:szCs w:val="22"/>
              </w:rPr>
              <w:t>2 522 742</w:t>
            </w:r>
          </w:p>
        </w:tc>
      </w:tr>
      <w:tr w:rsidR="00000000">
        <w:trPr>
          <w:cantSplit/>
        </w:trPr>
        <w:tc>
          <w:tcPr>
            <w:tcW w:w="1371" w:type="dxa"/>
            <w:noWrap/>
            <w:vAlign w:val="bottom"/>
          </w:tcPr>
          <w:p w:rsidR="00000000" w:rsidRDefault="00000000">
            <w:pPr>
              <w:spacing w:before="20" w:after="20" w:line="240" w:lineRule="auto"/>
              <w:jc w:val="center"/>
              <w:rPr>
                <w:sz w:val="16"/>
                <w:szCs w:val="22"/>
              </w:rPr>
            </w:pPr>
            <w:r>
              <w:rPr>
                <w:sz w:val="16"/>
                <w:szCs w:val="22"/>
              </w:rPr>
              <w:t>2005</w:t>
            </w:r>
          </w:p>
        </w:tc>
        <w:tc>
          <w:tcPr>
            <w:tcW w:w="1033" w:type="dxa"/>
            <w:noWrap/>
            <w:vAlign w:val="bottom"/>
          </w:tcPr>
          <w:p w:rsidR="00000000" w:rsidRDefault="00000000">
            <w:pPr>
              <w:spacing w:before="20" w:after="20" w:line="240" w:lineRule="auto"/>
              <w:jc w:val="center"/>
              <w:rPr>
                <w:sz w:val="16"/>
                <w:szCs w:val="22"/>
              </w:rPr>
            </w:pPr>
            <w:r>
              <w:rPr>
                <w:sz w:val="16"/>
                <w:szCs w:val="22"/>
              </w:rPr>
              <w:t>1 634 869</w:t>
            </w:r>
          </w:p>
        </w:tc>
        <w:tc>
          <w:tcPr>
            <w:tcW w:w="1033" w:type="dxa"/>
            <w:noWrap/>
            <w:vAlign w:val="bottom"/>
          </w:tcPr>
          <w:p w:rsidR="00000000" w:rsidRDefault="00000000">
            <w:pPr>
              <w:spacing w:before="20" w:after="20" w:line="240" w:lineRule="auto"/>
              <w:jc w:val="center"/>
              <w:rPr>
                <w:sz w:val="16"/>
                <w:szCs w:val="22"/>
              </w:rPr>
            </w:pPr>
            <w:r>
              <w:rPr>
                <w:sz w:val="16"/>
                <w:szCs w:val="22"/>
              </w:rPr>
              <w:t>1 712 924</w:t>
            </w:r>
          </w:p>
        </w:tc>
        <w:tc>
          <w:tcPr>
            <w:tcW w:w="1348" w:type="dxa"/>
            <w:noWrap/>
            <w:vAlign w:val="bottom"/>
          </w:tcPr>
          <w:p w:rsidR="00000000" w:rsidRDefault="00000000">
            <w:pPr>
              <w:spacing w:before="20" w:after="20" w:line="240" w:lineRule="auto"/>
              <w:jc w:val="center"/>
              <w:rPr>
                <w:sz w:val="16"/>
                <w:szCs w:val="22"/>
              </w:rPr>
            </w:pPr>
            <w:r>
              <w:rPr>
                <w:sz w:val="16"/>
                <w:szCs w:val="22"/>
              </w:rPr>
              <w:t>3 347 793</w:t>
            </w:r>
          </w:p>
        </w:tc>
        <w:tc>
          <w:tcPr>
            <w:tcW w:w="1210" w:type="dxa"/>
            <w:noWrap/>
            <w:vAlign w:val="bottom"/>
          </w:tcPr>
          <w:p w:rsidR="00000000" w:rsidRDefault="00000000">
            <w:pPr>
              <w:spacing w:before="20" w:after="20" w:line="240" w:lineRule="auto"/>
              <w:jc w:val="center"/>
              <w:rPr>
                <w:sz w:val="16"/>
                <w:szCs w:val="22"/>
              </w:rPr>
            </w:pPr>
            <w:r>
              <w:rPr>
                <w:sz w:val="16"/>
                <w:szCs w:val="22"/>
              </w:rPr>
              <w:t>2005</w:t>
            </w:r>
          </w:p>
        </w:tc>
        <w:tc>
          <w:tcPr>
            <w:tcW w:w="1033" w:type="dxa"/>
            <w:noWrap/>
            <w:vAlign w:val="bottom"/>
          </w:tcPr>
          <w:p w:rsidR="00000000" w:rsidRDefault="00000000">
            <w:pPr>
              <w:spacing w:before="20" w:after="20" w:line="240" w:lineRule="auto"/>
              <w:jc w:val="center"/>
              <w:rPr>
                <w:sz w:val="16"/>
                <w:szCs w:val="22"/>
              </w:rPr>
            </w:pPr>
            <w:r>
              <w:rPr>
                <w:sz w:val="16"/>
                <w:szCs w:val="22"/>
              </w:rPr>
              <w:t>1 348 254</w:t>
            </w:r>
          </w:p>
        </w:tc>
        <w:tc>
          <w:tcPr>
            <w:tcW w:w="1033" w:type="dxa"/>
            <w:noWrap/>
            <w:vAlign w:val="bottom"/>
          </w:tcPr>
          <w:p w:rsidR="00000000" w:rsidRDefault="00000000">
            <w:pPr>
              <w:spacing w:before="20" w:after="20" w:line="240" w:lineRule="auto"/>
              <w:jc w:val="center"/>
              <w:rPr>
                <w:sz w:val="16"/>
                <w:szCs w:val="22"/>
              </w:rPr>
            </w:pPr>
            <w:r>
              <w:rPr>
                <w:sz w:val="16"/>
                <w:szCs w:val="22"/>
              </w:rPr>
              <w:t>1 202 604</w:t>
            </w:r>
          </w:p>
        </w:tc>
        <w:tc>
          <w:tcPr>
            <w:tcW w:w="1350" w:type="dxa"/>
            <w:noWrap/>
            <w:vAlign w:val="bottom"/>
          </w:tcPr>
          <w:p w:rsidR="00000000" w:rsidRDefault="00000000">
            <w:pPr>
              <w:spacing w:before="20" w:after="20" w:line="240" w:lineRule="auto"/>
              <w:jc w:val="center"/>
              <w:rPr>
                <w:sz w:val="16"/>
                <w:szCs w:val="22"/>
              </w:rPr>
            </w:pPr>
            <w:r>
              <w:rPr>
                <w:sz w:val="16"/>
                <w:szCs w:val="22"/>
              </w:rPr>
              <w:t>2 550 858</w:t>
            </w:r>
          </w:p>
        </w:tc>
      </w:tr>
    </w:tbl>
    <w:p w:rsidR="00000000" w:rsidRDefault="00000000">
      <w:pPr>
        <w:spacing w:before="20" w:after="20" w:line="240" w:lineRule="auto"/>
        <w:rPr>
          <w:i/>
          <w:iCs/>
          <w:sz w:val="16"/>
          <w:szCs w:val="18"/>
        </w:rPr>
      </w:pPr>
    </w:p>
    <w:p w:rsidR="00000000" w:rsidRDefault="00000000">
      <w:pPr>
        <w:spacing w:before="20" w:after="20" w:line="240" w:lineRule="auto"/>
        <w:rPr>
          <w:sz w:val="18"/>
          <w:szCs w:val="18"/>
        </w:rPr>
      </w:pPr>
      <w:r>
        <w:rPr>
          <w:i/>
          <w:iCs/>
          <w:sz w:val="18"/>
          <w:szCs w:val="18"/>
        </w:rPr>
        <w:t>Источник</w:t>
      </w:r>
      <w:r>
        <w:rPr>
          <w:sz w:val="18"/>
          <w:szCs w:val="18"/>
        </w:rPr>
        <w:t>:  ГУСоП.  Парагвай:  Прогнозы в отношении численности населения в стране в разбивке по полу и возрастным группам в городских и сельских районах, 2000-2030 годы.</w:t>
      </w:r>
    </w:p>
    <w:p w:rsidR="00000000" w:rsidRDefault="00000000">
      <w:pPr>
        <w:spacing w:before="20" w:after="20" w:line="240" w:lineRule="auto"/>
        <w:rPr>
          <w:b/>
          <w:bCs/>
          <w:sz w:val="18"/>
          <w:vertAlign w:val="superscript"/>
        </w:rPr>
      </w:pPr>
    </w:p>
    <w:p w:rsidR="00000000" w:rsidRDefault="00000000">
      <w:pPr>
        <w:spacing w:line="240" w:lineRule="auto"/>
        <w:rPr>
          <w:sz w:val="18"/>
          <w:lang w:val="en-US"/>
        </w:rPr>
      </w:pPr>
      <w:r>
        <w:rPr>
          <w:b/>
          <w:bCs/>
          <w:sz w:val="18"/>
          <w:vertAlign w:val="superscript"/>
        </w:rPr>
        <w:t>1</w:t>
      </w:r>
      <w:r>
        <w:rPr>
          <w:sz w:val="18"/>
        </w:rPr>
        <w:tab/>
        <w:t>Оценки численности населения с учетом погрешностей при проведении переписи.</w:t>
      </w:r>
    </w:p>
    <w:p w:rsidR="00000000" w:rsidRDefault="00000000">
      <w:pPr>
        <w:spacing w:line="240" w:lineRule="auto"/>
        <w:rPr>
          <w:sz w:val="18"/>
          <w:lang w:val="en-US"/>
        </w:rPr>
      </w:pPr>
    </w:p>
    <w:p w:rsidR="00000000" w:rsidRDefault="00000000">
      <w:pPr>
        <w:rPr>
          <w:b/>
          <w:bCs/>
        </w:rPr>
      </w:pPr>
      <w:r>
        <w:rPr>
          <w:b/>
          <w:bCs/>
        </w:rPr>
        <w:t>7.</w:t>
      </w:r>
      <w:r>
        <w:rPr>
          <w:b/>
          <w:bCs/>
        </w:rPr>
        <w:tab/>
        <w:t>Женщины, являющиеся главами домохозяйств</w:t>
      </w:r>
    </w:p>
    <w:p w:rsidR="00000000" w:rsidRDefault="00000000">
      <w:pPr>
        <w:rPr>
          <w:b/>
          <w:bCs/>
          <w:sz w:val="16"/>
        </w:rPr>
      </w:pPr>
    </w:p>
    <w:p w:rsidR="00000000" w:rsidRDefault="00000000">
      <w:r>
        <w:t>33.</w:t>
      </w:r>
      <w:r>
        <w:tab/>
        <w:t>Число женщин, являющихся главами домохозяйств, неуклонно возрастало - с 20% в 1992 году до 25,9% в 2002 году.  По результатам проведенного в 2004 году обследования домохозяйств одно из четырех домохозяйств в Парагвае возглавляет женщина.  Эта тенденция является тем более значимой, если учесть, что за последние 20 лет общее число глав домохозяйств увеличилось в три раза.  В 2002 году женщины возглавляли 29,6% домохозяйств в городских районах и 20,7% домохозяйств в сельских районах.  Для значительной части этих домохозяйств характерны нищета и крайняя нищета.</w:t>
      </w:r>
    </w:p>
    <w:p w:rsidR="00000000" w:rsidRDefault="00000000">
      <w:pPr>
        <w:spacing w:line="240" w:lineRule="auto"/>
      </w:pPr>
    </w:p>
    <w:p w:rsidR="00000000" w:rsidRDefault="00000000">
      <w:pPr>
        <w:spacing w:line="216" w:lineRule="auto"/>
        <w:jc w:val="center"/>
        <w:rPr>
          <w:b/>
          <w:bCs/>
        </w:rPr>
      </w:pPr>
      <w:r>
        <w:rPr>
          <w:b/>
          <w:bCs/>
        </w:rPr>
        <w:t>Парагвай:  женщины, возглавляющие домохозяйства, 1992 и 2002 годы</w:t>
      </w:r>
    </w:p>
    <w:p w:rsidR="00000000" w:rsidRDefault="00000000">
      <w:pPr>
        <w:spacing w:line="240" w:lineRule="auto"/>
        <w:jc w:val="center"/>
        <w:rPr>
          <w:b/>
          <w:bCs/>
          <w:sz w:val="16"/>
        </w:rPr>
      </w:pPr>
    </w:p>
    <w:tbl>
      <w:tblPr>
        <w:tblW w:w="6745" w:type="dxa"/>
        <w:jc w:val="center"/>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7"/>
        <w:gridCol w:w="2312"/>
        <w:gridCol w:w="1596"/>
      </w:tblGrid>
      <w:tr w:rsidR="00000000">
        <w:trPr>
          <w:trHeight w:val="20"/>
          <w:jc w:val="center"/>
        </w:trPr>
        <w:tc>
          <w:tcPr>
            <w:tcW w:w="2837" w:type="dxa"/>
            <w:noWrap/>
            <w:vAlign w:val="bottom"/>
          </w:tcPr>
          <w:p w:rsidR="00000000" w:rsidRDefault="00000000">
            <w:pPr>
              <w:spacing w:line="240" w:lineRule="auto"/>
              <w:jc w:val="center"/>
              <w:rPr>
                <w:b/>
                <w:bCs/>
              </w:rPr>
            </w:pPr>
            <w:r>
              <w:rPr>
                <w:b/>
                <w:bCs/>
              </w:rPr>
              <w:t>Перепись населения</w:t>
            </w:r>
          </w:p>
        </w:tc>
        <w:tc>
          <w:tcPr>
            <w:tcW w:w="2312" w:type="dxa"/>
            <w:noWrap/>
            <w:vAlign w:val="bottom"/>
          </w:tcPr>
          <w:p w:rsidR="00000000" w:rsidRDefault="00000000">
            <w:pPr>
              <w:spacing w:line="240" w:lineRule="auto"/>
              <w:jc w:val="center"/>
              <w:rPr>
                <w:b/>
                <w:bCs/>
              </w:rPr>
            </w:pPr>
            <w:r>
              <w:rPr>
                <w:b/>
                <w:bCs/>
              </w:rPr>
              <w:t>Численность</w:t>
            </w:r>
          </w:p>
        </w:tc>
        <w:tc>
          <w:tcPr>
            <w:tcW w:w="1596" w:type="dxa"/>
            <w:noWrap/>
            <w:vAlign w:val="bottom"/>
          </w:tcPr>
          <w:p w:rsidR="00000000" w:rsidRDefault="00000000">
            <w:pPr>
              <w:spacing w:line="240" w:lineRule="auto"/>
              <w:jc w:val="center"/>
              <w:rPr>
                <w:b/>
                <w:bCs/>
              </w:rPr>
            </w:pPr>
            <w:r>
              <w:rPr>
                <w:b/>
                <w:bCs/>
              </w:rPr>
              <w:t>Доля в %</w:t>
            </w:r>
          </w:p>
        </w:tc>
      </w:tr>
      <w:tr w:rsidR="00000000">
        <w:trPr>
          <w:trHeight w:val="20"/>
          <w:jc w:val="center"/>
        </w:trPr>
        <w:tc>
          <w:tcPr>
            <w:tcW w:w="2837" w:type="dxa"/>
            <w:noWrap/>
            <w:vAlign w:val="bottom"/>
          </w:tcPr>
          <w:p w:rsidR="00000000" w:rsidRDefault="00000000">
            <w:pPr>
              <w:spacing w:line="240" w:lineRule="auto"/>
              <w:jc w:val="center"/>
            </w:pPr>
            <w:r>
              <w:t>1992 года</w:t>
            </w:r>
          </w:p>
        </w:tc>
        <w:tc>
          <w:tcPr>
            <w:tcW w:w="2312" w:type="dxa"/>
            <w:noWrap/>
            <w:vAlign w:val="bottom"/>
          </w:tcPr>
          <w:p w:rsidR="00000000" w:rsidRDefault="00000000">
            <w:pPr>
              <w:spacing w:line="240" w:lineRule="auto"/>
              <w:jc w:val="center"/>
            </w:pPr>
            <w:r>
              <w:t>180 047</w:t>
            </w:r>
          </w:p>
        </w:tc>
        <w:tc>
          <w:tcPr>
            <w:tcW w:w="1596" w:type="dxa"/>
            <w:noWrap/>
            <w:vAlign w:val="bottom"/>
          </w:tcPr>
          <w:p w:rsidR="00000000" w:rsidRDefault="00000000">
            <w:pPr>
              <w:spacing w:line="240" w:lineRule="auto"/>
              <w:jc w:val="center"/>
            </w:pPr>
            <w:r>
              <w:t>20,8</w:t>
            </w:r>
          </w:p>
        </w:tc>
      </w:tr>
      <w:tr w:rsidR="00000000">
        <w:trPr>
          <w:trHeight w:val="20"/>
          <w:jc w:val="center"/>
        </w:trPr>
        <w:tc>
          <w:tcPr>
            <w:tcW w:w="2837" w:type="dxa"/>
            <w:noWrap/>
            <w:vAlign w:val="bottom"/>
          </w:tcPr>
          <w:p w:rsidR="00000000" w:rsidRDefault="00000000">
            <w:pPr>
              <w:spacing w:line="240" w:lineRule="auto"/>
              <w:jc w:val="center"/>
            </w:pPr>
            <w:r>
              <w:t>2002 года</w:t>
            </w:r>
          </w:p>
        </w:tc>
        <w:tc>
          <w:tcPr>
            <w:tcW w:w="2312" w:type="dxa"/>
            <w:noWrap/>
            <w:vAlign w:val="bottom"/>
          </w:tcPr>
          <w:p w:rsidR="00000000" w:rsidRDefault="00000000">
            <w:pPr>
              <w:spacing w:line="240" w:lineRule="auto"/>
              <w:jc w:val="center"/>
            </w:pPr>
            <w:r>
              <w:t>287 040</w:t>
            </w:r>
          </w:p>
        </w:tc>
        <w:tc>
          <w:tcPr>
            <w:tcW w:w="1596" w:type="dxa"/>
            <w:noWrap/>
            <w:vAlign w:val="bottom"/>
          </w:tcPr>
          <w:p w:rsidR="00000000" w:rsidRDefault="00000000">
            <w:pPr>
              <w:spacing w:line="240" w:lineRule="auto"/>
              <w:jc w:val="center"/>
            </w:pPr>
            <w:r>
              <w:t>25,9</w:t>
            </w:r>
          </w:p>
        </w:tc>
      </w:tr>
      <w:tr w:rsidR="00000000">
        <w:trPr>
          <w:trHeight w:val="20"/>
          <w:jc w:val="center"/>
        </w:trPr>
        <w:tc>
          <w:tcPr>
            <w:tcW w:w="2837" w:type="dxa"/>
            <w:noWrap/>
            <w:vAlign w:val="bottom"/>
          </w:tcPr>
          <w:p w:rsidR="00000000" w:rsidRDefault="00000000">
            <w:pPr>
              <w:spacing w:line="240" w:lineRule="auto"/>
              <w:jc w:val="center"/>
            </w:pPr>
            <w:r>
              <w:t>2005 года</w:t>
            </w:r>
          </w:p>
        </w:tc>
        <w:tc>
          <w:tcPr>
            <w:tcW w:w="2312" w:type="dxa"/>
            <w:noWrap/>
            <w:vAlign w:val="bottom"/>
          </w:tcPr>
          <w:p w:rsidR="00000000" w:rsidRDefault="00000000">
            <w:pPr>
              <w:spacing w:line="240" w:lineRule="auto"/>
              <w:jc w:val="center"/>
            </w:pPr>
            <w:r>
              <w:t>371 566</w:t>
            </w:r>
          </w:p>
        </w:tc>
        <w:tc>
          <w:tcPr>
            <w:tcW w:w="1596" w:type="dxa"/>
            <w:noWrap/>
            <w:vAlign w:val="bottom"/>
          </w:tcPr>
          <w:p w:rsidR="00000000" w:rsidRDefault="00000000">
            <w:pPr>
              <w:spacing w:line="240" w:lineRule="auto"/>
              <w:jc w:val="center"/>
            </w:pPr>
            <w:r>
              <w:t>27,7</w:t>
            </w:r>
          </w:p>
        </w:tc>
      </w:tr>
    </w:tbl>
    <w:p w:rsidR="00000000" w:rsidRDefault="00000000">
      <w:pPr>
        <w:spacing w:line="240" w:lineRule="auto"/>
        <w:rPr>
          <w:sz w:val="16"/>
        </w:rPr>
      </w:pPr>
    </w:p>
    <w:p w:rsidR="00000000" w:rsidRDefault="00000000">
      <w:pPr>
        <w:spacing w:line="240" w:lineRule="auto"/>
        <w:ind w:left="567"/>
        <w:rPr>
          <w:szCs w:val="16"/>
        </w:rPr>
      </w:pPr>
      <w:r>
        <w:rPr>
          <w:i/>
          <w:iCs/>
        </w:rPr>
        <w:t>Источник</w:t>
      </w:r>
      <w:r>
        <w:t xml:space="preserve">:  </w:t>
      </w:r>
      <w:r>
        <w:rPr>
          <w:szCs w:val="16"/>
        </w:rPr>
        <w:t>ТУСОП.  Переписи населения и жилого фонда в стране 1992, 2002 и 2005 годов.</w:t>
      </w:r>
    </w:p>
    <w:p w:rsidR="00000000" w:rsidRDefault="00000000">
      <w:pPr>
        <w:rPr>
          <w:szCs w:val="16"/>
        </w:rPr>
      </w:pPr>
    </w:p>
    <w:p w:rsidR="00000000" w:rsidRDefault="00000000">
      <w:pPr>
        <w:jc w:val="center"/>
        <w:rPr>
          <w:b/>
          <w:bCs/>
        </w:rPr>
      </w:pPr>
      <w:r>
        <w:rPr>
          <w:b/>
          <w:bCs/>
          <w:szCs w:val="16"/>
        </w:rPr>
        <w:t>Е.</w:t>
      </w:r>
      <w:r>
        <w:rPr>
          <w:b/>
          <w:bCs/>
          <w:szCs w:val="16"/>
        </w:rPr>
        <w:tab/>
        <w:t>Социально-экономические показатели</w:t>
      </w:r>
    </w:p>
    <w:p w:rsidR="00000000" w:rsidRDefault="00000000">
      <w:pPr>
        <w:jc w:val="center"/>
        <w:rPr>
          <w:b/>
          <w:bCs/>
        </w:rPr>
      </w:pPr>
    </w:p>
    <w:p w:rsidR="00000000" w:rsidRDefault="00000000">
      <w:r>
        <w:t>34.</w:t>
      </w:r>
      <w:r>
        <w:tab/>
        <w:t>В настоящем разделе излагается информация, имеющаяся в распоряжении в отношении следующих показателей:</w:t>
      </w:r>
    </w:p>
    <w:p w:rsidR="00000000" w:rsidRDefault="00000000"/>
    <w:p w:rsidR="00000000" w:rsidRDefault="00000000">
      <w:pPr>
        <w:rPr>
          <w:b/>
          <w:bCs/>
        </w:rPr>
      </w:pPr>
      <w:r>
        <w:rPr>
          <w:b/>
          <w:bCs/>
        </w:rPr>
        <w:t>1.</w:t>
      </w:r>
      <w:r>
        <w:rPr>
          <w:b/>
          <w:bCs/>
        </w:rPr>
        <w:tab/>
        <w:t>Национальный доход на душу населения</w:t>
      </w:r>
    </w:p>
    <w:p w:rsidR="00000000" w:rsidRDefault="00000000">
      <w:pPr>
        <w:rPr>
          <w:b/>
          <w:bCs/>
        </w:rPr>
      </w:pPr>
    </w:p>
    <w:p w:rsidR="00000000" w:rsidRDefault="00000000">
      <w:r>
        <w:t>35.</w:t>
      </w:r>
      <w:r>
        <w:tab/>
        <w:t>По данным, предоставленным Центральным банком Парагвая, показатель национального дохода на душу населения выглядит следующим образом:</w:t>
      </w:r>
    </w:p>
    <w:p w:rsidR="00000000" w:rsidRDefault="00000000"/>
    <w:p w:rsidR="00000000" w:rsidRDefault="00000000">
      <w:pPr>
        <w:jc w:val="center"/>
        <w:rPr>
          <w:b/>
          <w:bCs/>
        </w:rPr>
      </w:pPr>
      <w:r>
        <w:rPr>
          <w:b/>
          <w:bCs/>
        </w:rPr>
        <w:t>Динамика доходов на душу населения</w:t>
      </w:r>
    </w:p>
    <w:p w:rsidR="00000000" w:rsidRDefault="00000000">
      <w:pPr>
        <w:jc w:val="center"/>
        <w:rPr>
          <w:b/>
          <w:bCs/>
        </w:rPr>
      </w:pPr>
    </w:p>
    <w:tbl>
      <w:tblPr>
        <w:tblW w:w="0" w:type="auto"/>
        <w:jc w:val="center"/>
        <w:tblLayout w:type="fixed"/>
        <w:tblCellMar>
          <w:left w:w="70" w:type="dxa"/>
          <w:right w:w="70" w:type="dxa"/>
        </w:tblCellMar>
        <w:tblLook w:val="0000" w:firstRow="0" w:lastRow="0" w:firstColumn="0" w:lastColumn="0" w:noHBand="0" w:noVBand="0"/>
      </w:tblPr>
      <w:tblGrid>
        <w:gridCol w:w="1735"/>
        <w:gridCol w:w="2115"/>
        <w:gridCol w:w="2558"/>
      </w:tblGrid>
      <w:tr w:rsidR="00000000">
        <w:tblPrEx>
          <w:tblCellMar>
            <w:top w:w="0" w:type="dxa"/>
            <w:bottom w:w="0" w:type="dxa"/>
          </w:tblCellMar>
        </w:tblPrEx>
        <w:trPr>
          <w:trHeight w:val="20"/>
          <w:jc w:val="center"/>
        </w:trPr>
        <w:tc>
          <w:tcPr>
            <w:tcW w:w="6408" w:type="dxa"/>
            <w:gridSpan w:val="3"/>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b/>
                <w:bCs/>
                <w:color w:val="000000"/>
              </w:rPr>
            </w:pPr>
            <w:r>
              <w:rPr>
                <w:b/>
                <w:bCs/>
                <w:color w:val="000000"/>
              </w:rPr>
              <w:t>Валовой внутренний продукт на душу населения</w:t>
            </w:r>
          </w:p>
        </w:tc>
      </w:tr>
      <w:tr w:rsidR="00000000">
        <w:tblPrEx>
          <w:tblCellMar>
            <w:top w:w="0" w:type="dxa"/>
            <w:bottom w:w="0" w:type="dxa"/>
          </w:tblCellMar>
        </w:tblPrEx>
        <w:trPr>
          <w:trHeight w:val="20"/>
          <w:jc w:val="center"/>
        </w:trPr>
        <w:tc>
          <w:tcPr>
            <w:tcW w:w="173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b/>
                <w:bCs/>
                <w:color w:val="000000"/>
              </w:rPr>
            </w:pPr>
            <w:r>
              <w:rPr>
                <w:b/>
                <w:bCs/>
                <w:color w:val="000000"/>
              </w:rPr>
              <w:t>Год</w:t>
            </w:r>
          </w:p>
        </w:tc>
        <w:tc>
          <w:tcPr>
            <w:tcW w:w="211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b/>
                <w:bCs/>
                <w:color w:val="000000"/>
              </w:rPr>
            </w:pPr>
            <w:r>
              <w:rPr>
                <w:b/>
                <w:bCs/>
                <w:color w:val="000000"/>
              </w:rPr>
              <w:t>В текущих ценах в долл. США</w:t>
            </w:r>
          </w:p>
        </w:tc>
        <w:tc>
          <w:tcPr>
            <w:tcW w:w="255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b/>
                <w:bCs/>
                <w:color w:val="000000"/>
              </w:rPr>
            </w:pPr>
            <w:r>
              <w:rPr>
                <w:b/>
                <w:bCs/>
                <w:color w:val="000000"/>
              </w:rPr>
              <w:t>В неизменных ценах в долл. США</w:t>
            </w:r>
            <w:r>
              <w:rPr>
                <w:b/>
                <w:bCs/>
                <w:color w:val="000000"/>
                <w:vertAlign w:val="superscript"/>
              </w:rPr>
              <w:t>*</w:t>
            </w:r>
          </w:p>
        </w:tc>
      </w:tr>
      <w:tr w:rsidR="00000000">
        <w:tblPrEx>
          <w:tblCellMar>
            <w:top w:w="0" w:type="dxa"/>
            <w:bottom w:w="0" w:type="dxa"/>
          </w:tblCellMar>
        </w:tblPrEx>
        <w:trPr>
          <w:trHeight w:val="20"/>
          <w:jc w:val="center"/>
        </w:trPr>
        <w:tc>
          <w:tcPr>
            <w:tcW w:w="1735"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rPr>
            </w:pPr>
            <w:r>
              <w:rPr>
                <w:color w:val="000000"/>
              </w:rPr>
              <w:t>1994</w:t>
            </w:r>
          </w:p>
        </w:tc>
        <w:tc>
          <w:tcPr>
            <w:tcW w:w="2115" w:type="dxa"/>
            <w:tcBorders>
              <w:top w:val="single" w:sz="6" w:space="0" w:color="auto"/>
              <w:left w:val="single" w:sz="6" w:space="0" w:color="auto"/>
              <w:bottom w:val="single" w:sz="2" w:space="0" w:color="000000"/>
              <w:right w:val="single" w:sz="6" w:space="0" w:color="auto"/>
            </w:tcBorders>
          </w:tcPr>
          <w:p w:rsidR="00000000" w:rsidRDefault="00000000">
            <w:pPr>
              <w:tabs>
                <w:tab w:val="decimal" w:pos="1362"/>
              </w:tabs>
              <w:autoSpaceDE w:val="0"/>
              <w:autoSpaceDN w:val="0"/>
              <w:adjustRightInd w:val="0"/>
              <w:jc w:val="center"/>
              <w:rPr>
                <w:color w:val="000000"/>
              </w:rPr>
            </w:pPr>
            <w:r>
              <w:rPr>
                <w:color w:val="000000"/>
              </w:rPr>
              <w:t>1 481</w:t>
            </w:r>
          </w:p>
        </w:tc>
        <w:tc>
          <w:tcPr>
            <w:tcW w:w="2558" w:type="dxa"/>
            <w:tcBorders>
              <w:top w:val="single" w:sz="6" w:space="0" w:color="auto"/>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rPr>
            </w:pPr>
            <w:r>
              <w:rPr>
                <w:color w:val="000000"/>
              </w:rPr>
              <w:t>1 481</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rPr>
            </w:pPr>
            <w:r>
              <w:rPr>
                <w:color w:val="000000"/>
              </w:rPr>
              <w:t>1995</w:t>
            </w:r>
          </w:p>
        </w:tc>
        <w:tc>
          <w:tcPr>
            <w:tcW w:w="2115" w:type="dxa"/>
            <w:tcBorders>
              <w:top w:val="single" w:sz="2" w:space="0" w:color="000000"/>
              <w:left w:val="single" w:sz="6" w:space="0" w:color="auto"/>
              <w:bottom w:val="single" w:sz="2" w:space="0" w:color="000000"/>
              <w:right w:val="single" w:sz="6" w:space="0" w:color="auto"/>
            </w:tcBorders>
          </w:tcPr>
          <w:p w:rsidR="00000000" w:rsidRDefault="00000000">
            <w:pPr>
              <w:tabs>
                <w:tab w:val="decimal" w:pos="1362"/>
              </w:tabs>
              <w:autoSpaceDE w:val="0"/>
              <w:autoSpaceDN w:val="0"/>
              <w:adjustRightInd w:val="0"/>
              <w:jc w:val="center"/>
              <w:rPr>
                <w:color w:val="000000"/>
              </w:rPr>
            </w:pPr>
            <w:r>
              <w:rPr>
                <w:color w:val="000000"/>
              </w:rPr>
              <w:t>1 672</w:t>
            </w:r>
          </w:p>
        </w:tc>
        <w:tc>
          <w:tcPr>
            <w:tcW w:w="255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rPr>
            </w:pPr>
            <w:r>
              <w:rPr>
                <w:color w:val="000000"/>
              </w:rPr>
              <w:t>1 526</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rPr>
            </w:pPr>
            <w:r>
              <w:rPr>
                <w:color w:val="000000"/>
              </w:rPr>
              <w:t>1996</w:t>
            </w:r>
          </w:p>
        </w:tc>
        <w:tc>
          <w:tcPr>
            <w:tcW w:w="2115" w:type="dxa"/>
            <w:tcBorders>
              <w:top w:val="single" w:sz="2" w:space="0" w:color="000000"/>
              <w:left w:val="single" w:sz="6" w:space="0" w:color="auto"/>
              <w:bottom w:val="single" w:sz="2" w:space="0" w:color="000000"/>
              <w:right w:val="single" w:sz="6" w:space="0" w:color="auto"/>
            </w:tcBorders>
          </w:tcPr>
          <w:p w:rsidR="00000000" w:rsidRDefault="00000000">
            <w:pPr>
              <w:tabs>
                <w:tab w:val="decimal" w:pos="1362"/>
              </w:tabs>
              <w:autoSpaceDE w:val="0"/>
              <w:autoSpaceDN w:val="0"/>
              <w:adjustRightInd w:val="0"/>
              <w:jc w:val="center"/>
              <w:rPr>
                <w:color w:val="000000"/>
              </w:rPr>
            </w:pPr>
            <w:r>
              <w:rPr>
                <w:color w:val="000000"/>
              </w:rPr>
              <w:t>1 785</w:t>
            </w:r>
          </w:p>
        </w:tc>
        <w:tc>
          <w:tcPr>
            <w:tcW w:w="255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rPr>
            </w:pPr>
            <w:r>
              <w:rPr>
                <w:color w:val="000000"/>
              </w:rPr>
              <w:t>1 498</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rPr>
            </w:pPr>
            <w:r>
              <w:rPr>
                <w:color w:val="000000"/>
              </w:rPr>
              <w:t>1997</w:t>
            </w:r>
          </w:p>
        </w:tc>
        <w:tc>
          <w:tcPr>
            <w:tcW w:w="2115" w:type="dxa"/>
            <w:tcBorders>
              <w:top w:val="single" w:sz="2" w:space="0" w:color="000000"/>
              <w:left w:val="single" w:sz="6" w:space="0" w:color="auto"/>
              <w:bottom w:val="single" w:sz="2" w:space="0" w:color="000000"/>
              <w:right w:val="single" w:sz="6" w:space="0" w:color="auto"/>
            </w:tcBorders>
          </w:tcPr>
          <w:p w:rsidR="00000000" w:rsidRDefault="00000000">
            <w:pPr>
              <w:tabs>
                <w:tab w:val="decimal" w:pos="1362"/>
              </w:tabs>
              <w:autoSpaceDE w:val="0"/>
              <w:autoSpaceDN w:val="0"/>
              <w:adjustRightInd w:val="0"/>
              <w:jc w:val="center"/>
              <w:rPr>
                <w:color w:val="000000"/>
              </w:rPr>
            </w:pPr>
            <w:r>
              <w:rPr>
                <w:color w:val="000000"/>
              </w:rPr>
              <w:t>1 767</w:t>
            </w:r>
          </w:p>
        </w:tc>
        <w:tc>
          <w:tcPr>
            <w:tcW w:w="255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rPr>
            </w:pPr>
            <w:r>
              <w:rPr>
                <w:color w:val="000000"/>
              </w:rPr>
              <w:t>1 509</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rPr>
            </w:pPr>
            <w:r>
              <w:rPr>
                <w:color w:val="000000"/>
              </w:rPr>
              <w:t>1998</w:t>
            </w:r>
          </w:p>
        </w:tc>
        <w:tc>
          <w:tcPr>
            <w:tcW w:w="2115" w:type="dxa"/>
            <w:tcBorders>
              <w:top w:val="single" w:sz="2" w:space="0" w:color="000000"/>
              <w:left w:val="single" w:sz="6" w:space="0" w:color="auto"/>
              <w:bottom w:val="single" w:sz="2" w:space="0" w:color="000000"/>
              <w:right w:val="single" w:sz="6" w:space="0" w:color="auto"/>
            </w:tcBorders>
          </w:tcPr>
          <w:p w:rsidR="00000000" w:rsidRDefault="00000000">
            <w:pPr>
              <w:tabs>
                <w:tab w:val="decimal" w:pos="1362"/>
              </w:tabs>
              <w:autoSpaceDE w:val="0"/>
              <w:autoSpaceDN w:val="0"/>
              <w:adjustRightInd w:val="0"/>
              <w:jc w:val="center"/>
              <w:rPr>
                <w:color w:val="000000"/>
              </w:rPr>
            </w:pPr>
            <w:r>
              <w:rPr>
                <w:color w:val="000000"/>
              </w:rPr>
              <w:t>1 543</w:t>
            </w:r>
          </w:p>
        </w:tc>
        <w:tc>
          <w:tcPr>
            <w:tcW w:w="255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rPr>
            </w:pPr>
            <w:r>
              <w:rPr>
                <w:color w:val="000000"/>
              </w:rPr>
              <w:t>1 485</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rPr>
            </w:pPr>
            <w:r>
              <w:rPr>
                <w:color w:val="000000"/>
              </w:rPr>
              <w:t>1999</w:t>
            </w:r>
          </w:p>
        </w:tc>
        <w:tc>
          <w:tcPr>
            <w:tcW w:w="2115" w:type="dxa"/>
            <w:tcBorders>
              <w:top w:val="single" w:sz="2" w:space="0" w:color="000000"/>
              <w:left w:val="single" w:sz="6" w:space="0" w:color="auto"/>
              <w:bottom w:val="single" w:sz="2" w:space="0" w:color="000000"/>
              <w:right w:val="single" w:sz="6" w:space="0" w:color="auto"/>
            </w:tcBorders>
          </w:tcPr>
          <w:p w:rsidR="00000000" w:rsidRDefault="00000000">
            <w:pPr>
              <w:tabs>
                <w:tab w:val="decimal" w:pos="1362"/>
              </w:tabs>
              <w:autoSpaceDE w:val="0"/>
              <w:autoSpaceDN w:val="0"/>
              <w:adjustRightInd w:val="0"/>
              <w:jc w:val="center"/>
              <w:rPr>
                <w:color w:val="000000"/>
              </w:rPr>
            </w:pPr>
            <w:r>
              <w:rPr>
                <w:color w:val="000000"/>
              </w:rPr>
              <w:t>1 394</w:t>
            </w:r>
          </w:p>
        </w:tc>
        <w:tc>
          <w:tcPr>
            <w:tcW w:w="255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rPr>
            </w:pPr>
            <w:r>
              <w:rPr>
                <w:color w:val="000000"/>
              </w:rPr>
              <w:t>1 433</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rPr>
            </w:pPr>
            <w:r>
              <w:rPr>
                <w:color w:val="000000"/>
              </w:rPr>
              <w:t>2000</w:t>
            </w:r>
          </w:p>
        </w:tc>
        <w:tc>
          <w:tcPr>
            <w:tcW w:w="2115" w:type="dxa"/>
            <w:tcBorders>
              <w:top w:val="single" w:sz="2" w:space="0" w:color="000000"/>
              <w:left w:val="single" w:sz="6" w:space="0" w:color="auto"/>
              <w:bottom w:val="single" w:sz="2" w:space="0" w:color="000000"/>
              <w:right w:val="single" w:sz="6" w:space="0" w:color="auto"/>
            </w:tcBorders>
          </w:tcPr>
          <w:p w:rsidR="00000000" w:rsidRDefault="00000000">
            <w:pPr>
              <w:tabs>
                <w:tab w:val="decimal" w:pos="1362"/>
              </w:tabs>
              <w:autoSpaceDE w:val="0"/>
              <w:autoSpaceDN w:val="0"/>
              <w:adjustRightInd w:val="0"/>
              <w:jc w:val="center"/>
              <w:rPr>
                <w:color w:val="000000"/>
              </w:rPr>
            </w:pPr>
            <w:r>
              <w:rPr>
                <w:color w:val="000000"/>
              </w:rPr>
              <w:t>1 328</w:t>
            </w:r>
          </w:p>
        </w:tc>
        <w:tc>
          <w:tcPr>
            <w:tcW w:w="255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rPr>
            </w:pPr>
            <w:r>
              <w:rPr>
                <w:color w:val="000000"/>
              </w:rPr>
              <w:t>1 356</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rPr>
            </w:pPr>
            <w:r>
              <w:rPr>
                <w:color w:val="000000"/>
              </w:rPr>
              <w:t>2001</w:t>
            </w:r>
          </w:p>
        </w:tc>
        <w:tc>
          <w:tcPr>
            <w:tcW w:w="2115" w:type="dxa"/>
            <w:tcBorders>
              <w:top w:val="single" w:sz="2" w:space="0" w:color="000000"/>
              <w:left w:val="single" w:sz="6" w:space="0" w:color="auto"/>
              <w:bottom w:val="single" w:sz="2" w:space="0" w:color="000000"/>
              <w:right w:val="single" w:sz="6" w:space="0" w:color="auto"/>
            </w:tcBorders>
          </w:tcPr>
          <w:p w:rsidR="00000000" w:rsidRDefault="00000000">
            <w:pPr>
              <w:tabs>
                <w:tab w:val="decimal" w:pos="1362"/>
              </w:tabs>
              <w:autoSpaceDE w:val="0"/>
              <w:autoSpaceDN w:val="0"/>
              <w:adjustRightInd w:val="0"/>
              <w:jc w:val="center"/>
              <w:rPr>
                <w:color w:val="000000"/>
              </w:rPr>
            </w:pPr>
            <w:r>
              <w:rPr>
                <w:color w:val="000000"/>
              </w:rPr>
              <w:t>1</w:t>
            </w:r>
            <w:r>
              <w:rPr>
                <w:color w:val="000000"/>
                <w:lang w:val="en-US"/>
              </w:rPr>
              <w:t xml:space="preserve"> </w:t>
            </w:r>
            <w:r>
              <w:rPr>
                <w:color w:val="000000"/>
              </w:rPr>
              <w:t>182</w:t>
            </w:r>
          </w:p>
        </w:tc>
        <w:tc>
          <w:tcPr>
            <w:tcW w:w="255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rPr>
            </w:pPr>
            <w:r>
              <w:rPr>
                <w:color w:val="000000"/>
              </w:rPr>
              <w:t>1 356</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rPr>
            </w:pPr>
            <w:r>
              <w:rPr>
                <w:color w:val="000000"/>
              </w:rPr>
              <w:t>2002</w:t>
            </w:r>
          </w:p>
        </w:tc>
        <w:tc>
          <w:tcPr>
            <w:tcW w:w="2115" w:type="dxa"/>
            <w:tcBorders>
              <w:top w:val="single" w:sz="2" w:space="0" w:color="000000"/>
              <w:left w:val="single" w:sz="6" w:space="0" w:color="auto"/>
              <w:bottom w:val="single" w:sz="2" w:space="0" w:color="000000"/>
              <w:right w:val="single" w:sz="6" w:space="0" w:color="auto"/>
            </w:tcBorders>
          </w:tcPr>
          <w:p w:rsidR="00000000" w:rsidRDefault="00000000">
            <w:pPr>
              <w:tabs>
                <w:tab w:val="clear" w:pos="567"/>
                <w:tab w:val="left" w:pos="908"/>
                <w:tab w:val="decimal" w:pos="1362"/>
              </w:tabs>
              <w:autoSpaceDE w:val="0"/>
              <w:autoSpaceDN w:val="0"/>
              <w:adjustRightInd w:val="0"/>
              <w:rPr>
                <w:color w:val="000000"/>
              </w:rPr>
            </w:pPr>
            <w:r>
              <w:rPr>
                <w:color w:val="000000"/>
              </w:rPr>
              <w:tab/>
              <w:t>915</w:t>
            </w:r>
          </w:p>
        </w:tc>
        <w:tc>
          <w:tcPr>
            <w:tcW w:w="255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rPr>
            </w:pPr>
            <w:r>
              <w:rPr>
                <w:color w:val="000000"/>
              </w:rPr>
              <w:t>1 329</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rPr>
            </w:pPr>
            <w:r>
              <w:rPr>
                <w:color w:val="000000"/>
              </w:rPr>
              <w:t>2003</w:t>
            </w:r>
          </w:p>
        </w:tc>
        <w:tc>
          <w:tcPr>
            <w:tcW w:w="2115" w:type="dxa"/>
            <w:tcBorders>
              <w:top w:val="single" w:sz="2" w:space="0" w:color="000000"/>
              <w:left w:val="single" w:sz="6" w:space="0" w:color="auto"/>
              <w:bottom w:val="single" w:sz="2" w:space="0" w:color="000000"/>
              <w:right w:val="single" w:sz="6" w:space="0" w:color="auto"/>
            </w:tcBorders>
          </w:tcPr>
          <w:p w:rsidR="00000000" w:rsidRDefault="00000000">
            <w:pPr>
              <w:tabs>
                <w:tab w:val="clear" w:pos="567"/>
                <w:tab w:val="left" w:pos="908"/>
                <w:tab w:val="decimal" w:pos="1362"/>
              </w:tabs>
              <w:autoSpaceDE w:val="0"/>
              <w:autoSpaceDN w:val="0"/>
              <w:adjustRightInd w:val="0"/>
              <w:rPr>
                <w:color w:val="000000"/>
              </w:rPr>
            </w:pPr>
            <w:r>
              <w:rPr>
                <w:color w:val="000000"/>
              </w:rPr>
              <w:tab/>
              <w:t>978</w:t>
            </w:r>
          </w:p>
        </w:tc>
        <w:tc>
          <w:tcPr>
            <w:tcW w:w="255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rPr>
            </w:pPr>
            <w:r>
              <w:rPr>
                <w:color w:val="000000"/>
              </w:rPr>
              <w:t>1 353</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rPr>
            </w:pPr>
            <w:r>
              <w:rPr>
                <w:color w:val="000000"/>
              </w:rPr>
              <w:t>2004</w:t>
            </w:r>
          </w:p>
        </w:tc>
        <w:tc>
          <w:tcPr>
            <w:tcW w:w="2115" w:type="dxa"/>
            <w:tcBorders>
              <w:top w:val="single" w:sz="2" w:space="0" w:color="000000"/>
              <w:left w:val="single" w:sz="6" w:space="0" w:color="auto"/>
              <w:bottom w:val="single" w:sz="2" w:space="0" w:color="000000"/>
              <w:right w:val="single" w:sz="6" w:space="0" w:color="auto"/>
            </w:tcBorders>
          </w:tcPr>
          <w:p w:rsidR="00000000" w:rsidRDefault="00000000">
            <w:pPr>
              <w:tabs>
                <w:tab w:val="decimal" w:pos="1362"/>
              </w:tabs>
              <w:autoSpaceDE w:val="0"/>
              <w:autoSpaceDN w:val="0"/>
              <w:adjustRightInd w:val="0"/>
              <w:jc w:val="center"/>
              <w:rPr>
                <w:color w:val="000000"/>
              </w:rPr>
            </w:pPr>
            <w:r>
              <w:rPr>
                <w:color w:val="000000"/>
              </w:rPr>
              <w:t>1 205</w:t>
            </w:r>
          </w:p>
        </w:tc>
        <w:tc>
          <w:tcPr>
            <w:tcW w:w="2558" w:type="dxa"/>
            <w:tcBorders>
              <w:top w:val="single" w:sz="2" w:space="0" w:color="000000"/>
              <w:left w:val="single" w:sz="6" w:space="0" w:color="auto"/>
              <w:bottom w:val="single" w:sz="2" w:space="0" w:color="000000"/>
              <w:right w:val="single" w:sz="6" w:space="0" w:color="auto"/>
            </w:tcBorders>
          </w:tcPr>
          <w:p w:rsidR="00000000" w:rsidRDefault="00000000">
            <w:pPr>
              <w:autoSpaceDE w:val="0"/>
              <w:autoSpaceDN w:val="0"/>
              <w:adjustRightInd w:val="0"/>
              <w:jc w:val="center"/>
              <w:rPr>
                <w:color w:val="000000"/>
              </w:rPr>
            </w:pPr>
            <w:r>
              <w:rPr>
                <w:color w:val="000000"/>
              </w:rPr>
              <w:t>1 382</w:t>
            </w:r>
          </w:p>
        </w:tc>
      </w:tr>
      <w:tr w:rsidR="00000000">
        <w:tblPrEx>
          <w:tblCellMar>
            <w:top w:w="0" w:type="dxa"/>
            <w:bottom w:w="0" w:type="dxa"/>
          </w:tblCellMar>
        </w:tblPrEx>
        <w:trPr>
          <w:trHeight w:val="20"/>
          <w:jc w:val="center"/>
        </w:trPr>
        <w:tc>
          <w:tcPr>
            <w:tcW w:w="1735" w:type="dxa"/>
            <w:tcBorders>
              <w:top w:val="single" w:sz="2" w:space="0" w:color="000000"/>
              <w:left w:val="single" w:sz="6" w:space="0" w:color="auto"/>
              <w:bottom w:val="single" w:sz="6" w:space="0" w:color="auto"/>
              <w:right w:val="single" w:sz="6" w:space="0" w:color="auto"/>
            </w:tcBorders>
          </w:tcPr>
          <w:p w:rsidR="00000000" w:rsidRDefault="00000000">
            <w:pPr>
              <w:autoSpaceDE w:val="0"/>
              <w:autoSpaceDN w:val="0"/>
              <w:adjustRightInd w:val="0"/>
              <w:jc w:val="center"/>
              <w:rPr>
                <w:color w:val="000000"/>
              </w:rPr>
            </w:pPr>
            <w:r>
              <w:rPr>
                <w:color w:val="000000"/>
              </w:rPr>
              <w:t>2005</w:t>
            </w:r>
          </w:p>
        </w:tc>
        <w:tc>
          <w:tcPr>
            <w:tcW w:w="2115" w:type="dxa"/>
            <w:tcBorders>
              <w:top w:val="single" w:sz="2" w:space="0" w:color="000000"/>
              <w:left w:val="single" w:sz="6" w:space="0" w:color="auto"/>
              <w:bottom w:val="single" w:sz="6" w:space="0" w:color="auto"/>
              <w:right w:val="single" w:sz="6" w:space="0" w:color="auto"/>
            </w:tcBorders>
          </w:tcPr>
          <w:p w:rsidR="00000000" w:rsidRDefault="00000000">
            <w:pPr>
              <w:tabs>
                <w:tab w:val="decimal" w:pos="1362"/>
              </w:tabs>
              <w:autoSpaceDE w:val="0"/>
              <w:autoSpaceDN w:val="0"/>
              <w:adjustRightInd w:val="0"/>
              <w:jc w:val="center"/>
              <w:rPr>
                <w:color w:val="000000"/>
              </w:rPr>
            </w:pPr>
            <w:r>
              <w:rPr>
                <w:color w:val="000000"/>
              </w:rPr>
              <w:t>1 301</w:t>
            </w:r>
          </w:p>
        </w:tc>
        <w:tc>
          <w:tcPr>
            <w:tcW w:w="2558" w:type="dxa"/>
            <w:tcBorders>
              <w:top w:val="single" w:sz="2" w:space="0" w:color="000000"/>
              <w:left w:val="single" w:sz="6" w:space="0" w:color="auto"/>
              <w:bottom w:val="single" w:sz="6" w:space="0" w:color="auto"/>
              <w:right w:val="single" w:sz="6" w:space="0" w:color="auto"/>
            </w:tcBorders>
          </w:tcPr>
          <w:p w:rsidR="00000000" w:rsidRDefault="00000000">
            <w:pPr>
              <w:autoSpaceDE w:val="0"/>
              <w:autoSpaceDN w:val="0"/>
              <w:adjustRightInd w:val="0"/>
              <w:jc w:val="center"/>
              <w:rPr>
                <w:color w:val="000000"/>
              </w:rPr>
            </w:pPr>
            <w:r>
              <w:rPr>
                <w:color w:val="000000"/>
              </w:rPr>
              <w:t>1 393</w:t>
            </w:r>
          </w:p>
        </w:tc>
      </w:tr>
    </w:tbl>
    <w:p w:rsidR="00000000" w:rsidRDefault="00000000">
      <w:pPr>
        <w:ind w:firstLine="1"/>
        <w:rPr>
          <w:color w:val="000000"/>
          <w:szCs w:val="16"/>
        </w:rPr>
      </w:pPr>
    </w:p>
    <w:p w:rsidR="00000000" w:rsidRDefault="00000000">
      <w:pPr>
        <w:spacing w:line="240" w:lineRule="auto"/>
        <w:ind w:left="567" w:firstLine="1"/>
        <w:rPr>
          <w:color w:val="000000"/>
          <w:szCs w:val="16"/>
        </w:rPr>
      </w:pPr>
      <w:r>
        <w:rPr>
          <w:i/>
          <w:iCs/>
          <w:color w:val="000000"/>
          <w:szCs w:val="16"/>
        </w:rPr>
        <w:t>Примечание:</w:t>
      </w:r>
      <w:r>
        <w:rPr>
          <w:b/>
          <w:bCs/>
          <w:i/>
          <w:iCs/>
          <w:color w:val="000000"/>
          <w:szCs w:val="16"/>
        </w:rPr>
        <w:t xml:space="preserve">  </w:t>
      </w:r>
      <w:r>
        <w:rPr>
          <w:color w:val="000000"/>
          <w:szCs w:val="16"/>
        </w:rPr>
        <w:t>Департамент национальных счетов и внутреннего рынка, Центральный</w:t>
      </w:r>
      <w:r>
        <w:rPr>
          <w:color w:val="000000"/>
          <w:szCs w:val="16"/>
          <w:lang w:val="en-US"/>
        </w:rPr>
        <w:t> </w:t>
      </w:r>
      <w:r>
        <w:rPr>
          <w:color w:val="000000"/>
          <w:szCs w:val="16"/>
        </w:rPr>
        <w:t>банк Парагвая.</w:t>
      </w:r>
    </w:p>
    <w:p w:rsidR="00000000" w:rsidRDefault="00000000">
      <w:pPr>
        <w:spacing w:line="240" w:lineRule="auto"/>
        <w:ind w:firstLine="1"/>
      </w:pPr>
    </w:p>
    <w:p w:rsidR="00000000" w:rsidRDefault="00000000">
      <w:pPr>
        <w:spacing w:line="240" w:lineRule="auto"/>
        <w:ind w:firstLine="1"/>
        <w:rPr>
          <w:color w:val="000000"/>
          <w:szCs w:val="16"/>
        </w:rPr>
      </w:pPr>
      <w:r>
        <w:rPr>
          <w:color w:val="000000"/>
          <w:szCs w:val="16"/>
        </w:rPr>
        <w:t>*</w:t>
      </w:r>
      <w:r>
        <w:rPr>
          <w:color w:val="000000"/>
          <w:szCs w:val="16"/>
        </w:rPr>
        <w:tab/>
        <w:t>В неизменных ценах 1994 года.</w:t>
      </w:r>
    </w:p>
    <w:p w:rsidR="00000000" w:rsidRDefault="00000000">
      <w:pPr>
        <w:ind w:firstLine="1"/>
      </w:pPr>
    </w:p>
    <w:p w:rsidR="00000000" w:rsidRDefault="00000000">
      <w:pPr>
        <w:rPr>
          <w:b/>
          <w:bCs/>
        </w:rPr>
      </w:pPr>
      <w:r>
        <w:rPr>
          <w:b/>
          <w:bCs/>
        </w:rPr>
        <w:t>2.</w:t>
      </w:r>
      <w:r>
        <w:rPr>
          <w:b/>
          <w:bCs/>
        </w:rPr>
        <w:tab/>
        <w:t>Валовой национальный продукт</w:t>
      </w:r>
    </w:p>
    <w:p w:rsidR="00000000" w:rsidRDefault="00000000">
      <w:pPr>
        <w:rPr>
          <w:b/>
          <w:bCs/>
        </w:rPr>
      </w:pPr>
    </w:p>
    <w:p w:rsidR="00000000" w:rsidRDefault="00000000">
      <w:r>
        <w:t>36.</w:t>
      </w:r>
      <w:r>
        <w:tab/>
        <w:t>Показатель валового национального продукта в неизменных рыночных ценах по курсу гуарани 1994 года изменился на 2,7% в 2005 году по сравнению с 4,0% в 2004 году.</w:t>
      </w:r>
    </w:p>
    <w:p w:rsidR="00000000" w:rsidRDefault="00000000"/>
    <w:p w:rsidR="00000000" w:rsidRDefault="00000000">
      <w:r>
        <w:t>37.</w:t>
      </w:r>
      <w:r>
        <w:tab/>
        <w:t>На состояние экономики в стране в 2005 году повлияли, среди прочего, климатические факторы, которые привели к снижению объема сельскохозяйственного производства в целом и падению мировых цен на экспортную продукцию.</w:t>
      </w:r>
    </w:p>
    <w:p w:rsidR="00000000" w:rsidRDefault="00000000"/>
    <w:p w:rsidR="00000000" w:rsidRDefault="00000000">
      <w:pPr>
        <w:rPr>
          <w:b/>
          <w:bCs/>
        </w:rPr>
      </w:pPr>
      <w:r>
        <w:rPr>
          <w:b/>
          <w:bCs/>
        </w:rPr>
        <w:t>3.</w:t>
      </w:r>
      <w:r>
        <w:rPr>
          <w:b/>
          <w:bCs/>
        </w:rPr>
        <w:tab/>
        <w:t>Темпы инфляции</w:t>
      </w:r>
    </w:p>
    <w:p w:rsidR="00000000" w:rsidRDefault="00000000">
      <w:pPr>
        <w:rPr>
          <w:b/>
          <w:bCs/>
        </w:rPr>
      </w:pPr>
    </w:p>
    <w:p w:rsidR="00000000" w:rsidRDefault="00000000">
      <w:r>
        <w:t>38.</w:t>
      </w:r>
      <w:r>
        <w:tab/>
        <w:t>По данным Центрального банка Парагвая, оценки темпов инфляции выглядят следующим образом:</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34"/>
        <w:gridCol w:w="682"/>
        <w:gridCol w:w="682"/>
        <w:gridCol w:w="682"/>
        <w:gridCol w:w="682"/>
        <w:gridCol w:w="681"/>
        <w:gridCol w:w="681"/>
        <w:gridCol w:w="681"/>
        <w:gridCol w:w="681"/>
        <w:gridCol w:w="681"/>
        <w:gridCol w:w="681"/>
        <w:gridCol w:w="681"/>
        <w:gridCol w:w="681"/>
      </w:tblGrid>
      <w:tr w:rsidR="00000000">
        <w:tblPrEx>
          <w:tblCellMar>
            <w:top w:w="0" w:type="dxa"/>
            <w:bottom w:w="0" w:type="dxa"/>
          </w:tblCellMar>
        </w:tblPrEx>
        <w:trPr>
          <w:cantSplit/>
        </w:trPr>
        <w:tc>
          <w:tcPr>
            <w:tcW w:w="1234" w:type="dxa"/>
            <w:tcMar>
              <w:left w:w="0" w:type="dxa"/>
              <w:right w:w="0" w:type="dxa"/>
            </w:tcMar>
            <w:vAlign w:val="center"/>
          </w:tcPr>
          <w:p w:rsidR="00000000" w:rsidRDefault="00000000">
            <w:pPr>
              <w:spacing w:line="360" w:lineRule="auto"/>
              <w:jc w:val="center"/>
              <w:rPr>
                <w:b/>
                <w:bCs/>
                <w:sz w:val="22"/>
              </w:rPr>
            </w:pPr>
          </w:p>
        </w:tc>
        <w:tc>
          <w:tcPr>
            <w:tcW w:w="682" w:type="dxa"/>
            <w:tcMar>
              <w:left w:w="0" w:type="dxa"/>
              <w:right w:w="0" w:type="dxa"/>
            </w:tcMar>
            <w:vAlign w:val="center"/>
          </w:tcPr>
          <w:p w:rsidR="00000000" w:rsidRDefault="00000000">
            <w:pPr>
              <w:spacing w:line="360" w:lineRule="auto"/>
              <w:jc w:val="center"/>
              <w:rPr>
                <w:b/>
                <w:bCs/>
                <w:sz w:val="18"/>
              </w:rPr>
            </w:pPr>
            <w:r>
              <w:rPr>
                <w:b/>
                <w:bCs/>
                <w:sz w:val="18"/>
              </w:rPr>
              <w:t>1994 год</w:t>
            </w:r>
          </w:p>
        </w:tc>
        <w:tc>
          <w:tcPr>
            <w:tcW w:w="682" w:type="dxa"/>
            <w:tcMar>
              <w:left w:w="0" w:type="dxa"/>
              <w:right w:w="0" w:type="dxa"/>
            </w:tcMar>
            <w:vAlign w:val="center"/>
          </w:tcPr>
          <w:p w:rsidR="00000000" w:rsidRDefault="00000000">
            <w:pPr>
              <w:spacing w:line="360" w:lineRule="auto"/>
              <w:jc w:val="center"/>
              <w:rPr>
                <w:b/>
                <w:bCs/>
                <w:sz w:val="18"/>
              </w:rPr>
            </w:pPr>
            <w:r>
              <w:rPr>
                <w:b/>
                <w:bCs/>
                <w:sz w:val="18"/>
              </w:rPr>
              <w:t>1995 год</w:t>
            </w:r>
          </w:p>
        </w:tc>
        <w:tc>
          <w:tcPr>
            <w:tcW w:w="682" w:type="dxa"/>
            <w:tcMar>
              <w:left w:w="0" w:type="dxa"/>
              <w:right w:w="0" w:type="dxa"/>
            </w:tcMar>
            <w:vAlign w:val="center"/>
          </w:tcPr>
          <w:p w:rsidR="00000000" w:rsidRDefault="00000000">
            <w:pPr>
              <w:spacing w:line="360" w:lineRule="auto"/>
              <w:jc w:val="center"/>
              <w:rPr>
                <w:b/>
                <w:bCs/>
                <w:sz w:val="18"/>
              </w:rPr>
            </w:pPr>
            <w:r>
              <w:rPr>
                <w:b/>
                <w:bCs/>
                <w:sz w:val="18"/>
              </w:rPr>
              <w:t>1996 год</w:t>
            </w:r>
          </w:p>
        </w:tc>
        <w:tc>
          <w:tcPr>
            <w:tcW w:w="682" w:type="dxa"/>
            <w:tcMar>
              <w:left w:w="0" w:type="dxa"/>
              <w:right w:w="0" w:type="dxa"/>
            </w:tcMar>
            <w:vAlign w:val="center"/>
          </w:tcPr>
          <w:p w:rsidR="00000000" w:rsidRDefault="00000000">
            <w:pPr>
              <w:spacing w:line="360" w:lineRule="auto"/>
              <w:jc w:val="center"/>
              <w:rPr>
                <w:b/>
                <w:bCs/>
                <w:sz w:val="18"/>
              </w:rPr>
            </w:pPr>
            <w:r>
              <w:rPr>
                <w:b/>
                <w:bCs/>
                <w:sz w:val="18"/>
              </w:rPr>
              <w:t>1997 год</w:t>
            </w:r>
          </w:p>
        </w:tc>
        <w:tc>
          <w:tcPr>
            <w:tcW w:w="681" w:type="dxa"/>
            <w:tcMar>
              <w:left w:w="0" w:type="dxa"/>
              <w:right w:w="0" w:type="dxa"/>
            </w:tcMar>
            <w:vAlign w:val="center"/>
          </w:tcPr>
          <w:p w:rsidR="00000000" w:rsidRDefault="00000000">
            <w:pPr>
              <w:spacing w:line="360" w:lineRule="auto"/>
              <w:jc w:val="center"/>
              <w:rPr>
                <w:b/>
                <w:bCs/>
                <w:sz w:val="18"/>
              </w:rPr>
            </w:pPr>
            <w:r>
              <w:rPr>
                <w:b/>
                <w:bCs/>
                <w:sz w:val="18"/>
              </w:rPr>
              <w:t>1998 год</w:t>
            </w:r>
          </w:p>
        </w:tc>
        <w:tc>
          <w:tcPr>
            <w:tcW w:w="681" w:type="dxa"/>
            <w:tcMar>
              <w:left w:w="0" w:type="dxa"/>
              <w:right w:w="0" w:type="dxa"/>
            </w:tcMar>
            <w:vAlign w:val="center"/>
          </w:tcPr>
          <w:p w:rsidR="00000000" w:rsidRDefault="00000000">
            <w:pPr>
              <w:spacing w:line="360" w:lineRule="auto"/>
              <w:jc w:val="center"/>
              <w:rPr>
                <w:b/>
                <w:bCs/>
                <w:sz w:val="18"/>
              </w:rPr>
            </w:pPr>
            <w:r>
              <w:rPr>
                <w:b/>
                <w:bCs/>
                <w:sz w:val="18"/>
              </w:rPr>
              <w:t>1999 год</w:t>
            </w:r>
          </w:p>
        </w:tc>
        <w:tc>
          <w:tcPr>
            <w:tcW w:w="681" w:type="dxa"/>
            <w:tcMar>
              <w:left w:w="0" w:type="dxa"/>
              <w:right w:w="0" w:type="dxa"/>
            </w:tcMar>
            <w:vAlign w:val="center"/>
          </w:tcPr>
          <w:p w:rsidR="00000000" w:rsidRDefault="00000000">
            <w:pPr>
              <w:spacing w:line="360" w:lineRule="auto"/>
              <w:jc w:val="center"/>
              <w:rPr>
                <w:b/>
                <w:bCs/>
                <w:sz w:val="18"/>
              </w:rPr>
            </w:pPr>
            <w:r>
              <w:rPr>
                <w:b/>
                <w:bCs/>
                <w:sz w:val="18"/>
              </w:rPr>
              <w:t>2000 год</w:t>
            </w:r>
          </w:p>
        </w:tc>
        <w:tc>
          <w:tcPr>
            <w:tcW w:w="681" w:type="dxa"/>
            <w:tcMar>
              <w:left w:w="0" w:type="dxa"/>
              <w:right w:w="0" w:type="dxa"/>
            </w:tcMar>
            <w:vAlign w:val="center"/>
          </w:tcPr>
          <w:p w:rsidR="00000000" w:rsidRDefault="00000000">
            <w:pPr>
              <w:spacing w:line="360" w:lineRule="auto"/>
              <w:jc w:val="center"/>
              <w:rPr>
                <w:b/>
                <w:bCs/>
                <w:sz w:val="18"/>
              </w:rPr>
            </w:pPr>
            <w:r>
              <w:rPr>
                <w:b/>
                <w:bCs/>
                <w:sz w:val="18"/>
              </w:rPr>
              <w:t>2001 год</w:t>
            </w:r>
          </w:p>
        </w:tc>
        <w:tc>
          <w:tcPr>
            <w:tcW w:w="681" w:type="dxa"/>
            <w:tcMar>
              <w:left w:w="0" w:type="dxa"/>
              <w:right w:w="0" w:type="dxa"/>
            </w:tcMar>
            <w:vAlign w:val="center"/>
          </w:tcPr>
          <w:p w:rsidR="00000000" w:rsidRDefault="00000000">
            <w:pPr>
              <w:spacing w:line="360" w:lineRule="auto"/>
              <w:jc w:val="center"/>
              <w:rPr>
                <w:b/>
                <w:bCs/>
                <w:sz w:val="18"/>
              </w:rPr>
            </w:pPr>
            <w:r>
              <w:rPr>
                <w:b/>
                <w:bCs/>
                <w:sz w:val="18"/>
              </w:rPr>
              <w:t>2002 год</w:t>
            </w:r>
          </w:p>
        </w:tc>
        <w:tc>
          <w:tcPr>
            <w:tcW w:w="681" w:type="dxa"/>
            <w:tcMar>
              <w:left w:w="0" w:type="dxa"/>
              <w:right w:w="0" w:type="dxa"/>
            </w:tcMar>
            <w:vAlign w:val="center"/>
          </w:tcPr>
          <w:p w:rsidR="00000000" w:rsidRDefault="00000000">
            <w:pPr>
              <w:spacing w:line="360" w:lineRule="auto"/>
              <w:jc w:val="center"/>
              <w:rPr>
                <w:b/>
                <w:bCs/>
                <w:sz w:val="18"/>
              </w:rPr>
            </w:pPr>
            <w:r>
              <w:rPr>
                <w:b/>
                <w:bCs/>
                <w:sz w:val="18"/>
              </w:rPr>
              <w:t>2003 год</w:t>
            </w:r>
          </w:p>
        </w:tc>
        <w:tc>
          <w:tcPr>
            <w:tcW w:w="681" w:type="dxa"/>
            <w:tcMar>
              <w:left w:w="0" w:type="dxa"/>
              <w:right w:w="0" w:type="dxa"/>
            </w:tcMar>
            <w:vAlign w:val="center"/>
          </w:tcPr>
          <w:p w:rsidR="00000000" w:rsidRDefault="00000000">
            <w:pPr>
              <w:spacing w:line="360" w:lineRule="auto"/>
              <w:jc w:val="center"/>
              <w:rPr>
                <w:b/>
                <w:bCs/>
                <w:sz w:val="18"/>
              </w:rPr>
            </w:pPr>
            <w:r>
              <w:rPr>
                <w:b/>
                <w:bCs/>
                <w:sz w:val="18"/>
              </w:rPr>
              <w:t>2004 год</w:t>
            </w:r>
          </w:p>
        </w:tc>
        <w:tc>
          <w:tcPr>
            <w:tcW w:w="681" w:type="dxa"/>
            <w:tcMar>
              <w:left w:w="0" w:type="dxa"/>
              <w:right w:w="0" w:type="dxa"/>
            </w:tcMar>
            <w:vAlign w:val="center"/>
          </w:tcPr>
          <w:p w:rsidR="00000000" w:rsidRDefault="00000000">
            <w:pPr>
              <w:spacing w:line="360" w:lineRule="auto"/>
              <w:jc w:val="center"/>
              <w:rPr>
                <w:b/>
                <w:bCs/>
                <w:sz w:val="18"/>
              </w:rPr>
            </w:pPr>
            <w:r>
              <w:rPr>
                <w:b/>
                <w:bCs/>
                <w:sz w:val="18"/>
              </w:rPr>
              <w:t>2005 год</w:t>
            </w:r>
          </w:p>
        </w:tc>
      </w:tr>
      <w:tr w:rsidR="00000000">
        <w:tblPrEx>
          <w:tblCellMar>
            <w:top w:w="0" w:type="dxa"/>
            <w:bottom w:w="0" w:type="dxa"/>
          </w:tblCellMar>
        </w:tblPrEx>
        <w:trPr>
          <w:cantSplit/>
        </w:trPr>
        <w:tc>
          <w:tcPr>
            <w:tcW w:w="1234" w:type="dxa"/>
            <w:vAlign w:val="center"/>
          </w:tcPr>
          <w:p w:rsidR="00000000" w:rsidRDefault="00000000">
            <w:pPr>
              <w:spacing w:line="360" w:lineRule="auto"/>
              <w:jc w:val="center"/>
              <w:rPr>
                <w:sz w:val="22"/>
              </w:rPr>
            </w:pPr>
            <w:r>
              <w:rPr>
                <w:sz w:val="22"/>
              </w:rPr>
              <w:t>Инфляция</w:t>
            </w:r>
          </w:p>
        </w:tc>
        <w:tc>
          <w:tcPr>
            <w:tcW w:w="682" w:type="dxa"/>
            <w:vAlign w:val="center"/>
          </w:tcPr>
          <w:p w:rsidR="00000000" w:rsidRDefault="00000000">
            <w:pPr>
              <w:spacing w:line="360" w:lineRule="auto"/>
              <w:jc w:val="center"/>
              <w:rPr>
                <w:sz w:val="22"/>
              </w:rPr>
            </w:pPr>
            <w:r>
              <w:rPr>
                <w:sz w:val="22"/>
              </w:rPr>
              <w:t>18,3</w:t>
            </w:r>
          </w:p>
        </w:tc>
        <w:tc>
          <w:tcPr>
            <w:tcW w:w="682" w:type="dxa"/>
            <w:vAlign w:val="center"/>
          </w:tcPr>
          <w:p w:rsidR="00000000" w:rsidRDefault="00000000">
            <w:pPr>
              <w:spacing w:line="360" w:lineRule="auto"/>
              <w:jc w:val="center"/>
              <w:rPr>
                <w:sz w:val="22"/>
              </w:rPr>
            </w:pPr>
            <w:r>
              <w:rPr>
                <w:sz w:val="22"/>
              </w:rPr>
              <w:t>10,5</w:t>
            </w:r>
          </w:p>
        </w:tc>
        <w:tc>
          <w:tcPr>
            <w:tcW w:w="682" w:type="dxa"/>
            <w:vAlign w:val="center"/>
          </w:tcPr>
          <w:p w:rsidR="00000000" w:rsidRDefault="00000000">
            <w:pPr>
              <w:spacing w:line="360" w:lineRule="auto"/>
              <w:jc w:val="center"/>
              <w:rPr>
                <w:sz w:val="22"/>
              </w:rPr>
            </w:pPr>
            <w:r>
              <w:rPr>
                <w:sz w:val="22"/>
              </w:rPr>
              <w:t>8,2</w:t>
            </w:r>
          </w:p>
        </w:tc>
        <w:tc>
          <w:tcPr>
            <w:tcW w:w="682" w:type="dxa"/>
            <w:vAlign w:val="center"/>
          </w:tcPr>
          <w:p w:rsidR="00000000" w:rsidRDefault="00000000">
            <w:pPr>
              <w:spacing w:line="360" w:lineRule="auto"/>
              <w:jc w:val="center"/>
              <w:rPr>
                <w:sz w:val="22"/>
              </w:rPr>
            </w:pPr>
            <w:r>
              <w:rPr>
                <w:sz w:val="22"/>
              </w:rPr>
              <w:t>6,2</w:t>
            </w:r>
          </w:p>
        </w:tc>
        <w:tc>
          <w:tcPr>
            <w:tcW w:w="681" w:type="dxa"/>
            <w:vAlign w:val="center"/>
          </w:tcPr>
          <w:p w:rsidR="00000000" w:rsidRDefault="00000000">
            <w:pPr>
              <w:spacing w:line="360" w:lineRule="auto"/>
              <w:jc w:val="center"/>
              <w:rPr>
                <w:sz w:val="22"/>
              </w:rPr>
            </w:pPr>
            <w:r>
              <w:rPr>
                <w:sz w:val="22"/>
              </w:rPr>
              <w:t>14,6</w:t>
            </w:r>
          </w:p>
        </w:tc>
        <w:tc>
          <w:tcPr>
            <w:tcW w:w="681" w:type="dxa"/>
            <w:vAlign w:val="center"/>
          </w:tcPr>
          <w:p w:rsidR="00000000" w:rsidRDefault="00000000">
            <w:pPr>
              <w:spacing w:line="360" w:lineRule="auto"/>
              <w:jc w:val="center"/>
              <w:rPr>
                <w:sz w:val="22"/>
              </w:rPr>
            </w:pPr>
            <w:r>
              <w:rPr>
                <w:sz w:val="22"/>
              </w:rPr>
              <w:t>5,4</w:t>
            </w:r>
          </w:p>
        </w:tc>
        <w:tc>
          <w:tcPr>
            <w:tcW w:w="681" w:type="dxa"/>
            <w:vAlign w:val="center"/>
          </w:tcPr>
          <w:p w:rsidR="00000000" w:rsidRDefault="00000000">
            <w:pPr>
              <w:spacing w:line="360" w:lineRule="auto"/>
              <w:jc w:val="center"/>
              <w:rPr>
                <w:sz w:val="22"/>
              </w:rPr>
            </w:pPr>
            <w:r>
              <w:rPr>
                <w:sz w:val="22"/>
              </w:rPr>
              <w:t>8,6</w:t>
            </w:r>
          </w:p>
        </w:tc>
        <w:tc>
          <w:tcPr>
            <w:tcW w:w="681" w:type="dxa"/>
            <w:vAlign w:val="center"/>
          </w:tcPr>
          <w:p w:rsidR="00000000" w:rsidRDefault="00000000">
            <w:pPr>
              <w:spacing w:line="360" w:lineRule="auto"/>
              <w:jc w:val="center"/>
              <w:rPr>
                <w:sz w:val="22"/>
              </w:rPr>
            </w:pPr>
            <w:r>
              <w:rPr>
                <w:sz w:val="22"/>
              </w:rPr>
              <w:t>8,4</w:t>
            </w:r>
          </w:p>
        </w:tc>
        <w:tc>
          <w:tcPr>
            <w:tcW w:w="681" w:type="dxa"/>
            <w:vAlign w:val="center"/>
          </w:tcPr>
          <w:p w:rsidR="00000000" w:rsidRDefault="00000000">
            <w:pPr>
              <w:spacing w:line="360" w:lineRule="auto"/>
              <w:jc w:val="center"/>
              <w:rPr>
                <w:sz w:val="22"/>
              </w:rPr>
            </w:pPr>
            <w:r>
              <w:rPr>
                <w:sz w:val="22"/>
              </w:rPr>
              <w:t>14,6</w:t>
            </w:r>
          </w:p>
        </w:tc>
        <w:tc>
          <w:tcPr>
            <w:tcW w:w="681" w:type="dxa"/>
            <w:vAlign w:val="center"/>
          </w:tcPr>
          <w:p w:rsidR="00000000" w:rsidRDefault="00000000">
            <w:pPr>
              <w:spacing w:line="360" w:lineRule="auto"/>
              <w:jc w:val="center"/>
              <w:rPr>
                <w:sz w:val="22"/>
              </w:rPr>
            </w:pPr>
            <w:r>
              <w:rPr>
                <w:sz w:val="22"/>
              </w:rPr>
              <w:t>9,3</w:t>
            </w:r>
          </w:p>
        </w:tc>
        <w:tc>
          <w:tcPr>
            <w:tcW w:w="681" w:type="dxa"/>
            <w:vAlign w:val="center"/>
          </w:tcPr>
          <w:p w:rsidR="00000000" w:rsidRDefault="00000000">
            <w:pPr>
              <w:spacing w:line="360" w:lineRule="auto"/>
              <w:jc w:val="center"/>
              <w:rPr>
                <w:sz w:val="22"/>
              </w:rPr>
            </w:pPr>
            <w:r>
              <w:rPr>
                <w:sz w:val="22"/>
              </w:rPr>
              <w:t>2,8</w:t>
            </w:r>
          </w:p>
        </w:tc>
        <w:tc>
          <w:tcPr>
            <w:tcW w:w="681" w:type="dxa"/>
            <w:vAlign w:val="center"/>
          </w:tcPr>
          <w:p w:rsidR="00000000" w:rsidRDefault="00000000">
            <w:pPr>
              <w:spacing w:line="360" w:lineRule="auto"/>
              <w:jc w:val="center"/>
              <w:rPr>
                <w:sz w:val="22"/>
              </w:rPr>
            </w:pPr>
            <w:r>
              <w:rPr>
                <w:sz w:val="22"/>
              </w:rPr>
              <w:t>9,9</w:t>
            </w:r>
          </w:p>
        </w:tc>
      </w:tr>
    </w:tbl>
    <w:p w:rsidR="00000000" w:rsidRDefault="00000000">
      <w:pPr>
        <w:pStyle w:val="FootnoteText"/>
        <w:spacing w:line="288" w:lineRule="auto"/>
      </w:pPr>
    </w:p>
    <w:p w:rsidR="00000000" w:rsidRDefault="00000000">
      <w:pPr>
        <w:rPr>
          <w:b/>
          <w:bCs/>
        </w:rPr>
      </w:pPr>
      <w:r>
        <w:rPr>
          <w:b/>
          <w:bCs/>
        </w:rPr>
        <w:t>4.</w:t>
      </w:r>
      <w:r>
        <w:rPr>
          <w:b/>
          <w:bCs/>
        </w:rPr>
        <w:tab/>
        <w:t>Экономически активное население с разбивкой по секторам экономики</w:t>
      </w:r>
    </w:p>
    <w:p w:rsidR="00000000" w:rsidRDefault="00000000">
      <w:pPr>
        <w:rPr>
          <w:b/>
          <w:bCs/>
        </w:rPr>
      </w:pPr>
    </w:p>
    <w:p w:rsidR="00000000" w:rsidRDefault="00000000">
      <w:r>
        <w:t>39.</w:t>
      </w:r>
      <w:r>
        <w:tab/>
        <w:t>Ниже приводятся показатели, основанные на данных переписи населения 2002 года:</w:t>
      </w:r>
    </w:p>
    <w:p w:rsidR="00000000" w:rsidRDefault="00000000">
      <w:pPr>
        <w:rPr>
          <w:lang w:val="en-US"/>
        </w:rPr>
      </w:pPr>
    </w:p>
    <w:p w:rsidR="00000000" w:rsidRDefault="00000000">
      <w:pPr>
        <w:spacing w:line="480" w:lineRule="auto"/>
        <w:rPr>
          <w:b/>
          <w:bCs/>
        </w:rPr>
        <w:sectPr w:rsidR="00000000">
          <w:headerReference w:type="even" r:id="rId16"/>
          <w:footerReference w:type="default" r:id="rId17"/>
          <w:headerReference w:type="first" r:id="rId18"/>
          <w:pgSz w:w="11906" w:h="16838" w:code="9"/>
          <w:pgMar w:top="851" w:right="851" w:bottom="1701" w:left="1701" w:header="851" w:footer="851" w:gutter="0"/>
          <w:cols w:space="720"/>
          <w:formProt w:val="0"/>
          <w:noEndnote/>
          <w:titlePg/>
        </w:sectPr>
      </w:pPr>
    </w:p>
    <w:p w:rsidR="00000000" w:rsidRDefault="00000000">
      <w:pPr>
        <w:spacing w:line="480" w:lineRule="auto"/>
        <w:rPr>
          <w:b/>
          <w:bCs/>
        </w:rPr>
      </w:pPr>
      <w:r>
        <w:rPr>
          <w:b/>
          <w:bCs/>
        </w:rPr>
        <w:t>4.1</w:t>
      </w:r>
      <w:r>
        <w:rPr>
          <w:b/>
          <w:bCs/>
        </w:rPr>
        <w:tab/>
        <w:t>Занятость (все население)</w:t>
      </w:r>
    </w:p>
    <w:p w:rsidR="00000000" w:rsidRDefault="00000000">
      <w:pPr>
        <w:spacing w:line="480" w:lineRule="auto"/>
        <w:jc w:val="center"/>
        <w:rPr>
          <w:b/>
          <w:bCs/>
        </w:rPr>
      </w:pPr>
      <w:r>
        <w:rPr>
          <w:b/>
          <w:bCs/>
        </w:rPr>
        <w:t>Показатели занятости всего населения, 1995</w:t>
      </w:r>
      <w:r>
        <w:rPr>
          <w:b/>
          <w:bCs/>
        </w:rPr>
        <w:noBreakHyphen/>
        <w:t>2005 годы</w:t>
      </w:r>
    </w:p>
    <w:tbl>
      <w:tblPr>
        <w:tblW w:w="1349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3380"/>
        <w:gridCol w:w="838"/>
        <w:gridCol w:w="829"/>
        <w:gridCol w:w="6"/>
        <w:gridCol w:w="836"/>
        <w:gridCol w:w="848"/>
        <w:gridCol w:w="6"/>
        <w:gridCol w:w="842"/>
        <w:gridCol w:w="840"/>
        <w:gridCol w:w="8"/>
        <w:gridCol w:w="848"/>
        <w:gridCol w:w="840"/>
        <w:gridCol w:w="8"/>
        <w:gridCol w:w="840"/>
        <w:gridCol w:w="8"/>
        <w:gridCol w:w="837"/>
        <w:gridCol w:w="826"/>
        <w:gridCol w:w="11"/>
        <w:gridCol w:w="844"/>
      </w:tblGrid>
      <w:tr w:rsidR="00000000">
        <w:trPr>
          <w:cantSplit/>
        </w:trPr>
        <w:tc>
          <w:tcPr>
            <w:tcW w:w="3380" w:type="dxa"/>
            <w:vMerge w:val="restart"/>
            <w:vAlign w:val="center"/>
          </w:tcPr>
          <w:p w:rsidR="00000000" w:rsidRDefault="00000000">
            <w:pPr>
              <w:spacing w:before="20" w:after="20" w:line="240" w:lineRule="auto"/>
              <w:jc w:val="center"/>
              <w:rPr>
                <w:b/>
                <w:bCs/>
                <w:sz w:val="16"/>
              </w:rPr>
            </w:pPr>
            <w:r>
              <w:rPr>
                <w:b/>
                <w:bCs/>
                <w:sz w:val="16"/>
              </w:rPr>
              <w:t>КАТЕГОРИЯ</w:t>
            </w:r>
          </w:p>
        </w:tc>
        <w:tc>
          <w:tcPr>
            <w:tcW w:w="2509" w:type="dxa"/>
            <w:gridSpan w:val="4"/>
            <w:vAlign w:val="center"/>
          </w:tcPr>
          <w:p w:rsidR="00000000" w:rsidRDefault="00000000">
            <w:pPr>
              <w:spacing w:before="20" w:after="20" w:line="240" w:lineRule="auto"/>
              <w:jc w:val="center"/>
              <w:rPr>
                <w:b/>
                <w:bCs/>
                <w:sz w:val="16"/>
              </w:rPr>
            </w:pPr>
            <w:r>
              <w:rPr>
                <w:b/>
                <w:bCs/>
                <w:sz w:val="16"/>
              </w:rPr>
              <w:t>1995 год</w:t>
            </w:r>
            <w:r>
              <w:rPr>
                <w:b/>
                <w:bCs/>
                <w:sz w:val="16"/>
                <w:vertAlign w:val="superscript"/>
              </w:rPr>
              <w:t>*</w:t>
            </w:r>
          </w:p>
        </w:tc>
        <w:tc>
          <w:tcPr>
            <w:tcW w:w="2536" w:type="dxa"/>
            <w:gridSpan w:val="4"/>
            <w:vAlign w:val="center"/>
          </w:tcPr>
          <w:p w:rsidR="00000000" w:rsidRDefault="00000000">
            <w:pPr>
              <w:spacing w:before="20" w:after="20" w:line="240" w:lineRule="auto"/>
              <w:jc w:val="center"/>
              <w:rPr>
                <w:b/>
                <w:bCs/>
                <w:sz w:val="16"/>
              </w:rPr>
            </w:pPr>
            <w:r>
              <w:rPr>
                <w:b/>
                <w:bCs/>
                <w:sz w:val="16"/>
              </w:rPr>
              <w:t>1999 год</w:t>
            </w:r>
            <w:r>
              <w:rPr>
                <w:b/>
                <w:bCs/>
                <w:sz w:val="16"/>
                <w:vertAlign w:val="superscript"/>
              </w:rPr>
              <w:t>*</w:t>
            </w:r>
          </w:p>
        </w:tc>
        <w:tc>
          <w:tcPr>
            <w:tcW w:w="2544" w:type="dxa"/>
            <w:gridSpan w:val="5"/>
            <w:vAlign w:val="center"/>
          </w:tcPr>
          <w:p w:rsidR="00000000" w:rsidRDefault="00000000">
            <w:pPr>
              <w:spacing w:before="20" w:after="20" w:line="240" w:lineRule="auto"/>
              <w:jc w:val="center"/>
              <w:rPr>
                <w:b/>
                <w:bCs/>
                <w:sz w:val="16"/>
              </w:rPr>
            </w:pPr>
            <w:r>
              <w:rPr>
                <w:b/>
                <w:bCs/>
                <w:sz w:val="16"/>
              </w:rPr>
              <w:t>2004 год</w:t>
            </w:r>
          </w:p>
        </w:tc>
        <w:tc>
          <w:tcPr>
            <w:tcW w:w="2526" w:type="dxa"/>
            <w:gridSpan w:val="5"/>
            <w:vAlign w:val="center"/>
          </w:tcPr>
          <w:p w:rsidR="00000000" w:rsidRDefault="00000000">
            <w:pPr>
              <w:spacing w:before="20" w:after="20" w:line="240" w:lineRule="auto"/>
              <w:jc w:val="center"/>
              <w:rPr>
                <w:b/>
                <w:bCs/>
                <w:sz w:val="16"/>
              </w:rPr>
            </w:pPr>
            <w:r>
              <w:rPr>
                <w:b/>
                <w:bCs/>
                <w:sz w:val="16"/>
              </w:rPr>
              <w:t>2005 год</w:t>
            </w:r>
          </w:p>
        </w:tc>
      </w:tr>
      <w:tr w:rsidR="00000000">
        <w:trPr>
          <w:cantSplit/>
        </w:trPr>
        <w:tc>
          <w:tcPr>
            <w:tcW w:w="3380" w:type="dxa"/>
            <w:vMerge/>
            <w:vAlign w:val="center"/>
          </w:tcPr>
          <w:p w:rsidR="00000000" w:rsidRDefault="00000000">
            <w:pPr>
              <w:spacing w:before="20" w:after="20" w:line="240" w:lineRule="auto"/>
              <w:jc w:val="center"/>
              <w:rPr>
                <w:b/>
                <w:bCs/>
                <w:sz w:val="16"/>
              </w:rPr>
            </w:pPr>
          </w:p>
        </w:tc>
        <w:tc>
          <w:tcPr>
            <w:tcW w:w="838" w:type="dxa"/>
            <w:vAlign w:val="center"/>
          </w:tcPr>
          <w:p w:rsidR="00000000" w:rsidRDefault="00000000">
            <w:pPr>
              <w:spacing w:before="20" w:after="20" w:line="240" w:lineRule="auto"/>
              <w:jc w:val="center"/>
              <w:rPr>
                <w:b/>
                <w:bCs/>
                <w:sz w:val="16"/>
              </w:rPr>
            </w:pPr>
            <w:r>
              <w:rPr>
                <w:b/>
                <w:bCs/>
                <w:sz w:val="16"/>
              </w:rPr>
              <w:t>Итого</w:t>
            </w:r>
          </w:p>
        </w:tc>
        <w:tc>
          <w:tcPr>
            <w:tcW w:w="829" w:type="dxa"/>
            <w:vAlign w:val="center"/>
          </w:tcPr>
          <w:p w:rsidR="00000000" w:rsidRDefault="00000000">
            <w:pPr>
              <w:spacing w:before="20" w:after="20" w:line="240" w:lineRule="auto"/>
              <w:jc w:val="center"/>
              <w:rPr>
                <w:b/>
                <w:bCs/>
                <w:sz w:val="16"/>
              </w:rPr>
            </w:pPr>
            <w:r>
              <w:rPr>
                <w:b/>
                <w:bCs/>
                <w:sz w:val="16"/>
              </w:rPr>
              <w:t>Мужчины</w:t>
            </w:r>
          </w:p>
        </w:tc>
        <w:tc>
          <w:tcPr>
            <w:tcW w:w="842" w:type="dxa"/>
            <w:gridSpan w:val="2"/>
            <w:vAlign w:val="center"/>
          </w:tcPr>
          <w:p w:rsidR="00000000" w:rsidRDefault="00000000">
            <w:pPr>
              <w:spacing w:before="20" w:after="20" w:line="240" w:lineRule="auto"/>
              <w:jc w:val="center"/>
              <w:rPr>
                <w:b/>
                <w:bCs/>
                <w:sz w:val="16"/>
                <w:lang w:val="fr-FR"/>
              </w:rPr>
            </w:pPr>
            <w:r>
              <w:rPr>
                <w:b/>
                <w:bCs/>
                <w:sz w:val="16"/>
              </w:rPr>
              <w:t>Женщины</w:t>
            </w:r>
          </w:p>
        </w:tc>
        <w:tc>
          <w:tcPr>
            <w:tcW w:w="854" w:type="dxa"/>
            <w:gridSpan w:val="2"/>
            <w:vAlign w:val="center"/>
          </w:tcPr>
          <w:p w:rsidR="00000000" w:rsidRDefault="00000000">
            <w:pPr>
              <w:spacing w:before="20" w:after="20" w:line="240" w:lineRule="auto"/>
              <w:jc w:val="center"/>
              <w:rPr>
                <w:b/>
                <w:bCs/>
                <w:sz w:val="16"/>
              </w:rPr>
            </w:pPr>
            <w:r>
              <w:rPr>
                <w:b/>
                <w:bCs/>
                <w:sz w:val="16"/>
              </w:rPr>
              <w:t>Итого</w:t>
            </w:r>
          </w:p>
        </w:tc>
        <w:tc>
          <w:tcPr>
            <w:tcW w:w="842" w:type="dxa"/>
            <w:vAlign w:val="center"/>
          </w:tcPr>
          <w:p w:rsidR="00000000" w:rsidRDefault="00000000">
            <w:pPr>
              <w:spacing w:before="20" w:after="20" w:line="240" w:lineRule="auto"/>
              <w:jc w:val="center"/>
              <w:rPr>
                <w:b/>
                <w:bCs/>
                <w:sz w:val="16"/>
              </w:rPr>
            </w:pPr>
            <w:r>
              <w:rPr>
                <w:b/>
                <w:bCs/>
                <w:sz w:val="16"/>
              </w:rPr>
              <w:t>Мужчины</w:t>
            </w:r>
          </w:p>
        </w:tc>
        <w:tc>
          <w:tcPr>
            <w:tcW w:w="840" w:type="dxa"/>
            <w:vAlign w:val="center"/>
          </w:tcPr>
          <w:p w:rsidR="00000000" w:rsidRDefault="00000000">
            <w:pPr>
              <w:spacing w:before="20" w:after="20" w:line="240" w:lineRule="auto"/>
              <w:jc w:val="center"/>
              <w:rPr>
                <w:b/>
                <w:bCs/>
                <w:sz w:val="16"/>
              </w:rPr>
            </w:pPr>
            <w:r>
              <w:rPr>
                <w:b/>
                <w:bCs/>
                <w:sz w:val="16"/>
              </w:rPr>
              <w:t>Женщины</w:t>
            </w:r>
          </w:p>
        </w:tc>
        <w:tc>
          <w:tcPr>
            <w:tcW w:w="856" w:type="dxa"/>
            <w:gridSpan w:val="2"/>
            <w:vAlign w:val="center"/>
          </w:tcPr>
          <w:p w:rsidR="00000000" w:rsidRDefault="00000000">
            <w:pPr>
              <w:spacing w:before="20" w:after="20" w:line="240" w:lineRule="auto"/>
              <w:jc w:val="center"/>
              <w:rPr>
                <w:b/>
                <w:bCs/>
                <w:sz w:val="16"/>
              </w:rPr>
            </w:pPr>
            <w:r>
              <w:rPr>
                <w:b/>
                <w:bCs/>
                <w:sz w:val="16"/>
              </w:rPr>
              <w:t>Итого</w:t>
            </w:r>
          </w:p>
        </w:tc>
        <w:tc>
          <w:tcPr>
            <w:tcW w:w="840" w:type="dxa"/>
            <w:vAlign w:val="center"/>
          </w:tcPr>
          <w:p w:rsidR="00000000" w:rsidRDefault="00000000">
            <w:pPr>
              <w:spacing w:before="20" w:after="20" w:line="240" w:lineRule="auto"/>
              <w:jc w:val="center"/>
              <w:rPr>
                <w:b/>
                <w:bCs/>
                <w:sz w:val="16"/>
              </w:rPr>
            </w:pPr>
            <w:r>
              <w:rPr>
                <w:b/>
                <w:bCs/>
                <w:sz w:val="16"/>
              </w:rPr>
              <w:t>Мужчины</w:t>
            </w:r>
          </w:p>
        </w:tc>
        <w:tc>
          <w:tcPr>
            <w:tcW w:w="848" w:type="dxa"/>
            <w:gridSpan w:val="2"/>
            <w:vAlign w:val="center"/>
          </w:tcPr>
          <w:p w:rsidR="00000000" w:rsidRDefault="00000000">
            <w:pPr>
              <w:spacing w:before="20" w:after="20" w:line="240" w:lineRule="auto"/>
              <w:jc w:val="center"/>
              <w:rPr>
                <w:b/>
                <w:bCs/>
                <w:sz w:val="16"/>
              </w:rPr>
            </w:pPr>
            <w:r>
              <w:rPr>
                <w:b/>
                <w:bCs/>
                <w:sz w:val="16"/>
              </w:rPr>
              <w:t>Женщины</w:t>
            </w:r>
          </w:p>
        </w:tc>
        <w:tc>
          <w:tcPr>
            <w:tcW w:w="845" w:type="dxa"/>
            <w:gridSpan w:val="2"/>
            <w:vAlign w:val="center"/>
          </w:tcPr>
          <w:p w:rsidR="00000000" w:rsidRDefault="00000000">
            <w:pPr>
              <w:spacing w:before="20" w:after="20" w:line="240" w:lineRule="auto"/>
              <w:jc w:val="center"/>
              <w:rPr>
                <w:b/>
                <w:bCs/>
                <w:sz w:val="16"/>
              </w:rPr>
            </w:pPr>
            <w:r>
              <w:rPr>
                <w:b/>
                <w:bCs/>
                <w:sz w:val="16"/>
              </w:rPr>
              <w:t>Итого</w:t>
            </w:r>
          </w:p>
        </w:tc>
        <w:tc>
          <w:tcPr>
            <w:tcW w:w="826" w:type="dxa"/>
            <w:vAlign w:val="center"/>
          </w:tcPr>
          <w:p w:rsidR="00000000" w:rsidRDefault="00000000">
            <w:pPr>
              <w:spacing w:before="20" w:after="20" w:line="240" w:lineRule="auto"/>
              <w:jc w:val="center"/>
              <w:rPr>
                <w:b/>
                <w:bCs/>
                <w:sz w:val="16"/>
              </w:rPr>
            </w:pPr>
            <w:r>
              <w:rPr>
                <w:b/>
                <w:bCs/>
                <w:sz w:val="16"/>
              </w:rPr>
              <w:t>Мужчины</w:t>
            </w:r>
          </w:p>
        </w:tc>
        <w:tc>
          <w:tcPr>
            <w:tcW w:w="855" w:type="dxa"/>
            <w:gridSpan w:val="2"/>
            <w:vAlign w:val="center"/>
          </w:tcPr>
          <w:p w:rsidR="00000000" w:rsidRDefault="00000000">
            <w:pPr>
              <w:spacing w:before="20" w:after="20" w:line="240" w:lineRule="auto"/>
              <w:jc w:val="center"/>
              <w:rPr>
                <w:b/>
                <w:bCs/>
                <w:sz w:val="16"/>
              </w:rPr>
            </w:pPr>
            <w:r>
              <w:rPr>
                <w:b/>
                <w:bCs/>
                <w:sz w:val="16"/>
              </w:rPr>
              <w:t>Женщины</w:t>
            </w:r>
          </w:p>
        </w:tc>
      </w:tr>
      <w:tr w:rsidR="00000000">
        <w:trPr>
          <w:cantSplit/>
        </w:trPr>
        <w:tc>
          <w:tcPr>
            <w:tcW w:w="3380" w:type="dxa"/>
            <w:noWrap/>
            <w:vAlign w:val="bottom"/>
          </w:tcPr>
          <w:p w:rsidR="00000000" w:rsidRDefault="00000000">
            <w:pPr>
              <w:spacing w:before="20" w:after="20" w:line="240" w:lineRule="auto"/>
              <w:rPr>
                <w:sz w:val="16"/>
              </w:rPr>
            </w:pPr>
            <w:r>
              <w:rPr>
                <w:sz w:val="16"/>
              </w:rPr>
              <w:t>Экономически активное население (**)</w:t>
            </w:r>
          </w:p>
        </w:tc>
        <w:tc>
          <w:tcPr>
            <w:tcW w:w="838" w:type="dxa"/>
            <w:noWrap/>
            <w:vAlign w:val="bottom"/>
          </w:tcPr>
          <w:p w:rsidR="00000000" w:rsidRDefault="00000000">
            <w:pPr>
              <w:spacing w:before="20" w:after="20" w:line="240" w:lineRule="auto"/>
              <w:jc w:val="right"/>
              <w:rPr>
                <w:sz w:val="16"/>
                <w:lang w:val="en-US"/>
              </w:rPr>
            </w:pPr>
            <w:r>
              <w:rPr>
                <w:sz w:val="16"/>
                <w:lang w:val="en-US"/>
              </w:rPr>
              <w:t>2 323 585</w:t>
            </w:r>
          </w:p>
        </w:tc>
        <w:tc>
          <w:tcPr>
            <w:tcW w:w="835" w:type="dxa"/>
            <w:gridSpan w:val="2"/>
            <w:noWrap/>
            <w:vAlign w:val="bottom"/>
          </w:tcPr>
          <w:p w:rsidR="00000000" w:rsidRDefault="00000000">
            <w:pPr>
              <w:spacing w:before="20" w:after="20" w:line="240" w:lineRule="auto"/>
              <w:jc w:val="right"/>
              <w:rPr>
                <w:sz w:val="16"/>
                <w:lang w:val="en-US"/>
              </w:rPr>
            </w:pPr>
            <w:r>
              <w:rPr>
                <w:sz w:val="16"/>
                <w:lang w:val="en-US"/>
              </w:rPr>
              <w:t>1 372 209</w:t>
            </w:r>
          </w:p>
        </w:tc>
        <w:tc>
          <w:tcPr>
            <w:tcW w:w="836" w:type="dxa"/>
            <w:noWrap/>
            <w:vAlign w:val="bottom"/>
          </w:tcPr>
          <w:p w:rsidR="00000000" w:rsidRDefault="00000000">
            <w:pPr>
              <w:spacing w:before="20" w:after="20" w:line="240" w:lineRule="auto"/>
              <w:jc w:val="right"/>
              <w:rPr>
                <w:sz w:val="16"/>
                <w:lang w:val="en-US"/>
              </w:rPr>
            </w:pPr>
            <w:r>
              <w:rPr>
                <w:sz w:val="16"/>
                <w:lang w:val="en-US"/>
              </w:rPr>
              <w:t>951 376</w:t>
            </w:r>
          </w:p>
        </w:tc>
        <w:tc>
          <w:tcPr>
            <w:tcW w:w="848" w:type="dxa"/>
            <w:noWrap/>
            <w:vAlign w:val="bottom"/>
          </w:tcPr>
          <w:p w:rsidR="00000000" w:rsidRDefault="00000000">
            <w:pPr>
              <w:spacing w:before="20" w:after="20" w:line="240" w:lineRule="auto"/>
              <w:jc w:val="right"/>
              <w:rPr>
                <w:sz w:val="16"/>
                <w:lang w:val="en-US"/>
              </w:rPr>
            </w:pPr>
            <w:r>
              <w:rPr>
                <w:sz w:val="16"/>
                <w:lang w:val="en-US"/>
              </w:rPr>
              <w:t>2 147 011</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1 358 681</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788 330</w:t>
            </w:r>
          </w:p>
        </w:tc>
        <w:tc>
          <w:tcPr>
            <w:tcW w:w="848" w:type="dxa"/>
            <w:noWrap/>
            <w:vAlign w:val="bottom"/>
          </w:tcPr>
          <w:p w:rsidR="00000000" w:rsidRDefault="00000000">
            <w:pPr>
              <w:spacing w:before="20" w:after="20" w:line="240" w:lineRule="auto"/>
              <w:jc w:val="right"/>
              <w:rPr>
                <w:sz w:val="16"/>
                <w:lang w:val="fr-FR"/>
              </w:rPr>
            </w:pPr>
            <w:r>
              <w:rPr>
                <w:sz w:val="16"/>
                <w:lang w:val="fr-FR"/>
              </w:rPr>
              <w:t>2 762 459</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1 657 617</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1 104 842</w:t>
            </w:r>
          </w:p>
        </w:tc>
        <w:tc>
          <w:tcPr>
            <w:tcW w:w="837" w:type="dxa"/>
            <w:noWrap/>
            <w:vAlign w:val="bottom"/>
          </w:tcPr>
          <w:p w:rsidR="00000000" w:rsidRDefault="00000000">
            <w:pPr>
              <w:spacing w:before="20" w:after="20" w:line="240" w:lineRule="auto"/>
              <w:jc w:val="right"/>
              <w:rPr>
                <w:sz w:val="16"/>
                <w:lang w:val="fr-FR"/>
              </w:rPr>
            </w:pPr>
            <w:r>
              <w:rPr>
                <w:sz w:val="16"/>
                <w:lang w:val="fr-FR"/>
              </w:rPr>
              <w:t>2 779 810</w:t>
            </w:r>
          </w:p>
        </w:tc>
        <w:tc>
          <w:tcPr>
            <w:tcW w:w="837" w:type="dxa"/>
            <w:gridSpan w:val="2"/>
            <w:noWrap/>
            <w:vAlign w:val="bottom"/>
          </w:tcPr>
          <w:p w:rsidR="00000000" w:rsidRDefault="00000000">
            <w:pPr>
              <w:spacing w:before="20" w:after="20" w:line="240" w:lineRule="auto"/>
              <w:jc w:val="right"/>
              <w:rPr>
                <w:sz w:val="16"/>
                <w:lang w:val="fr-FR"/>
              </w:rPr>
            </w:pPr>
            <w:r>
              <w:rPr>
                <w:sz w:val="16"/>
                <w:lang w:val="fr-FR"/>
              </w:rPr>
              <w:t>1 680 474</w:t>
            </w:r>
          </w:p>
        </w:tc>
        <w:tc>
          <w:tcPr>
            <w:tcW w:w="844" w:type="dxa"/>
            <w:noWrap/>
            <w:vAlign w:val="bottom"/>
          </w:tcPr>
          <w:p w:rsidR="00000000" w:rsidRDefault="00000000">
            <w:pPr>
              <w:spacing w:before="20" w:after="20" w:line="240" w:lineRule="auto"/>
              <w:jc w:val="right"/>
              <w:rPr>
                <w:sz w:val="16"/>
                <w:lang w:val="fr-FR"/>
              </w:rPr>
            </w:pPr>
            <w:r>
              <w:rPr>
                <w:sz w:val="16"/>
                <w:lang w:val="fr-FR"/>
              </w:rPr>
              <w:t>1 099 336</w:t>
            </w:r>
          </w:p>
        </w:tc>
      </w:tr>
      <w:tr w:rsidR="00000000">
        <w:trPr>
          <w:cantSplit/>
        </w:trPr>
        <w:tc>
          <w:tcPr>
            <w:tcW w:w="3380" w:type="dxa"/>
            <w:noWrap/>
            <w:vAlign w:val="bottom"/>
          </w:tcPr>
          <w:p w:rsidR="00000000" w:rsidRDefault="00000000">
            <w:pPr>
              <w:spacing w:before="20" w:after="20" w:line="240" w:lineRule="auto"/>
              <w:rPr>
                <w:sz w:val="16"/>
              </w:rPr>
            </w:pPr>
            <w:r>
              <w:rPr>
                <w:sz w:val="16"/>
              </w:rPr>
              <w:t>Экономически неактивное население (**)</w:t>
            </w:r>
          </w:p>
        </w:tc>
        <w:tc>
          <w:tcPr>
            <w:tcW w:w="838" w:type="dxa"/>
            <w:noWrap/>
            <w:vAlign w:val="bottom"/>
          </w:tcPr>
          <w:p w:rsidR="00000000" w:rsidRDefault="00000000">
            <w:pPr>
              <w:spacing w:before="20" w:after="20" w:line="240" w:lineRule="auto"/>
              <w:jc w:val="right"/>
              <w:rPr>
                <w:sz w:val="16"/>
              </w:rPr>
            </w:pPr>
            <w:r>
              <w:rPr>
                <w:sz w:val="16"/>
              </w:rPr>
              <w:t>1 034 481</w:t>
            </w:r>
          </w:p>
        </w:tc>
        <w:tc>
          <w:tcPr>
            <w:tcW w:w="835" w:type="dxa"/>
            <w:gridSpan w:val="2"/>
            <w:noWrap/>
            <w:vAlign w:val="bottom"/>
          </w:tcPr>
          <w:p w:rsidR="00000000" w:rsidRDefault="00000000">
            <w:pPr>
              <w:spacing w:before="20" w:after="20" w:line="240" w:lineRule="auto"/>
              <w:jc w:val="right"/>
              <w:rPr>
                <w:sz w:val="16"/>
              </w:rPr>
            </w:pPr>
            <w:r>
              <w:rPr>
                <w:sz w:val="16"/>
              </w:rPr>
              <w:t>294 439</w:t>
            </w:r>
          </w:p>
        </w:tc>
        <w:tc>
          <w:tcPr>
            <w:tcW w:w="836" w:type="dxa"/>
            <w:noWrap/>
            <w:vAlign w:val="bottom"/>
          </w:tcPr>
          <w:p w:rsidR="00000000" w:rsidRDefault="00000000">
            <w:pPr>
              <w:spacing w:before="20" w:after="20" w:line="240" w:lineRule="auto"/>
              <w:jc w:val="right"/>
              <w:rPr>
                <w:sz w:val="16"/>
              </w:rPr>
            </w:pPr>
            <w:r>
              <w:rPr>
                <w:sz w:val="16"/>
              </w:rPr>
              <w:t>740 043</w:t>
            </w:r>
          </w:p>
        </w:tc>
        <w:tc>
          <w:tcPr>
            <w:tcW w:w="848" w:type="dxa"/>
            <w:noWrap/>
            <w:vAlign w:val="bottom"/>
          </w:tcPr>
          <w:p w:rsidR="00000000" w:rsidRDefault="00000000">
            <w:pPr>
              <w:spacing w:before="20" w:after="20" w:line="240" w:lineRule="auto"/>
              <w:jc w:val="right"/>
              <w:rPr>
                <w:sz w:val="16"/>
              </w:rPr>
            </w:pPr>
            <w:r>
              <w:rPr>
                <w:sz w:val="16"/>
              </w:rPr>
              <w:t>1 599 408</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479 352</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1 120 057</w:t>
            </w:r>
          </w:p>
        </w:tc>
        <w:tc>
          <w:tcPr>
            <w:tcW w:w="848" w:type="dxa"/>
            <w:noWrap/>
            <w:vAlign w:val="bottom"/>
          </w:tcPr>
          <w:p w:rsidR="00000000" w:rsidRDefault="00000000">
            <w:pPr>
              <w:spacing w:before="20" w:after="20" w:line="240" w:lineRule="auto"/>
              <w:jc w:val="right"/>
              <w:rPr>
                <w:sz w:val="16"/>
                <w:lang w:val="fr-FR"/>
              </w:rPr>
            </w:pPr>
            <w:r>
              <w:rPr>
                <w:sz w:val="16"/>
                <w:lang w:val="fr-FR"/>
              </w:rPr>
              <w:t>1 592 459</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505 698</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1 086 761</w:t>
            </w:r>
          </w:p>
        </w:tc>
        <w:tc>
          <w:tcPr>
            <w:tcW w:w="837" w:type="dxa"/>
            <w:noWrap/>
            <w:vAlign w:val="bottom"/>
          </w:tcPr>
          <w:p w:rsidR="00000000" w:rsidRDefault="00000000">
            <w:pPr>
              <w:spacing w:before="20" w:after="20" w:line="240" w:lineRule="auto"/>
              <w:jc w:val="right"/>
              <w:rPr>
                <w:sz w:val="16"/>
                <w:lang w:val="fr-FR"/>
              </w:rPr>
            </w:pPr>
            <w:r>
              <w:rPr>
                <w:sz w:val="16"/>
                <w:lang w:val="fr-FR"/>
              </w:rPr>
              <w:t>1 718 453</w:t>
            </w:r>
          </w:p>
        </w:tc>
        <w:tc>
          <w:tcPr>
            <w:tcW w:w="837" w:type="dxa"/>
            <w:gridSpan w:val="2"/>
            <w:noWrap/>
            <w:vAlign w:val="bottom"/>
          </w:tcPr>
          <w:p w:rsidR="00000000" w:rsidRDefault="00000000">
            <w:pPr>
              <w:spacing w:before="20" w:after="20" w:line="240" w:lineRule="auto"/>
              <w:jc w:val="right"/>
              <w:rPr>
                <w:sz w:val="16"/>
                <w:lang w:val="fr-FR"/>
              </w:rPr>
            </w:pPr>
            <w:r>
              <w:rPr>
                <w:sz w:val="16"/>
                <w:lang w:val="fr-FR"/>
              </w:rPr>
              <w:t>556 169</w:t>
            </w:r>
          </w:p>
        </w:tc>
        <w:tc>
          <w:tcPr>
            <w:tcW w:w="844" w:type="dxa"/>
            <w:noWrap/>
            <w:vAlign w:val="bottom"/>
          </w:tcPr>
          <w:p w:rsidR="00000000" w:rsidRDefault="00000000">
            <w:pPr>
              <w:spacing w:before="20" w:after="20" w:line="240" w:lineRule="auto"/>
              <w:jc w:val="right"/>
              <w:rPr>
                <w:sz w:val="16"/>
                <w:lang w:val="fr-FR"/>
              </w:rPr>
            </w:pPr>
            <w:r>
              <w:rPr>
                <w:sz w:val="16"/>
                <w:lang w:val="fr-FR"/>
              </w:rPr>
              <w:t>1 162 284</w:t>
            </w:r>
          </w:p>
        </w:tc>
      </w:tr>
      <w:tr w:rsidR="00000000">
        <w:trPr>
          <w:cantSplit/>
        </w:trPr>
        <w:tc>
          <w:tcPr>
            <w:tcW w:w="3380" w:type="dxa"/>
            <w:noWrap/>
            <w:vAlign w:val="bottom"/>
          </w:tcPr>
          <w:p w:rsidR="00000000" w:rsidRDefault="00000000">
            <w:pPr>
              <w:spacing w:before="20" w:after="20" w:line="240" w:lineRule="auto"/>
              <w:rPr>
                <w:sz w:val="16"/>
              </w:rPr>
            </w:pPr>
            <w:r>
              <w:rPr>
                <w:sz w:val="16"/>
              </w:rPr>
              <w:t>Занятое население</w:t>
            </w:r>
          </w:p>
        </w:tc>
        <w:tc>
          <w:tcPr>
            <w:tcW w:w="838" w:type="dxa"/>
            <w:noWrap/>
            <w:vAlign w:val="bottom"/>
          </w:tcPr>
          <w:p w:rsidR="00000000" w:rsidRDefault="00000000">
            <w:pPr>
              <w:spacing w:before="20" w:after="20" w:line="240" w:lineRule="auto"/>
              <w:jc w:val="right"/>
              <w:rPr>
                <w:sz w:val="16"/>
                <w:lang w:val="fr-FR"/>
              </w:rPr>
            </w:pPr>
            <w:r>
              <w:rPr>
                <w:sz w:val="16"/>
                <w:lang w:val="fr-FR"/>
              </w:rPr>
              <w:t>2 245 742</w:t>
            </w:r>
          </w:p>
        </w:tc>
        <w:tc>
          <w:tcPr>
            <w:tcW w:w="835" w:type="dxa"/>
            <w:gridSpan w:val="2"/>
            <w:noWrap/>
            <w:vAlign w:val="bottom"/>
          </w:tcPr>
          <w:p w:rsidR="00000000" w:rsidRDefault="00000000">
            <w:pPr>
              <w:spacing w:before="20" w:after="20" w:line="240" w:lineRule="auto"/>
              <w:jc w:val="right"/>
              <w:rPr>
                <w:sz w:val="16"/>
                <w:lang w:val="fr-FR"/>
              </w:rPr>
            </w:pPr>
            <w:r>
              <w:rPr>
                <w:sz w:val="16"/>
                <w:lang w:val="fr-FR"/>
              </w:rPr>
              <w:t>1 330 321</w:t>
            </w:r>
          </w:p>
        </w:tc>
        <w:tc>
          <w:tcPr>
            <w:tcW w:w="836" w:type="dxa"/>
            <w:noWrap/>
            <w:vAlign w:val="bottom"/>
          </w:tcPr>
          <w:p w:rsidR="00000000" w:rsidRDefault="00000000">
            <w:pPr>
              <w:spacing w:before="20" w:after="20" w:line="240" w:lineRule="auto"/>
              <w:jc w:val="right"/>
              <w:rPr>
                <w:sz w:val="16"/>
                <w:lang w:val="fr-FR"/>
              </w:rPr>
            </w:pPr>
            <w:r>
              <w:rPr>
                <w:sz w:val="16"/>
                <w:lang w:val="fr-FR"/>
              </w:rPr>
              <w:t>915 421</w:t>
            </w:r>
          </w:p>
        </w:tc>
        <w:tc>
          <w:tcPr>
            <w:tcW w:w="848" w:type="dxa"/>
            <w:noWrap/>
            <w:vAlign w:val="bottom"/>
          </w:tcPr>
          <w:p w:rsidR="00000000" w:rsidRDefault="00000000">
            <w:pPr>
              <w:spacing w:before="20" w:after="20" w:line="240" w:lineRule="auto"/>
              <w:jc w:val="right"/>
              <w:rPr>
                <w:sz w:val="16"/>
                <w:lang w:val="fr-FR"/>
              </w:rPr>
            </w:pPr>
            <w:r>
              <w:rPr>
                <w:sz w:val="16"/>
                <w:lang w:val="fr-FR"/>
              </w:rPr>
              <w:t>2 000 412</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1 270 898</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729 514</w:t>
            </w:r>
          </w:p>
        </w:tc>
        <w:tc>
          <w:tcPr>
            <w:tcW w:w="848" w:type="dxa"/>
            <w:noWrap/>
            <w:vAlign w:val="bottom"/>
          </w:tcPr>
          <w:p w:rsidR="00000000" w:rsidRDefault="00000000">
            <w:pPr>
              <w:spacing w:before="20" w:after="20" w:line="240" w:lineRule="auto"/>
              <w:jc w:val="right"/>
              <w:rPr>
                <w:sz w:val="16"/>
                <w:lang w:val="fr-FR"/>
              </w:rPr>
            </w:pPr>
            <w:r>
              <w:rPr>
                <w:sz w:val="16"/>
                <w:lang w:val="fr-FR"/>
              </w:rPr>
              <w:t>2 560 612</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1 561 745</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998 867</w:t>
            </w:r>
          </w:p>
        </w:tc>
        <w:tc>
          <w:tcPr>
            <w:tcW w:w="837" w:type="dxa"/>
            <w:noWrap/>
            <w:vAlign w:val="bottom"/>
          </w:tcPr>
          <w:p w:rsidR="00000000" w:rsidRDefault="00000000">
            <w:pPr>
              <w:spacing w:before="20" w:after="20" w:line="240" w:lineRule="auto"/>
              <w:jc w:val="right"/>
              <w:rPr>
                <w:sz w:val="16"/>
                <w:lang w:val="fr-FR"/>
              </w:rPr>
            </w:pPr>
            <w:r>
              <w:rPr>
                <w:sz w:val="16"/>
                <w:lang w:val="fr-FR"/>
              </w:rPr>
              <w:t>2 617 708</w:t>
            </w:r>
          </w:p>
        </w:tc>
        <w:tc>
          <w:tcPr>
            <w:tcW w:w="837" w:type="dxa"/>
            <w:gridSpan w:val="2"/>
            <w:noWrap/>
            <w:vAlign w:val="bottom"/>
          </w:tcPr>
          <w:p w:rsidR="00000000" w:rsidRDefault="00000000">
            <w:pPr>
              <w:spacing w:before="20" w:after="20" w:line="240" w:lineRule="auto"/>
              <w:jc w:val="right"/>
              <w:rPr>
                <w:sz w:val="16"/>
                <w:lang w:val="fr-FR"/>
              </w:rPr>
            </w:pPr>
            <w:r>
              <w:rPr>
                <w:sz w:val="16"/>
                <w:lang w:val="fr-FR"/>
              </w:rPr>
              <w:t>1 598 232</w:t>
            </w:r>
          </w:p>
        </w:tc>
        <w:tc>
          <w:tcPr>
            <w:tcW w:w="844" w:type="dxa"/>
            <w:noWrap/>
            <w:vAlign w:val="bottom"/>
          </w:tcPr>
          <w:p w:rsidR="00000000" w:rsidRDefault="00000000">
            <w:pPr>
              <w:spacing w:before="20" w:after="20" w:line="240" w:lineRule="auto"/>
              <w:jc w:val="right"/>
              <w:rPr>
                <w:sz w:val="16"/>
                <w:lang w:val="fr-FR"/>
              </w:rPr>
            </w:pPr>
            <w:r>
              <w:rPr>
                <w:sz w:val="16"/>
                <w:lang w:val="fr-FR"/>
              </w:rPr>
              <w:t>1 019 476</w:t>
            </w:r>
          </w:p>
        </w:tc>
      </w:tr>
      <w:tr w:rsidR="00000000">
        <w:trPr>
          <w:cantSplit/>
        </w:trPr>
        <w:tc>
          <w:tcPr>
            <w:tcW w:w="3380" w:type="dxa"/>
            <w:noWrap/>
            <w:vAlign w:val="bottom"/>
          </w:tcPr>
          <w:p w:rsidR="00000000" w:rsidRDefault="00000000">
            <w:pPr>
              <w:spacing w:before="20" w:after="20" w:line="240" w:lineRule="auto"/>
              <w:rPr>
                <w:sz w:val="16"/>
              </w:rPr>
            </w:pPr>
            <w:r>
              <w:rPr>
                <w:sz w:val="16"/>
              </w:rPr>
              <w:t>Открытая безработица</w:t>
            </w:r>
          </w:p>
        </w:tc>
        <w:tc>
          <w:tcPr>
            <w:tcW w:w="838" w:type="dxa"/>
            <w:noWrap/>
            <w:vAlign w:val="bottom"/>
          </w:tcPr>
          <w:p w:rsidR="00000000" w:rsidRDefault="00000000">
            <w:pPr>
              <w:spacing w:before="20" w:after="20" w:line="240" w:lineRule="auto"/>
              <w:jc w:val="right"/>
              <w:rPr>
                <w:sz w:val="16"/>
                <w:lang w:val="en-US"/>
              </w:rPr>
            </w:pPr>
            <w:r>
              <w:rPr>
                <w:sz w:val="16"/>
                <w:lang w:val="en-US"/>
              </w:rPr>
              <w:t>77 843</w:t>
            </w:r>
          </w:p>
        </w:tc>
        <w:tc>
          <w:tcPr>
            <w:tcW w:w="835" w:type="dxa"/>
            <w:gridSpan w:val="2"/>
            <w:noWrap/>
            <w:vAlign w:val="bottom"/>
          </w:tcPr>
          <w:p w:rsidR="00000000" w:rsidRDefault="00000000">
            <w:pPr>
              <w:spacing w:before="20" w:after="20" w:line="240" w:lineRule="auto"/>
              <w:jc w:val="right"/>
              <w:rPr>
                <w:sz w:val="16"/>
                <w:lang w:val="en-US"/>
              </w:rPr>
            </w:pPr>
            <w:r>
              <w:rPr>
                <w:sz w:val="16"/>
                <w:lang w:val="en-US"/>
              </w:rPr>
              <w:t>41 888</w:t>
            </w:r>
          </w:p>
        </w:tc>
        <w:tc>
          <w:tcPr>
            <w:tcW w:w="836" w:type="dxa"/>
            <w:noWrap/>
            <w:vAlign w:val="bottom"/>
          </w:tcPr>
          <w:p w:rsidR="00000000" w:rsidRDefault="00000000">
            <w:pPr>
              <w:spacing w:before="20" w:after="20" w:line="240" w:lineRule="auto"/>
              <w:jc w:val="right"/>
              <w:rPr>
                <w:sz w:val="16"/>
                <w:lang w:val="en-US"/>
              </w:rPr>
            </w:pPr>
            <w:r>
              <w:rPr>
                <w:sz w:val="16"/>
                <w:lang w:val="en-US"/>
              </w:rPr>
              <w:t>35 955</w:t>
            </w:r>
          </w:p>
        </w:tc>
        <w:tc>
          <w:tcPr>
            <w:tcW w:w="848" w:type="dxa"/>
            <w:noWrap/>
            <w:vAlign w:val="bottom"/>
          </w:tcPr>
          <w:p w:rsidR="00000000" w:rsidRDefault="00000000">
            <w:pPr>
              <w:spacing w:before="20" w:after="20" w:line="240" w:lineRule="auto"/>
              <w:jc w:val="right"/>
              <w:rPr>
                <w:sz w:val="16"/>
                <w:lang w:val="en-US"/>
              </w:rPr>
            </w:pPr>
            <w:r>
              <w:rPr>
                <w:sz w:val="16"/>
                <w:lang w:val="en-US"/>
              </w:rPr>
              <w:t>146 599</w:t>
            </w:r>
          </w:p>
        </w:tc>
        <w:tc>
          <w:tcPr>
            <w:tcW w:w="848" w:type="dxa"/>
            <w:gridSpan w:val="2"/>
            <w:noWrap/>
            <w:vAlign w:val="bottom"/>
          </w:tcPr>
          <w:p w:rsidR="00000000" w:rsidRDefault="00000000">
            <w:pPr>
              <w:spacing w:before="20" w:after="20" w:line="240" w:lineRule="auto"/>
              <w:jc w:val="right"/>
              <w:rPr>
                <w:sz w:val="16"/>
                <w:lang w:val="en-US"/>
              </w:rPr>
            </w:pPr>
            <w:r>
              <w:rPr>
                <w:sz w:val="16"/>
                <w:lang w:val="en-US"/>
              </w:rPr>
              <w:t>87 782</w:t>
            </w:r>
          </w:p>
        </w:tc>
        <w:tc>
          <w:tcPr>
            <w:tcW w:w="848" w:type="dxa"/>
            <w:gridSpan w:val="2"/>
            <w:noWrap/>
            <w:vAlign w:val="bottom"/>
          </w:tcPr>
          <w:p w:rsidR="00000000" w:rsidRDefault="00000000">
            <w:pPr>
              <w:spacing w:before="20" w:after="20" w:line="240" w:lineRule="auto"/>
              <w:jc w:val="right"/>
              <w:rPr>
                <w:sz w:val="16"/>
                <w:lang w:val="en-US"/>
              </w:rPr>
            </w:pPr>
            <w:r>
              <w:rPr>
                <w:sz w:val="16"/>
                <w:lang w:val="en-US"/>
              </w:rPr>
              <w:t>58 816</w:t>
            </w:r>
          </w:p>
        </w:tc>
        <w:tc>
          <w:tcPr>
            <w:tcW w:w="848" w:type="dxa"/>
            <w:noWrap/>
            <w:vAlign w:val="bottom"/>
          </w:tcPr>
          <w:p w:rsidR="00000000" w:rsidRDefault="00000000">
            <w:pPr>
              <w:spacing w:before="20" w:after="20" w:line="240" w:lineRule="auto"/>
              <w:jc w:val="right"/>
              <w:rPr>
                <w:sz w:val="16"/>
                <w:lang w:val="en-US"/>
              </w:rPr>
            </w:pPr>
            <w:r>
              <w:rPr>
                <w:sz w:val="16"/>
                <w:lang w:val="en-US"/>
              </w:rPr>
              <w:t>201 847</w:t>
            </w:r>
          </w:p>
        </w:tc>
        <w:tc>
          <w:tcPr>
            <w:tcW w:w="848" w:type="dxa"/>
            <w:gridSpan w:val="2"/>
            <w:noWrap/>
            <w:vAlign w:val="bottom"/>
          </w:tcPr>
          <w:p w:rsidR="00000000" w:rsidRDefault="00000000">
            <w:pPr>
              <w:spacing w:before="20" w:after="20" w:line="240" w:lineRule="auto"/>
              <w:jc w:val="right"/>
              <w:rPr>
                <w:sz w:val="16"/>
                <w:lang w:val="en-US"/>
              </w:rPr>
            </w:pPr>
            <w:r>
              <w:rPr>
                <w:sz w:val="16"/>
                <w:lang w:val="en-US"/>
              </w:rPr>
              <w:t>95 872</w:t>
            </w:r>
          </w:p>
        </w:tc>
        <w:tc>
          <w:tcPr>
            <w:tcW w:w="848" w:type="dxa"/>
            <w:gridSpan w:val="2"/>
            <w:noWrap/>
            <w:vAlign w:val="bottom"/>
          </w:tcPr>
          <w:p w:rsidR="00000000" w:rsidRDefault="00000000">
            <w:pPr>
              <w:spacing w:before="20" w:after="20" w:line="240" w:lineRule="auto"/>
              <w:jc w:val="right"/>
              <w:rPr>
                <w:sz w:val="16"/>
                <w:lang w:val="en-US"/>
              </w:rPr>
            </w:pPr>
            <w:r>
              <w:rPr>
                <w:sz w:val="16"/>
                <w:lang w:val="en-US"/>
              </w:rPr>
              <w:t>105 975</w:t>
            </w:r>
          </w:p>
        </w:tc>
        <w:tc>
          <w:tcPr>
            <w:tcW w:w="837" w:type="dxa"/>
            <w:noWrap/>
            <w:vAlign w:val="bottom"/>
          </w:tcPr>
          <w:p w:rsidR="00000000" w:rsidRDefault="00000000">
            <w:pPr>
              <w:spacing w:before="20" w:after="20" w:line="240" w:lineRule="auto"/>
              <w:jc w:val="right"/>
              <w:rPr>
                <w:sz w:val="16"/>
                <w:lang w:val="en-US"/>
              </w:rPr>
            </w:pPr>
            <w:r>
              <w:rPr>
                <w:sz w:val="16"/>
                <w:lang w:val="en-US"/>
              </w:rPr>
              <w:t>162 102</w:t>
            </w:r>
          </w:p>
        </w:tc>
        <w:tc>
          <w:tcPr>
            <w:tcW w:w="837" w:type="dxa"/>
            <w:gridSpan w:val="2"/>
            <w:noWrap/>
            <w:vAlign w:val="bottom"/>
          </w:tcPr>
          <w:p w:rsidR="00000000" w:rsidRDefault="00000000">
            <w:pPr>
              <w:spacing w:before="20" w:after="20" w:line="240" w:lineRule="auto"/>
              <w:jc w:val="right"/>
              <w:rPr>
                <w:sz w:val="16"/>
                <w:lang w:val="en-US"/>
              </w:rPr>
            </w:pPr>
            <w:r>
              <w:rPr>
                <w:sz w:val="16"/>
                <w:lang w:val="en-US"/>
              </w:rPr>
              <w:t>82 242</w:t>
            </w:r>
          </w:p>
        </w:tc>
        <w:tc>
          <w:tcPr>
            <w:tcW w:w="844" w:type="dxa"/>
            <w:noWrap/>
            <w:vAlign w:val="bottom"/>
          </w:tcPr>
          <w:p w:rsidR="00000000" w:rsidRDefault="00000000">
            <w:pPr>
              <w:spacing w:before="20" w:after="20" w:line="240" w:lineRule="auto"/>
              <w:jc w:val="right"/>
              <w:rPr>
                <w:sz w:val="16"/>
                <w:lang w:val="en-US"/>
              </w:rPr>
            </w:pPr>
            <w:r>
              <w:rPr>
                <w:sz w:val="16"/>
                <w:lang w:val="en-US"/>
              </w:rPr>
              <w:t>79 860</w:t>
            </w:r>
          </w:p>
        </w:tc>
      </w:tr>
      <w:tr w:rsidR="00000000">
        <w:trPr>
          <w:cantSplit/>
        </w:trPr>
        <w:tc>
          <w:tcPr>
            <w:tcW w:w="3380" w:type="dxa"/>
            <w:noWrap/>
            <w:vAlign w:val="bottom"/>
          </w:tcPr>
          <w:p w:rsidR="00000000" w:rsidRDefault="00000000">
            <w:pPr>
              <w:spacing w:before="20" w:after="20" w:line="240" w:lineRule="auto"/>
              <w:rPr>
                <w:sz w:val="16"/>
              </w:rPr>
            </w:pPr>
            <w:r>
              <w:rPr>
                <w:sz w:val="16"/>
              </w:rPr>
              <w:t>Скрытая безработица</w:t>
            </w:r>
          </w:p>
        </w:tc>
        <w:tc>
          <w:tcPr>
            <w:tcW w:w="838" w:type="dxa"/>
            <w:noWrap/>
            <w:vAlign w:val="bottom"/>
          </w:tcPr>
          <w:p w:rsidR="00000000" w:rsidRDefault="00000000">
            <w:pPr>
              <w:spacing w:before="20" w:after="20" w:line="240" w:lineRule="auto"/>
              <w:jc w:val="right"/>
              <w:rPr>
                <w:sz w:val="16"/>
                <w:lang w:val="en-US"/>
              </w:rPr>
            </w:pPr>
            <w:r>
              <w:rPr>
                <w:sz w:val="16"/>
                <w:lang w:val="en-US"/>
              </w:rPr>
              <w:t>62 021</w:t>
            </w:r>
          </w:p>
        </w:tc>
        <w:tc>
          <w:tcPr>
            <w:tcW w:w="835" w:type="dxa"/>
            <w:gridSpan w:val="2"/>
            <w:noWrap/>
            <w:vAlign w:val="bottom"/>
          </w:tcPr>
          <w:p w:rsidR="00000000" w:rsidRDefault="00000000">
            <w:pPr>
              <w:spacing w:before="20" w:after="20" w:line="240" w:lineRule="auto"/>
              <w:jc w:val="right"/>
              <w:rPr>
                <w:sz w:val="16"/>
                <w:lang w:val="en-US"/>
              </w:rPr>
            </w:pPr>
            <w:r>
              <w:rPr>
                <w:sz w:val="16"/>
                <w:lang w:val="en-US"/>
              </w:rPr>
              <w:t>26 046</w:t>
            </w:r>
          </w:p>
        </w:tc>
        <w:tc>
          <w:tcPr>
            <w:tcW w:w="836" w:type="dxa"/>
            <w:noWrap/>
            <w:vAlign w:val="bottom"/>
          </w:tcPr>
          <w:p w:rsidR="00000000" w:rsidRDefault="00000000">
            <w:pPr>
              <w:spacing w:before="20" w:after="20" w:line="240" w:lineRule="auto"/>
              <w:jc w:val="right"/>
              <w:rPr>
                <w:sz w:val="16"/>
                <w:lang w:val="en-US"/>
              </w:rPr>
            </w:pPr>
            <w:r>
              <w:rPr>
                <w:sz w:val="16"/>
                <w:lang w:val="en-US"/>
              </w:rPr>
              <w:t>35 975</w:t>
            </w:r>
          </w:p>
        </w:tc>
        <w:tc>
          <w:tcPr>
            <w:tcW w:w="848" w:type="dxa"/>
            <w:noWrap/>
            <w:vAlign w:val="bottom"/>
          </w:tcPr>
          <w:p w:rsidR="00000000" w:rsidRDefault="00000000">
            <w:pPr>
              <w:spacing w:before="20" w:after="20" w:line="240" w:lineRule="auto"/>
              <w:jc w:val="right"/>
              <w:rPr>
                <w:sz w:val="16"/>
                <w:lang w:val="en-US"/>
              </w:rPr>
            </w:pPr>
            <w:r>
              <w:rPr>
                <w:sz w:val="16"/>
                <w:lang w:val="en-US"/>
              </w:rPr>
              <w:t>231 852</w:t>
            </w:r>
          </w:p>
        </w:tc>
        <w:tc>
          <w:tcPr>
            <w:tcW w:w="848" w:type="dxa"/>
            <w:gridSpan w:val="2"/>
            <w:noWrap/>
            <w:vAlign w:val="bottom"/>
          </w:tcPr>
          <w:p w:rsidR="00000000" w:rsidRDefault="00000000">
            <w:pPr>
              <w:spacing w:before="20" w:after="20" w:line="240" w:lineRule="auto"/>
              <w:jc w:val="right"/>
              <w:rPr>
                <w:sz w:val="16"/>
                <w:lang w:val="en-US"/>
              </w:rPr>
            </w:pPr>
            <w:r>
              <w:rPr>
                <w:sz w:val="16"/>
                <w:lang w:val="en-US"/>
              </w:rPr>
              <w:t>80 529</w:t>
            </w:r>
          </w:p>
        </w:tc>
        <w:tc>
          <w:tcPr>
            <w:tcW w:w="848" w:type="dxa"/>
            <w:gridSpan w:val="2"/>
            <w:noWrap/>
            <w:vAlign w:val="bottom"/>
          </w:tcPr>
          <w:p w:rsidR="00000000" w:rsidRDefault="00000000">
            <w:pPr>
              <w:spacing w:before="20" w:after="20" w:line="240" w:lineRule="auto"/>
              <w:jc w:val="right"/>
              <w:rPr>
                <w:sz w:val="16"/>
                <w:lang w:val="en-US"/>
              </w:rPr>
            </w:pPr>
            <w:r>
              <w:rPr>
                <w:sz w:val="16"/>
                <w:lang w:val="en-US"/>
              </w:rPr>
              <w:t>151 323</w:t>
            </w:r>
          </w:p>
        </w:tc>
        <w:tc>
          <w:tcPr>
            <w:tcW w:w="848" w:type="dxa"/>
            <w:noWrap/>
            <w:vAlign w:val="bottom"/>
          </w:tcPr>
          <w:p w:rsidR="00000000" w:rsidRDefault="00000000">
            <w:pPr>
              <w:spacing w:before="20" w:after="20" w:line="240" w:lineRule="auto"/>
              <w:jc w:val="right"/>
              <w:rPr>
                <w:sz w:val="16"/>
                <w:lang w:val="en-US"/>
              </w:rPr>
            </w:pPr>
            <w:r>
              <w:rPr>
                <w:sz w:val="16"/>
                <w:lang w:val="en-US"/>
              </w:rPr>
              <w:t>112 297</w:t>
            </w:r>
          </w:p>
        </w:tc>
        <w:tc>
          <w:tcPr>
            <w:tcW w:w="848" w:type="dxa"/>
            <w:gridSpan w:val="2"/>
            <w:noWrap/>
            <w:vAlign w:val="bottom"/>
          </w:tcPr>
          <w:p w:rsidR="00000000" w:rsidRDefault="00000000">
            <w:pPr>
              <w:spacing w:before="20" w:after="20" w:line="240" w:lineRule="auto"/>
              <w:jc w:val="right"/>
              <w:rPr>
                <w:sz w:val="16"/>
                <w:lang w:val="en-US"/>
              </w:rPr>
            </w:pPr>
            <w:r>
              <w:rPr>
                <w:sz w:val="16"/>
                <w:lang w:val="en-US"/>
              </w:rPr>
              <w:t>40 578</w:t>
            </w:r>
          </w:p>
        </w:tc>
        <w:tc>
          <w:tcPr>
            <w:tcW w:w="848" w:type="dxa"/>
            <w:gridSpan w:val="2"/>
            <w:noWrap/>
            <w:vAlign w:val="bottom"/>
          </w:tcPr>
          <w:p w:rsidR="00000000" w:rsidRDefault="00000000">
            <w:pPr>
              <w:spacing w:before="20" w:after="20" w:line="240" w:lineRule="auto"/>
              <w:jc w:val="right"/>
              <w:rPr>
                <w:sz w:val="16"/>
                <w:lang w:val="en-US"/>
              </w:rPr>
            </w:pPr>
            <w:r>
              <w:rPr>
                <w:sz w:val="16"/>
                <w:lang w:val="en-US"/>
              </w:rPr>
              <w:t>71 719</w:t>
            </w:r>
          </w:p>
        </w:tc>
        <w:tc>
          <w:tcPr>
            <w:tcW w:w="837" w:type="dxa"/>
            <w:noWrap/>
            <w:vAlign w:val="bottom"/>
          </w:tcPr>
          <w:p w:rsidR="00000000" w:rsidRDefault="00000000">
            <w:pPr>
              <w:spacing w:before="20" w:after="20" w:line="240" w:lineRule="auto"/>
              <w:jc w:val="right"/>
              <w:rPr>
                <w:sz w:val="16"/>
                <w:lang w:val="en-US"/>
              </w:rPr>
            </w:pPr>
            <w:r>
              <w:rPr>
                <w:sz w:val="16"/>
                <w:lang w:val="en-US"/>
              </w:rPr>
              <w:t>108 132</w:t>
            </w:r>
          </w:p>
        </w:tc>
        <w:tc>
          <w:tcPr>
            <w:tcW w:w="837" w:type="dxa"/>
            <w:gridSpan w:val="2"/>
            <w:noWrap/>
            <w:vAlign w:val="bottom"/>
          </w:tcPr>
          <w:p w:rsidR="00000000" w:rsidRDefault="00000000">
            <w:pPr>
              <w:spacing w:before="20" w:after="20" w:line="240" w:lineRule="auto"/>
              <w:jc w:val="right"/>
              <w:rPr>
                <w:sz w:val="16"/>
                <w:lang w:val="en-US"/>
              </w:rPr>
            </w:pPr>
            <w:r>
              <w:rPr>
                <w:sz w:val="16"/>
                <w:lang w:val="en-US"/>
              </w:rPr>
              <w:t>42 011</w:t>
            </w:r>
          </w:p>
        </w:tc>
        <w:tc>
          <w:tcPr>
            <w:tcW w:w="844" w:type="dxa"/>
            <w:noWrap/>
            <w:vAlign w:val="bottom"/>
          </w:tcPr>
          <w:p w:rsidR="00000000" w:rsidRDefault="00000000">
            <w:pPr>
              <w:spacing w:before="20" w:after="20" w:line="240" w:lineRule="auto"/>
              <w:jc w:val="right"/>
              <w:rPr>
                <w:sz w:val="16"/>
                <w:lang w:val="en-US"/>
              </w:rPr>
            </w:pPr>
            <w:r>
              <w:rPr>
                <w:sz w:val="16"/>
                <w:lang w:val="en-US"/>
              </w:rPr>
              <w:t>66 121</w:t>
            </w:r>
          </w:p>
        </w:tc>
      </w:tr>
      <w:tr w:rsidR="00000000">
        <w:trPr>
          <w:cantSplit/>
        </w:trPr>
        <w:tc>
          <w:tcPr>
            <w:tcW w:w="3380" w:type="dxa"/>
            <w:noWrap/>
            <w:vAlign w:val="bottom"/>
          </w:tcPr>
          <w:p w:rsidR="00000000" w:rsidRDefault="00000000">
            <w:pPr>
              <w:spacing w:before="20" w:after="20" w:line="240" w:lineRule="auto"/>
              <w:rPr>
                <w:sz w:val="16"/>
              </w:rPr>
            </w:pPr>
            <w:r>
              <w:rPr>
                <w:sz w:val="16"/>
              </w:rPr>
              <w:t>Неполностью занятое население</w:t>
            </w:r>
          </w:p>
        </w:tc>
        <w:tc>
          <w:tcPr>
            <w:tcW w:w="838" w:type="dxa"/>
            <w:noWrap/>
            <w:vAlign w:val="bottom"/>
          </w:tcPr>
          <w:p w:rsidR="00000000" w:rsidRDefault="00000000">
            <w:pPr>
              <w:spacing w:before="20" w:after="20" w:line="240" w:lineRule="auto"/>
              <w:jc w:val="right"/>
              <w:rPr>
                <w:sz w:val="16"/>
              </w:rPr>
            </w:pPr>
            <w:r>
              <w:rPr>
                <w:sz w:val="16"/>
              </w:rPr>
              <w:t>388 639</w:t>
            </w:r>
          </w:p>
        </w:tc>
        <w:tc>
          <w:tcPr>
            <w:tcW w:w="835" w:type="dxa"/>
            <w:gridSpan w:val="2"/>
            <w:noWrap/>
            <w:vAlign w:val="bottom"/>
          </w:tcPr>
          <w:p w:rsidR="00000000" w:rsidRDefault="00000000">
            <w:pPr>
              <w:spacing w:before="20" w:after="20" w:line="240" w:lineRule="auto"/>
              <w:jc w:val="right"/>
              <w:rPr>
                <w:sz w:val="16"/>
              </w:rPr>
            </w:pPr>
            <w:r>
              <w:rPr>
                <w:sz w:val="16"/>
              </w:rPr>
              <w:t>209 084</w:t>
            </w:r>
          </w:p>
        </w:tc>
        <w:tc>
          <w:tcPr>
            <w:tcW w:w="836" w:type="dxa"/>
            <w:noWrap/>
            <w:vAlign w:val="bottom"/>
          </w:tcPr>
          <w:p w:rsidR="00000000" w:rsidRDefault="00000000">
            <w:pPr>
              <w:spacing w:before="20" w:after="20" w:line="240" w:lineRule="auto"/>
              <w:jc w:val="right"/>
              <w:rPr>
                <w:sz w:val="16"/>
              </w:rPr>
            </w:pPr>
            <w:r>
              <w:rPr>
                <w:sz w:val="16"/>
              </w:rPr>
              <w:t>179 555</w:t>
            </w:r>
          </w:p>
        </w:tc>
        <w:tc>
          <w:tcPr>
            <w:tcW w:w="848" w:type="dxa"/>
            <w:noWrap/>
            <w:vAlign w:val="bottom"/>
          </w:tcPr>
          <w:p w:rsidR="00000000" w:rsidRDefault="00000000">
            <w:pPr>
              <w:spacing w:before="20" w:after="20" w:line="240" w:lineRule="auto"/>
              <w:jc w:val="right"/>
              <w:rPr>
                <w:sz w:val="16"/>
              </w:rPr>
            </w:pPr>
            <w:r>
              <w:rPr>
                <w:sz w:val="16"/>
              </w:rPr>
              <w:t>377 500</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201 950</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175 551</w:t>
            </w:r>
          </w:p>
        </w:tc>
        <w:tc>
          <w:tcPr>
            <w:tcW w:w="848" w:type="dxa"/>
            <w:noWrap/>
            <w:vAlign w:val="bottom"/>
          </w:tcPr>
          <w:p w:rsidR="00000000" w:rsidRDefault="00000000">
            <w:pPr>
              <w:spacing w:before="20" w:after="20" w:line="240" w:lineRule="auto"/>
              <w:jc w:val="right"/>
              <w:rPr>
                <w:sz w:val="16"/>
                <w:lang w:val="fr-FR"/>
              </w:rPr>
            </w:pPr>
            <w:r>
              <w:rPr>
                <w:sz w:val="16"/>
                <w:lang w:val="fr-FR"/>
              </w:rPr>
              <w:t>667 735</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362 174</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305 561</w:t>
            </w:r>
          </w:p>
        </w:tc>
        <w:tc>
          <w:tcPr>
            <w:tcW w:w="837" w:type="dxa"/>
            <w:noWrap/>
            <w:vAlign w:val="bottom"/>
          </w:tcPr>
          <w:p w:rsidR="00000000" w:rsidRDefault="00000000">
            <w:pPr>
              <w:spacing w:before="20" w:after="20" w:line="240" w:lineRule="auto"/>
              <w:jc w:val="right"/>
              <w:rPr>
                <w:sz w:val="16"/>
                <w:lang w:val="fr-FR"/>
              </w:rPr>
            </w:pPr>
            <w:r>
              <w:rPr>
                <w:sz w:val="16"/>
                <w:lang w:val="fr-FR"/>
              </w:rPr>
              <w:t>698 492</w:t>
            </w:r>
          </w:p>
        </w:tc>
        <w:tc>
          <w:tcPr>
            <w:tcW w:w="837" w:type="dxa"/>
            <w:gridSpan w:val="2"/>
            <w:noWrap/>
            <w:vAlign w:val="bottom"/>
          </w:tcPr>
          <w:p w:rsidR="00000000" w:rsidRDefault="00000000">
            <w:pPr>
              <w:spacing w:before="20" w:after="20" w:line="240" w:lineRule="auto"/>
              <w:jc w:val="right"/>
              <w:rPr>
                <w:sz w:val="16"/>
                <w:lang w:val="fr-FR"/>
              </w:rPr>
            </w:pPr>
            <w:r>
              <w:rPr>
                <w:sz w:val="16"/>
                <w:lang w:val="fr-FR"/>
              </w:rPr>
              <w:t>372 649</w:t>
            </w:r>
          </w:p>
        </w:tc>
        <w:tc>
          <w:tcPr>
            <w:tcW w:w="844" w:type="dxa"/>
            <w:noWrap/>
            <w:vAlign w:val="bottom"/>
          </w:tcPr>
          <w:p w:rsidR="00000000" w:rsidRDefault="00000000">
            <w:pPr>
              <w:spacing w:before="20" w:after="20" w:line="240" w:lineRule="auto"/>
              <w:jc w:val="right"/>
              <w:rPr>
                <w:sz w:val="16"/>
                <w:lang w:val="fr-FR"/>
              </w:rPr>
            </w:pPr>
            <w:r>
              <w:rPr>
                <w:sz w:val="16"/>
                <w:lang w:val="fr-FR"/>
              </w:rPr>
              <w:t>325 843</w:t>
            </w:r>
          </w:p>
        </w:tc>
      </w:tr>
      <w:tr w:rsidR="00000000">
        <w:trPr>
          <w:cantSplit/>
        </w:trPr>
        <w:tc>
          <w:tcPr>
            <w:tcW w:w="3380" w:type="dxa"/>
            <w:noWrap/>
            <w:vAlign w:val="bottom"/>
          </w:tcPr>
          <w:p w:rsidR="00000000" w:rsidRDefault="00000000">
            <w:pPr>
              <w:spacing w:before="20" w:after="20" w:line="240" w:lineRule="auto"/>
              <w:rPr>
                <w:sz w:val="16"/>
              </w:rPr>
            </w:pPr>
            <w:r>
              <w:rPr>
                <w:sz w:val="16"/>
              </w:rPr>
              <w:t>Видимая неполная занятость</w:t>
            </w:r>
          </w:p>
        </w:tc>
        <w:tc>
          <w:tcPr>
            <w:tcW w:w="838" w:type="dxa"/>
            <w:noWrap/>
            <w:vAlign w:val="bottom"/>
          </w:tcPr>
          <w:p w:rsidR="00000000" w:rsidRDefault="00000000">
            <w:pPr>
              <w:spacing w:before="20" w:after="20" w:line="240" w:lineRule="auto"/>
              <w:jc w:val="right"/>
              <w:rPr>
                <w:sz w:val="16"/>
              </w:rPr>
            </w:pPr>
            <w:r>
              <w:rPr>
                <w:sz w:val="16"/>
              </w:rPr>
              <w:t>141 582</w:t>
            </w:r>
          </w:p>
        </w:tc>
        <w:tc>
          <w:tcPr>
            <w:tcW w:w="835" w:type="dxa"/>
            <w:gridSpan w:val="2"/>
            <w:noWrap/>
            <w:vAlign w:val="bottom"/>
          </w:tcPr>
          <w:p w:rsidR="00000000" w:rsidRDefault="00000000">
            <w:pPr>
              <w:spacing w:before="20" w:after="20" w:line="240" w:lineRule="auto"/>
              <w:jc w:val="right"/>
              <w:rPr>
                <w:sz w:val="16"/>
              </w:rPr>
            </w:pPr>
            <w:r>
              <w:rPr>
                <w:sz w:val="16"/>
              </w:rPr>
              <w:t>60 712</w:t>
            </w:r>
          </w:p>
        </w:tc>
        <w:tc>
          <w:tcPr>
            <w:tcW w:w="836" w:type="dxa"/>
            <w:noWrap/>
            <w:vAlign w:val="bottom"/>
          </w:tcPr>
          <w:p w:rsidR="00000000" w:rsidRDefault="00000000">
            <w:pPr>
              <w:spacing w:before="20" w:after="20" w:line="240" w:lineRule="auto"/>
              <w:jc w:val="right"/>
              <w:rPr>
                <w:sz w:val="16"/>
              </w:rPr>
            </w:pPr>
            <w:r>
              <w:rPr>
                <w:sz w:val="16"/>
              </w:rPr>
              <w:t>80 870</w:t>
            </w:r>
          </w:p>
        </w:tc>
        <w:tc>
          <w:tcPr>
            <w:tcW w:w="848" w:type="dxa"/>
            <w:noWrap/>
            <w:vAlign w:val="bottom"/>
          </w:tcPr>
          <w:p w:rsidR="00000000" w:rsidRDefault="00000000">
            <w:pPr>
              <w:spacing w:before="20" w:after="20" w:line="240" w:lineRule="auto"/>
              <w:jc w:val="right"/>
              <w:rPr>
                <w:sz w:val="16"/>
              </w:rPr>
            </w:pPr>
            <w:r>
              <w:rPr>
                <w:sz w:val="16"/>
              </w:rPr>
              <w:t>130 549</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50 640</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79 909</w:t>
            </w:r>
          </w:p>
        </w:tc>
        <w:tc>
          <w:tcPr>
            <w:tcW w:w="848" w:type="dxa"/>
            <w:noWrap/>
            <w:vAlign w:val="bottom"/>
          </w:tcPr>
          <w:p w:rsidR="00000000" w:rsidRDefault="00000000">
            <w:pPr>
              <w:spacing w:before="20" w:after="20" w:line="240" w:lineRule="auto"/>
              <w:jc w:val="right"/>
              <w:rPr>
                <w:sz w:val="16"/>
                <w:lang w:val="fr-FR"/>
              </w:rPr>
            </w:pPr>
            <w:r>
              <w:rPr>
                <w:sz w:val="16"/>
                <w:lang w:val="fr-FR"/>
              </w:rPr>
              <w:t>223 010</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96 493</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126 517</w:t>
            </w:r>
          </w:p>
        </w:tc>
        <w:tc>
          <w:tcPr>
            <w:tcW w:w="837" w:type="dxa"/>
            <w:noWrap/>
            <w:vAlign w:val="bottom"/>
          </w:tcPr>
          <w:p w:rsidR="00000000" w:rsidRDefault="00000000">
            <w:pPr>
              <w:spacing w:before="20" w:after="20" w:line="240" w:lineRule="auto"/>
              <w:jc w:val="right"/>
              <w:rPr>
                <w:sz w:val="16"/>
                <w:lang w:val="fr-FR"/>
              </w:rPr>
            </w:pPr>
            <w:r>
              <w:rPr>
                <w:sz w:val="16"/>
                <w:lang w:val="fr-FR"/>
              </w:rPr>
              <w:t>187 029</w:t>
            </w:r>
          </w:p>
        </w:tc>
        <w:tc>
          <w:tcPr>
            <w:tcW w:w="837" w:type="dxa"/>
            <w:gridSpan w:val="2"/>
            <w:noWrap/>
            <w:vAlign w:val="bottom"/>
          </w:tcPr>
          <w:p w:rsidR="00000000" w:rsidRDefault="00000000">
            <w:pPr>
              <w:spacing w:before="20" w:after="20" w:line="240" w:lineRule="auto"/>
              <w:jc w:val="right"/>
              <w:rPr>
                <w:sz w:val="16"/>
                <w:lang w:val="fr-FR"/>
              </w:rPr>
            </w:pPr>
            <w:r>
              <w:rPr>
                <w:sz w:val="16"/>
                <w:lang w:val="fr-FR"/>
              </w:rPr>
              <w:t>72 851</w:t>
            </w:r>
          </w:p>
        </w:tc>
        <w:tc>
          <w:tcPr>
            <w:tcW w:w="844" w:type="dxa"/>
            <w:noWrap/>
            <w:vAlign w:val="bottom"/>
          </w:tcPr>
          <w:p w:rsidR="00000000" w:rsidRDefault="00000000">
            <w:pPr>
              <w:spacing w:before="20" w:after="20" w:line="240" w:lineRule="auto"/>
              <w:jc w:val="right"/>
              <w:rPr>
                <w:sz w:val="16"/>
                <w:lang w:val="fr-FR"/>
              </w:rPr>
            </w:pPr>
            <w:r>
              <w:rPr>
                <w:sz w:val="16"/>
                <w:lang w:val="fr-FR"/>
              </w:rPr>
              <w:t>114 178</w:t>
            </w:r>
          </w:p>
        </w:tc>
      </w:tr>
      <w:tr w:rsidR="00000000">
        <w:trPr>
          <w:cantSplit/>
        </w:trPr>
        <w:tc>
          <w:tcPr>
            <w:tcW w:w="3380" w:type="dxa"/>
            <w:noWrap/>
            <w:vAlign w:val="bottom"/>
          </w:tcPr>
          <w:p w:rsidR="00000000" w:rsidRDefault="00000000">
            <w:pPr>
              <w:spacing w:before="20" w:after="20" w:line="240" w:lineRule="auto"/>
              <w:rPr>
                <w:sz w:val="16"/>
              </w:rPr>
            </w:pPr>
            <w:r>
              <w:rPr>
                <w:sz w:val="16"/>
              </w:rPr>
              <w:t>Невидимая неполная занятость</w:t>
            </w:r>
          </w:p>
        </w:tc>
        <w:tc>
          <w:tcPr>
            <w:tcW w:w="838" w:type="dxa"/>
            <w:noWrap/>
            <w:vAlign w:val="bottom"/>
          </w:tcPr>
          <w:p w:rsidR="00000000" w:rsidRDefault="00000000">
            <w:pPr>
              <w:spacing w:before="20" w:after="20" w:line="240" w:lineRule="auto"/>
              <w:jc w:val="right"/>
              <w:rPr>
                <w:sz w:val="16"/>
              </w:rPr>
            </w:pPr>
            <w:r>
              <w:rPr>
                <w:sz w:val="16"/>
              </w:rPr>
              <w:t>247 057</w:t>
            </w:r>
          </w:p>
        </w:tc>
        <w:tc>
          <w:tcPr>
            <w:tcW w:w="835" w:type="dxa"/>
            <w:gridSpan w:val="2"/>
            <w:noWrap/>
            <w:vAlign w:val="bottom"/>
          </w:tcPr>
          <w:p w:rsidR="00000000" w:rsidRDefault="00000000">
            <w:pPr>
              <w:spacing w:before="20" w:after="20" w:line="240" w:lineRule="auto"/>
              <w:jc w:val="right"/>
              <w:rPr>
                <w:sz w:val="16"/>
              </w:rPr>
            </w:pPr>
            <w:r>
              <w:rPr>
                <w:sz w:val="16"/>
              </w:rPr>
              <w:t>148 372</w:t>
            </w:r>
          </w:p>
        </w:tc>
        <w:tc>
          <w:tcPr>
            <w:tcW w:w="836" w:type="dxa"/>
            <w:noWrap/>
            <w:vAlign w:val="bottom"/>
          </w:tcPr>
          <w:p w:rsidR="00000000" w:rsidRDefault="00000000">
            <w:pPr>
              <w:spacing w:before="20" w:after="20" w:line="240" w:lineRule="auto"/>
              <w:jc w:val="right"/>
              <w:rPr>
                <w:sz w:val="16"/>
              </w:rPr>
            </w:pPr>
            <w:r>
              <w:rPr>
                <w:sz w:val="16"/>
              </w:rPr>
              <w:t>98 685</w:t>
            </w:r>
          </w:p>
        </w:tc>
        <w:tc>
          <w:tcPr>
            <w:tcW w:w="848" w:type="dxa"/>
            <w:noWrap/>
            <w:vAlign w:val="bottom"/>
          </w:tcPr>
          <w:p w:rsidR="00000000" w:rsidRDefault="00000000">
            <w:pPr>
              <w:spacing w:before="20" w:after="20" w:line="240" w:lineRule="auto"/>
              <w:jc w:val="right"/>
              <w:rPr>
                <w:sz w:val="16"/>
              </w:rPr>
            </w:pPr>
            <w:r>
              <w:rPr>
                <w:sz w:val="16"/>
              </w:rPr>
              <w:t>246 951</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151 309</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95 642</w:t>
            </w:r>
          </w:p>
        </w:tc>
        <w:tc>
          <w:tcPr>
            <w:tcW w:w="848" w:type="dxa"/>
            <w:noWrap/>
            <w:vAlign w:val="bottom"/>
          </w:tcPr>
          <w:p w:rsidR="00000000" w:rsidRDefault="00000000">
            <w:pPr>
              <w:spacing w:before="20" w:after="20" w:line="240" w:lineRule="auto"/>
              <w:jc w:val="right"/>
              <w:rPr>
                <w:sz w:val="16"/>
                <w:lang w:val="fr-FR"/>
              </w:rPr>
            </w:pPr>
            <w:r>
              <w:rPr>
                <w:sz w:val="16"/>
                <w:lang w:val="fr-FR"/>
              </w:rPr>
              <w:t>444 725</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265 681</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179 044</w:t>
            </w:r>
          </w:p>
        </w:tc>
        <w:tc>
          <w:tcPr>
            <w:tcW w:w="837" w:type="dxa"/>
            <w:noWrap/>
            <w:vAlign w:val="bottom"/>
          </w:tcPr>
          <w:p w:rsidR="00000000" w:rsidRDefault="00000000">
            <w:pPr>
              <w:spacing w:before="20" w:after="20" w:line="240" w:lineRule="auto"/>
              <w:jc w:val="right"/>
              <w:rPr>
                <w:sz w:val="16"/>
                <w:lang w:val="fr-FR"/>
              </w:rPr>
            </w:pPr>
            <w:r>
              <w:rPr>
                <w:sz w:val="16"/>
                <w:lang w:val="fr-FR"/>
              </w:rPr>
              <w:t>511 463</w:t>
            </w:r>
          </w:p>
        </w:tc>
        <w:tc>
          <w:tcPr>
            <w:tcW w:w="837" w:type="dxa"/>
            <w:gridSpan w:val="2"/>
            <w:noWrap/>
            <w:vAlign w:val="bottom"/>
          </w:tcPr>
          <w:p w:rsidR="00000000" w:rsidRDefault="00000000">
            <w:pPr>
              <w:spacing w:before="20" w:after="20" w:line="240" w:lineRule="auto"/>
              <w:jc w:val="right"/>
              <w:rPr>
                <w:sz w:val="16"/>
                <w:lang w:val="fr-FR"/>
              </w:rPr>
            </w:pPr>
            <w:r>
              <w:rPr>
                <w:sz w:val="16"/>
                <w:lang w:val="fr-FR"/>
              </w:rPr>
              <w:t>299 798</w:t>
            </w:r>
          </w:p>
        </w:tc>
        <w:tc>
          <w:tcPr>
            <w:tcW w:w="844" w:type="dxa"/>
            <w:noWrap/>
            <w:vAlign w:val="bottom"/>
          </w:tcPr>
          <w:p w:rsidR="00000000" w:rsidRDefault="00000000">
            <w:pPr>
              <w:spacing w:before="20" w:after="20" w:line="240" w:lineRule="auto"/>
              <w:jc w:val="right"/>
              <w:rPr>
                <w:sz w:val="16"/>
                <w:lang w:val="fr-FR"/>
              </w:rPr>
            </w:pPr>
            <w:r>
              <w:rPr>
                <w:sz w:val="16"/>
                <w:lang w:val="fr-FR"/>
              </w:rPr>
              <w:t>211 665</w:t>
            </w:r>
          </w:p>
        </w:tc>
      </w:tr>
      <w:tr w:rsidR="00000000">
        <w:trPr>
          <w:cantSplit/>
        </w:trPr>
        <w:tc>
          <w:tcPr>
            <w:tcW w:w="3380" w:type="dxa"/>
            <w:noWrap/>
            <w:vAlign w:val="bottom"/>
          </w:tcPr>
          <w:p w:rsidR="00000000" w:rsidRDefault="00000000">
            <w:pPr>
              <w:spacing w:before="20" w:after="20" w:line="240" w:lineRule="auto"/>
              <w:rPr>
                <w:b/>
                <w:bCs/>
                <w:sz w:val="16"/>
              </w:rPr>
            </w:pPr>
            <w:r>
              <w:rPr>
                <w:b/>
                <w:bCs/>
                <w:sz w:val="16"/>
              </w:rPr>
              <w:t>Общая численность населения</w:t>
            </w:r>
          </w:p>
        </w:tc>
        <w:tc>
          <w:tcPr>
            <w:tcW w:w="838" w:type="dxa"/>
            <w:noWrap/>
            <w:vAlign w:val="bottom"/>
          </w:tcPr>
          <w:p w:rsidR="00000000" w:rsidRDefault="00000000">
            <w:pPr>
              <w:spacing w:before="20" w:after="20" w:line="240" w:lineRule="auto"/>
              <w:jc w:val="right"/>
              <w:rPr>
                <w:b/>
                <w:bCs/>
                <w:sz w:val="16"/>
              </w:rPr>
            </w:pPr>
            <w:r>
              <w:rPr>
                <w:b/>
                <w:bCs/>
                <w:sz w:val="16"/>
              </w:rPr>
              <w:t>4 707 341</w:t>
            </w:r>
          </w:p>
        </w:tc>
        <w:tc>
          <w:tcPr>
            <w:tcW w:w="835" w:type="dxa"/>
            <w:gridSpan w:val="2"/>
            <w:noWrap/>
            <w:vAlign w:val="bottom"/>
          </w:tcPr>
          <w:p w:rsidR="00000000" w:rsidRDefault="00000000">
            <w:pPr>
              <w:spacing w:before="20" w:after="20" w:line="240" w:lineRule="auto"/>
              <w:jc w:val="right"/>
              <w:rPr>
                <w:b/>
                <w:bCs/>
                <w:sz w:val="16"/>
              </w:rPr>
            </w:pPr>
            <w:r>
              <w:rPr>
                <w:b/>
                <w:bCs/>
                <w:sz w:val="16"/>
              </w:rPr>
              <w:t>2 354 873</w:t>
            </w:r>
          </w:p>
        </w:tc>
        <w:tc>
          <w:tcPr>
            <w:tcW w:w="836" w:type="dxa"/>
            <w:noWrap/>
            <w:vAlign w:val="bottom"/>
          </w:tcPr>
          <w:p w:rsidR="00000000" w:rsidRDefault="00000000">
            <w:pPr>
              <w:spacing w:before="20" w:after="20" w:line="240" w:lineRule="auto"/>
              <w:jc w:val="right"/>
              <w:rPr>
                <w:b/>
                <w:bCs/>
                <w:sz w:val="16"/>
              </w:rPr>
            </w:pPr>
            <w:r>
              <w:rPr>
                <w:b/>
                <w:bCs/>
                <w:sz w:val="16"/>
              </w:rPr>
              <w:t>2 352 468</w:t>
            </w:r>
          </w:p>
        </w:tc>
        <w:tc>
          <w:tcPr>
            <w:tcW w:w="848" w:type="dxa"/>
            <w:noWrap/>
            <w:vAlign w:val="bottom"/>
          </w:tcPr>
          <w:p w:rsidR="00000000" w:rsidRDefault="00000000">
            <w:pPr>
              <w:spacing w:before="20" w:after="20" w:line="240" w:lineRule="auto"/>
              <w:jc w:val="right"/>
              <w:rPr>
                <w:b/>
                <w:bCs/>
                <w:sz w:val="16"/>
              </w:rPr>
            </w:pPr>
            <w:r>
              <w:rPr>
                <w:b/>
                <w:bCs/>
                <w:sz w:val="16"/>
              </w:rPr>
              <w:t>5 132 678</w:t>
            </w:r>
          </w:p>
        </w:tc>
        <w:tc>
          <w:tcPr>
            <w:tcW w:w="848" w:type="dxa"/>
            <w:gridSpan w:val="2"/>
            <w:noWrap/>
            <w:vAlign w:val="bottom"/>
          </w:tcPr>
          <w:p w:rsidR="00000000" w:rsidRDefault="00000000">
            <w:pPr>
              <w:spacing w:before="20" w:after="20" w:line="240" w:lineRule="auto"/>
              <w:jc w:val="right"/>
              <w:rPr>
                <w:b/>
                <w:bCs/>
                <w:sz w:val="16"/>
                <w:lang w:val="fr-FR"/>
              </w:rPr>
            </w:pPr>
            <w:r>
              <w:rPr>
                <w:b/>
                <w:bCs/>
                <w:sz w:val="16"/>
                <w:lang w:val="fr-FR"/>
              </w:rPr>
              <w:t>2 526 387</w:t>
            </w:r>
          </w:p>
        </w:tc>
        <w:tc>
          <w:tcPr>
            <w:tcW w:w="848" w:type="dxa"/>
            <w:gridSpan w:val="2"/>
            <w:noWrap/>
            <w:vAlign w:val="bottom"/>
          </w:tcPr>
          <w:p w:rsidR="00000000" w:rsidRDefault="00000000">
            <w:pPr>
              <w:spacing w:before="20" w:after="20" w:line="240" w:lineRule="auto"/>
              <w:jc w:val="right"/>
              <w:rPr>
                <w:b/>
                <w:bCs/>
                <w:sz w:val="16"/>
                <w:lang w:val="fr-FR"/>
              </w:rPr>
            </w:pPr>
            <w:r>
              <w:rPr>
                <w:b/>
                <w:bCs/>
                <w:sz w:val="16"/>
                <w:lang w:val="fr-FR"/>
              </w:rPr>
              <w:t>2 606 291</w:t>
            </w:r>
          </w:p>
        </w:tc>
        <w:tc>
          <w:tcPr>
            <w:tcW w:w="848" w:type="dxa"/>
            <w:noWrap/>
            <w:vAlign w:val="bottom"/>
          </w:tcPr>
          <w:p w:rsidR="00000000" w:rsidRDefault="00000000">
            <w:pPr>
              <w:spacing w:before="20" w:after="20" w:line="240" w:lineRule="auto"/>
              <w:jc w:val="right"/>
              <w:rPr>
                <w:b/>
                <w:bCs/>
                <w:sz w:val="16"/>
                <w:lang w:val="fr-FR"/>
              </w:rPr>
            </w:pPr>
            <w:r>
              <w:rPr>
                <w:b/>
                <w:bCs/>
                <w:sz w:val="16"/>
                <w:lang w:val="fr-FR"/>
              </w:rPr>
              <w:t>5 701 675</w:t>
            </w:r>
          </w:p>
        </w:tc>
        <w:tc>
          <w:tcPr>
            <w:tcW w:w="848" w:type="dxa"/>
            <w:gridSpan w:val="2"/>
            <w:noWrap/>
            <w:vAlign w:val="bottom"/>
          </w:tcPr>
          <w:p w:rsidR="00000000" w:rsidRDefault="00000000">
            <w:pPr>
              <w:spacing w:before="20" w:after="20" w:line="240" w:lineRule="auto"/>
              <w:jc w:val="right"/>
              <w:rPr>
                <w:b/>
                <w:bCs/>
                <w:sz w:val="16"/>
                <w:lang w:val="fr-FR"/>
              </w:rPr>
            </w:pPr>
            <w:r>
              <w:rPr>
                <w:b/>
                <w:bCs/>
                <w:sz w:val="16"/>
                <w:lang w:val="fr-FR"/>
              </w:rPr>
              <w:t>2 859 583</w:t>
            </w:r>
          </w:p>
        </w:tc>
        <w:tc>
          <w:tcPr>
            <w:tcW w:w="848" w:type="dxa"/>
            <w:gridSpan w:val="2"/>
            <w:noWrap/>
            <w:vAlign w:val="bottom"/>
          </w:tcPr>
          <w:p w:rsidR="00000000" w:rsidRDefault="00000000">
            <w:pPr>
              <w:spacing w:before="20" w:after="20" w:line="240" w:lineRule="auto"/>
              <w:jc w:val="right"/>
              <w:rPr>
                <w:b/>
                <w:bCs/>
                <w:sz w:val="16"/>
                <w:lang w:val="fr-FR"/>
              </w:rPr>
            </w:pPr>
            <w:r>
              <w:rPr>
                <w:b/>
                <w:bCs/>
                <w:sz w:val="16"/>
                <w:lang w:val="fr-FR"/>
              </w:rPr>
              <w:t>2 842 092</w:t>
            </w:r>
          </w:p>
        </w:tc>
        <w:tc>
          <w:tcPr>
            <w:tcW w:w="837" w:type="dxa"/>
            <w:noWrap/>
            <w:vAlign w:val="bottom"/>
          </w:tcPr>
          <w:p w:rsidR="00000000" w:rsidRDefault="00000000">
            <w:pPr>
              <w:spacing w:before="20" w:after="20" w:line="240" w:lineRule="auto"/>
              <w:jc w:val="right"/>
              <w:rPr>
                <w:b/>
                <w:bCs/>
                <w:sz w:val="16"/>
                <w:lang w:val="fr-FR"/>
              </w:rPr>
            </w:pPr>
            <w:r>
              <w:rPr>
                <w:b/>
                <w:bCs/>
                <w:sz w:val="16"/>
                <w:lang w:val="fr-FR"/>
              </w:rPr>
              <w:t>5 837 253</w:t>
            </w:r>
          </w:p>
        </w:tc>
        <w:tc>
          <w:tcPr>
            <w:tcW w:w="837" w:type="dxa"/>
            <w:gridSpan w:val="2"/>
            <w:noWrap/>
            <w:vAlign w:val="bottom"/>
          </w:tcPr>
          <w:p w:rsidR="00000000" w:rsidRDefault="00000000">
            <w:pPr>
              <w:spacing w:before="20" w:after="20" w:line="240" w:lineRule="auto"/>
              <w:jc w:val="right"/>
              <w:rPr>
                <w:b/>
                <w:bCs/>
                <w:sz w:val="16"/>
                <w:lang w:val="fr-FR"/>
              </w:rPr>
            </w:pPr>
            <w:r>
              <w:rPr>
                <w:b/>
                <w:bCs/>
                <w:sz w:val="16"/>
                <w:lang w:val="fr-FR"/>
              </w:rPr>
              <w:t>2 916 060</w:t>
            </w:r>
          </w:p>
        </w:tc>
        <w:tc>
          <w:tcPr>
            <w:tcW w:w="844" w:type="dxa"/>
            <w:noWrap/>
            <w:vAlign w:val="bottom"/>
          </w:tcPr>
          <w:p w:rsidR="00000000" w:rsidRDefault="00000000">
            <w:pPr>
              <w:spacing w:before="20" w:after="20" w:line="240" w:lineRule="auto"/>
              <w:jc w:val="right"/>
              <w:rPr>
                <w:b/>
                <w:bCs/>
                <w:sz w:val="16"/>
                <w:lang w:val="fr-FR"/>
              </w:rPr>
            </w:pPr>
            <w:r>
              <w:rPr>
                <w:b/>
                <w:bCs/>
                <w:sz w:val="16"/>
                <w:lang w:val="fr-FR"/>
              </w:rPr>
              <w:t>2 921 193</w:t>
            </w:r>
          </w:p>
        </w:tc>
      </w:tr>
      <w:tr w:rsidR="00000000">
        <w:trPr>
          <w:cantSplit/>
        </w:trPr>
        <w:tc>
          <w:tcPr>
            <w:tcW w:w="3380" w:type="dxa"/>
            <w:noWrap/>
            <w:vAlign w:val="bottom"/>
          </w:tcPr>
          <w:p w:rsidR="00000000" w:rsidRDefault="00000000">
            <w:pPr>
              <w:spacing w:before="20" w:after="20" w:line="240" w:lineRule="auto"/>
              <w:rPr>
                <w:sz w:val="16"/>
              </w:rPr>
            </w:pPr>
            <w:r>
              <w:rPr>
                <w:sz w:val="16"/>
              </w:rPr>
              <w:t>Коэффициент активности</w:t>
            </w:r>
          </w:p>
        </w:tc>
        <w:tc>
          <w:tcPr>
            <w:tcW w:w="838" w:type="dxa"/>
            <w:noWrap/>
            <w:vAlign w:val="bottom"/>
          </w:tcPr>
          <w:p w:rsidR="00000000" w:rsidRDefault="00000000">
            <w:pPr>
              <w:spacing w:before="20" w:after="20" w:line="240" w:lineRule="auto"/>
              <w:jc w:val="right"/>
              <w:rPr>
                <w:sz w:val="16"/>
                <w:lang w:val="fr-FR"/>
              </w:rPr>
            </w:pPr>
            <w:r>
              <w:rPr>
                <w:sz w:val="16"/>
                <w:lang w:val="fr-FR"/>
              </w:rPr>
              <w:t>69,2</w:t>
            </w:r>
          </w:p>
        </w:tc>
        <w:tc>
          <w:tcPr>
            <w:tcW w:w="835" w:type="dxa"/>
            <w:gridSpan w:val="2"/>
            <w:noWrap/>
            <w:vAlign w:val="bottom"/>
          </w:tcPr>
          <w:p w:rsidR="00000000" w:rsidRDefault="00000000">
            <w:pPr>
              <w:spacing w:before="20" w:after="20" w:line="240" w:lineRule="auto"/>
              <w:jc w:val="right"/>
              <w:rPr>
                <w:sz w:val="16"/>
                <w:lang w:val="fr-FR"/>
              </w:rPr>
            </w:pPr>
            <w:r>
              <w:rPr>
                <w:sz w:val="16"/>
                <w:lang w:val="fr-FR"/>
              </w:rPr>
              <w:t>82,3</w:t>
            </w:r>
          </w:p>
        </w:tc>
        <w:tc>
          <w:tcPr>
            <w:tcW w:w="836" w:type="dxa"/>
            <w:noWrap/>
            <w:vAlign w:val="bottom"/>
          </w:tcPr>
          <w:p w:rsidR="00000000" w:rsidRDefault="00000000">
            <w:pPr>
              <w:spacing w:before="20" w:after="20" w:line="240" w:lineRule="auto"/>
              <w:jc w:val="right"/>
              <w:rPr>
                <w:sz w:val="16"/>
                <w:lang w:val="fr-FR"/>
              </w:rPr>
            </w:pPr>
            <w:r>
              <w:rPr>
                <w:sz w:val="16"/>
                <w:lang w:val="fr-FR"/>
              </w:rPr>
              <w:t>56,2</w:t>
            </w:r>
          </w:p>
        </w:tc>
        <w:tc>
          <w:tcPr>
            <w:tcW w:w="848" w:type="dxa"/>
            <w:noWrap/>
            <w:vAlign w:val="bottom"/>
          </w:tcPr>
          <w:p w:rsidR="00000000" w:rsidRDefault="00000000">
            <w:pPr>
              <w:spacing w:before="20" w:after="20" w:line="240" w:lineRule="auto"/>
              <w:jc w:val="right"/>
              <w:rPr>
                <w:sz w:val="16"/>
                <w:lang w:val="fr-FR"/>
              </w:rPr>
            </w:pPr>
            <w:r>
              <w:rPr>
                <w:sz w:val="16"/>
                <w:lang w:val="fr-FR"/>
              </w:rPr>
              <w:t>57,3</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73,9</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41,3</w:t>
            </w:r>
          </w:p>
        </w:tc>
        <w:tc>
          <w:tcPr>
            <w:tcW w:w="848" w:type="dxa"/>
            <w:noWrap/>
            <w:vAlign w:val="bottom"/>
          </w:tcPr>
          <w:p w:rsidR="00000000" w:rsidRDefault="00000000">
            <w:pPr>
              <w:spacing w:before="20" w:after="20" w:line="240" w:lineRule="auto"/>
              <w:jc w:val="right"/>
              <w:rPr>
                <w:sz w:val="16"/>
                <w:lang w:val="fr-FR"/>
              </w:rPr>
            </w:pPr>
            <w:r>
              <w:rPr>
                <w:sz w:val="16"/>
                <w:lang w:val="fr-FR"/>
              </w:rPr>
              <w:t>63,4</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76,6</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50,4</w:t>
            </w:r>
          </w:p>
        </w:tc>
        <w:tc>
          <w:tcPr>
            <w:tcW w:w="837" w:type="dxa"/>
            <w:noWrap/>
            <w:vAlign w:val="bottom"/>
          </w:tcPr>
          <w:p w:rsidR="00000000" w:rsidRDefault="00000000">
            <w:pPr>
              <w:spacing w:before="20" w:after="20" w:line="240" w:lineRule="auto"/>
              <w:jc w:val="right"/>
              <w:rPr>
                <w:sz w:val="16"/>
                <w:lang w:val="fr-FR"/>
              </w:rPr>
            </w:pPr>
            <w:r>
              <w:rPr>
                <w:sz w:val="16"/>
                <w:lang w:val="fr-FR"/>
              </w:rPr>
              <w:t>61,8</w:t>
            </w:r>
          </w:p>
        </w:tc>
        <w:tc>
          <w:tcPr>
            <w:tcW w:w="837" w:type="dxa"/>
            <w:gridSpan w:val="2"/>
            <w:noWrap/>
            <w:vAlign w:val="bottom"/>
          </w:tcPr>
          <w:p w:rsidR="00000000" w:rsidRDefault="00000000">
            <w:pPr>
              <w:spacing w:before="20" w:after="20" w:line="240" w:lineRule="auto"/>
              <w:jc w:val="right"/>
              <w:rPr>
                <w:sz w:val="16"/>
                <w:lang w:val="fr-FR"/>
              </w:rPr>
            </w:pPr>
            <w:r>
              <w:rPr>
                <w:sz w:val="16"/>
                <w:lang w:val="fr-FR"/>
              </w:rPr>
              <w:t>75,1</w:t>
            </w:r>
          </w:p>
        </w:tc>
        <w:tc>
          <w:tcPr>
            <w:tcW w:w="844" w:type="dxa"/>
            <w:noWrap/>
            <w:vAlign w:val="bottom"/>
          </w:tcPr>
          <w:p w:rsidR="00000000" w:rsidRDefault="00000000">
            <w:pPr>
              <w:spacing w:before="20" w:after="20" w:line="240" w:lineRule="auto"/>
              <w:jc w:val="right"/>
              <w:rPr>
                <w:sz w:val="16"/>
                <w:lang w:val="fr-FR"/>
              </w:rPr>
            </w:pPr>
            <w:r>
              <w:rPr>
                <w:sz w:val="16"/>
                <w:lang w:val="fr-FR"/>
              </w:rPr>
              <w:t>48,6</w:t>
            </w:r>
          </w:p>
        </w:tc>
      </w:tr>
      <w:tr w:rsidR="00000000">
        <w:trPr>
          <w:cantSplit/>
        </w:trPr>
        <w:tc>
          <w:tcPr>
            <w:tcW w:w="3380" w:type="dxa"/>
            <w:noWrap/>
            <w:vAlign w:val="bottom"/>
          </w:tcPr>
          <w:p w:rsidR="00000000" w:rsidRDefault="00000000">
            <w:pPr>
              <w:spacing w:before="20" w:after="20" w:line="240" w:lineRule="auto"/>
              <w:rPr>
                <w:sz w:val="16"/>
              </w:rPr>
            </w:pPr>
            <w:r>
              <w:rPr>
                <w:sz w:val="16"/>
              </w:rPr>
              <w:t>Коэффициент занятости</w:t>
            </w:r>
          </w:p>
        </w:tc>
        <w:tc>
          <w:tcPr>
            <w:tcW w:w="838" w:type="dxa"/>
            <w:noWrap/>
            <w:vAlign w:val="bottom"/>
          </w:tcPr>
          <w:p w:rsidR="00000000" w:rsidRDefault="00000000">
            <w:pPr>
              <w:spacing w:before="20" w:after="20" w:line="240" w:lineRule="auto"/>
              <w:jc w:val="right"/>
              <w:rPr>
                <w:sz w:val="16"/>
                <w:lang w:val="fr-FR"/>
              </w:rPr>
            </w:pPr>
            <w:r>
              <w:rPr>
                <w:sz w:val="16"/>
                <w:lang w:val="fr-FR"/>
              </w:rPr>
              <w:t>96,6</w:t>
            </w:r>
          </w:p>
        </w:tc>
        <w:tc>
          <w:tcPr>
            <w:tcW w:w="835" w:type="dxa"/>
            <w:gridSpan w:val="2"/>
            <w:noWrap/>
            <w:vAlign w:val="bottom"/>
          </w:tcPr>
          <w:p w:rsidR="00000000" w:rsidRDefault="00000000">
            <w:pPr>
              <w:spacing w:before="20" w:after="20" w:line="240" w:lineRule="auto"/>
              <w:jc w:val="right"/>
              <w:rPr>
                <w:sz w:val="16"/>
                <w:lang w:val="fr-FR"/>
              </w:rPr>
            </w:pPr>
            <w:r>
              <w:rPr>
                <w:sz w:val="16"/>
                <w:lang w:val="fr-FR"/>
              </w:rPr>
              <w:t>96,9</w:t>
            </w:r>
          </w:p>
        </w:tc>
        <w:tc>
          <w:tcPr>
            <w:tcW w:w="836" w:type="dxa"/>
            <w:noWrap/>
            <w:vAlign w:val="bottom"/>
          </w:tcPr>
          <w:p w:rsidR="00000000" w:rsidRDefault="00000000">
            <w:pPr>
              <w:spacing w:before="20" w:after="20" w:line="240" w:lineRule="auto"/>
              <w:jc w:val="right"/>
              <w:rPr>
                <w:sz w:val="16"/>
                <w:lang w:val="fr-FR"/>
              </w:rPr>
            </w:pPr>
            <w:r>
              <w:rPr>
                <w:sz w:val="16"/>
                <w:lang w:val="fr-FR"/>
              </w:rPr>
              <w:t>96,2</w:t>
            </w:r>
          </w:p>
        </w:tc>
        <w:tc>
          <w:tcPr>
            <w:tcW w:w="848" w:type="dxa"/>
            <w:noWrap/>
            <w:vAlign w:val="bottom"/>
          </w:tcPr>
          <w:p w:rsidR="00000000" w:rsidRDefault="00000000">
            <w:pPr>
              <w:spacing w:before="20" w:after="20" w:line="240" w:lineRule="auto"/>
              <w:jc w:val="right"/>
              <w:rPr>
                <w:sz w:val="16"/>
                <w:lang w:val="fr-FR"/>
              </w:rPr>
            </w:pPr>
            <w:r>
              <w:rPr>
                <w:sz w:val="16"/>
                <w:lang w:val="fr-FR"/>
              </w:rPr>
              <w:t>93,2</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93,5</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92,5</w:t>
            </w:r>
          </w:p>
        </w:tc>
        <w:tc>
          <w:tcPr>
            <w:tcW w:w="848" w:type="dxa"/>
            <w:noWrap/>
            <w:vAlign w:val="bottom"/>
          </w:tcPr>
          <w:p w:rsidR="00000000" w:rsidRDefault="00000000">
            <w:pPr>
              <w:spacing w:before="20" w:after="20" w:line="240" w:lineRule="auto"/>
              <w:jc w:val="right"/>
              <w:rPr>
                <w:sz w:val="16"/>
                <w:lang w:val="fr-FR"/>
              </w:rPr>
            </w:pPr>
            <w:r>
              <w:rPr>
                <w:sz w:val="16"/>
                <w:lang w:val="fr-FR"/>
              </w:rPr>
              <w:t>92,7</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94,2</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90,4</w:t>
            </w:r>
          </w:p>
        </w:tc>
        <w:tc>
          <w:tcPr>
            <w:tcW w:w="837" w:type="dxa"/>
            <w:noWrap/>
            <w:vAlign w:val="bottom"/>
          </w:tcPr>
          <w:p w:rsidR="00000000" w:rsidRDefault="00000000">
            <w:pPr>
              <w:spacing w:before="20" w:after="20" w:line="240" w:lineRule="auto"/>
              <w:jc w:val="right"/>
              <w:rPr>
                <w:sz w:val="16"/>
                <w:lang w:val="fr-FR"/>
              </w:rPr>
            </w:pPr>
            <w:r>
              <w:rPr>
                <w:sz w:val="16"/>
                <w:lang w:val="fr-FR"/>
              </w:rPr>
              <w:t>94,2</w:t>
            </w:r>
          </w:p>
        </w:tc>
        <w:tc>
          <w:tcPr>
            <w:tcW w:w="837" w:type="dxa"/>
            <w:gridSpan w:val="2"/>
            <w:noWrap/>
            <w:vAlign w:val="bottom"/>
          </w:tcPr>
          <w:p w:rsidR="00000000" w:rsidRDefault="00000000">
            <w:pPr>
              <w:spacing w:before="20" w:after="20" w:line="240" w:lineRule="auto"/>
              <w:jc w:val="right"/>
              <w:rPr>
                <w:sz w:val="16"/>
                <w:lang w:val="fr-FR"/>
              </w:rPr>
            </w:pPr>
            <w:r>
              <w:rPr>
                <w:sz w:val="16"/>
                <w:lang w:val="fr-FR"/>
              </w:rPr>
              <w:t>95,1</w:t>
            </w:r>
          </w:p>
        </w:tc>
        <w:tc>
          <w:tcPr>
            <w:tcW w:w="844" w:type="dxa"/>
            <w:noWrap/>
            <w:vAlign w:val="bottom"/>
          </w:tcPr>
          <w:p w:rsidR="00000000" w:rsidRDefault="00000000">
            <w:pPr>
              <w:spacing w:before="20" w:after="20" w:line="240" w:lineRule="auto"/>
              <w:jc w:val="right"/>
              <w:rPr>
                <w:sz w:val="16"/>
                <w:lang w:val="fr-FR"/>
              </w:rPr>
            </w:pPr>
            <w:r>
              <w:rPr>
                <w:sz w:val="16"/>
                <w:lang w:val="fr-FR"/>
              </w:rPr>
              <w:t>92,7</w:t>
            </w:r>
          </w:p>
        </w:tc>
      </w:tr>
      <w:tr w:rsidR="00000000">
        <w:trPr>
          <w:cantSplit/>
        </w:trPr>
        <w:tc>
          <w:tcPr>
            <w:tcW w:w="3380" w:type="dxa"/>
            <w:noWrap/>
            <w:vAlign w:val="bottom"/>
          </w:tcPr>
          <w:p w:rsidR="00000000" w:rsidRDefault="00000000">
            <w:pPr>
              <w:spacing w:before="20" w:after="20" w:line="240" w:lineRule="auto"/>
              <w:rPr>
                <w:sz w:val="16"/>
              </w:rPr>
            </w:pPr>
            <w:r>
              <w:rPr>
                <w:sz w:val="16"/>
              </w:rPr>
              <w:t>Коэффициент открытой безработицы</w:t>
            </w:r>
          </w:p>
        </w:tc>
        <w:tc>
          <w:tcPr>
            <w:tcW w:w="838" w:type="dxa"/>
            <w:noWrap/>
            <w:vAlign w:val="bottom"/>
          </w:tcPr>
          <w:p w:rsidR="00000000" w:rsidRDefault="00000000">
            <w:pPr>
              <w:spacing w:before="20" w:after="20" w:line="240" w:lineRule="auto"/>
              <w:jc w:val="right"/>
              <w:rPr>
                <w:sz w:val="16"/>
                <w:lang w:val="fr-FR"/>
              </w:rPr>
            </w:pPr>
            <w:r>
              <w:rPr>
                <w:sz w:val="16"/>
                <w:lang w:val="fr-FR"/>
              </w:rPr>
              <w:t>3,4</w:t>
            </w:r>
          </w:p>
        </w:tc>
        <w:tc>
          <w:tcPr>
            <w:tcW w:w="835" w:type="dxa"/>
            <w:gridSpan w:val="2"/>
            <w:noWrap/>
            <w:vAlign w:val="bottom"/>
          </w:tcPr>
          <w:p w:rsidR="00000000" w:rsidRDefault="00000000">
            <w:pPr>
              <w:spacing w:before="20" w:after="20" w:line="240" w:lineRule="auto"/>
              <w:jc w:val="right"/>
              <w:rPr>
                <w:sz w:val="16"/>
                <w:lang w:val="fr-FR"/>
              </w:rPr>
            </w:pPr>
            <w:r>
              <w:rPr>
                <w:sz w:val="16"/>
                <w:lang w:val="fr-FR"/>
              </w:rPr>
              <w:t>3,1</w:t>
            </w:r>
          </w:p>
        </w:tc>
        <w:tc>
          <w:tcPr>
            <w:tcW w:w="836" w:type="dxa"/>
            <w:noWrap/>
            <w:vAlign w:val="bottom"/>
          </w:tcPr>
          <w:p w:rsidR="00000000" w:rsidRDefault="00000000">
            <w:pPr>
              <w:spacing w:before="20" w:after="20" w:line="240" w:lineRule="auto"/>
              <w:jc w:val="right"/>
              <w:rPr>
                <w:sz w:val="16"/>
                <w:lang w:val="fr-FR"/>
              </w:rPr>
            </w:pPr>
            <w:r>
              <w:rPr>
                <w:sz w:val="16"/>
                <w:lang w:val="fr-FR"/>
              </w:rPr>
              <w:t>3,8</w:t>
            </w:r>
          </w:p>
        </w:tc>
        <w:tc>
          <w:tcPr>
            <w:tcW w:w="848" w:type="dxa"/>
            <w:noWrap/>
            <w:vAlign w:val="bottom"/>
          </w:tcPr>
          <w:p w:rsidR="00000000" w:rsidRDefault="00000000">
            <w:pPr>
              <w:spacing w:before="20" w:after="20" w:line="240" w:lineRule="auto"/>
              <w:jc w:val="right"/>
              <w:rPr>
                <w:sz w:val="16"/>
                <w:lang w:val="fr-FR"/>
              </w:rPr>
            </w:pPr>
            <w:r>
              <w:rPr>
                <w:sz w:val="16"/>
                <w:lang w:val="fr-FR"/>
              </w:rPr>
              <w:t>6,8</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6,5</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7,5</w:t>
            </w:r>
          </w:p>
        </w:tc>
        <w:tc>
          <w:tcPr>
            <w:tcW w:w="848" w:type="dxa"/>
            <w:noWrap/>
            <w:vAlign w:val="bottom"/>
          </w:tcPr>
          <w:p w:rsidR="00000000" w:rsidRDefault="00000000">
            <w:pPr>
              <w:spacing w:before="20" w:after="20" w:line="240" w:lineRule="auto"/>
              <w:jc w:val="right"/>
              <w:rPr>
                <w:sz w:val="16"/>
                <w:lang w:val="fr-FR"/>
              </w:rPr>
            </w:pPr>
            <w:r>
              <w:rPr>
                <w:sz w:val="16"/>
                <w:lang w:val="fr-FR"/>
              </w:rPr>
              <w:t>7,3</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5,8</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9,6</w:t>
            </w:r>
          </w:p>
        </w:tc>
        <w:tc>
          <w:tcPr>
            <w:tcW w:w="837" w:type="dxa"/>
            <w:noWrap/>
            <w:vAlign w:val="bottom"/>
          </w:tcPr>
          <w:p w:rsidR="00000000" w:rsidRDefault="00000000">
            <w:pPr>
              <w:spacing w:before="20" w:after="20" w:line="240" w:lineRule="auto"/>
              <w:jc w:val="right"/>
              <w:rPr>
                <w:sz w:val="16"/>
                <w:lang w:val="fr-FR"/>
              </w:rPr>
            </w:pPr>
            <w:r>
              <w:rPr>
                <w:sz w:val="16"/>
                <w:lang w:val="fr-FR"/>
              </w:rPr>
              <w:t>5,8</w:t>
            </w:r>
          </w:p>
        </w:tc>
        <w:tc>
          <w:tcPr>
            <w:tcW w:w="837" w:type="dxa"/>
            <w:gridSpan w:val="2"/>
            <w:noWrap/>
            <w:vAlign w:val="bottom"/>
          </w:tcPr>
          <w:p w:rsidR="00000000" w:rsidRDefault="00000000">
            <w:pPr>
              <w:spacing w:before="20" w:after="20" w:line="240" w:lineRule="auto"/>
              <w:jc w:val="right"/>
              <w:rPr>
                <w:sz w:val="16"/>
                <w:lang w:val="fr-FR"/>
              </w:rPr>
            </w:pPr>
            <w:r>
              <w:rPr>
                <w:sz w:val="16"/>
                <w:lang w:val="fr-FR"/>
              </w:rPr>
              <w:t>4,9</w:t>
            </w:r>
          </w:p>
        </w:tc>
        <w:tc>
          <w:tcPr>
            <w:tcW w:w="844" w:type="dxa"/>
            <w:noWrap/>
            <w:vAlign w:val="bottom"/>
          </w:tcPr>
          <w:p w:rsidR="00000000" w:rsidRDefault="00000000">
            <w:pPr>
              <w:spacing w:before="20" w:after="20" w:line="240" w:lineRule="auto"/>
              <w:jc w:val="right"/>
              <w:rPr>
                <w:sz w:val="16"/>
                <w:lang w:val="fr-FR"/>
              </w:rPr>
            </w:pPr>
            <w:r>
              <w:rPr>
                <w:sz w:val="16"/>
                <w:lang w:val="fr-FR"/>
              </w:rPr>
              <w:t>7,3</w:t>
            </w:r>
          </w:p>
        </w:tc>
      </w:tr>
      <w:tr w:rsidR="00000000">
        <w:trPr>
          <w:cantSplit/>
        </w:trPr>
        <w:tc>
          <w:tcPr>
            <w:tcW w:w="3380" w:type="dxa"/>
            <w:noWrap/>
            <w:vAlign w:val="bottom"/>
          </w:tcPr>
          <w:p w:rsidR="00000000" w:rsidRDefault="00000000">
            <w:pPr>
              <w:spacing w:before="20" w:after="20" w:line="240" w:lineRule="auto"/>
              <w:rPr>
                <w:sz w:val="16"/>
              </w:rPr>
            </w:pPr>
            <w:r>
              <w:rPr>
                <w:sz w:val="16"/>
              </w:rPr>
              <w:t>Коэффициент скрытой безработицы</w:t>
            </w:r>
          </w:p>
        </w:tc>
        <w:tc>
          <w:tcPr>
            <w:tcW w:w="838" w:type="dxa"/>
            <w:noWrap/>
            <w:vAlign w:val="bottom"/>
          </w:tcPr>
          <w:p w:rsidR="00000000" w:rsidRDefault="00000000">
            <w:pPr>
              <w:spacing w:before="20" w:after="20" w:line="240" w:lineRule="auto"/>
              <w:jc w:val="right"/>
              <w:rPr>
                <w:sz w:val="16"/>
                <w:lang w:val="fr-FR"/>
              </w:rPr>
            </w:pPr>
            <w:r>
              <w:rPr>
                <w:sz w:val="16"/>
                <w:lang w:val="fr-FR"/>
              </w:rPr>
              <w:t>2,6</w:t>
            </w:r>
          </w:p>
        </w:tc>
        <w:tc>
          <w:tcPr>
            <w:tcW w:w="835" w:type="dxa"/>
            <w:gridSpan w:val="2"/>
            <w:noWrap/>
            <w:vAlign w:val="bottom"/>
          </w:tcPr>
          <w:p w:rsidR="00000000" w:rsidRDefault="00000000">
            <w:pPr>
              <w:spacing w:before="20" w:after="20" w:line="240" w:lineRule="auto"/>
              <w:jc w:val="right"/>
              <w:rPr>
                <w:sz w:val="16"/>
                <w:lang w:val="fr-FR"/>
              </w:rPr>
            </w:pPr>
            <w:r>
              <w:rPr>
                <w:sz w:val="16"/>
                <w:lang w:val="fr-FR"/>
              </w:rPr>
              <w:t>1,9</w:t>
            </w:r>
          </w:p>
        </w:tc>
        <w:tc>
          <w:tcPr>
            <w:tcW w:w="836" w:type="dxa"/>
            <w:noWrap/>
            <w:vAlign w:val="bottom"/>
          </w:tcPr>
          <w:p w:rsidR="00000000" w:rsidRDefault="00000000">
            <w:pPr>
              <w:spacing w:before="20" w:after="20" w:line="240" w:lineRule="auto"/>
              <w:jc w:val="right"/>
              <w:rPr>
                <w:sz w:val="16"/>
                <w:lang w:val="fr-FR"/>
              </w:rPr>
            </w:pPr>
            <w:r>
              <w:rPr>
                <w:sz w:val="16"/>
                <w:lang w:val="fr-FR"/>
              </w:rPr>
              <w:t>3,6</w:t>
            </w:r>
          </w:p>
        </w:tc>
        <w:tc>
          <w:tcPr>
            <w:tcW w:w="848" w:type="dxa"/>
            <w:noWrap/>
            <w:vAlign w:val="bottom"/>
          </w:tcPr>
          <w:p w:rsidR="00000000" w:rsidRDefault="00000000">
            <w:pPr>
              <w:spacing w:before="20" w:after="20" w:line="240" w:lineRule="auto"/>
              <w:jc w:val="right"/>
              <w:rPr>
                <w:sz w:val="16"/>
                <w:lang w:val="fr-FR"/>
              </w:rPr>
            </w:pPr>
            <w:r>
              <w:rPr>
                <w:sz w:val="16"/>
                <w:lang w:val="fr-FR"/>
              </w:rPr>
              <w:t>9,7</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5,6</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16,1</w:t>
            </w:r>
          </w:p>
        </w:tc>
        <w:tc>
          <w:tcPr>
            <w:tcW w:w="848" w:type="dxa"/>
            <w:noWrap/>
            <w:vAlign w:val="bottom"/>
          </w:tcPr>
          <w:p w:rsidR="00000000" w:rsidRDefault="00000000">
            <w:pPr>
              <w:spacing w:before="20" w:after="20" w:line="240" w:lineRule="auto"/>
              <w:jc w:val="right"/>
              <w:rPr>
                <w:sz w:val="16"/>
                <w:lang w:val="fr-FR"/>
              </w:rPr>
            </w:pPr>
            <w:r>
              <w:rPr>
                <w:sz w:val="16"/>
                <w:lang w:val="fr-FR"/>
              </w:rPr>
              <w:t>3,9</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2,4</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6,1</w:t>
            </w:r>
          </w:p>
        </w:tc>
        <w:tc>
          <w:tcPr>
            <w:tcW w:w="837" w:type="dxa"/>
            <w:noWrap/>
            <w:vAlign w:val="bottom"/>
          </w:tcPr>
          <w:p w:rsidR="00000000" w:rsidRDefault="00000000">
            <w:pPr>
              <w:spacing w:before="20" w:after="20" w:line="240" w:lineRule="auto"/>
              <w:jc w:val="right"/>
              <w:rPr>
                <w:sz w:val="16"/>
                <w:lang w:val="fr-FR"/>
              </w:rPr>
            </w:pPr>
            <w:r>
              <w:rPr>
                <w:sz w:val="16"/>
                <w:lang w:val="fr-FR"/>
              </w:rPr>
              <w:t>3,7</w:t>
            </w:r>
          </w:p>
        </w:tc>
        <w:tc>
          <w:tcPr>
            <w:tcW w:w="837" w:type="dxa"/>
            <w:gridSpan w:val="2"/>
            <w:noWrap/>
            <w:vAlign w:val="bottom"/>
          </w:tcPr>
          <w:p w:rsidR="00000000" w:rsidRDefault="00000000">
            <w:pPr>
              <w:spacing w:before="20" w:after="20" w:line="240" w:lineRule="auto"/>
              <w:jc w:val="right"/>
              <w:rPr>
                <w:sz w:val="16"/>
                <w:lang w:val="fr-FR"/>
              </w:rPr>
            </w:pPr>
            <w:r>
              <w:rPr>
                <w:sz w:val="16"/>
                <w:lang w:val="fr-FR"/>
              </w:rPr>
              <w:t>2,4</w:t>
            </w:r>
          </w:p>
        </w:tc>
        <w:tc>
          <w:tcPr>
            <w:tcW w:w="844" w:type="dxa"/>
            <w:noWrap/>
            <w:vAlign w:val="bottom"/>
          </w:tcPr>
          <w:p w:rsidR="00000000" w:rsidRDefault="00000000">
            <w:pPr>
              <w:spacing w:before="20" w:after="20" w:line="240" w:lineRule="auto"/>
              <w:jc w:val="right"/>
              <w:rPr>
                <w:sz w:val="16"/>
                <w:lang w:val="fr-FR"/>
              </w:rPr>
            </w:pPr>
            <w:r>
              <w:rPr>
                <w:sz w:val="16"/>
                <w:lang w:val="fr-FR"/>
              </w:rPr>
              <w:t>5,7</w:t>
            </w:r>
          </w:p>
        </w:tc>
      </w:tr>
      <w:tr w:rsidR="00000000">
        <w:trPr>
          <w:cantSplit/>
        </w:trPr>
        <w:tc>
          <w:tcPr>
            <w:tcW w:w="3380" w:type="dxa"/>
            <w:noWrap/>
            <w:vAlign w:val="bottom"/>
          </w:tcPr>
          <w:p w:rsidR="00000000" w:rsidRDefault="00000000">
            <w:pPr>
              <w:spacing w:before="20" w:after="20" w:line="240" w:lineRule="auto"/>
              <w:rPr>
                <w:sz w:val="16"/>
              </w:rPr>
            </w:pPr>
            <w:r>
              <w:rPr>
                <w:sz w:val="16"/>
              </w:rPr>
              <w:t>Общий коэффициент неполной занятости</w:t>
            </w:r>
          </w:p>
        </w:tc>
        <w:tc>
          <w:tcPr>
            <w:tcW w:w="838" w:type="dxa"/>
            <w:noWrap/>
            <w:vAlign w:val="bottom"/>
          </w:tcPr>
          <w:p w:rsidR="00000000" w:rsidRDefault="00000000">
            <w:pPr>
              <w:spacing w:before="20" w:after="20" w:line="240" w:lineRule="auto"/>
              <w:jc w:val="right"/>
              <w:rPr>
                <w:sz w:val="16"/>
                <w:lang w:val="fr-FR"/>
              </w:rPr>
            </w:pPr>
            <w:r>
              <w:rPr>
                <w:sz w:val="16"/>
                <w:lang w:val="fr-FR"/>
              </w:rPr>
              <w:t>16,7</w:t>
            </w:r>
          </w:p>
        </w:tc>
        <w:tc>
          <w:tcPr>
            <w:tcW w:w="835" w:type="dxa"/>
            <w:gridSpan w:val="2"/>
            <w:noWrap/>
            <w:vAlign w:val="bottom"/>
          </w:tcPr>
          <w:p w:rsidR="00000000" w:rsidRDefault="00000000">
            <w:pPr>
              <w:spacing w:before="20" w:after="20" w:line="240" w:lineRule="auto"/>
              <w:jc w:val="right"/>
              <w:rPr>
                <w:sz w:val="16"/>
                <w:lang w:val="fr-FR"/>
              </w:rPr>
            </w:pPr>
            <w:r>
              <w:rPr>
                <w:sz w:val="16"/>
                <w:lang w:val="fr-FR"/>
              </w:rPr>
              <w:t>15,2</w:t>
            </w:r>
          </w:p>
        </w:tc>
        <w:tc>
          <w:tcPr>
            <w:tcW w:w="836" w:type="dxa"/>
            <w:noWrap/>
            <w:vAlign w:val="bottom"/>
          </w:tcPr>
          <w:p w:rsidR="00000000" w:rsidRDefault="00000000">
            <w:pPr>
              <w:spacing w:before="20" w:after="20" w:line="240" w:lineRule="auto"/>
              <w:jc w:val="right"/>
              <w:rPr>
                <w:sz w:val="16"/>
                <w:lang w:val="fr-FR"/>
              </w:rPr>
            </w:pPr>
            <w:r>
              <w:rPr>
                <w:sz w:val="16"/>
                <w:lang w:val="fr-FR"/>
              </w:rPr>
              <w:t>18,9</w:t>
            </w:r>
          </w:p>
        </w:tc>
        <w:tc>
          <w:tcPr>
            <w:tcW w:w="848" w:type="dxa"/>
            <w:noWrap/>
            <w:vAlign w:val="bottom"/>
          </w:tcPr>
          <w:p w:rsidR="00000000" w:rsidRDefault="00000000">
            <w:pPr>
              <w:spacing w:before="20" w:after="20" w:line="240" w:lineRule="auto"/>
              <w:jc w:val="right"/>
              <w:rPr>
                <w:sz w:val="16"/>
                <w:lang w:val="fr-FR"/>
              </w:rPr>
            </w:pPr>
            <w:r>
              <w:rPr>
                <w:sz w:val="16"/>
                <w:lang w:val="fr-FR"/>
              </w:rPr>
              <w:t>17,6</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14,9</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22,3</w:t>
            </w:r>
          </w:p>
        </w:tc>
        <w:tc>
          <w:tcPr>
            <w:tcW w:w="848" w:type="dxa"/>
            <w:noWrap/>
            <w:vAlign w:val="bottom"/>
          </w:tcPr>
          <w:p w:rsidR="00000000" w:rsidRDefault="00000000">
            <w:pPr>
              <w:spacing w:before="20" w:after="20" w:line="240" w:lineRule="auto"/>
              <w:jc w:val="right"/>
              <w:rPr>
                <w:sz w:val="16"/>
                <w:lang w:val="fr-FR"/>
              </w:rPr>
            </w:pPr>
            <w:r>
              <w:rPr>
                <w:sz w:val="16"/>
                <w:lang w:val="fr-FR"/>
              </w:rPr>
              <w:t>24,2</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21,8</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27,7</w:t>
            </w:r>
          </w:p>
        </w:tc>
        <w:tc>
          <w:tcPr>
            <w:tcW w:w="837" w:type="dxa"/>
            <w:noWrap/>
            <w:vAlign w:val="bottom"/>
          </w:tcPr>
          <w:p w:rsidR="00000000" w:rsidRDefault="00000000">
            <w:pPr>
              <w:spacing w:before="20" w:after="20" w:line="240" w:lineRule="auto"/>
              <w:jc w:val="right"/>
              <w:rPr>
                <w:sz w:val="16"/>
                <w:lang w:val="fr-FR"/>
              </w:rPr>
            </w:pPr>
            <w:r>
              <w:rPr>
                <w:sz w:val="16"/>
                <w:lang w:val="fr-FR"/>
              </w:rPr>
              <w:t>25,1</w:t>
            </w:r>
          </w:p>
        </w:tc>
        <w:tc>
          <w:tcPr>
            <w:tcW w:w="837" w:type="dxa"/>
            <w:gridSpan w:val="2"/>
            <w:noWrap/>
            <w:vAlign w:val="bottom"/>
          </w:tcPr>
          <w:p w:rsidR="00000000" w:rsidRDefault="00000000">
            <w:pPr>
              <w:spacing w:before="20" w:after="20" w:line="240" w:lineRule="auto"/>
              <w:jc w:val="right"/>
              <w:rPr>
                <w:sz w:val="16"/>
                <w:lang w:val="fr-FR"/>
              </w:rPr>
            </w:pPr>
            <w:r>
              <w:rPr>
                <w:sz w:val="16"/>
                <w:lang w:val="fr-FR"/>
              </w:rPr>
              <w:t>22,2</w:t>
            </w:r>
          </w:p>
        </w:tc>
        <w:tc>
          <w:tcPr>
            <w:tcW w:w="844" w:type="dxa"/>
            <w:noWrap/>
            <w:vAlign w:val="bottom"/>
          </w:tcPr>
          <w:p w:rsidR="00000000" w:rsidRDefault="00000000">
            <w:pPr>
              <w:spacing w:before="20" w:after="20" w:line="240" w:lineRule="auto"/>
              <w:jc w:val="right"/>
              <w:rPr>
                <w:sz w:val="16"/>
                <w:lang w:val="fr-FR"/>
              </w:rPr>
            </w:pPr>
            <w:r>
              <w:rPr>
                <w:sz w:val="16"/>
                <w:lang w:val="fr-FR"/>
              </w:rPr>
              <w:t>29,6</w:t>
            </w:r>
          </w:p>
        </w:tc>
      </w:tr>
      <w:tr w:rsidR="00000000">
        <w:trPr>
          <w:cantSplit/>
        </w:trPr>
        <w:tc>
          <w:tcPr>
            <w:tcW w:w="3380" w:type="dxa"/>
            <w:noWrap/>
            <w:vAlign w:val="bottom"/>
          </w:tcPr>
          <w:p w:rsidR="00000000" w:rsidRDefault="00000000">
            <w:pPr>
              <w:spacing w:before="20" w:after="20" w:line="240" w:lineRule="auto"/>
              <w:rPr>
                <w:sz w:val="16"/>
              </w:rPr>
            </w:pPr>
            <w:r>
              <w:rPr>
                <w:sz w:val="16"/>
              </w:rPr>
              <w:t>Коэффициент видимой неполной занятости</w:t>
            </w:r>
          </w:p>
        </w:tc>
        <w:tc>
          <w:tcPr>
            <w:tcW w:w="838" w:type="dxa"/>
            <w:noWrap/>
            <w:vAlign w:val="bottom"/>
          </w:tcPr>
          <w:p w:rsidR="00000000" w:rsidRDefault="00000000">
            <w:pPr>
              <w:spacing w:before="20" w:after="20" w:line="240" w:lineRule="auto"/>
              <w:jc w:val="right"/>
              <w:rPr>
                <w:sz w:val="16"/>
                <w:lang w:val="fr-FR"/>
              </w:rPr>
            </w:pPr>
            <w:r>
              <w:rPr>
                <w:sz w:val="16"/>
                <w:lang w:val="fr-FR"/>
              </w:rPr>
              <w:t>6,1</w:t>
            </w:r>
          </w:p>
        </w:tc>
        <w:tc>
          <w:tcPr>
            <w:tcW w:w="835" w:type="dxa"/>
            <w:gridSpan w:val="2"/>
            <w:noWrap/>
            <w:vAlign w:val="bottom"/>
          </w:tcPr>
          <w:p w:rsidR="00000000" w:rsidRDefault="00000000">
            <w:pPr>
              <w:spacing w:before="20" w:after="20" w:line="240" w:lineRule="auto"/>
              <w:jc w:val="right"/>
              <w:rPr>
                <w:sz w:val="16"/>
                <w:lang w:val="fr-FR"/>
              </w:rPr>
            </w:pPr>
            <w:r>
              <w:rPr>
                <w:sz w:val="16"/>
                <w:lang w:val="fr-FR"/>
              </w:rPr>
              <w:t>4,4</w:t>
            </w:r>
          </w:p>
        </w:tc>
        <w:tc>
          <w:tcPr>
            <w:tcW w:w="836" w:type="dxa"/>
            <w:noWrap/>
            <w:vAlign w:val="bottom"/>
          </w:tcPr>
          <w:p w:rsidR="00000000" w:rsidRDefault="00000000">
            <w:pPr>
              <w:spacing w:before="20" w:after="20" w:line="240" w:lineRule="auto"/>
              <w:jc w:val="right"/>
              <w:rPr>
                <w:sz w:val="16"/>
                <w:lang w:val="fr-FR"/>
              </w:rPr>
            </w:pPr>
            <w:r>
              <w:rPr>
                <w:sz w:val="16"/>
                <w:lang w:val="fr-FR"/>
              </w:rPr>
              <w:t>8,5</w:t>
            </w:r>
          </w:p>
        </w:tc>
        <w:tc>
          <w:tcPr>
            <w:tcW w:w="848" w:type="dxa"/>
            <w:noWrap/>
            <w:vAlign w:val="bottom"/>
          </w:tcPr>
          <w:p w:rsidR="00000000" w:rsidRDefault="00000000">
            <w:pPr>
              <w:spacing w:before="20" w:after="20" w:line="240" w:lineRule="auto"/>
              <w:jc w:val="right"/>
              <w:rPr>
                <w:sz w:val="16"/>
                <w:lang w:val="fr-FR"/>
              </w:rPr>
            </w:pPr>
            <w:r>
              <w:rPr>
                <w:sz w:val="16"/>
                <w:lang w:val="fr-FR"/>
              </w:rPr>
              <w:t>6,1</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3,7</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10,1</w:t>
            </w:r>
          </w:p>
        </w:tc>
        <w:tc>
          <w:tcPr>
            <w:tcW w:w="848" w:type="dxa"/>
            <w:noWrap/>
            <w:vAlign w:val="bottom"/>
          </w:tcPr>
          <w:p w:rsidR="00000000" w:rsidRDefault="00000000">
            <w:pPr>
              <w:spacing w:before="20" w:after="20" w:line="240" w:lineRule="auto"/>
              <w:jc w:val="right"/>
              <w:rPr>
                <w:sz w:val="16"/>
                <w:lang w:val="fr-FR"/>
              </w:rPr>
            </w:pPr>
            <w:r>
              <w:rPr>
                <w:sz w:val="16"/>
                <w:lang w:val="fr-FR"/>
              </w:rPr>
              <w:t>8,1</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5,8</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11,5</w:t>
            </w:r>
          </w:p>
        </w:tc>
        <w:tc>
          <w:tcPr>
            <w:tcW w:w="837" w:type="dxa"/>
            <w:noWrap/>
            <w:vAlign w:val="bottom"/>
          </w:tcPr>
          <w:p w:rsidR="00000000" w:rsidRDefault="00000000">
            <w:pPr>
              <w:spacing w:before="20" w:after="20" w:line="240" w:lineRule="auto"/>
              <w:jc w:val="right"/>
              <w:rPr>
                <w:sz w:val="16"/>
                <w:lang w:val="fr-FR"/>
              </w:rPr>
            </w:pPr>
            <w:r>
              <w:rPr>
                <w:sz w:val="16"/>
                <w:lang w:val="fr-FR"/>
              </w:rPr>
              <w:t>6,7</w:t>
            </w:r>
          </w:p>
        </w:tc>
        <w:tc>
          <w:tcPr>
            <w:tcW w:w="837" w:type="dxa"/>
            <w:gridSpan w:val="2"/>
            <w:noWrap/>
            <w:vAlign w:val="bottom"/>
          </w:tcPr>
          <w:p w:rsidR="00000000" w:rsidRDefault="00000000">
            <w:pPr>
              <w:spacing w:before="20" w:after="20" w:line="240" w:lineRule="auto"/>
              <w:jc w:val="right"/>
              <w:rPr>
                <w:sz w:val="16"/>
                <w:lang w:val="fr-FR"/>
              </w:rPr>
            </w:pPr>
            <w:r>
              <w:rPr>
                <w:sz w:val="16"/>
                <w:lang w:val="fr-FR"/>
              </w:rPr>
              <w:t>4,3</w:t>
            </w:r>
          </w:p>
        </w:tc>
        <w:tc>
          <w:tcPr>
            <w:tcW w:w="844" w:type="dxa"/>
            <w:noWrap/>
            <w:vAlign w:val="bottom"/>
          </w:tcPr>
          <w:p w:rsidR="00000000" w:rsidRDefault="00000000">
            <w:pPr>
              <w:spacing w:before="20" w:after="20" w:line="240" w:lineRule="auto"/>
              <w:jc w:val="right"/>
              <w:rPr>
                <w:sz w:val="16"/>
                <w:lang w:val="fr-FR"/>
              </w:rPr>
            </w:pPr>
            <w:r>
              <w:rPr>
                <w:sz w:val="16"/>
                <w:lang w:val="fr-FR"/>
              </w:rPr>
              <w:t>10,4</w:t>
            </w:r>
          </w:p>
        </w:tc>
      </w:tr>
      <w:tr w:rsidR="00000000">
        <w:trPr>
          <w:cantSplit/>
        </w:trPr>
        <w:tc>
          <w:tcPr>
            <w:tcW w:w="3380" w:type="dxa"/>
            <w:noWrap/>
            <w:vAlign w:val="bottom"/>
          </w:tcPr>
          <w:p w:rsidR="00000000" w:rsidRDefault="00000000">
            <w:pPr>
              <w:spacing w:before="20" w:after="20" w:line="240" w:lineRule="auto"/>
              <w:rPr>
                <w:sz w:val="16"/>
              </w:rPr>
            </w:pPr>
            <w:r>
              <w:rPr>
                <w:sz w:val="16"/>
              </w:rPr>
              <w:t>Коэффициент невидимой неполной занятости</w:t>
            </w:r>
          </w:p>
        </w:tc>
        <w:tc>
          <w:tcPr>
            <w:tcW w:w="838" w:type="dxa"/>
            <w:noWrap/>
            <w:vAlign w:val="bottom"/>
          </w:tcPr>
          <w:p w:rsidR="00000000" w:rsidRDefault="00000000">
            <w:pPr>
              <w:spacing w:before="20" w:after="20" w:line="240" w:lineRule="auto"/>
              <w:jc w:val="right"/>
              <w:rPr>
                <w:sz w:val="16"/>
                <w:lang w:val="fr-FR"/>
              </w:rPr>
            </w:pPr>
            <w:r>
              <w:rPr>
                <w:sz w:val="16"/>
                <w:lang w:val="fr-FR"/>
              </w:rPr>
              <w:t>10,6</w:t>
            </w:r>
          </w:p>
        </w:tc>
        <w:tc>
          <w:tcPr>
            <w:tcW w:w="835" w:type="dxa"/>
            <w:gridSpan w:val="2"/>
            <w:noWrap/>
            <w:vAlign w:val="bottom"/>
          </w:tcPr>
          <w:p w:rsidR="00000000" w:rsidRDefault="00000000">
            <w:pPr>
              <w:spacing w:before="20" w:after="20" w:line="240" w:lineRule="auto"/>
              <w:jc w:val="right"/>
              <w:rPr>
                <w:sz w:val="16"/>
                <w:lang w:val="fr-FR"/>
              </w:rPr>
            </w:pPr>
            <w:r>
              <w:rPr>
                <w:sz w:val="16"/>
                <w:lang w:val="fr-FR"/>
              </w:rPr>
              <w:t>10,8</w:t>
            </w:r>
          </w:p>
        </w:tc>
        <w:tc>
          <w:tcPr>
            <w:tcW w:w="836" w:type="dxa"/>
            <w:noWrap/>
            <w:vAlign w:val="bottom"/>
          </w:tcPr>
          <w:p w:rsidR="00000000" w:rsidRDefault="00000000">
            <w:pPr>
              <w:spacing w:before="20" w:after="20" w:line="240" w:lineRule="auto"/>
              <w:jc w:val="right"/>
              <w:rPr>
                <w:sz w:val="16"/>
                <w:lang w:val="fr-FR"/>
              </w:rPr>
            </w:pPr>
            <w:r>
              <w:rPr>
                <w:sz w:val="16"/>
                <w:lang w:val="fr-FR"/>
              </w:rPr>
              <w:t>10,4</w:t>
            </w:r>
          </w:p>
        </w:tc>
        <w:tc>
          <w:tcPr>
            <w:tcW w:w="848" w:type="dxa"/>
            <w:noWrap/>
            <w:vAlign w:val="bottom"/>
          </w:tcPr>
          <w:p w:rsidR="00000000" w:rsidRDefault="00000000">
            <w:pPr>
              <w:spacing w:before="20" w:after="20" w:line="240" w:lineRule="auto"/>
              <w:jc w:val="right"/>
              <w:rPr>
                <w:sz w:val="16"/>
                <w:lang w:val="fr-FR"/>
              </w:rPr>
            </w:pPr>
            <w:r>
              <w:rPr>
                <w:sz w:val="16"/>
                <w:lang w:val="fr-FR"/>
              </w:rPr>
              <w:t>11,5</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11,1</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12,1</w:t>
            </w:r>
          </w:p>
        </w:tc>
        <w:tc>
          <w:tcPr>
            <w:tcW w:w="848" w:type="dxa"/>
            <w:noWrap/>
            <w:vAlign w:val="bottom"/>
          </w:tcPr>
          <w:p w:rsidR="00000000" w:rsidRDefault="00000000">
            <w:pPr>
              <w:spacing w:before="20" w:after="20" w:line="240" w:lineRule="auto"/>
              <w:jc w:val="right"/>
              <w:rPr>
                <w:sz w:val="16"/>
                <w:lang w:val="fr-FR"/>
              </w:rPr>
            </w:pPr>
            <w:r>
              <w:rPr>
                <w:sz w:val="16"/>
                <w:lang w:val="fr-FR"/>
              </w:rPr>
              <w:t>16,1</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16,0</w:t>
            </w:r>
          </w:p>
        </w:tc>
        <w:tc>
          <w:tcPr>
            <w:tcW w:w="848" w:type="dxa"/>
            <w:gridSpan w:val="2"/>
            <w:noWrap/>
            <w:vAlign w:val="bottom"/>
          </w:tcPr>
          <w:p w:rsidR="00000000" w:rsidRDefault="00000000">
            <w:pPr>
              <w:spacing w:before="20" w:after="20" w:line="240" w:lineRule="auto"/>
              <w:jc w:val="right"/>
              <w:rPr>
                <w:sz w:val="16"/>
                <w:lang w:val="fr-FR"/>
              </w:rPr>
            </w:pPr>
            <w:r>
              <w:rPr>
                <w:sz w:val="16"/>
                <w:lang w:val="fr-FR"/>
              </w:rPr>
              <w:t>16,2</w:t>
            </w:r>
          </w:p>
        </w:tc>
        <w:tc>
          <w:tcPr>
            <w:tcW w:w="837" w:type="dxa"/>
            <w:noWrap/>
            <w:vAlign w:val="bottom"/>
          </w:tcPr>
          <w:p w:rsidR="00000000" w:rsidRDefault="00000000">
            <w:pPr>
              <w:spacing w:before="20" w:after="20" w:line="240" w:lineRule="auto"/>
              <w:jc w:val="right"/>
              <w:rPr>
                <w:sz w:val="16"/>
                <w:lang w:val="fr-FR"/>
              </w:rPr>
            </w:pPr>
            <w:r>
              <w:rPr>
                <w:sz w:val="16"/>
                <w:lang w:val="fr-FR"/>
              </w:rPr>
              <w:t>18,4</w:t>
            </w:r>
          </w:p>
        </w:tc>
        <w:tc>
          <w:tcPr>
            <w:tcW w:w="837" w:type="dxa"/>
            <w:gridSpan w:val="2"/>
            <w:noWrap/>
            <w:vAlign w:val="bottom"/>
          </w:tcPr>
          <w:p w:rsidR="00000000" w:rsidRDefault="00000000">
            <w:pPr>
              <w:spacing w:before="20" w:after="20" w:line="240" w:lineRule="auto"/>
              <w:jc w:val="right"/>
              <w:rPr>
                <w:sz w:val="16"/>
                <w:lang w:val="fr-FR"/>
              </w:rPr>
            </w:pPr>
            <w:r>
              <w:rPr>
                <w:sz w:val="16"/>
                <w:lang w:val="fr-FR"/>
              </w:rPr>
              <w:t>17,8</w:t>
            </w:r>
          </w:p>
        </w:tc>
        <w:tc>
          <w:tcPr>
            <w:tcW w:w="844" w:type="dxa"/>
            <w:noWrap/>
            <w:vAlign w:val="bottom"/>
          </w:tcPr>
          <w:p w:rsidR="00000000" w:rsidRDefault="00000000">
            <w:pPr>
              <w:spacing w:before="20" w:after="20" w:line="240" w:lineRule="auto"/>
              <w:jc w:val="right"/>
              <w:rPr>
                <w:sz w:val="16"/>
                <w:lang w:val="fr-FR"/>
              </w:rPr>
            </w:pPr>
            <w:r>
              <w:rPr>
                <w:sz w:val="16"/>
                <w:lang w:val="fr-FR"/>
              </w:rPr>
              <w:t>19,3</w:t>
            </w:r>
          </w:p>
        </w:tc>
      </w:tr>
    </w:tbl>
    <w:p w:rsidR="00000000" w:rsidRDefault="00000000">
      <w:pPr>
        <w:spacing w:line="240" w:lineRule="auto"/>
        <w:rPr>
          <w:sz w:val="16"/>
          <w:szCs w:val="16"/>
        </w:rPr>
      </w:pPr>
    </w:p>
    <w:p w:rsidR="00000000" w:rsidRDefault="00000000">
      <w:pPr>
        <w:spacing w:line="240" w:lineRule="auto"/>
        <w:rPr>
          <w:sz w:val="16"/>
          <w:szCs w:val="16"/>
        </w:rPr>
      </w:pPr>
      <w:r>
        <w:rPr>
          <w:i/>
          <w:iCs/>
          <w:sz w:val="16"/>
          <w:szCs w:val="16"/>
        </w:rPr>
        <w:t>Источник</w:t>
      </w:r>
      <w:r>
        <w:rPr>
          <w:b/>
          <w:bCs/>
          <w:sz w:val="16"/>
          <w:szCs w:val="16"/>
        </w:rPr>
        <w:t xml:space="preserve">:  </w:t>
      </w:r>
      <w:r>
        <w:rPr>
          <w:sz w:val="16"/>
          <w:szCs w:val="16"/>
        </w:rPr>
        <w:t xml:space="preserve">ТСП/ГУСоП.  Постоянное обследование домохозяйств </w:t>
      </w:r>
      <w:r>
        <w:rPr>
          <w:sz w:val="16"/>
          <w:szCs w:val="16"/>
          <w:lang w:val="fr-FR"/>
        </w:rPr>
        <w:t>1995, 1999, 2004, 2005</w:t>
      </w:r>
      <w:r>
        <w:rPr>
          <w:sz w:val="16"/>
          <w:szCs w:val="16"/>
        </w:rPr>
        <w:t xml:space="preserve"> годов.</w:t>
      </w:r>
    </w:p>
    <w:p w:rsidR="00000000" w:rsidRDefault="00000000">
      <w:pPr>
        <w:spacing w:line="240" w:lineRule="auto"/>
        <w:rPr>
          <w:lang w:val="fr-FR"/>
        </w:rPr>
      </w:pPr>
    </w:p>
    <w:p w:rsidR="00000000" w:rsidRDefault="00000000">
      <w:pPr>
        <w:spacing w:line="240" w:lineRule="auto"/>
        <w:rPr>
          <w:sz w:val="16"/>
          <w:szCs w:val="16"/>
        </w:rPr>
      </w:pPr>
      <w:r>
        <w:rPr>
          <w:b/>
          <w:bCs/>
          <w:sz w:val="16"/>
          <w:szCs w:val="16"/>
          <w:vertAlign w:val="superscript"/>
        </w:rPr>
        <w:t>*</w:t>
      </w:r>
      <w:r>
        <w:rPr>
          <w:sz w:val="16"/>
          <w:szCs w:val="16"/>
        </w:rPr>
        <w:tab/>
        <w:t>Результаты постоянного обследования домохозяйств за 1995-1999 годы даются с поправкой на результаты переписи населения 2002 года.</w:t>
      </w:r>
    </w:p>
    <w:p w:rsidR="00000000" w:rsidRDefault="00000000">
      <w:pPr>
        <w:spacing w:line="240" w:lineRule="auto"/>
        <w:jc w:val="right"/>
        <w:rPr>
          <w:sz w:val="16"/>
          <w:szCs w:val="16"/>
          <w:vertAlign w:val="superscript"/>
        </w:rPr>
      </w:pPr>
    </w:p>
    <w:p w:rsidR="00000000" w:rsidRDefault="00000000">
      <w:pPr>
        <w:spacing w:line="240" w:lineRule="auto"/>
        <w:rPr>
          <w:sz w:val="16"/>
          <w:szCs w:val="16"/>
        </w:rPr>
      </w:pPr>
      <w:r>
        <w:rPr>
          <w:b/>
          <w:bCs/>
          <w:sz w:val="16"/>
          <w:szCs w:val="16"/>
          <w:vertAlign w:val="superscript"/>
        </w:rPr>
        <w:t>**</w:t>
      </w:r>
      <w:r>
        <w:rPr>
          <w:sz w:val="16"/>
          <w:szCs w:val="16"/>
        </w:rPr>
        <w:tab/>
        <w:t xml:space="preserve">Население в возрасте 10 лет и старше. </w:t>
      </w:r>
    </w:p>
    <w:p w:rsidR="00000000" w:rsidRDefault="00000000">
      <w:pPr>
        <w:spacing w:line="240" w:lineRule="auto"/>
        <w:rPr>
          <w:b/>
          <w:bCs/>
          <w:sz w:val="16"/>
          <w:szCs w:val="16"/>
        </w:rPr>
      </w:pPr>
    </w:p>
    <w:p w:rsidR="00000000" w:rsidRDefault="00000000">
      <w:pPr>
        <w:spacing w:line="480" w:lineRule="auto"/>
        <w:rPr>
          <w:b/>
          <w:bCs/>
        </w:rPr>
      </w:pPr>
      <w:r>
        <w:rPr>
          <w:b/>
          <w:bCs/>
          <w:sz w:val="16"/>
          <w:szCs w:val="16"/>
        </w:rPr>
        <w:br w:type="page"/>
      </w:r>
      <w:r>
        <w:rPr>
          <w:b/>
          <w:bCs/>
        </w:rPr>
        <w:t>4.1.1</w:t>
      </w:r>
      <w:r>
        <w:rPr>
          <w:b/>
          <w:bCs/>
        </w:rPr>
        <w:tab/>
        <w:t>Занятость (взрослое население)</w:t>
      </w:r>
    </w:p>
    <w:p w:rsidR="00000000" w:rsidRDefault="00000000">
      <w:pPr>
        <w:spacing w:line="480" w:lineRule="auto"/>
        <w:jc w:val="center"/>
        <w:rPr>
          <w:b/>
          <w:bCs/>
        </w:rPr>
      </w:pPr>
      <w:r>
        <w:rPr>
          <w:b/>
          <w:bCs/>
        </w:rPr>
        <w:t>Показатели занятости всего населения, 1995</w:t>
      </w:r>
      <w:r>
        <w:rPr>
          <w:b/>
          <w:bCs/>
        </w:rPr>
        <w:noBreakHyphen/>
        <w:t>2005 годы</w:t>
      </w:r>
    </w:p>
    <w:tbl>
      <w:tblPr>
        <w:tblW w:w="1349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3380"/>
        <w:gridCol w:w="838"/>
        <w:gridCol w:w="829"/>
        <w:gridCol w:w="6"/>
        <w:gridCol w:w="836"/>
        <w:gridCol w:w="848"/>
        <w:gridCol w:w="6"/>
        <w:gridCol w:w="842"/>
        <w:gridCol w:w="840"/>
        <w:gridCol w:w="8"/>
        <w:gridCol w:w="848"/>
        <w:gridCol w:w="840"/>
        <w:gridCol w:w="8"/>
        <w:gridCol w:w="840"/>
        <w:gridCol w:w="8"/>
        <w:gridCol w:w="837"/>
        <w:gridCol w:w="826"/>
        <w:gridCol w:w="11"/>
        <w:gridCol w:w="844"/>
      </w:tblGrid>
      <w:tr w:rsidR="00000000">
        <w:trPr>
          <w:cantSplit/>
        </w:trPr>
        <w:tc>
          <w:tcPr>
            <w:tcW w:w="3380" w:type="dxa"/>
            <w:vMerge w:val="restart"/>
            <w:vAlign w:val="center"/>
          </w:tcPr>
          <w:p w:rsidR="00000000" w:rsidRDefault="00000000">
            <w:pPr>
              <w:spacing w:before="20" w:after="20" w:line="240" w:lineRule="auto"/>
              <w:jc w:val="center"/>
              <w:rPr>
                <w:b/>
                <w:bCs/>
                <w:sz w:val="16"/>
              </w:rPr>
            </w:pPr>
            <w:r>
              <w:rPr>
                <w:b/>
                <w:bCs/>
                <w:sz w:val="16"/>
              </w:rPr>
              <w:t>КАТЕГОРИЯ</w:t>
            </w:r>
          </w:p>
        </w:tc>
        <w:tc>
          <w:tcPr>
            <w:tcW w:w="2509" w:type="dxa"/>
            <w:gridSpan w:val="4"/>
            <w:vAlign w:val="center"/>
          </w:tcPr>
          <w:p w:rsidR="00000000" w:rsidRDefault="00000000">
            <w:pPr>
              <w:spacing w:before="20" w:after="20" w:line="240" w:lineRule="auto"/>
              <w:jc w:val="center"/>
              <w:rPr>
                <w:b/>
                <w:bCs/>
                <w:sz w:val="16"/>
              </w:rPr>
            </w:pPr>
            <w:r>
              <w:rPr>
                <w:b/>
                <w:bCs/>
                <w:sz w:val="16"/>
              </w:rPr>
              <w:t>1995 год</w:t>
            </w:r>
            <w:r>
              <w:rPr>
                <w:b/>
                <w:bCs/>
                <w:sz w:val="16"/>
                <w:vertAlign w:val="superscript"/>
              </w:rPr>
              <w:t>*</w:t>
            </w:r>
          </w:p>
        </w:tc>
        <w:tc>
          <w:tcPr>
            <w:tcW w:w="2536" w:type="dxa"/>
            <w:gridSpan w:val="4"/>
            <w:vAlign w:val="center"/>
          </w:tcPr>
          <w:p w:rsidR="00000000" w:rsidRDefault="00000000">
            <w:pPr>
              <w:spacing w:before="20" w:after="20" w:line="240" w:lineRule="auto"/>
              <w:jc w:val="center"/>
              <w:rPr>
                <w:b/>
                <w:bCs/>
                <w:sz w:val="16"/>
              </w:rPr>
            </w:pPr>
            <w:r>
              <w:rPr>
                <w:b/>
                <w:bCs/>
                <w:sz w:val="16"/>
              </w:rPr>
              <w:t>1999 год</w:t>
            </w:r>
            <w:r>
              <w:rPr>
                <w:b/>
                <w:bCs/>
                <w:sz w:val="16"/>
                <w:vertAlign w:val="superscript"/>
              </w:rPr>
              <w:t>*</w:t>
            </w:r>
          </w:p>
        </w:tc>
        <w:tc>
          <w:tcPr>
            <w:tcW w:w="2544" w:type="dxa"/>
            <w:gridSpan w:val="5"/>
            <w:vAlign w:val="center"/>
          </w:tcPr>
          <w:p w:rsidR="00000000" w:rsidRDefault="00000000">
            <w:pPr>
              <w:spacing w:before="20" w:after="20" w:line="240" w:lineRule="auto"/>
              <w:jc w:val="center"/>
              <w:rPr>
                <w:b/>
                <w:bCs/>
                <w:sz w:val="16"/>
              </w:rPr>
            </w:pPr>
            <w:r>
              <w:rPr>
                <w:b/>
                <w:bCs/>
                <w:sz w:val="16"/>
              </w:rPr>
              <w:t>2004 год</w:t>
            </w:r>
          </w:p>
        </w:tc>
        <w:tc>
          <w:tcPr>
            <w:tcW w:w="2526" w:type="dxa"/>
            <w:gridSpan w:val="5"/>
            <w:vAlign w:val="center"/>
          </w:tcPr>
          <w:p w:rsidR="00000000" w:rsidRDefault="00000000">
            <w:pPr>
              <w:spacing w:before="20" w:after="20" w:line="240" w:lineRule="auto"/>
              <w:jc w:val="center"/>
              <w:rPr>
                <w:b/>
                <w:bCs/>
                <w:sz w:val="16"/>
              </w:rPr>
            </w:pPr>
            <w:r>
              <w:rPr>
                <w:b/>
                <w:bCs/>
                <w:sz w:val="16"/>
              </w:rPr>
              <w:t>2005 год</w:t>
            </w:r>
          </w:p>
        </w:tc>
      </w:tr>
      <w:tr w:rsidR="00000000">
        <w:trPr>
          <w:cantSplit/>
        </w:trPr>
        <w:tc>
          <w:tcPr>
            <w:tcW w:w="3380" w:type="dxa"/>
            <w:vMerge/>
            <w:vAlign w:val="center"/>
          </w:tcPr>
          <w:p w:rsidR="00000000" w:rsidRDefault="00000000">
            <w:pPr>
              <w:spacing w:before="20" w:after="20" w:line="240" w:lineRule="auto"/>
              <w:jc w:val="center"/>
              <w:rPr>
                <w:b/>
                <w:bCs/>
                <w:sz w:val="16"/>
              </w:rPr>
            </w:pPr>
          </w:p>
        </w:tc>
        <w:tc>
          <w:tcPr>
            <w:tcW w:w="838" w:type="dxa"/>
            <w:vAlign w:val="center"/>
          </w:tcPr>
          <w:p w:rsidR="00000000" w:rsidRDefault="00000000">
            <w:pPr>
              <w:spacing w:before="20" w:after="20" w:line="240" w:lineRule="auto"/>
              <w:jc w:val="center"/>
              <w:rPr>
                <w:b/>
                <w:bCs/>
                <w:sz w:val="16"/>
              </w:rPr>
            </w:pPr>
            <w:r>
              <w:rPr>
                <w:b/>
                <w:bCs/>
                <w:sz w:val="16"/>
              </w:rPr>
              <w:t>Итого</w:t>
            </w:r>
          </w:p>
        </w:tc>
        <w:tc>
          <w:tcPr>
            <w:tcW w:w="829" w:type="dxa"/>
            <w:vAlign w:val="center"/>
          </w:tcPr>
          <w:p w:rsidR="00000000" w:rsidRDefault="00000000">
            <w:pPr>
              <w:spacing w:before="20" w:after="20" w:line="240" w:lineRule="auto"/>
              <w:jc w:val="center"/>
              <w:rPr>
                <w:b/>
                <w:bCs/>
                <w:sz w:val="16"/>
              </w:rPr>
            </w:pPr>
            <w:r>
              <w:rPr>
                <w:b/>
                <w:bCs/>
                <w:sz w:val="16"/>
              </w:rPr>
              <w:t>Мужчины</w:t>
            </w:r>
          </w:p>
        </w:tc>
        <w:tc>
          <w:tcPr>
            <w:tcW w:w="842" w:type="dxa"/>
            <w:gridSpan w:val="2"/>
            <w:vAlign w:val="center"/>
          </w:tcPr>
          <w:p w:rsidR="00000000" w:rsidRDefault="00000000">
            <w:pPr>
              <w:spacing w:before="20" w:after="20" w:line="240" w:lineRule="auto"/>
              <w:jc w:val="center"/>
              <w:rPr>
                <w:b/>
                <w:bCs/>
                <w:sz w:val="16"/>
                <w:lang w:val="fr-FR"/>
              </w:rPr>
            </w:pPr>
            <w:r>
              <w:rPr>
                <w:b/>
                <w:bCs/>
                <w:sz w:val="16"/>
              </w:rPr>
              <w:t>Женщины</w:t>
            </w:r>
          </w:p>
        </w:tc>
        <w:tc>
          <w:tcPr>
            <w:tcW w:w="854" w:type="dxa"/>
            <w:gridSpan w:val="2"/>
            <w:vAlign w:val="center"/>
          </w:tcPr>
          <w:p w:rsidR="00000000" w:rsidRDefault="00000000">
            <w:pPr>
              <w:spacing w:before="20" w:after="20" w:line="240" w:lineRule="auto"/>
              <w:jc w:val="center"/>
              <w:rPr>
                <w:b/>
                <w:bCs/>
                <w:sz w:val="16"/>
              </w:rPr>
            </w:pPr>
            <w:r>
              <w:rPr>
                <w:b/>
                <w:bCs/>
                <w:sz w:val="16"/>
              </w:rPr>
              <w:t>Итого</w:t>
            </w:r>
          </w:p>
        </w:tc>
        <w:tc>
          <w:tcPr>
            <w:tcW w:w="842" w:type="dxa"/>
            <w:vAlign w:val="center"/>
          </w:tcPr>
          <w:p w:rsidR="00000000" w:rsidRDefault="00000000">
            <w:pPr>
              <w:spacing w:before="20" w:after="20" w:line="240" w:lineRule="auto"/>
              <w:jc w:val="center"/>
              <w:rPr>
                <w:b/>
                <w:bCs/>
                <w:sz w:val="16"/>
              </w:rPr>
            </w:pPr>
            <w:r>
              <w:rPr>
                <w:b/>
                <w:bCs/>
                <w:sz w:val="16"/>
              </w:rPr>
              <w:t>Мужчины</w:t>
            </w:r>
          </w:p>
        </w:tc>
        <w:tc>
          <w:tcPr>
            <w:tcW w:w="840" w:type="dxa"/>
            <w:vAlign w:val="center"/>
          </w:tcPr>
          <w:p w:rsidR="00000000" w:rsidRDefault="00000000">
            <w:pPr>
              <w:spacing w:before="20" w:after="20" w:line="240" w:lineRule="auto"/>
              <w:jc w:val="center"/>
              <w:rPr>
                <w:b/>
                <w:bCs/>
                <w:sz w:val="16"/>
              </w:rPr>
            </w:pPr>
            <w:r>
              <w:rPr>
                <w:b/>
                <w:bCs/>
                <w:sz w:val="16"/>
              </w:rPr>
              <w:t>Женщины</w:t>
            </w:r>
          </w:p>
        </w:tc>
        <w:tc>
          <w:tcPr>
            <w:tcW w:w="856" w:type="dxa"/>
            <w:gridSpan w:val="2"/>
            <w:vAlign w:val="center"/>
          </w:tcPr>
          <w:p w:rsidR="00000000" w:rsidRDefault="00000000">
            <w:pPr>
              <w:spacing w:before="20" w:after="20" w:line="240" w:lineRule="auto"/>
              <w:jc w:val="center"/>
              <w:rPr>
                <w:b/>
                <w:bCs/>
                <w:sz w:val="16"/>
              </w:rPr>
            </w:pPr>
            <w:r>
              <w:rPr>
                <w:b/>
                <w:bCs/>
                <w:sz w:val="16"/>
              </w:rPr>
              <w:t>Итого</w:t>
            </w:r>
          </w:p>
        </w:tc>
        <w:tc>
          <w:tcPr>
            <w:tcW w:w="840" w:type="dxa"/>
            <w:vAlign w:val="center"/>
          </w:tcPr>
          <w:p w:rsidR="00000000" w:rsidRDefault="00000000">
            <w:pPr>
              <w:spacing w:before="20" w:after="20" w:line="240" w:lineRule="auto"/>
              <w:jc w:val="center"/>
              <w:rPr>
                <w:b/>
                <w:bCs/>
                <w:sz w:val="16"/>
              </w:rPr>
            </w:pPr>
            <w:r>
              <w:rPr>
                <w:b/>
                <w:bCs/>
                <w:sz w:val="16"/>
              </w:rPr>
              <w:t>Мужчины</w:t>
            </w:r>
          </w:p>
        </w:tc>
        <w:tc>
          <w:tcPr>
            <w:tcW w:w="848" w:type="dxa"/>
            <w:gridSpan w:val="2"/>
            <w:vAlign w:val="center"/>
          </w:tcPr>
          <w:p w:rsidR="00000000" w:rsidRDefault="00000000">
            <w:pPr>
              <w:spacing w:before="20" w:after="20" w:line="240" w:lineRule="auto"/>
              <w:jc w:val="center"/>
              <w:rPr>
                <w:b/>
                <w:bCs/>
                <w:sz w:val="16"/>
              </w:rPr>
            </w:pPr>
            <w:r>
              <w:rPr>
                <w:b/>
                <w:bCs/>
                <w:sz w:val="16"/>
              </w:rPr>
              <w:t>Женщины</w:t>
            </w:r>
          </w:p>
        </w:tc>
        <w:tc>
          <w:tcPr>
            <w:tcW w:w="845" w:type="dxa"/>
            <w:gridSpan w:val="2"/>
            <w:vAlign w:val="center"/>
          </w:tcPr>
          <w:p w:rsidR="00000000" w:rsidRDefault="00000000">
            <w:pPr>
              <w:spacing w:before="20" w:after="20" w:line="240" w:lineRule="auto"/>
              <w:jc w:val="center"/>
              <w:rPr>
                <w:b/>
                <w:bCs/>
                <w:sz w:val="16"/>
              </w:rPr>
            </w:pPr>
            <w:r>
              <w:rPr>
                <w:b/>
                <w:bCs/>
                <w:sz w:val="16"/>
              </w:rPr>
              <w:t>Итого</w:t>
            </w:r>
          </w:p>
        </w:tc>
        <w:tc>
          <w:tcPr>
            <w:tcW w:w="826" w:type="dxa"/>
            <w:vAlign w:val="center"/>
          </w:tcPr>
          <w:p w:rsidR="00000000" w:rsidRDefault="00000000">
            <w:pPr>
              <w:spacing w:before="20" w:after="20" w:line="240" w:lineRule="auto"/>
              <w:jc w:val="center"/>
              <w:rPr>
                <w:b/>
                <w:bCs/>
                <w:sz w:val="16"/>
              </w:rPr>
            </w:pPr>
            <w:r>
              <w:rPr>
                <w:b/>
                <w:bCs/>
                <w:sz w:val="16"/>
              </w:rPr>
              <w:t>Мужчины</w:t>
            </w:r>
          </w:p>
        </w:tc>
        <w:tc>
          <w:tcPr>
            <w:tcW w:w="855" w:type="dxa"/>
            <w:gridSpan w:val="2"/>
            <w:vAlign w:val="center"/>
          </w:tcPr>
          <w:p w:rsidR="00000000" w:rsidRDefault="00000000">
            <w:pPr>
              <w:spacing w:before="20" w:after="20" w:line="240" w:lineRule="auto"/>
              <w:jc w:val="center"/>
              <w:rPr>
                <w:b/>
                <w:bCs/>
                <w:sz w:val="16"/>
              </w:rPr>
            </w:pPr>
            <w:r>
              <w:rPr>
                <w:b/>
                <w:bCs/>
                <w:sz w:val="16"/>
              </w:rPr>
              <w:t>Женщины</w:t>
            </w:r>
          </w:p>
        </w:tc>
      </w:tr>
      <w:tr w:rsidR="00000000">
        <w:trPr>
          <w:cantSplit/>
        </w:trPr>
        <w:tc>
          <w:tcPr>
            <w:tcW w:w="3380" w:type="dxa"/>
            <w:noWrap/>
            <w:vAlign w:val="bottom"/>
          </w:tcPr>
          <w:p w:rsidR="00000000" w:rsidRDefault="00000000">
            <w:pPr>
              <w:spacing w:before="20" w:after="20" w:line="240" w:lineRule="auto"/>
              <w:rPr>
                <w:sz w:val="16"/>
              </w:rPr>
            </w:pPr>
            <w:r>
              <w:rPr>
                <w:sz w:val="16"/>
              </w:rPr>
              <w:t>Экономически активное население (**)</w:t>
            </w:r>
          </w:p>
        </w:tc>
        <w:tc>
          <w:tcPr>
            <w:tcW w:w="838" w:type="dxa"/>
            <w:noWrap/>
            <w:vAlign w:val="bottom"/>
          </w:tcPr>
          <w:p w:rsidR="00000000" w:rsidRDefault="00000000">
            <w:pPr>
              <w:jc w:val="right"/>
              <w:rPr>
                <w:color w:val="000000"/>
                <w:sz w:val="18"/>
              </w:rPr>
            </w:pPr>
            <w:r>
              <w:rPr>
                <w:color w:val="000000"/>
                <w:sz w:val="18"/>
              </w:rPr>
              <w:t>1 267 684</w:t>
            </w:r>
          </w:p>
        </w:tc>
        <w:tc>
          <w:tcPr>
            <w:tcW w:w="835" w:type="dxa"/>
            <w:gridSpan w:val="2"/>
            <w:noWrap/>
            <w:vAlign w:val="bottom"/>
          </w:tcPr>
          <w:p w:rsidR="00000000" w:rsidRDefault="00000000">
            <w:pPr>
              <w:jc w:val="right"/>
              <w:rPr>
                <w:color w:val="000000"/>
                <w:sz w:val="18"/>
              </w:rPr>
            </w:pPr>
            <w:r>
              <w:rPr>
                <w:color w:val="000000"/>
                <w:sz w:val="18"/>
              </w:rPr>
              <w:t>731 620</w:t>
            </w:r>
          </w:p>
        </w:tc>
        <w:tc>
          <w:tcPr>
            <w:tcW w:w="836" w:type="dxa"/>
            <w:noWrap/>
            <w:vAlign w:val="bottom"/>
          </w:tcPr>
          <w:p w:rsidR="00000000" w:rsidRDefault="00000000">
            <w:pPr>
              <w:jc w:val="right"/>
              <w:rPr>
                <w:color w:val="000000"/>
                <w:sz w:val="18"/>
              </w:rPr>
            </w:pPr>
            <w:r>
              <w:rPr>
                <w:color w:val="000000"/>
                <w:sz w:val="18"/>
              </w:rPr>
              <w:t>536 064</w:t>
            </w:r>
          </w:p>
        </w:tc>
        <w:tc>
          <w:tcPr>
            <w:tcW w:w="848" w:type="dxa"/>
            <w:noWrap/>
            <w:vAlign w:val="bottom"/>
          </w:tcPr>
          <w:p w:rsidR="00000000" w:rsidRDefault="00000000">
            <w:pPr>
              <w:jc w:val="right"/>
              <w:rPr>
                <w:color w:val="000000"/>
                <w:sz w:val="18"/>
              </w:rPr>
            </w:pPr>
            <w:r>
              <w:rPr>
                <w:color w:val="000000"/>
                <w:sz w:val="18"/>
              </w:rPr>
              <w:t>1 257 094</w:t>
            </w:r>
          </w:p>
        </w:tc>
        <w:tc>
          <w:tcPr>
            <w:tcW w:w="848" w:type="dxa"/>
            <w:gridSpan w:val="2"/>
            <w:noWrap/>
            <w:vAlign w:val="bottom"/>
          </w:tcPr>
          <w:p w:rsidR="00000000" w:rsidRDefault="00000000">
            <w:pPr>
              <w:jc w:val="right"/>
              <w:rPr>
                <w:color w:val="000000"/>
                <w:sz w:val="18"/>
              </w:rPr>
            </w:pPr>
            <w:r>
              <w:rPr>
                <w:color w:val="000000"/>
                <w:sz w:val="18"/>
              </w:rPr>
              <w:t>785 094</w:t>
            </w:r>
          </w:p>
        </w:tc>
        <w:tc>
          <w:tcPr>
            <w:tcW w:w="848" w:type="dxa"/>
            <w:gridSpan w:val="2"/>
            <w:noWrap/>
            <w:vAlign w:val="bottom"/>
          </w:tcPr>
          <w:p w:rsidR="00000000" w:rsidRDefault="00000000">
            <w:pPr>
              <w:jc w:val="right"/>
              <w:rPr>
                <w:color w:val="000000"/>
                <w:sz w:val="18"/>
              </w:rPr>
            </w:pPr>
            <w:r>
              <w:rPr>
                <w:color w:val="000000"/>
                <w:sz w:val="18"/>
              </w:rPr>
              <w:t>471 999</w:t>
            </w:r>
          </w:p>
        </w:tc>
        <w:tc>
          <w:tcPr>
            <w:tcW w:w="848" w:type="dxa"/>
            <w:noWrap/>
            <w:vAlign w:val="bottom"/>
          </w:tcPr>
          <w:p w:rsidR="00000000" w:rsidRDefault="00000000">
            <w:pPr>
              <w:jc w:val="right"/>
              <w:rPr>
                <w:color w:val="000000"/>
                <w:sz w:val="18"/>
              </w:rPr>
            </w:pPr>
            <w:r>
              <w:rPr>
                <w:color w:val="000000"/>
                <w:sz w:val="18"/>
              </w:rPr>
              <w:t>1 553 183</w:t>
            </w:r>
          </w:p>
        </w:tc>
        <w:tc>
          <w:tcPr>
            <w:tcW w:w="848" w:type="dxa"/>
            <w:gridSpan w:val="2"/>
            <w:noWrap/>
            <w:vAlign w:val="bottom"/>
          </w:tcPr>
          <w:p w:rsidR="00000000" w:rsidRDefault="00000000">
            <w:pPr>
              <w:jc w:val="right"/>
              <w:rPr>
                <w:color w:val="000000"/>
                <w:sz w:val="18"/>
              </w:rPr>
            </w:pPr>
            <w:r>
              <w:rPr>
                <w:color w:val="000000"/>
                <w:sz w:val="18"/>
              </w:rPr>
              <w:t>911 086</w:t>
            </w:r>
          </w:p>
        </w:tc>
        <w:tc>
          <w:tcPr>
            <w:tcW w:w="848" w:type="dxa"/>
            <w:gridSpan w:val="2"/>
            <w:noWrap/>
            <w:vAlign w:val="bottom"/>
          </w:tcPr>
          <w:p w:rsidR="00000000" w:rsidRDefault="00000000">
            <w:pPr>
              <w:jc w:val="right"/>
              <w:rPr>
                <w:color w:val="000000"/>
                <w:sz w:val="18"/>
              </w:rPr>
            </w:pPr>
            <w:r>
              <w:rPr>
                <w:color w:val="000000"/>
                <w:sz w:val="18"/>
              </w:rPr>
              <w:t>642 097</w:t>
            </w:r>
          </w:p>
        </w:tc>
        <w:tc>
          <w:tcPr>
            <w:tcW w:w="837" w:type="dxa"/>
            <w:noWrap/>
            <w:vAlign w:val="bottom"/>
          </w:tcPr>
          <w:p w:rsidR="00000000" w:rsidRDefault="00000000">
            <w:pPr>
              <w:jc w:val="right"/>
              <w:rPr>
                <w:color w:val="000000"/>
                <w:sz w:val="18"/>
              </w:rPr>
            </w:pPr>
            <w:r>
              <w:rPr>
                <w:color w:val="000000"/>
                <w:sz w:val="18"/>
              </w:rPr>
              <w:t>1 639 604</w:t>
            </w:r>
          </w:p>
        </w:tc>
        <w:tc>
          <w:tcPr>
            <w:tcW w:w="837" w:type="dxa"/>
            <w:gridSpan w:val="2"/>
            <w:noWrap/>
            <w:vAlign w:val="bottom"/>
          </w:tcPr>
          <w:p w:rsidR="00000000" w:rsidRDefault="00000000">
            <w:pPr>
              <w:jc w:val="right"/>
              <w:rPr>
                <w:color w:val="000000"/>
                <w:sz w:val="18"/>
              </w:rPr>
            </w:pPr>
            <w:r>
              <w:rPr>
                <w:color w:val="000000"/>
                <w:sz w:val="18"/>
              </w:rPr>
              <w:t>962 208</w:t>
            </w:r>
          </w:p>
        </w:tc>
        <w:tc>
          <w:tcPr>
            <w:tcW w:w="844" w:type="dxa"/>
            <w:noWrap/>
            <w:vAlign w:val="bottom"/>
          </w:tcPr>
          <w:p w:rsidR="00000000" w:rsidRDefault="00000000">
            <w:pPr>
              <w:jc w:val="right"/>
              <w:rPr>
                <w:color w:val="000000"/>
                <w:sz w:val="18"/>
              </w:rPr>
            </w:pPr>
            <w:r>
              <w:rPr>
                <w:color w:val="000000"/>
                <w:sz w:val="18"/>
              </w:rPr>
              <w:t>677 396</w:t>
            </w:r>
          </w:p>
        </w:tc>
      </w:tr>
      <w:tr w:rsidR="00000000">
        <w:trPr>
          <w:cantSplit/>
        </w:trPr>
        <w:tc>
          <w:tcPr>
            <w:tcW w:w="3380" w:type="dxa"/>
            <w:noWrap/>
            <w:vAlign w:val="bottom"/>
          </w:tcPr>
          <w:p w:rsidR="00000000" w:rsidRDefault="00000000">
            <w:pPr>
              <w:spacing w:before="20" w:after="20" w:line="240" w:lineRule="auto"/>
              <w:rPr>
                <w:sz w:val="16"/>
              </w:rPr>
            </w:pPr>
            <w:r>
              <w:rPr>
                <w:sz w:val="16"/>
              </w:rPr>
              <w:t>Экономически неактивное население (**)</w:t>
            </w:r>
          </w:p>
        </w:tc>
        <w:tc>
          <w:tcPr>
            <w:tcW w:w="838" w:type="dxa"/>
            <w:noWrap/>
            <w:vAlign w:val="bottom"/>
          </w:tcPr>
          <w:p w:rsidR="00000000" w:rsidRDefault="00000000">
            <w:pPr>
              <w:jc w:val="right"/>
              <w:rPr>
                <w:color w:val="000000"/>
                <w:sz w:val="18"/>
              </w:rPr>
            </w:pPr>
            <w:r>
              <w:rPr>
                <w:color w:val="000000"/>
                <w:sz w:val="18"/>
              </w:rPr>
              <w:t>347 908</w:t>
            </w:r>
          </w:p>
        </w:tc>
        <w:tc>
          <w:tcPr>
            <w:tcW w:w="835" w:type="dxa"/>
            <w:gridSpan w:val="2"/>
            <w:noWrap/>
            <w:vAlign w:val="bottom"/>
          </w:tcPr>
          <w:p w:rsidR="00000000" w:rsidRDefault="00000000">
            <w:pPr>
              <w:jc w:val="right"/>
              <w:rPr>
                <w:color w:val="000000"/>
                <w:sz w:val="18"/>
              </w:rPr>
            </w:pPr>
            <w:r>
              <w:rPr>
                <w:color w:val="000000"/>
                <w:sz w:val="18"/>
              </w:rPr>
              <w:t>65 791</w:t>
            </w:r>
          </w:p>
        </w:tc>
        <w:tc>
          <w:tcPr>
            <w:tcW w:w="836" w:type="dxa"/>
            <w:noWrap/>
            <w:vAlign w:val="bottom"/>
          </w:tcPr>
          <w:p w:rsidR="00000000" w:rsidRDefault="00000000">
            <w:pPr>
              <w:jc w:val="right"/>
              <w:rPr>
                <w:color w:val="000000"/>
                <w:sz w:val="18"/>
              </w:rPr>
            </w:pPr>
            <w:r>
              <w:rPr>
                <w:color w:val="000000"/>
                <w:sz w:val="18"/>
              </w:rPr>
              <w:t>282 117</w:t>
            </w:r>
          </w:p>
        </w:tc>
        <w:tc>
          <w:tcPr>
            <w:tcW w:w="848" w:type="dxa"/>
            <w:noWrap/>
            <w:vAlign w:val="bottom"/>
          </w:tcPr>
          <w:p w:rsidR="00000000" w:rsidRDefault="00000000">
            <w:pPr>
              <w:jc w:val="right"/>
              <w:rPr>
                <w:color w:val="000000"/>
                <w:sz w:val="18"/>
              </w:rPr>
            </w:pPr>
            <w:r>
              <w:rPr>
                <w:color w:val="000000"/>
                <w:sz w:val="18"/>
              </w:rPr>
              <w:t>531 396</w:t>
            </w:r>
          </w:p>
        </w:tc>
        <w:tc>
          <w:tcPr>
            <w:tcW w:w="848" w:type="dxa"/>
            <w:gridSpan w:val="2"/>
            <w:noWrap/>
            <w:vAlign w:val="bottom"/>
          </w:tcPr>
          <w:p w:rsidR="00000000" w:rsidRDefault="00000000">
            <w:pPr>
              <w:jc w:val="right"/>
              <w:rPr>
                <w:color w:val="000000"/>
                <w:sz w:val="18"/>
              </w:rPr>
            </w:pPr>
            <w:r>
              <w:rPr>
                <w:color w:val="000000"/>
                <w:sz w:val="18"/>
              </w:rPr>
              <w:t>83 604</w:t>
            </w:r>
          </w:p>
        </w:tc>
        <w:tc>
          <w:tcPr>
            <w:tcW w:w="848" w:type="dxa"/>
            <w:gridSpan w:val="2"/>
            <w:noWrap/>
            <w:vAlign w:val="bottom"/>
          </w:tcPr>
          <w:p w:rsidR="00000000" w:rsidRDefault="00000000">
            <w:pPr>
              <w:jc w:val="right"/>
              <w:rPr>
                <w:color w:val="000000"/>
                <w:sz w:val="18"/>
              </w:rPr>
            </w:pPr>
            <w:r>
              <w:rPr>
                <w:color w:val="000000"/>
                <w:sz w:val="18"/>
              </w:rPr>
              <w:t>447 792</w:t>
            </w:r>
          </w:p>
        </w:tc>
        <w:tc>
          <w:tcPr>
            <w:tcW w:w="848" w:type="dxa"/>
            <w:noWrap/>
            <w:vAlign w:val="bottom"/>
          </w:tcPr>
          <w:p w:rsidR="00000000" w:rsidRDefault="00000000">
            <w:pPr>
              <w:jc w:val="right"/>
              <w:rPr>
                <w:color w:val="000000"/>
                <w:sz w:val="18"/>
              </w:rPr>
            </w:pPr>
            <w:r>
              <w:rPr>
                <w:color w:val="000000"/>
                <w:sz w:val="18"/>
              </w:rPr>
              <w:t>505 209</w:t>
            </w:r>
          </w:p>
        </w:tc>
        <w:tc>
          <w:tcPr>
            <w:tcW w:w="848" w:type="dxa"/>
            <w:gridSpan w:val="2"/>
            <w:noWrap/>
            <w:vAlign w:val="bottom"/>
          </w:tcPr>
          <w:p w:rsidR="00000000" w:rsidRDefault="00000000">
            <w:pPr>
              <w:jc w:val="right"/>
              <w:rPr>
                <w:color w:val="000000"/>
                <w:sz w:val="18"/>
              </w:rPr>
            </w:pPr>
            <w:r>
              <w:rPr>
                <w:color w:val="000000"/>
                <w:sz w:val="18"/>
              </w:rPr>
              <w:t>102 844</w:t>
            </w:r>
          </w:p>
        </w:tc>
        <w:tc>
          <w:tcPr>
            <w:tcW w:w="848" w:type="dxa"/>
            <w:gridSpan w:val="2"/>
            <w:noWrap/>
            <w:vAlign w:val="bottom"/>
          </w:tcPr>
          <w:p w:rsidR="00000000" w:rsidRDefault="00000000">
            <w:pPr>
              <w:jc w:val="right"/>
              <w:rPr>
                <w:color w:val="000000"/>
                <w:sz w:val="18"/>
              </w:rPr>
            </w:pPr>
            <w:r>
              <w:rPr>
                <w:color w:val="000000"/>
                <w:sz w:val="18"/>
              </w:rPr>
              <w:t>402 365</w:t>
            </w:r>
          </w:p>
        </w:tc>
        <w:tc>
          <w:tcPr>
            <w:tcW w:w="837" w:type="dxa"/>
            <w:noWrap/>
            <w:vAlign w:val="bottom"/>
          </w:tcPr>
          <w:p w:rsidR="00000000" w:rsidRDefault="00000000">
            <w:pPr>
              <w:jc w:val="right"/>
              <w:rPr>
                <w:color w:val="000000"/>
                <w:sz w:val="18"/>
              </w:rPr>
            </w:pPr>
            <w:r>
              <w:rPr>
                <w:color w:val="000000"/>
                <w:sz w:val="18"/>
              </w:rPr>
              <w:t>550 301</w:t>
            </w:r>
          </w:p>
        </w:tc>
        <w:tc>
          <w:tcPr>
            <w:tcW w:w="837" w:type="dxa"/>
            <w:gridSpan w:val="2"/>
            <w:noWrap/>
            <w:vAlign w:val="bottom"/>
          </w:tcPr>
          <w:p w:rsidR="00000000" w:rsidRDefault="00000000">
            <w:pPr>
              <w:jc w:val="right"/>
              <w:rPr>
                <w:color w:val="000000"/>
                <w:sz w:val="18"/>
              </w:rPr>
            </w:pPr>
            <w:r>
              <w:rPr>
                <w:color w:val="000000"/>
                <w:sz w:val="18"/>
              </w:rPr>
              <w:t>104 797</w:t>
            </w:r>
          </w:p>
        </w:tc>
        <w:tc>
          <w:tcPr>
            <w:tcW w:w="844" w:type="dxa"/>
            <w:noWrap/>
            <w:vAlign w:val="bottom"/>
          </w:tcPr>
          <w:p w:rsidR="00000000" w:rsidRDefault="00000000">
            <w:pPr>
              <w:jc w:val="right"/>
              <w:rPr>
                <w:color w:val="000000"/>
                <w:sz w:val="18"/>
              </w:rPr>
            </w:pPr>
            <w:r>
              <w:rPr>
                <w:color w:val="000000"/>
                <w:sz w:val="18"/>
              </w:rPr>
              <w:t>445 504</w:t>
            </w:r>
          </w:p>
        </w:tc>
      </w:tr>
      <w:tr w:rsidR="00000000">
        <w:trPr>
          <w:cantSplit/>
        </w:trPr>
        <w:tc>
          <w:tcPr>
            <w:tcW w:w="3380" w:type="dxa"/>
            <w:noWrap/>
            <w:vAlign w:val="bottom"/>
          </w:tcPr>
          <w:p w:rsidR="00000000" w:rsidRDefault="00000000">
            <w:pPr>
              <w:spacing w:before="20" w:after="20" w:line="240" w:lineRule="auto"/>
              <w:rPr>
                <w:sz w:val="16"/>
              </w:rPr>
            </w:pPr>
            <w:r>
              <w:rPr>
                <w:sz w:val="16"/>
              </w:rPr>
              <w:t>Занятое население</w:t>
            </w:r>
          </w:p>
        </w:tc>
        <w:tc>
          <w:tcPr>
            <w:tcW w:w="838" w:type="dxa"/>
            <w:noWrap/>
            <w:vAlign w:val="bottom"/>
          </w:tcPr>
          <w:p w:rsidR="00000000" w:rsidRDefault="00000000">
            <w:pPr>
              <w:jc w:val="right"/>
              <w:rPr>
                <w:color w:val="000000"/>
                <w:sz w:val="18"/>
              </w:rPr>
            </w:pPr>
            <w:r>
              <w:rPr>
                <w:color w:val="000000"/>
                <w:sz w:val="18"/>
              </w:rPr>
              <w:t>1 240 322</w:t>
            </w:r>
          </w:p>
        </w:tc>
        <w:tc>
          <w:tcPr>
            <w:tcW w:w="835" w:type="dxa"/>
            <w:gridSpan w:val="2"/>
            <w:noWrap/>
            <w:vAlign w:val="bottom"/>
          </w:tcPr>
          <w:p w:rsidR="00000000" w:rsidRDefault="00000000">
            <w:pPr>
              <w:jc w:val="right"/>
              <w:rPr>
                <w:color w:val="000000"/>
                <w:sz w:val="18"/>
              </w:rPr>
            </w:pPr>
            <w:r>
              <w:rPr>
                <w:color w:val="000000"/>
                <w:sz w:val="18"/>
              </w:rPr>
              <w:t>716 363</w:t>
            </w:r>
          </w:p>
        </w:tc>
        <w:tc>
          <w:tcPr>
            <w:tcW w:w="836" w:type="dxa"/>
            <w:noWrap/>
            <w:vAlign w:val="bottom"/>
          </w:tcPr>
          <w:p w:rsidR="00000000" w:rsidRDefault="00000000">
            <w:pPr>
              <w:jc w:val="right"/>
              <w:rPr>
                <w:color w:val="000000"/>
                <w:sz w:val="18"/>
              </w:rPr>
            </w:pPr>
            <w:r>
              <w:rPr>
                <w:color w:val="000000"/>
                <w:sz w:val="18"/>
              </w:rPr>
              <w:t>523 959</w:t>
            </w:r>
          </w:p>
        </w:tc>
        <w:tc>
          <w:tcPr>
            <w:tcW w:w="848" w:type="dxa"/>
            <w:noWrap/>
            <w:vAlign w:val="bottom"/>
          </w:tcPr>
          <w:p w:rsidR="00000000" w:rsidRDefault="00000000">
            <w:pPr>
              <w:jc w:val="right"/>
              <w:rPr>
                <w:color w:val="000000"/>
                <w:sz w:val="18"/>
              </w:rPr>
            </w:pPr>
            <w:r>
              <w:rPr>
                <w:color w:val="000000"/>
                <w:sz w:val="18"/>
              </w:rPr>
              <w:t>1 201 604</w:t>
            </w:r>
          </w:p>
        </w:tc>
        <w:tc>
          <w:tcPr>
            <w:tcW w:w="848" w:type="dxa"/>
            <w:gridSpan w:val="2"/>
            <w:noWrap/>
            <w:vAlign w:val="bottom"/>
          </w:tcPr>
          <w:p w:rsidR="00000000" w:rsidRDefault="00000000">
            <w:pPr>
              <w:jc w:val="right"/>
              <w:rPr>
                <w:color w:val="000000"/>
                <w:sz w:val="18"/>
              </w:rPr>
            </w:pPr>
            <w:r>
              <w:rPr>
                <w:color w:val="000000"/>
                <w:sz w:val="18"/>
              </w:rPr>
              <w:t>752 059</w:t>
            </w:r>
          </w:p>
        </w:tc>
        <w:tc>
          <w:tcPr>
            <w:tcW w:w="848" w:type="dxa"/>
            <w:gridSpan w:val="2"/>
            <w:noWrap/>
            <w:vAlign w:val="bottom"/>
          </w:tcPr>
          <w:p w:rsidR="00000000" w:rsidRDefault="00000000">
            <w:pPr>
              <w:jc w:val="right"/>
              <w:rPr>
                <w:color w:val="000000"/>
                <w:sz w:val="18"/>
              </w:rPr>
            </w:pPr>
            <w:r>
              <w:rPr>
                <w:color w:val="000000"/>
                <w:sz w:val="18"/>
              </w:rPr>
              <w:t>449 545</w:t>
            </w:r>
          </w:p>
        </w:tc>
        <w:tc>
          <w:tcPr>
            <w:tcW w:w="848" w:type="dxa"/>
            <w:noWrap/>
            <w:vAlign w:val="bottom"/>
          </w:tcPr>
          <w:p w:rsidR="00000000" w:rsidRDefault="00000000">
            <w:pPr>
              <w:jc w:val="right"/>
              <w:rPr>
                <w:color w:val="000000"/>
                <w:sz w:val="18"/>
              </w:rPr>
            </w:pPr>
            <w:r>
              <w:rPr>
                <w:color w:val="000000"/>
                <w:sz w:val="18"/>
              </w:rPr>
              <w:t>1 484 480</w:t>
            </w:r>
          </w:p>
        </w:tc>
        <w:tc>
          <w:tcPr>
            <w:tcW w:w="848" w:type="dxa"/>
            <w:gridSpan w:val="2"/>
            <w:noWrap/>
            <w:vAlign w:val="bottom"/>
          </w:tcPr>
          <w:p w:rsidR="00000000" w:rsidRDefault="00000000">
            <w:pPr>
              <w:jc w:val="right"/>
              <w:rPr>
                <w:color w:val="000000"/>
                <w:sz w:val="18"/>
              </w:rPr>
            </w:pPr>
            <w:r>
              <w:rPr>
                <w:color w:val="000000"/>
                <w:sz w:val="18"/>
              </w:rPr>
              <w:t>874 669</w:t>
            </w:r>
          </w:p>
        </w:tc>
        <w:tc>
          <w:tcPr>
            <w:tcW w:w="848" w:type="dxa"/>
            <w:gridSpan w:val="2"/>
            <w:noWrap/>
            <w:vAlign w:val="bottom"/>
          </w:tcPr>
          <w:p w:rsidR="00000000" w:rsidRDefault="00000000">
            <w:pPr>
              <w:jc w:val="right"/>
              <w:rPr>
                <w:color w:val="000000"/>
                <w:sz w:val="18"/>
              </w:rPr>
            </w:pPr>
            <w:r>
              <w:rPr>
                <w:color w:val="000000"/>
                <w:sz w:val="18"/>
              </w:rPr>
              <w:t>609 811</w:t>
            </w:r>
          </w:p>
        </w:tc>
        <w:tc>
          <w:tcPr>
            <w:tcW w:w="837" w:type="dxa"/>
            <w:noWrap/>
            <w:vAlign w:val="bottom"/>
          </w:tcPr>
          <w:p w:rsidR="00000000" w:rsidRDefault="00000000">
            <w:pPr>
              <w:jc w:val="right"/>
              <w:rPr>
                <w:color w:val="000000"/>
                <w:sz w:val="18"/>
              </w:rPr>
            </w:pPr>
            <w:r>
              <w:rPr>
                <w:color w:val="000000"/>
                <w:sz w:val="18"/>
              </w:rPr>
              <w:t>1 587 170</w:t>
            </w:r>
          </w:p>
        </w:tc>
        <w:tc>
          <w:tcPr>
            <w:tcW w:w="837" w:type="dxa"/>
            <w:gridSpan w:val="2"/>
            <w:noWrap/>
            <w:vAlign w:val="bottom"/>
          </w:tcPr>
          <w:p w:rsidR="00000000" w:rsidRDefault="00000000">
            <w:pPr>
              <w:jc w:val="right"/>
              <w:rPr>
                <w:color w:val="000000"/>
                <w:sz w:val="18"/>
              </w:rPr>
            </w:pPr>
            <w:r>
              <w:rPr>
                <w:color w:val="000000"/>
                <w:sz w:val="18"/>
              </w:rPr>
              <w:t>934 295</w:t>
            </w:r>
          </w:p>
        </w:tc>
        <w:tc>
          <w:tcPr>
            <w:tcW w:w="844" w:type="dxa"/>
            <w:noWrap/>
            <w:vAlign w:val="bottom"/>
          </w:tcPr>
          <w:p w:rsidR="00000000" w:rsidRDefault="00000000">
            <w:pPr>
              <w:jc w:val="right"/>
              <w:rPr>
                <w:color w:val="000000"/>
                <w:sz w:val="18"/>
              </w:rPr>
            </w:pPr>
            <w:r>
              <w:rPr>
                <w:color w:val="000000"/>
                <w:sz w:val="18"/>
              </w:rPr>
              <w:t>652 875</w:t>
            </w:r>
          </w:p>
        </w:tc>
      </w:tr>
      <w:tr w:rsidR="00000000">
        <w:trPr>
          <w:cantSplit/>
        </w:trPr>
        <w:tc>
          <w:tcPr>
            <w:tcW w:w="3380" w:type="dxa"/>
            <w:noWrap/>
            <w:vAlign w:val="bottom"/>
          </w:tcPr>
          <w:p w:rsidR="00000000" w:rsidRDefault="00000000">
            <w:pPr>
              <w:spacing w:before="20" w:after="20" w:line="240" w:lineRule="auto"/>
              <w:rPr>
                <w:sz w:val="16"/>
              </w:rPr>
            </w:pPr>
            <w:r>
              <w:rPr>
                <w:sz w:val="16"/>
              </w:rPr>
              <w:t>Открытая безработица</w:t>
            </w:r>
          </w:p>
        </w:tc>
        <w:tc>
          <w:tcPr>
            <w:tcW w:w="838" w:type="dxa"/>
            <w:noWrap/>
            <w:vAlign w:val="bottom"/>
          </w:tcPr>
          <w:p w:rsidR="00000000" w:rsidRDefault="00000000">
            <w:pPr>
              <w:jc w:val="right"/>
              <w:rPr>
                <w:color w:val="000000"/>
                <w:sz w:val="18"/>
              </w:rPr>
            </w:pPr>
            <w:r>
              <w:rPr>
                <w:color w:val="000000"/>
                <w:sz w:val="18"/>
              </w:rPr>
              <w:t>27 362</w:t>
            </w:r>
          </w:p>
        </w:tc>
        <w:tc>
          <w:tcPr>
            <w:tcW w:w="835" w:type="dxa"/>
            <w:gridSpan w:val="2"/>
            <w:noWrap/>
            <w:vAlign w:val="bottom"/>
          </w:tcPr>
          <w:p w:rsidR="00000000" w:rsidRDefault="00000000">
            <w:pPr>
              <w:jc w:val="right"/>
              <w:rPr>
                <w:color w:val="000000"/>
                <w:sz w:val="18"/>
              </w:rPr>
            </w:pPr>
            <w:r>
              <w:rPr>
                <w:color w:val="000000"/>
                <w:sz w:val="18"/>
              </w:rPr>
              <w:t>15 257</w:t>
            </w:r>
          </w:p>
        </w:tc>
        <w:tc>
          <w:tcPr>
            <w:tcW w:w="836" w:type="dxa"/>
            <w:noWrap/>
            <w:vAlign w:val="bottom"/>
          </w:tcPr>
          <w:p w:rsidR="00000000" w:rsidRDefault="00000000">
            <w:pPr>
              <w:jc w:val="right"/>
              <w:rPr>
                <w:color w:val="000000"/>
                <w:sz w:val="18"/>
              </w:rPr>
            </w:pPr>
            <w:r>
              <w:rPr>
                <w:color w:val="000000"/>
                <w:sz w:val="18"/>
              </w:rPr>
              <w:t>12 105</w:t>
            </w:r>
          </w:p>
        </w:tc>
        <w:tc>
          <w:tcPr>
            <w:tcW w:w="848" w:type="dxa"/>
            <w:noWrap/>
            <w:vAlign w:val="bottom"/>
          </w:tcPr>
          <w:p w:rsidR="00000000" w:rsidRDefault="00000000">
            <w:pPr>
              <w:jc w:val="right"/>
              <w:rPr>
                <w:color w:val="000000"/>
                <w:sz w:val="18"/>
              </w:rPr>
            </w:pPr>
            <w:r>
              <w:rPr>
                <w:color w:val="000000"/>
                <w:sz w:val="18"/>
              </w:rPr>
              <w:t>55 489</w:t>
            </w:r>
          </w:p>
        </w:tc>
        <w:tc>
          <w:tcPr>
            <w:tcW w:w="848" w:type="dxa"/>
            <w:gridSpan w:val="2"/>
            <w:noWrap/>
            <w:vAlign w:val="bottom"/>
          </w:tcPr>
          <w:p w:rsidR="00000000" w:rsidRDefault="00000000">
            <w:pPr>
              <w:jc w:val="right"/>
              <w:rPr>
                <w:color w:val="000000"/>
                <w:sz w:val="18"/>
              </w:rPr>
            </w:pPr>
            <w:r>
              <w:rPr>
                <w:color w:val="000000"/>
                <w:sz w:val="18"/>
              </w:rPr>
              <w:t>33 035</w:t>
            </w:r>
          </w:p>
        </w:tc>
        <w:tc>
          <w:tcPr>
            <w:tcW w:w="848" w:type="dxa"/>
            <w:gridSpan w:val="2"/>
            <w:noWrap/>
            <w:vAlign w:val="bottom"/>
          </w:tcPr>
          <w:p w:rsidR="00000000" w:rsidRDefault="00000000">
            <w:pPr>
              <w:jc w:val="right"/>
              <w:rPr>
                <w:color w:val="000000"/>
                <w:sz w:val="18"/>
              </w:rPr>
            </w:pPr>
            <w:r>
              <w:rPr>
                <w:color w:val="000000"/>
                <w:sz w:val="18"/>
              </w:rPr>
              <w:t>22 454</w:t>
            </w:r>
          </w:p>
        </w:tc>
        <w:tc>
          <w:tcPr>
            <w:tcW w:w="848" w:type="dxa"/>
            <w:noWrap/>
            <w:vAlign w:val="bottom"/>
          </w:tcPr>
          <w:p w:rsidR="00000000" w:rsidRDefault="00000000">
            <w:pPr>
              <w:jc w:val="right"/>
              <w:rPr>
                <w:color w:val="000000"/>
                <w:sz w:val="18"/>
              </w:rPr>
            </w:pPr>
            <w:r>
              <w:rPr>
                <w:color w:val="000000"/>
                <w:sz w:val="18"/>
              </w:rPr>
              <w:t>68 703</w:t>
            </w:r>
          </w:p>
        </w:tc>
        <w:tc>
          <w:tcPr>
            <w:tcW w:w="848" w:type="dxa"/>
            <w:gridSpan w:val="2"/>
            <w:noWrap/>
            <w:vAlign w:val="bottom"/>
          </w:tcPr>
          <w:p w:rsidR="00000000" w:rsidRDefault="00000000">
            <w:pPr>
              <w:jc w:val="right"/>
              <w:rPr>
                <w:color w:val="000000"/>
                <w:sz w:val="18"/>
              </w:rPr>
            </w:pPr>
            <w:r>
              <w:rPr>
                <w:color w:val="000000"/>
                <w:sz w:val="18"/>
              </w:rPr>
              <w:t>36 417</w:t>
            </w:r>
          </w:p>
        </w:tc>
        <w:tc>
          <w:tcPr>
            <w:tcW w:w="848" w:type="dxa"/>
            <w:gridSpan w:val="2"/>
            <w:noWrap/>
            <w:vAlign w:val="bottom"/>
          </w:tcPr>
          <w:p w:rsidR="00000000" w:rsidRDefault="00000000">
            <w:pPr>
              <w:jc w:val="right"/>
              <w:rPr>
                <w:color w:val="000000"/>
                <w:sz w:val="18"/>
              </w:rPr>
            </w:pPr>
            <w:r>
              <w:rPr>
                <w:color w:val="000000"/>
                <w:sz w:val="18"/>
              </w:rPr>
              <w:t>32 286</w:t>
            </w:r>
          </w:p>
        </w:tc>
        <w:tc>
          <w:tcPr>
            <w:tcW w:w="837" w:type="dxa"/>
            <w:noWrap/>
            <w:vAlign w:val="bottom"/>
          </w:tcPr>
          <w:p w:rsidR="00000000" w:rsidRDefault="00000000">
            <w:pPr>
              <w:jc w:val="right"/>
              <w:rPr>
                <w:color w:val="000000"/>
                <w:sz w:val="18"/>
              </w:rPr>
            </w:pPr>
            <w:r>
              <w:rPr>
                <w:color w:val="000000"/>
                <w:sz w:val="18"/>
              </w:rPr>
              <w:t xml:space="preserve"> 52 434 </w:t>
            </w:r>
          </w:p>
        </w:tc>
        <w:tc>
          <w:tcPr>
            <w:tcW w:w="837" w:type="dxa"/>
            <w:gridSpan w:val="2"/>
            <w:noWrap/>
            <w:vAlign w:val="bottom"/>
          </w:tcPr>
          <w:p w:rsidR="00000000" w:rsidRDefault="00000000">
            <w:pPr>
              <w:jc w:val="right"/>
              <w:rPr>
                <w:color w:val="000000"/>
                <w:sz w:val="18"/>
              </w:rPr>
            </w:pPr>
            <w:r>
              <w:rPr>
                <w:color w:val="000000"/>
                <w:sz w:val="18"/>
              </w:rPr>
              <w:t xml:space="preserve"> 27 913 </w:t>
            </w:r>
          </w:p>
        </w:tc>
        <w:tc>
          <w:tcPr>
            <w:tcW w:w="844" w:type="dxa"/>
            <w:noWrap/>
            <w:vAlign w:val="bottom"/>
          </w:tcPr>
          <w:p w:rsidR="00000000" w:rsidRDefault="00000000">
            <w:pPr>
              <w:jc w:val="right"/>
              <w:rPr>
                <w:color w:val="000000"/>
                <w:sz w:val="18"/>
              </w:rPr>
            </w:pPr>
            <w:r>
              <w:rPr>
                <w:color w:val="000000"/>
                <w:sz w:val="18"/>
              </w:rPr>
              <w:t xml:space="preserve"> 24 521 </w:t>
            </w:r>
          </w:p>
        </w:tc>
      </w:tr>
      <w:tr w:rsidR="00000000">
        <w:trPr>
          <w:cantSplit/>
        </w:trPr>
        <w:tc>
          <w:tcPr>
            <w:tcW w:w="3380" w:type="dxa"/>
            <w:noWrap/>
            <w:vAlign w:val="bottom"/>
          </w:tcPr>
          <w:p w:rsidR="00000000" w:rsidRDefault="00000000">
            <w:pPr>
              <w:spacing w:before="20" w:after="20" w:line="240" w:lineRule="auto"/>
              <w:rPr>
                <w:sz w:val="16"/>
              </w:rPr>
            </w:pPr>
            <w:r>
              <w:rPr>
                <w:sz w:val="16"/>
              </w:rPr>
              <w:t>Скрытая безработица</w:t>
            </w:r>
          </w:p>
        </w:tc>
        <w:tc>
          <w:tcPr>
            <w:tcW w:w="838" w:type="dxa"/>
            <w:noWrap/>
            <w:vAlign w:val="bottom"/>
          </w:tcPr>
          <w:p w:rsidR="00000000" w:rsidRDefault="00000000">
            <w:pPr>
              <w:jc w:val="right"/>
              <w:rPr>
                <w:color w:val="000000"/>
                <w:sz w:val="18"/>
              </w:rPr>
            </w:pPr>
            <w:r>
              <w:rPr>
                <w:color w:val="000000"/>
                <w:sz w:val="18"/>
              </w:rPr>
              <w:t>14 068</w:t>
            </w:r>
          </w:p>
        </w:tc>
        <w:tc>
          <w:tcPr>
            <w:tcW w:w="835" w:type="dxa"/>
            <w:gridSpan w:val="2"/>
            <w:noWrap/>
            <w:vAlign w:val="bottom"/>
          </w:tcPr>
          <w:p w:rsidR="00000000" w:rsidRDefault="00000000">
            <w:pPr>
              <w:jc w:val="right"/>
              <w:rPr>
                <w:color w:val="000000"/>
                <w:sz w:val="18"/>
              </w:rPr>
            </w:pPr>
            <w:r>
              <w:rPr>
                <w:color w:val="000000"/>
                <w:sz w:val="18"/>
              </w:rPr>
              <w:t>2 928</w:t>
            </w:r>
          </w:p>
        </w:tc>
        <w:tc>
          <w:tcPr>
            <w:tcW w:w="836" w:type="dxa"/>
            <w:noWrap/>
            <w:vAlign w:val="bottom"/>
          </w:tcPr>
          <w:p w:rsidR="00000000" w:rsidRDefault="00000000">
            <w:pPr>
              <w:jc w:val="right"/>
              <w:rPr>
                <w:color w:val="000000"/>
                <w:sz w:val="18"/>
              </w:rPr>
            </w:pPr>
            <w:r>
              <w:rPr>
                <w:color w:val="000000"/>
                <w:sz w:val="18"/>
              </w:rPr>
              <w:t>11 140</w:t>
            </w:r>
          </w:p>
        </w:tc>
        <w:tc>
          <w:tcPr>
            <w:tcW w:w="848" w:type="dxa"/>
            <w:noWrap/>
            <w:vAlign w:val="bottom"/>
          </w:tcPr>
          <w:p w:rsidR="00000000" w:rsidRDefault="00000000">
            <w:pPr>
              <w:jc w:val="right"/>
              <w:rPr>
                <w:color w:val="000000"/>
                <w:sz w:val="18"/>
              </w:rPr>
            </w:pPr>
            <w:r>
              <w:rPr>
                <w:color w:val="000000"/>
                <w:sz w:val="18"/>
              </w:rPr>
              <w:t>62 735</w:t>
            </w:r>
          </w:p>
        </w:tc>
        <w:tc>
          <w:tcPr>
            <w:tcW w:w="848" w:type="dxa"/>
            <w:gridSpan w:val="2"/>
            <w:noWrap/>
            <w:vAlign w:val="bottom"/>
          </w:tcPr>
          <w:p w:rsidR="00000000" w:rsidRDefault="00000000">
            <w:pPr>
              <w:jc w:val="right"/>
              <w:rPr>
                <w:color w:val="000000"/>
                <w:sz w:val="18"/>
              </w:rPr>
            </w:pPr>
            <w:r>
              <w:rPr>
                <w:color w:val="000000"/>
                <w:sz w:val="18"/>
              </w:rPr>
              <w:t>12 308</w:t>
            </w:r>
          </w:p>
        </w:tc>
        <w:tc>
          <w:tcPr>
            <w:tcW w:w="848" w:type="dxa"/>
            <w:gridSpan w:val="2"/>
            <w:noWrap/>
            <w:vAlign w:val="bottom"/>
          </w:tcPr>
          <w:p w:rsidR="00000000" w:rsidRDefault="00000000">
            <w:pPr>
              <w:jc w:val="right"/>
              <w:rPr>
                <w:color w:val="000000"/>
                <w:sz w:val="18"/>
              </w:rPr>
            </w:pPr>
            <w:r>
              <w:rPr>
                <w:color w:val="000000"/>
                <w:sz w:val="18"/>
              </w:rPr>
              <w:t>50 427</w:t>
            </w:r>
          </w:p>
        </w:tc>
        <w:tc>
          <w:tcPr>
            <w:tcW w:w="848" w:type="dxa"/>
            <w:noWrap/>
            <w:vAlign w:val="bottom"/>
          </w:tcPr>
          <w:p w:rsidR="00000000" w:rsidRDefault="00000000">
            <w:pPr>
              <w:jc w:val="right"/>
              <w:rPr>
                <w:color w:val="000000"/>
                <w:sz w:val="18"/>
              </w:rPr>
            </w:pPr>
            <w:r>
              <w:rPr>
                <w:color w:val="000000"/>
                <w:sz w:val="18"/>
              </w:rPr>
              <w:t>31 453</w:t>
            </w:r>
          </w:p>
        </w:tc>
        <w:tc>
          <w:tcPr>
            <w:tcW w:w="848" w:type="dxa"/>
            <w:gridSpan w:val="2"/>
            <w:noWrap/>
            <w:vAlign w:val="bottom"/>
          </w:tcPr>
          <w:p w:rsidR="00000000" w:rsidRDefault="00000000">
            <w:pPr>
              <w:jc w:val="right"/>
              <w:rPr>
                <w:color w:val="000000"/>
                <w:sz w:val="18"/>
              </w:rPr>
            </w:pPr>
            <w:r>
              <w:rPr>
                <w:color w:val="000000"/>
                <w:sz w:val="18"/>
              </w:rPr>
              <w:t>8 483</w:t>
            </w:r>
          </w:p>
        </w:tc>
        <w:tc>
          <w:tcPr>
            <w:tcW w:w="848" w:type="dxa"/>
            <w:gridSpan w:val="2"/>
            <w:noWrap/>
            <w:vAlign w:val="bottom"/>
          </w:tcPr>
          <w:p w:rsidR="00000000" w:rsidRDefault="00000000">
            <w:pPr>
              <w:jc w:val="right"/>
              <w:rPr>
                <w:color w:val="000000"/>
                <w:sz w:val="18"/>
              </w:rPr>
            </w:pPr>
            <w:r>
              <w:rPr>
                <w:color w:val="000000"/>
                <w:sz w:val="18"/>
              </w:rPr>
              <w:t>22 970</w:t>
            </w:r>
          </w:p>
        </w:tc>
        <w:tc>
          <w:tcPr>
            <w:tcW w:w="837" w:type="dxa"/>
            <w:noWrap/>
            <w:vAlign w:val="bottom"/>
          </w:tcPr>
          <w:p w:rsidR="00000000" w:rsidRDefault="00000000">
            <w:pPr>
              <w:jc w:val="right"/>
              <w:rPr>
                <w:color w:val="000000"/>
                <w:sz w:val="18"/>
              </w:rPr>
            </w:pPr>
            <w:r>
              <w:rPr>
                <w:color w:val="000000"/>
                <w:sz w:val="18"/>
              </w:rPr>
              <w:t>38 915</w:t>
            </w:r>
          </w:p>
        </w:tc>
        <w:tc>
          <w:tcPr>
            <w:tcW w:w="837" w:type="dxa"/>
            <w:gridSpan w:val="2"/>
            <w:noWrap/>
            <w:vAlign w:val="bottom"/>
          </w:tcPr>
          <w:p w:rsidR="00000000" w:rsidRDefault="00000000">
            <w:pPr>
              <w:jc w:val="right"/>
              <w:rPr>
                <w:color w:val="000000"/>
                <w:sz w:val="18"/>
              </w:rPr>
            </w:pPr>
            <w:r>
              <w:rPr>
                <w:color w:val="000000"/>
                <w:sz w:val="18"/>
              </w:rPr>
              <w:t>15 457</w:t>
            </w:r>
          </w:p>
        </w:tc>
        <w:tc>
          <w:tcPr>
            <w:tcW w:w="844" w:type="dxa"/>
            <w:noWrap/>
            <w:vAlign w:val="bottom"/>
          </w:tcPr>
          <w:p w:rsidR="00000000" w:rsidRDefault="00000000">
            <w:pPr>
              <w:jc w:val="right"/>
              <w:rPr>
                <w:color w:val="000000"/>
                <w:sz w:val="18"/>
              </w:rPr>
            </w:pPr>
            <w:r>
              <w:rPr>
                <w:color w:val="000000"/>
                <w:sz w:val="18"/>
              </w:rPr>
              <w:t>23 458</w:t>
            </w:r>
          </w:p>
        </w:tc>
      </w:tr>
      <w:tr w:rsidR="00000000">
        <w:trPr>
          <w:cantSplit/>
        </w:trPr>
        <w:tc>
          <w:tcPr>
            <w:tcW w:w="3380" w:type="dxa"/>
            <w:noWrap/>
            <w:vAlign w:val="bottom"/>
          </w:tcPr>
          <w:p w:rsidR="00000000" w:rsidRDefault="00000000">
            <w:pPr>
              <w:spacing w:before="20" w:after="20" w:line="240" w:lineRule="auto"/>
              <w:rPr>
                <w:sz w:val="16"/>
              </w:rPr>
            </w:pPr>
            <w:r>
              <w:rPr>
                <w:sz w:val="16"/>
              </w:rPr>
              <w:t>Неполностью занятое население</w:t>
            </w:r>
          </w:p>
        </w:tc>
        <w:tc>
          <w:tcPr>
            <w:tcW w:w="838" w:type="dxa"/>
            <w:noWrap/>
            <w:vAlign w:val="bottom"/>
          </w:tcPr>
          <w:p w:rsidR="00000000" w:rsidRDefault="00000000">
            <w:pPr>
              <w:jc w:val="right"/>
              <w:rPr>
                <w:color w:val="000000"/>
                <w:sz w:val="18"/>
              </w:rPr>
            </w:pPr>
            <w:r>
              <w:rPr>
                <w:color w:val="000000"/>
                <w:sz w:val="18"/>
              </w:rPr>
              <w:t>163 421</w:t>
            </w:r>
          </w:p>
        </w:tc>
        <w:tc>
          <w:tcPr>
            <w:tcW w:w="835" w:type="dxa"/>
            <w:gridSpan w:val="2"/>
            <w:noWrap/>
            <w:vAlign w:val="bottom"/>
          </w:tcPr>
          <w:p w:rsidR="00000000" w:rsidRDefault="00000000">
            <w:pPr>
              <w:jc w:val="right"/>
              <w:rPr>
                <w:color w:val="000000"/>
                <w:sz w:val="18"/>
              </w:rPr>
            </w:pPr>
            <w:r>
              <w:rPr>
                <w:color w:val="000000"/>
                <w:sz w:val="18"/>
              </w:rPr>
              <w:t>85 261</w:t>
            </w:r>
          </w:p>
        </w:tc>
        <w:tc>
          <w:tcPr>
            <w:tcW w:w="836" w:type="dxa"/>
            <w:noWrap/>
            <w:vAlign w:val="bottom"/>
          </w:tcPr>
          <w:p w:rsidR="00000000" w:rsidRDefault="00000000">
            <w:pPr>
              <w:jc w:val="right"/>
              <w:rPr>
                <w:color w:val="000000"/>
                <w:sz w:val="18"/>
              </w:rPr>
            </w:pPr>
            <w:r>
              <w:rPr>
                <w:color w:val="000000"/>
                <w:sz w:val="18"/>
              </w:rPr>
              <w:t>78 160</w:t>
            </w:r>
          </w:p>
        </w:tc>
        <w:tc>
          <w:tcPr>
            <w:tcW w:w="848" w:type="dxa"/>
            <w:noWrap/>
            <w:vAlign w:val="bottom"/>
          </w:tcPr>
          <w:p w:rsidR="00000000" w:rsidRDefault="00000000">
            <w:pPr>
              <w:jc w:val="right"/>
              <w:rPr>
                <w:color w:val="000000"/>
                <w:sz w:val="18"/>
              </w:rPr>
            </w:pPr>
            <w:r>
              <w:rPr>
                <w:color w:val="000000"/>
                <w:sz w:val="18"/>
              </w:rPr>
              <w:t>164 197</w:t>
            </w:r>
          </w:p>
        </w:tc>
        <w:tc>
          <w:tcPr>
            <w:tcW w:w="848" w:type="dxa"/>
            <w:gridSpan w:val="2"/>
            <w:noWrap/>
            <w:vAlign w:val="bottom"/>
          </w:tcPr>
          <w:p w:rsidR="00000000" w:rsidRDefault="00000000">
            <w:pPr>
              <w:jc w:val="right"/>
              <w:rPr>
                <w:color w:val="000000"/>
                <w:sz w:val="18"/>
              </w:rPr>
            </w:pPr>
            <w:r>
              <w:rPr>
                <w:color w:val="000000"/>
                <w:sz w:val="18"/>
              </w:rPr>
              <w:t>81 525</w:t>
            </w:r>
          </w:p>
        </w:tc>
        <w:tc>
          <w:tcPr>
            <w:tcW w:w="848" w:type="dxa"/>
            <w:gridSpan w:val="2"/>
            <w:noWrap/>
            <w:vAlign w:val="bottom"/>
          </w:tcPr>
          <w:p w:rsidR="00000000" w:rsidRDefault="00000000">
            <w:pPr>
              <w:jc w:val="right"/>
              <w:rPr>
                <w:color w:val="000000"/>
                <w:sz w:val="18"/>
              </w:rPr>
            </w:pPr>
            <w:r>
              <w:rPr>
                <w:color w:val="000000"/>
                <w:sz w:val="18"/>
              </w:rPr>
              <w:t>82 673</w:t>
            </w:r>
          </w:p>
        </w:tc>
        <w:tc>
          <w:tcPr>
            <w:tcW w:w="848" w:type="dxa"/>
            <w:noWrap/>
            <w:vAlign w:val="bottom"/>
          </w:tcPr>
          <w:p w:rsidR="00000000" w:rsidRDefault="00000000">
            <w:pPr>
              <w:jc w:val="right"/>
              <w:rPr>
                <w:color w:val="000000"/>
                <w:sz w:val="18"/>
              </w:rPr>
            </w:pPr>
            <w:r>
              <w:rPr>
                <w:color w:val="000000"/>
                <w:sz w:val="18"/>
              </w:rPr>
              <w:t>280 790</w:t>
            </w:r>
          </w:p>
        </w:tc>
        <w:tc>
          <w:tcPr>
            <w:tcW w:w="848" w:type="dxa"/>
            <w:gridSpan w:val="2"/>
            <w:noWrap/>
            <w:vAlign w:val="bottom"/>
          </w:tcPr>
          <w:p w:rsidR="00000000" w:rsidRDefault="00000000">
            <w:pPr>
              <w:jc w:val="right"/>
              <w:rPr>
                <w:color w:val="000000"/>
                <w:sz w:val="18"/>
              </w:rPr>
            </w:pPr>
            <w:r>
              <w:rPr>
                <w:color w:val="000000"/>
                <w:sz w:val="18"/>
              </w:rPr>
              <w:t>142 771</w:t>
            </w:r>
          </w:p>
        </w:tc>
        <w:tc>
          <w:tcPr>
            <w:tcW w:w="848" w:type="dxa"/>
            <w:gridSpan w:val="2"/>
            <w:noWrap/>
            <w:vAlign w:val="bottom"/>
          </w:tcPr>
          <w:p w:rsidR="00000000" w:rsidRDefault="00000000">
            <w:pPr>
              <w:jc w:val="right"/>
              <w:rPr>
                <w:color w:val="000000"/>
                <w:sz w:val="18"/>
              </w:rPr>
            </w:pPr>
            <w:r>
              <w:rPr>
                <w:color w:val="000000"/>
                <w:sz w:val="18"/>
              </w:rPr>
              <w:t>138 019</w:t>
            </w:r>
          </w:p>
        </w:tc>
        <w:tc>
          <w:tcPr>
            <w:tcW w:w="837" w:type="dxa"/>
            <w:noWrap/>
            <w:vAlign w:val="bottom"/>
          </w:tcPr>
          <w:p w:rsidR="00000000" w:rsidRDefault="00000000">
            <w:pPr>
              <w:jc w:val="right"/>
              <w:rPr>
                <w:color w:val="000000"/>
                <w:sz w:val="18"/>
              </w:rPr>
            </w:pPr>
            <w:r>
              <w:rPr>
                <w:color w:val="000000"/>
                <w:sz w:val="18"/>
              </w:rPr>
              <w:t>307 205</w:t>
            </w:r>
          </w:p>
        </w:tc>
        <w:tc>
          <w:tcPr>
            <w:tcW w:w="837" w:type="dxa"/>
            <w:gridSpan w:val="2"/>
            <w:noWrap/>
            <w:vAlign w:val="bottom"/>
          </w:tcPr>
          <w:p w:rsidR="00000000" w:rsidRDefault="00000000">
            <w:pPr>
              <w:jc w:val="right"/>
              <w:rPr>
                <w:color w:val="000000"/>
                <w:sz w:val="18"/>
              </w:rPr>
            </w:pPr>
            <w:r>
              <w:rPr>
                <w:color w:val="000000"/>
                <w:sz w:val="18"/>
              </w:rPr>
              <w:t>151 976</w:t>
            </w:r>
          </w:p>
        </w:tc>
        <w:tc>
          <w:tcPr>
            <w:tcW w:w="844" w:type="dxa"/>
            <w:noWrap/>
            <w:vAlign w:val="bottom"/>
          </w:tcPr>
          <w:p w:rsidR="00000000" w:rsidRDefault="00000000">
            <w:pPr>
              <w:jc w:val="right"/>
              <w:rPr>
                <w:color w:val="000000"/>
                <w:sz w:val="18"/>
              </w:rPr>
            </w:pPr>
            <w:r>
              <w:rPr>
                <w:color w:val="000000"/>
                <w:sz w:val="18"/>
              </w:rPr>
              <w:t>155 229</w:t>
            </w:r>
          </w:p>
        </w:tc>
      </w:tr>
      <w:tr w:rsidR="00000000">
        <w:trPr>
          <w:cantSplit/>
        </w:trPr>
        <w:tc>
          <w:tcPr>
            <w:tcW w:w="3380" w:type="dxa"/>
            <w:noWrap/>
            <w:vAlign w:val="bottom"/>
          </w:tcPr>
          <w:p w:rsidR="00000000" w:rsidRDefault="00000000">
            <w:pPr>
              <w:spacing w:before="20" w:after="20" w:line="240" w:lineRule="auto"/>
              <w:rPr>
                <w:sz w:val="16"/>
              </w:rPr>
            </w:pPr>
            <w:r>
              <w:rPr>
                <w:sz w:val="16"/>
              </w:rPr>
              <w:t>Видимая неполная занятость</w:t>
            </w:r>
          </w:p>
        </w:tc>
        <w:tc>
          <w:tcPr>
            <w:tcW w:w="838" w:type="dxa"/>
            <w:noWrap/>
            <w:vAlign w:val="bottom"/>
          </w:tcPr>
          <w:p w:rsidR="00000000" w:rsidRDefault="00000000">
            <w:pPr>
              <w:jc w:val="right"/>
              <w:rPr>
                <w:color w:val="000000"/>
                <w:sz w:val="18"/>
              </w:rPr>
            </w:pPr>
            <w:r>
              <w:rPr>
                <w:color w:val="000000"/>
                <w:sz w:val="18"/>
              </w:rPr>
              <w:t>69 941</w:t>
            </w:r>
          </w:p>
        </w:tc>
        <w:tc>
          <w:tcPr>
            <w:tcW w:w="835" w:type="dxa"/>
            <w:gridSpan w:val="2"/>
            <w:noWrap/>
            <w:vAlign w:val="bottom"/>
          </w:tcPr>
          <w:p w:rsidR="00000000" w:rsidRDefault="00000000">
            <w:pPr>
              <w:jc w:val="right"/>
              <w:rPr>
                <w:color w:val="000000"/>
                <w:sz w:val="18"/>
              </w:rPr>
            </w:pPr>
            <w:r>
              <w:rPr>
                <w:color w:val="000000"/>
                <w:sz w:val="18"/>
              </w:rPr>
              <w:t>26 201</w:t>
            </w:r>
          </w:p>
        </w:tc>
        <w:tc>
          <w:tcPr>
            <w:tcW w:w="836" w:type="dxa"/>
            <w:noWrap/>
            <w:vAlign w:val="bottom"/>
          </w:tcPr>
          <w:p w:rsidR="00000000" w:rsidRDefault="00000000">
            <w:pPr>
              <w:jc w:val="right"/>
              <w:rPr>
                <w:color w:val="000000"/>
                <w:sz w:val="18"/>
              </w:rPr>
            </w:pPr>
            <w:r>
              <w:rPr>
                <w:color w:val="000000"/>
                <w:sz w:val="18"/>
              </w:rPr>
              <w:t>43 740</w:t>
            </w:r>
          </w:p>
        </w:tc>
        <w:tc>
          <w:tcPr>
            <w:tcW w:w="848" w:type="dxa"/>
            <w:noWrap/>
            <w:vAlign w:val="bottom"/>
          </w:tcPr>
          <w:p w:rsidR="00000000" w:rsidRDefault="00000000">
            <w:pPr>
              <w:jc w:val="right"/>
              <w:rPr>
                <w:color w:val="000000"/>
                <w:sz w:val="18"/>
              </w:rPr>
            </w:pPr>
            <w:r>
              <w:rPr>
                <w:color w:val="000000"/>
                <w:sz w:val="18"/>
              </w:rPr>
              <w:t>66 441</w:t>
            </w:r>
          </w:p>
        </w:tc>
        <w:tc>
          <w:tcPr>
            <w:tcW w:w="848" w:type="dxa"/>
            <w:gridSpan w:val="2"/>
            <w:noWrap/>
            <w:vAlign w:val="bottom"/>
          </w:tcPr>
          <w:p w:rsidR="00000000" w:rsidRDefault="00000000">
            <w:pPr>
              <w:jc w:val="right"/>
              <w:rPr>
                <w:color w:val="000000"/>
                <w:sz w:val="18"/>
              </w:rPr>
            </w:pPr>
            <w:r>
              <w:rPr>
                <w:color w:val="000000"/>
                <w:sz w:val="18"/>
              </w:rPr>
              <w:t>18 933</w:t>
            </w:r>
          </w:p>
        </w:tc>
        <w:tc>
          <w:tcPr>
            <w:tcW w:w="848" w:type="dxa"/>
            <w:gridSpan w:val="2"/>
            <w:noWrap/>
            <w:vAlign w:val="bottom"/>
          </w:tcPr>
          <w:p w:rsidR="00000000" w:rsidRDefault="00000000">
            <w:pPr>
              <w:jc w:val="right"/>
              <w:rPr>
                <w:color w:val="000000"/>
                <w:sz w:val="18"/>
              </w:rPr>
            </w:pPr>
            <w:r>
              <w:rPr>
                <w:color w:val="000000"/>
                <w:sz w:val="18"/>
              </w:rPr>
              <w:t>47 508</w:t>
            </w:r>
          </w:p>
        </w:tc>
        <w:tc>
          <w:tcPr>
            <w:tcW w:w="848" w:type="dxa"/>
            <w:noWrap/>
            <w:vAlign w:val="bottom"/>
          </w:tcPr>
          <w:p w:rsidR="00000000" w:rsidRDefault="00000000">
            <w:pPr>
              <w:jc w:val="right"/>
              <w:rPr>
                <w:color w:val="000000"/>
                <w:sz w:val="18"/>
              </w:rPr>
            </w:pPr>
            <w:r>
              <w:rPr>
                <w:color w:val="000000"/>
                <w:sz w:val="18"/>
              </w:rPr>
              <w:t>106 954</w:t>
            </w:r>
          </w:p>
        </w:tc>
        <w:tc>
          <w:tcPr>
            <w:tcW w:w="848" w:type="dxa"/>
            <w:gridSpan w:val="2"/>
            <w:noWrap/>
            <w:vAlign w:val="bottom"/>
          </w:tcPr>
          <w:p w:rsidR="00000000" w:rsidRDefault="00000000">
            <w:pPr>
              <w:jc w:val="right"/>
              <w:rPr>
                <w:color w:val="000000"/>
                <w:sz w:val="18"/>
              </w:rPr>
            </w:pPr>
            <w:r>
              <w:rPr>
                <w:color w:val="000000"/>
                <w:sz w:val="18"/>
              </w:rPr>
              <w:t>36 105</w:t>
            </w:r>
          </w:p>
        </w:tc>
        <w:tc>
          <w:tcPr>
            <w:tcW w:w="848" w:type="dxa"/>
            <w:gridSpan w:val="2"/>
            <w:noWrap/>
            <w:vAlign w:val="bottom"/>
          </w:tcPr>
          <w:p w:rsidR="00000000" w:rsidRDefault="00000000">
            <w:pPr>
              <w:jc w:val="right"/>
              <w:rPr>
                <w:color w:val="000000"/>
                <w:sz w:val="18"/>
              </w:rPr>
            </w:pPr>
            <w:r>
              <w:rPr>
                <w:color w:val="000000"/>
                <w:sz w:val="18"/>
              </w:rPr>
              <w:t>70 849</w:t>
            </w:r>
          </w:p>
        </w:tc>
        <w:tc>
          <w:tcPr>
            <w:tcW w:w="837" w:type="dxa"/>
            <w:noWrap/>
            <w:vAlign w:val="bottom"/>
          </w:tcPr>
          <w:p w:rsidR="00000000" w:rsidRDefault="00000000">
            <w:pPr>
              <w:jc w:val="right"/>
              <w:rPr>
                <w:color w:val="000000"/>
                <w:sz w:val="18"/>
              </w:rPr>
            </w:pPr>
            <w:r>
              <w:rPr>
                <w:color w:val="000000"/>
                <w:sz w:val="18"/>
              </w:rPr>
              <w:t>99 212</w:t>
            </w:r>
          </w:p>
        </w:tc>
        <w:tc>
          <w:tcPr>
            <w:tcW w:w="837" w:type="dxa"/>
            <w:gridSpan w:val="2"/>
            <w:noWrap/>
            <w:vAlign w:val="bottom"/>
          </w:tcPr>
          <w:p w:rsidR="00000000" w:rsidRDefault="00000000">
            <w:pPr>
              <w:jc w:val="right"/>
              <w:rPr>
                <w:color w:val="000000"/>
                <w:sz w:val="18"/>
              </w:rPr>
            </w:pPr>
            <w:r>
              <w:rPr>
                <w:color w:val="000000"/>
                <w:sz w:val="18"/>
              </w:rPr>
              <w:t>29 934</w:t>
            </w:r>
          </w:p>
        </w:tc>
        <w:tc>
          <w:tcPr>
            <w:tcW w:w="844" w:type="dxa"/>
            <w:noWrap/>
            <w:vAlign w:val="bottom"/>
          </w:tcPr>
          <w:p w:rsidR="00000000" w:rsidRDefault="00000000">
            <w:pPr>
              <w:jc w:val="right"/>
              <w:rPr>
                <w:color w:val="000000"/>
                <w:sz w:val="18"/>
              </w:rPr>
            </w:pPr>
            <w:r>
              <w:rPr>
                <w:color w:val="000000"/>
                <w:sz w:val="18"/>
              </w:rPr>
              <w:t>69 278</w:t>
            </w:r>
          </w:p>
        </w:tc>
      </w:tr>
      <w:tr w:rsidR="00000000">
        <w:trPr>
          <w:cantSplit/>
        </w:trPr>
        <w:tc>
          <w:tcPr>
            <w:tcW w:w="3380" w:type="dxa"/>
            <w:noWrap/>
            <w:vAlign w:val="bottom"/>
          </w:tcPr>
          <w:p w:rsidR="00000000" w:rsidRDefault="00000000">
            <w:pPr>
              <w:spacing w:before="20" w:after="20" w:line="240" w:lineRule="auto"/>
              <w:rPr>
                <w:sz w:val="16"/>
              </w:rPr>
            </w:pPr>
            <w:r>
              <w:rPr>
                <w:sz w:val="16"/>
              </w:rPr>
              <w:t>Невидимая неполная занятость</w:t>
            </w:r>
          </w:p>
        </w:tc>
        <w:tc>
          <w:tcPr>
            <w:tcW w:w="838" w:type="dxa"/>
            <w:noWrap/>
            <w:vAlign w:val="bottom"/>
          </w:tcPr>
          <w:p w:rsidR="00000000" w:rsidRDefault="00000000">
            <w:pPr>
              <w:jc w:val="right"/>
              <w:rPr>
                <w:color w:val="000000"/>
                <w:sz w:val="18"/>
              </w:rPr>
            </w:pPr>
            <w:r>
              <w:rPr>
                <w:color w:val="000000"/>
                <w:sz w:val="18"/>
              </w:rPr>
              <w:t>93 480</w:t>
            </w:r>
          </w:p>
        </w:tc>
        <w:tc>
          <w:tcPr>
            <w:tcW w:w="835" w:type="dxa"/>
            <w:gridSpan w:val="2"/>
            <w:noWrap/>
            <w:vAlign w:val="bottom"/>
          </w:tcPr>
          <w:p w:rsidR="00000000" w:rsidRDefault="00000000">
            <w:pPr>
              <w:jc w:val="right"/>
              <w:rPr>
                <w:color w:val="000000"/>
                <w:sz w:val="18"/>
              </w:rPr>
            </w:pPr>
            <w:r>
              <w:rPr>
                <w:color w:val="000000"/>
                <w:sz w:val="18"/>
              </w:rPr>
              <w:t>59 059</w:t>
            </w:r>
          </w:p>
        </w:tc>
        <w:tc>
          <w:tcPr>
            <w:tcW w:w="836" w:type="dxa"/>
            <w:noWrap/>
            <w:vAlign w:val="bottom"/>
          </w:tcPr>
          <w:p w:rsidR="00000000" w:rsidRDefault="00000000">
            <w:pPr>
              <w:jc w:val="right"/>
              <w:rPr>
                <w:color w:val="000000"/>
                <w:sz w:val="18"/>
              </w:rPr>
            </w:pPr>
            <w:r>
              <w:rPr>
                <w:color w:val="000000"/>
                <w:sz w:val="18"/>
              </w:rPr>
              <w:t>34 421</w:t>
            </w:r>
          </w:p>
        </w:tc>
        <w:tc>
          <w:tcPr>
            <w:tcW w:w="848" w:type="dxa"/>
            <w:noWrap/>
            <w:vAlign w:val="bottom"/>
          </w:tcPr>
          <w:p w:rsidR="00000000" w:rsidRDefault="00000000">
            <w:pPr>
              <w:jc w:val="right"/>
              <w:rPr>
                <w:color w:val="000000"/>
                <w:sz w:val="18"/>
              </w:rPr>
            </w:pPr>
            <w:r>
              <w:rPr>
                <w:color w:val="000000"/>
                <w:sz w:val="18"/>
              </w:rPr>
              <w:t>97 756</w:t>
            </w:r>
          </w:p>
        </w:tc>
        <w:tc>
          <w:tcPr>
            <w:tcW w:w="848" w:type="dxa"/>
            <w:gridSpan w:val="2"/>
            <w:noWrap/>
            <w:vAlign w:val="bottom"/>
          </w:tcPr>
          <w:p w:rsidR="00000000" w:rsidRDefault="00000000">
            <w:pPr>
              <w:jc w:val="right"/>
              <w:rPr>
                <w:color w:val="000000"/>
                <w:sz w:val="18"/>
              </w:rPr>
            </w:pPr>
            <w:r>
              <w:rPr>
                <w:color w:val="000000"/>
                <w:sz w:val="18"/>
              </w:rPr>
              <w:t>62 591</w:t>
            </w:r>
          </w:p>
        </w:tc>
        <w:tc>
          <w:tcPr>
            <w:tcW w:w="848" w:type="dxa"/>
            <w:gridSpan w:val="2"/>
            <w:noWrap/>
            <w:vAlign w:val="bottom"/>
          </w:tcPr>
          <w:p w:rsidR="00000000" w:rsidRDefault="00000000">
            <w:pPr>
              <w:jc w:val="right"/>
              <w:rPr>
                <w:color w:val="000000"/>
                <w:sz w:val="18"/>
              </w:rPr>
            </w:pPr>
            <w:r>
              <w:rPr>
                <w:color w:val="000000"/>
                <w:sz w:val="18"/>
              </w:rPr>
              <w:t>35 165</w:t>
            </w:r>
          </w:p>
        </w:tc>
        <w:tc>
          <w:tcPr>
            <w:tcW w:w="848" w:type="dxa"/>
            <w:noWrap/>
            <w:vAlign w:val="bottom"/>
          </w:tcPr>
          <w:p w:rsidR="00000000" w:rsidRDefault="00000000">
            <w:pPr>
              <w:jc w:val="right"/>
              <w:rPr>
                <w:color w:val="000000"/>
                <w:sz w:val="18"/>
              </w:rPr>
            </w:pPr>
            <w:r>
              <w:rPr>
                <w:color w:val="000000"/>
                <w:sz w:val="18"/>
              </w:rPr>
              <w:t>173 836</w:t>
            </w:r>
          </w:p>
        </w:tc>
        <w:tc>
          <w:tcPr>
            <w:tcW w:w="848" w:type="dxa"/>
            <w:gridSpan w:val="2"/>
            <w:noWrap/>
            <w:vAlign w:val="bottom"/>
          </w:tcPr>
          <w:p w:rsidR="00000000" w:rsidRDefault="00000000">
            <w:pPr>
              <w:jc w:val="right"/>
              <w:rPr>
                <w:color w:val="000000"/>
                <w:sz w:val="18"/>
              </w:rPr>
            </w:pPr>
            <w:r>
              <w:rPr>
                <w:color w:val="000000"/>
                <w:sz w:val="18"/>
              </w:rPr>
              <w:t>106 666</w:t>
            </w:r>
          </w:p>
        </w:tc>
        <w:tc>
          <w:tcPr>
            <w:tcW w:w="848" w:type="dxa"/>
            <w:gridSpan w:val="2"/>
            <w:noWrap/>
            <w:vAlign w:val="bottom"/>
          </w:tcPr>
          <w:p w:rsidR="00000000" w:rsidRDefault="00000000">
            <w:pPr>
              <w:jc w:val="right"/>
              <w:rPr>
                <w:color w:val="000000"/>
                <w:sz w:val="18"/>
              </w:rPr>
            </w:pPr>
            <w:r>
              <w:rPr>
                <w:color w:val="000000"/>
                <w:sz w:val="18"/>
              </w:rPr>
              <w:t>67 170</w:t>
            </w:r>
          </w:p>
        </w:tc>
        <w:tc>
          <w:tcPr>
            <w:tcW w:w="837" w:type="dxa"/>
            <w:noWrap/>
            <w:vAlign w:val="bottom"/>
          </w:tcPr>
          <w:p w:rsidR="00000000" w:rsidRDefault="00000000">
            <w:pPr>
              <w:jc w:val="right"/>
              <w:rPr>
                <w:color w:val="000000"/>
                <w:sz w:val="18"/>
              </w:rPr>
            </w:pPr>
            <w:r>
              <w:rPr>
                <w:color w:val="000000"/>
                <w:sz w:val="18"/>
              </w:rPr>
              <w:t>207 993</w:t>
            </w:r>
          </w:p>
        </w:tc>
        <w:tc>
          <w:tcPr>
            <w:tcW w:w="837" w:type="dxa"/>
            <w:gridSpan w:val="2"/>
            <w:noWrap/>
            <w:vAlign w:val="bottom"/>
          </w:tcPr>
          <w:p w:rsidR="00000000" w:rsidRDefault="00000000">
            <w:pPr>
              <w:jc w:val="right"/>
              <w:rPr>
                <w:color w:val="000000"/>
                <w:sz w:val="18"/>
              </w:rPr>
            </w:pPr>
            <w:r>
              <w:rPr>
                <w:color w:val="000000"/>
                <w:sz w:val="18"/>
              </w:rPr>
              <w:t>122 042</w:t>
            </w:r>
          </w:p>
        </w:tc>
        <w:tc>
          <w:tcPr>
            <w:tcW w:w="844" w:type="dxa"/>
            <w:noWrap/>
            <w:vAlign w:val="bottom"/>
          </w:tcPr>
          <w:p w:rsidR="00000000" w:rsidRDefault="00000000">
            <w:pPr>
              <w:jc w:val="right"/>
              <w:rPr>
                <w:color w:val="000000"/>
                <w:sz w:val="18"/>
              </w:rPr>
            </w:pPr>
            <w:r>
              <w:rPr>
                <w:color w:val="000000"/>
                <w:sz w:val="18"/>
              </w:rPr>
              <w:t>85 951</w:t>
            </w:r>
          </w:p>
        </w:tc>
      </w:tr>
      <w:tr w:rsidR="00000000">
        <w:trPr>
          <w:cantSplit/>
        </w:trPr>
        <w:tc>
          <w:tcPr>
            <w:tcW w:w="3380" w:type="dxa"/>
            <w:noWrap/>
            <w:vAlign w:val="bottom"/>
          </w:tcPr>
          <w:p w:rsidR="00000000" w:rsidRDefault="00000000">
            <w:pPr>
              <w:spacing w:before="20" w:after="20" w:line="240" w:lineRule="auto"/>
              <w:rPr>
                <w:b/>
                <w:bCs/>
                <w:sz w:val="16"/>
              </w:rPr>
            </w:pPr>
            <w:r>
              <w:rPr>
                <w:b/>
                <w:bCs/>
                <w:sz w:val="16"/>
              </w:rPr>
              <w:t>Общая численность населения</w:t>
            </w:r>
          </w:p>
        </w:tc>
        <w:tc>
          <w:tcPr>
            <w:tcW w:w="838" w:type="dxa"/>
            <w:noWrap/>
            <w:vAlign w:val="bottom"/>
          </w:tcPr>
          <w:p w:rsidR="00000000" w:rsidRDefault="00000000">
            <w:pPr>
              <w:jc w:val="right"/>
              <w:rPr>
                <w:b/>
                <w:bCs/>
                <w:color w:val="000000"/>
                <w:sz w:val="18"/>
              </w:rPr>
            </w:pPr>
            <w:r>
              <w:rPr>
                <w:b/>
                <w:bCs/>
                <w:color w:val="000000"/>
                <w:sz w:val="18"/>
              </w:rPr>
              <w:t>1 615 592</w:t>
            </w:r>
          </w:p>
        </w:tc>
        <w:tc>
          <w:tcPr>
            <w:tcW w:w="835" w:type="dxa"/>
            <w:gridSpan w:val="2"/>
            <w:noWrap/>
            <w:vAlign w:val="bottom"/>
          </w:tcPr>
          <w:p w:rsidR="00000000" w:rsidRDefault="00000000">
            <w:pPr>
              <w:jc w:val="right"/>
              <w:rPr>
                <w:b/>
                <w:bCs/>
                <w:color w:val="000000"/>
                <w:sz w:val="18"/>
              </w:rPr>
            </w:pPr>
            <w:r>
              <w:rPr>
                <w:b/>
                <w:bCs/>
                <w:color w:val="000000"/>
                <w:sz w:val="18"/>
              </w:rPr>
              <w:t>797 411</w:t>
            </w:r>
          </w:p>
        </w:tc>
        <w:tc>
          <w:tcPr>
            <w:tcW w:w="836" w:type="dxa"/>
            <w:noWrap/>
            <w:vAlign w:val="bottom"/>
          </w:tcPr>
          <w:p w:rsidR="00000000" w:rsidRDefault="00000000">
            <w:pPr>
              <w:jc w:val="right"/>
              <w:rPr>
                <w:b/>
                <w:bCs/>
                <w:color w:val="000000"/>
                <w:sz w:val="18"/>
              </w:rPr>
            </w:pPr>
            <w:r>
              <w:rPr>
                <w:b/>
                <w:bCs/>
                <w:color w:val="000000"/>
                <w:sz w:val="18"/>
              </w:rPr>
              <w:t>818 181</w:t>
            </w:r>
          </w:p>
        </w:tc>
        <w:tc>
          <w:tcPr>
            <w:tcW w:w="848" w:type="dxa"/>
            <w:noWrap/>
            <w:vAlign w:val="bottom"/>
          </w:tcPr>
          <w:p w:rsidR="00000000" w:rsidRDefault="00000000">
            <w:pPr>
              <w:jc w:val="right"/>
              <w:rPr>
                <w:b/>
                <w:bCs/>
                <w:color w:val="000000"/>
                <w:sz w:val="18"/>
              </w:rPr>
            </w:pPr>
            <w:r>
              <w:rPr>
                <w:b/>
                <w:bCs/>
                <w:color w:val="000000"/>
                <w:sz w:val="18"/>
              </w:rPr>
              <w:t>1 788 489</w:t>
            </w:r>
          </w:p>
        </w:tc>
        <w:tc>
          <w:tcPr>
            <w:tcW w:w="848" w:type="dxa"/>
            <w:gridSpan w:val="2"/>
            <w:noWrap/>
            <w:vAlign w:val="bottom"/>
          </w:tcPr>
          <w:p w:rsidR="00000000" w:rsidRDefault="00000000">
            <w:pPr>
              <w:jc w:val="right"/>
              <w:rPr>
                <w:b/>
                <w:bCs/>
                <w:color w:val="000000"/>
                <w:sz w:val="18"/>
              </w:rPr>
            </w:pPr>
            <w:r>
              <w:rPr>
                <w:b/>
                <w:bCs/>
                <w:color w:val="000000"/>
                <w:sz w:val="18"/>
              </w:rPr>
              <w:t>868 698</w:t>
            </w:r>
          </w:p>
        </w:tc>
        <w:tc>
          <w:tcPr>
            <w:tcW w:w="848" w:type="dxa"/>
            <w:gridSpan w:val="2"/>
            <w:noWrap/>
            <w:vAlign w:val="bottom"/>
          </w:tcPr>
          <w:p w:rsidR="00000000" w:rsidRDefault="00000000">
            <w:pPr>
              <w:jc w:val="right"/>
              <w:rPr>
                <w:b/>
                <w:bCs/>
                <w:color w:val="000000"/>
                <w:sz w:val="18"/>
              </w:rPr>
            </w:pPr>
            <w:r>
              <w:rPr>
                <w:b/>
                <w:bCs/>
                <w:color w:val="000000"/>
                <w:sz w:val="18"/>
              </w:rPr>
              <w:t>919 791</w:t>
            </w:r>
          </w:p>
        </w:tc>
        <w:tc>
          <w:tcPr>
            <w:tcW w:w="848" w:type="dxa"/>
            <w:noWrap/>
            <w:vAlign w:val="bottom"/>
          </w:tcPr>
          <w:p w:rsidR="00000000" w:rsidRDefault="00000000">
            <w:pPr>
              <w:jc w:val="right"/>
              <w:rPr>
                <w:b/>
                <w:bCs/>
                <w:color w:val="000000"/>
                <w:sz w:val="18"/>
              </w:rPr>
            </w:pPr>
            <w:r>
              <w:rPr>
                <w:b/>
                <w:bCs/>
                <w:color w:val="000000"/>
                <w:sz w:val="18"/>
              </w:rPr>
              <w:t>2 058 392</w:t>
            </w:r>
          </w:p>
        </w:tc>
        <w:tc>
          <w:tcPr>
            <w:tcW w:w="848" w:type="dxa"/>
            <w:gridSpan w:val="2"/>
            <w:noWrap/>
            <w:vAlign w:val="bottom"/>
          </w:tcPr>
          <w:p w:rsidR="00000000" w:rsidRDefault="00000000">
            <w:pPr>
              <w:jc w:val="right"/>
              <w:rPr>
                <w:b/>
                <w:bCs/>
                <w:color w:val="000000"/>
                <w:sz w:val="18"/>
              </w:rPr>
            </w:pPr>
            <w:r>
              <w:rPr>
                <w:b/>
                <w:bCs/>
                <w:color w:val="000000"/>
                <w:sz w:val="18"/>
              </w:rPr>
              <w:t>1 013 930</w:t>
            </w:r>
          </w:p>
        </w:tc>
        <w:tc>
          <w:tcPr>
            <w:tcW w:w="848" w:type="dxa"/>
            <w:gridSpan w:val="2"/>
            <w:noWrap/>
            <w:vAlign w:val="bottom"/>
          </w:tcPr>
          <w:p w:rsidR="00000000" w:rsidRDefault="00000000">
            <w:pPr>
              <w:jc w:val="right"/>
              <w:rPr>
                <w:b/>
                <w:bCs/>
                <w:color w:val="000000"/>
                <w:sz w:val="18"/>
              </w:rPr>
            </w:pPr>
            <w:r>
              <w:rPr>
                <w:b/>
                <w:bCs/>
                <w:color w:val="000000"/>
                <w:sz w:val="18"/>
              </w:rPr>
              <w:t>1 044 462</w:t>
            </w:r>
          </w:p>
        </w:tc>
        <w:tc>
          <w:tcPr>
            <w:tcW w:w="837" w:type="dxa"/>
            <w:noWrap/>
            <w:vAlign w:val="bottom"/>
          </w:tcPr>
          <w:p w:rsidR="00000000" w:rsidRDefault="00000000">
            <w:pPr>
              <w:jc w:val="right"/>
              <w:rPr>
                <w:b/>
                <w:bCs/>
                <w:color w:val="000000"/>
                <w:sz w:val="18"/>
              </w:rPr>
            </w:pPr>
            <w:r>
              <w:rPr>
                <w:b/>
                <w:bCs/>
                <w:color w:val="000000"/>
                <w:sz w:val="18"/>
              </w:rPr>
              <w:t>2 189 905</w:t>
            </w:r>
          </w:p>
        </w:tc>
        <w:tc>
          <w:tcPr>
            <w:tcW w:w="837" w:type="dxa"/>
            <w:gridSpan w:val="2"/>
            <w:noWrap/>
            <w:vAlign w:val="bottom"/>
          </w:tcPr>
          <w:p w:rsidR="00000000" w:rsidRDefault="00000000">
            <w:pPr>
              <w:jc w:val="right"/>
              <w:rPr>
                <w:b/>
                <w:bCs/>
                <w:color w:val="000000"/>
                <w:sz w:val="18"/>
              </w:rPr>
            </w:pPr>
            <w:r>
              <w:rPr>
                <w:b/>
                <w:bCs/>
                <w:color w:val="000000"/>
                <w:sz w:val="18"/>
              </w:rPr>
              <w:t>1 067 005</w:t>
            </w:r>
          </w:p>
        </w:tc>
        <w:tc>
          <w:tcPr>
            <w:tcW w:w="844" w:type="dxa"/>
            <w:noWrap/>
            <w:vAlign w:val="bottom"/>
          </w:tcPr>
          <w:p w:rsidR="00000000" w:rsidRDefault="00000000">
            <w:pPr>
              <w:jc w:val="right"/>
              <w:rPr>
                <w:b/>
                <w:bCs/>
                <w:color w:val="000000"/>
                <w:sz w:val="18"/>
              </w:rPr>
            </w:pPr>
            <w:r>
              <w:rPr>
                <w:b/>
                <w:bCs/>
                <w:color w:val="000000"/>
                <w:sz w:val="18"/>
              </w:rPr>
              <w:t>1 122 900</w:t>
            </w:r>
          </w:p>
        </w:tc>
      </w:tr>
      <w:tr w:rsidR="00000000">
        <w:trPr>
          <w:cantSplit/>
        </w:trPr>
        <w:tc>
          <w:tcPr>
            <w:tcW w:w="3380" w:type="dxa"/>
            <w:noWrap/>
            <w:vAlign w:val="bottom"/>
          </w:tcPr>
          <w:p w:rsidR="00000000" w:rsidRDefault="00000000">
            <w:pPr>
              <w:spacing w:before="20" w:after="20" w:line="240" w:lineRule="auto"/>
              <w:rPr>
                <w:sz w:val="16"/>
              </w:rPr>
            </w:pPr>
            <w:r>
              <w:rPr>
                <w:sz w:val="16"/>
              </w:rPr>
              <w:t>Коэффициент активности</w:t>
            </w:r>
          </w:p>
        </w:tc>
        <w:tc>
          <w:tcPr>
            <w:tcW w:w="838" w:type="dxa"/>
            <w:noWrap/>
            <w:vAlign w:val="bottom"/>
          </w:tcPr>
          <w:p w:rsidR="00000000" w:rsidRDefault="00000000">
            <w:pPr>
              <w:tabs>
                <w:tab w:val="decimal" w:pos="351"/>
              </w:tabs>
              <w:jc w:val="right"/>
              <w:rPr>
                <w:color w:val="000000"/>
                <w:sz w:val="18"/>
              </w:rPr>
            </w:pPr>
            <w:r>
              <w:rPr>
                <w:color w:val="000000"/>
                <w:sz w:val="18"/>
              </w:rPr>
              <w:t>78,5</w:t>
            </w:r>
          </w:p>
        </w:tc>
        <w:tc>
          <w:tcPr>
            <w:tcW w:w="835" w:type="dxa"/>
            <w:gridSpan w:val="2"/>
            <w:noWrap/>
            <w:vAlign w:val="bottom"/>
          </w:tcPr>
          <w:p w:rsidR="00000000" w:rsidRDefault="00000000">
            <w:pPr>
              <w:tabs>
                <w:tab w:val="decimal" w:pos="404"/>
              </w:tabs>
              <w:jc w:val="right"/>
              <w:rPr>
                <w:color w:val="000000"/>
                <w:sz w:val="18"/>
              </w:rPr>
            </w:pPr>
            <w:r>
              <w:rPr>
                <w:color w:val="000000"/>
                <w:sz w:val="18"/>
              </w:rPr>
              <w:t>91,7</w:t>
            </w:r>
          </w:p>
        </w:tc>
        <w:tc>
          <w:tcPr>
            <w:tcW w:w="836" w:type="dxa"/>
            <w:noWrap/>
            <w:vAlign w:val="bottom"/>
          </w:tcPr>
          <w:p w:rsidR="00000000" w:rsidRDefault="00000000">
            <w:pPr>
              <w:tabs>
                <w:tab w:val="decimal" w:pos="367"/>
              </w:tabs>
              <w:jc w:val="right"/>
              <w:rPr>
                <w:color w:val="000000"/>
                <w:sz w:val="18"/>
              </w:rPr>
            </w:pPr>
            <w:r>
              <w:rPr>
                <w:color w:val="000000"/>
                <w:sz w:val="18"/>
              </w:rPr>
              <w:t>65,5</w:t>
            </w:r>
          </w:p>
        </w:tc>
        <w:tc>
          <w:tcPr>
            <w:tcW w:w="848" w:type="dxa"/>
            <w:noWrap/>
            <w:vAlign w:val="bottom"/>
          </w:tcPr>
          <w:p w:rsidR="00000000" w:rsidRDefault="00000000">
            <w:pPr>
              <w:tabs>
                <w:tab w:val="decimal" w:pos="367"/>
              </w:tabs>
              <w:jc w:val="right"/>
              <w:rPr>
                <w:color w:val="000000"/>
                <w:sz w:val="18"/>
              </w:rPr>
            </w:pPr>
            <w:r>
              <w:rPr>
                <w:color w:val="000000"/>
                <w:sz w:val="18"/>
              </w:rPr>
              <w:t>70,3</w:t>
            </w:r>
          </w:p>
        </w:tc>
        <w:tc>
          <w:tcPr>
            <w:tcW w:w="848" w:type="dxa"/>
            <w:gridSpan w:val="2"/>
            <w:noWrap/>
            <w:vAlign w:val="bottom"/>
          </w:tcPr>
          <w:p w:rsidR="00000000" w:rsidRDefault="00000000">
            <w:pPr>
              <w:tabs>
                <w:tab w:val="decimal" w:pos="367"/>
              </w:tabs>
              <w:jc w:val="right"/>
              <w:rPr>
                <w:color w:val="000000"/>
                <w:sz w:val="18"/>
              </w:rPr>
            </w:pPr>
            <w:r>
              <w:rPr>
                <w:color w:val="000000"/>
                <w:sz w:val="18"/>
              </w:rPr>
              <w:t>90,4</w:t>
            </w:r>
          </w:p>
        </w:tc>
        <w:tc>
          <w:tcPr>
            <w:tcW w:w="848" w:type="dxa"/>
            <w:gridSpan w:val="2"/>
            <w:noWrap/>
            <w:vAlign w:val="bottom"/>
          </w:tcPr>
          <w:p w:rsidR="00000000" w:rsidRDefault="00000000">
            <w:pPr>
              <w:tabs>
                <w:tab w:val="decimal" w:pos="367"/>
              </w:tabs>
              <w:jc w:val="right"/>
              <w:rPr>
                <w:color w:val="000000"/>
                <w:sz w:val="18"/>
              </w:rPr>
            </w:pPr>
            <w:r>
              <w:rPr>
                <w:color w:val="000000"/>
                <w:sz w:val="18"/>
              </w:rPr>
              <w:t>51,3</w:t>
            </w:r>
          </w:p>
        </w:tc>
        <w:tc>
          <w:tcPr>
            <w:tcW w:w="848" w:type="dxa"/>
            <w:noWrap/>
            <w:vAlign w:val="bottom"/>
          </w:tcPr>
          <w:p w:rsidR="00000000" w:rsidRDefault="00000000">
            <w:pPr>
              <w:tabs>
                <w:tab w:val="decimal" w:pos="367"/>
              </w:tabs>
              <w:jc w:val="right"/>
              <w:rPr>
                <w:color w:val="000000"/>
                <w:sz w:val="18"/>
              </w:rPr>
            </w:pPr>
            <w:r>
              <w:rPr>
                <w:color w:val="000000"/>
                <w:sz w:val="18"/>
              </w:rPr>
              <w:t>75,5</w:t>
            </w:r>
          </w:p>
        </w:tc>
        <w:tc>
          <w:tcPr>
            <w:tcW w:w="848" w:type="dxa"/>
            <w:gridSpan w:val="2"/>
            <w:noWrap/>
            <w:vAlign w:val="bottom"/>
          </w:tcPr>
          <w:p w:rsidR="00000000" w:rsidRDefault="00000000">
            <w:pPr>
              <w:tabs>
                <w:tab w:val="decimal" w:pos="367"/>
              </w:tabs>
              <w:jc w:val="right"/>
              <w:rPr>
                <w:color w:val="000000"/>
                <w:sz w:val="18"/>
              </w:rPr>
            </w:pPr>
            <w:r>
              <w:rPr>
                <w:color w:val="000000"/>
                <w:sz w:val="18"/>
              </w:rPr>
              <w:t>89,9</w:t>
            </w:r>
          </w:p>
        </w:tc>
        <w:tc>
          <w:tcPr>
            <w:tcW w:w="848" w:type="dxa"/>
            <w:gridSpan w:val="2"/>
            <w:noWrap/>
            <w:vAlign w:val="bottom"/>
          </w:tcPr>
          <w:p w:rsidR="00000000" w:rsidRDefault="00000000">
            <w:pPr>
              <w:tabs>
                <w:tab w:val="decimal" w:pos="367"/>
              </w:tabs>
              <w:jc w:val="right"/>
              <w:rPr>
                <w:color w:val="000000"/>
                <w:sz w:val="18"/>
              </w:rPr>
            </w:pPr>
            <w:r>
              <w:rPr>
                <w:color w:val="000000"/>
                <w:sz w:val="18"/>
              </w:rPr>
              <w:t>61,5</w:t>
            </w:r>
          </w:p>
        </w:tc>
        <w:tc>
          <w:tcPr>
            <w:tcW w:w="837" w:type="dxa"/>
            <w:noWrap/>
            <w:vAlign w:val="bottom"/>
          </w:tcPr>
          <w:p w:rsidR="00000000" w:rsidRDefault="00000000">
            <w:pPr>
              <w:tabs>
                <w:tab w:val="decimal" w:pos="367"/>
              </w:tabs>
              <w:jc w:val="right"/>
              <w:rPr>
                <w:color w:val="000000"/>
                <w:sz w:val="18"/>
              </w:rPr>
            </w:pPr>
            <w:r>
              <w:rPr>
                <w:color w:val="000000"/>
                <w:sz w:val="18"/>
              </w:rPr>
              <w:t>74,9</w:t>
            </w:r>
          </w:p>
        </w:tc>
        <w:tc>
          <w:tcPr>
            <w:tcW w:w="837" w:type="dxa"/>
            <w:gridSpan w:val="2"/>
            <w:noWrap/>
            <w:vAlign w:val="bottom"/>
          </w:tcPr>
          <w:p w:rsidR="00000000" w:rsidRDefault="00000000">
            <w:pPr>
              <w:tabs>
                <w:tab w:val="decimal" w:pos="367"/>
              </w:tabs>
              <w:jc w:val="right"/>
              <w:rPr>
                <w:color w:val="000000"/>
                <w:sz w:val="18"/>
              </w:rPr>
            </w:pPr>
            <w:r>
              <w:rPr>
                <w:color w:val="000000"/>
                <w:sz w:val="18"/>
              </w:rPr>
              <w:t>90,2</w:t>
            </w:r>
          </w:p>
        </w:tc>
        <w:tc>
          <w:tcPr>
            <w:tcW w:w="844" w:type="dxa"/>
            <w:noWrap/>
            <w:vAlign w:val="bottom"/>
          </w:tcPr>
          <w:p w:rsidR="00000000" w:rsidRDefault="00000000">
            <w:pPr>
              <w:tabs>
                <w:tab w:val="decimal" w:pos="367"/>
              </w:tabs>
              <w:jc w:val="right"/>
              <w:rPr>
                <w:color w:val="000000"/>
                <w:sz w:val="18"/>
              </w:rPr>
            </w:pPr>
            <w:r>
              <w:rPr>
                <w:color w:val="000000"/>
                <w:sz w:val="18"/>
              </w:rPr>
              <w:t>60,3</w:t>
            </w:r>
          </w:p>
        </w:tc>
      </w:tr>
      <w:tr w:rsidR="00000000">
        <w:trPr>
          <w:cantSplit/>
        </w:trPr>
        <w:tc>
          <w:tcPr>
            <w:tcW w:w="3380" w:type="dxa"/>
            <w:noWrap/>
            <w:vAlign w:val="bottom"/>
          </w:tcPr>
          <w:p w:rsidR="00000000" w:rsidRDefault="00000000">
            <w:pPr>
              <w:spacing w:before="20" w:after="20" w:line="240" w:lineRule="auto"/>
              <w:rPr>
                <w:sz w:val="16"/>
              </w:rPr>
            </w:pPr>
            <w:r>
              <w:rPr>
                <w:sz w:val="16"/>
              </w:rPr>
              <w:t>Коэффициент занятости</w:t>
            </w:r>
          </w:p>
        </w:tc>
        <w:tc>
          <w:tcPr>
            <w:tcW w:w="838" w:type="dxa"/>
            <w:noWrap/>
            <w:vAlign w:val="bottom"/>
          </w:tcPr>
          <w:p w:rsidR="00000000" w:rsidRDefault="00000000">
            <w:pPr>
              <w:tabs>
                <w:tab w:val="decimal" w:pos="351"/>
              </w:tabs>
              <w:jc w:val="right"/>
              <w:rPr>
                <w:color w:val="000000"/>
                <w:sz w:val="18"/>
              </w:rPr>
            </w:pPr>
            <w:r>
              <w:rPr>
                <w:color w:val="000000"/>
                <w:sz w:val="18"/>
              </w:rPr>
              <w:t>97,8</w:t>
            </w:r>
          </w:p>
        </w:tc>
        <w:tc>
          <w:tcPr>
            <w:tcW w:w="835" w:type="dxa"/>
            <w:gridSpan w:val="2"/>
            <w:noWrap/>
            <w:vAlign w:val="bottom"/>
          </w:tcPr>
          <w:p w:rsidR="00000000" w:rsidRDefault="00000000">
            <w:pPr>
              <w:tabs>
                <w:tab w:val="decimal" w:pos="404"/>
              </w:tabs>
              <w:jc w:val="right"/>
              <w:rPr>
                <w:color w:val="000000"/>
                <w:sz w:val="18"/>
              </w:rPr>
            </w:pPr>
            <w:r>
              <w:rPr>
                <w:color w:val="000000"/>
                <w:sz w:val="18"/>
              </w:rPr>
              <w:t>97,9</w:t>
            </w:r>
          </w:p>
        </w:tc>
        <w:tc>
          <w:tcPr>
            <w:tcW w:w="836" w:type="dxa"/>
            <w:noWrap/>
            <w:vAlign w:val="bottom"/>
          </w:tcPr>
          <w:p w:rsidR="00000000" w:rsidRDefault="00000000">
            <w:pPr>
              <w:tabs>
                <w:tab w:val="decimal" w:pos="367"/>
              </w:tabs>
              <w:jc w:val="right"/>
              <w:rPr>
                <w:color w:val="000000"/>
                <w:sz w:val="18"/>
              </w:rPr>
            </w:pPr>
            <w:r>
              <w:rPr>
                <w:color w:val="000000"/>
                <w:sz w:val="18"/>
              </w:rPr>
              <w:t>97,7</w:t>
            </w:r>
          </w:p>
        </w:tc>
        <w:tc>
          <w:tcPr>
            <w:tcW w:w="848" w:type="dxa"/>
            <w:noWrap/>
            <w:vAlign w:val="bottom"/>
          </w:tcPr>
          <w:p w:rsidR="00000000" w:rsidRDefault="00000000">
            <w:pPr>
              <w:tabs>
                <w:tab w:val="decimal" w:pos="367"/>
              </w:tabs>
              <w:jc w:val="right"/>
              <w:rPr>
                <w:color w:val="000000"/>
                <w:sz w:val="18"/>
              </w:rPr>
            </w:pPr>
            <w:r>
              <w:rPr>
                <w:color w:val="000000"/>
                <w:sz w:val="18"/>
              </w:rPr>
              <w:t>95,6</w:t>
            </w:r>
          </w:p>
        </w:tc>
        <w:tc>
          <w:tcPr>
            <w:tcW w:w="848" w:type="dxa"/>
            <w:gridSpan w:val="2"/>
            <w:noWrap/>
            <w:vAlign w:val="bottom"/>
          </w:tcPr>
          <w:p w:rsidR="00000000" w:rsidRDefault="00000000">
            <w:pPr>
              <w:tabs>
                <w:tab w:val="decimal" w:pos="367"/>
              </w:tabs>
              <w:jc w:val="right"/>
              <w:rPr>
                <w:color w:val="000000"/>
                <w:sz w:val="18"/>
              </w:rPr>
            </w:pPr>
            <w:r>
              <w:rPr>
                <w:color w:val="000000"/>
                <w:sz w:val="18"/>
              </w:rPr>
              <w:t>95,8</w:t>
            </w:r>
          </w:p>
        </w:tc>
        <w:tc>
          <w:tcPr>
            <w:tcW w:w="848" w:type="dxa"/>
            <w:gridSpan w:val="2"/>
            <w:noWrap/>
            <w:vAlign w:val="bottom"/>
          </w:tcPr>
          <w:p w:rsidR="00000000" w:rsidRDefault="00000000">
            <w:pPr>
              <w:tabs>
                <w:tab w:val="decimal" w:pos="367"/>
              </w:tabs>
              <w:jc w:val="right"/>
              <w:rPr>
                <w:color w:val="000000"/>
                <w:sz w:val="18"/>
              </w:rPr>
            </w:pPr>
            <w:r>
              <w:rPr>
                <w:color w:val="000000"/>
                <w:sz w:val="18"/>
              </w:rPr>
              <w:t>95,2</w:t>
            </w:r>
          </w:p>
        </w:tc>
        <w:tc>
          <w:tcPr>
            <w:tcW w:w="848" w:type="dxa"/>
            <w:noWrap/>
            <w:vAlign w:val="bottom"/>
          </w:tcPr>
          <w:p w:rsidR="00000000" w:rsidRDefault="00000000">
            <w:pPr>
              <w:tabs>
                <w:tab w:val="decimal" w:pos="367"/>
              </w:tabs>
              <w:jc w:val="right"/>
              <w:rPr>
                <w:color w:val="000000"/>
                <w:sz w:val="18"/>
              </w:rPr>
            </w:pPr>
            <w:r>
              <w:rPr>
                <w:color w:val="000000"/>
                <w:sz w:val="18"/>
              </w:rPr>
              <w:t>95,6</w:t>
            </w:r>
          </w:p>
        </w:tc>
        <w:tc>
          <w:tcPr>
            <w:tcW w:w="848" w:type="dxa"/>
            <w:gridSpan w:val="2"/>
            <w:noWrap/>
            <w:vAlign w:val="bottom"/>
          </w:tcPr>
          <w:p w:rsidR="00000000" w:rsidRDefault="00000000">
            <w:pPr>
              <w:tabs>
                <w:tab w:val="decimal" w:pos="367"/>
              </w:tabs>
              <w:jc w:val="right"/>
              <w:rPr>
                <w:color w:val="000000"/>
                <w:sz w:val="18"/>
              </w:rPr>
            </w:pPr>
            <w:r>
              <w:rPr>
                <w:color w:val="000000"/>
                <w:sz w:val="18"/>
              </w:rPr>
              <w:t>96,0</w:t>
            </w:r>
          </w:p>
        </w:tc>
        <w:tc>
          <w:tcPr>
            <w:tcW w:w="848" w:type="dxa"/>
            <w:gridSpan w:val="2"/>
            <w:noWrap/>
            <w:vAlign w:val="bottom"/>
          </w:tcPr>
          <w:p w:rsidR="00000000" w:rsidRDefault="00000000">
            <w:pPr>
              <w:tabs>
                <w:tab w:val="decimal" w:pos="367"/>
              </w:tabs>
              <w:jc w:val="right"/>
              <w:rPr>
                <w:color w:val="000000"/>
                <w:sz w:val="18"/>
              </w:rPr>
            </w:pPr>
            <w:r>
              <w:rPr>
                <w:color w:val="000000"/>
                <w:sz w:val="18"/>
              </w:rPr>
              <w:t>95,0</w:t>
            </w:r>
          </w:p>
        </w:tc>
        <w:tc>
          <w:tcPr>
            <w:tcW w:w="837" w:type="dxa"/>
            <w:noWrap/>
            <w:vAlign w:val="bottom"/>
          </w:tcPr>
          <w:p w:rsidR="00000000" w:rsidRDefault="00000000">
            <w:pPr>
              <w:tabs>
                <w:tab w:val="decimal" w:pos="367"/>
              </w:tabs>
              <w:jc w:val="right"/>
              <w:rPr>
                <w:color w:val="000000"/>
                <w:sz w:val="18"/>
              </w:rPr>
            </w:pPr>
            <w:r>
              <w:rPr>
                <w:color w:val="000000"/>
                <w:sz w:val="18"/>
              </w:rPr>
              <w:t>96,8</w:t>
            </w:r>
          </w:p>
        </w:tc>
        <w:tc>
          <w:tcPr>
            <w:tcW w:w="837" w:type="dxa"/>
            <w:gridSpan w:val="2"/>
            <w:noWrap/>
            <w:vAlign w:val="bottom"/>
          </w:tcPr>
          <w:p w:rsidR="00000000" w:rsidRDefault="00000000">
            <w:pPr>
              <w:tabs>
                <w:tab w:val="decimal" w:pos="367"/>
              </w:tabs>
              <w:jc w:val="right"/>
              <w:rPr>
                <w:color w:val="000000"/>
                <w:sz w:val="18"/>
              </w:rPr>
            </w:pPr>
            <w:r>
              <w:rPr>
                <w:color w:val="000000"/>
                <w:sz w:val="18"/>
              </w:rPr>
              <w:t>97,1</w:t>
            </w:r>
          </w:p>
        </w:tc>
        <w:tc>
          <w:tcPr>
            <w:tcW w:w="844" w:type="dxa"/>
            <w:noWrap/>
            <w:vAlign w:val="bottom"/>
          </w:tcPr>
          <w:p w:rsidR="00000000" w:rsidRDefault="00000000">
            <w:pPr>
              <w:tabs>
                <w:tab w:val="decimal" w:pos="367"/>
              </w:tabs>
              <w:jc w:val="right"/>
              <w:rPr>
                <w:color w:val="000000"/>
                <w:sz w:val="18"/>
              </w:rPr>
            </w:pPr>
            <w:r>
              <w:rPr>
                <w:color w:val="000000"/>
                <w:sz w:val="18"/>
              </w:rPr>
              <w:t>96,4</w:t>
            </w:r>
          </w:p>
        </w:tc>
      </w:tr>
      <w:tr w:rsidR="00000000">
        <w:trPr>
          <w:cantSplit/>
        </w:trPr>
        <w:tc>
          <w:tcPr>
            <w:tcW w:w="3380" w:type="dxa"/>
            <w:noWrap/>
            <w:vAlign w:val="bottom"/>
          </w:tcPr>
          <w:p w:rsidR="00000000" w:rsidRDefault="00000000">
            <w:pPr>
              <w:spacing w:before="20" w:after="20" w:line="240" w:lineRule="auto"/>
              <w:rPr>
                <w:sz w:val="16"/>
              </w:rPr>
            </w:pPr>
            <w:r>
              <w:rPr>
                <w:sz w:val="16"/>
              </w:rPr>
              <w:t>Коэффициент открытой безработицы</w:t>
            </w:r>
          </w:p>
        </w:tc>
        <w:tc>
          <w:tcPr>
            <w:tcW w:w="838" w:type="dxa"/>
            <w:noWrap/>
            <w:vAlign w:val="bottom"/>
          </w:tcPr>
          <w:p w:rsidR="00000000" w:rsidRDefault="00000000">
            <w:pPr>
              <w:tabs>
                <w:tab w:val="decimal" w:pos="351"/>
              </w:tabs>
              <w:jc w:val="right"/>
              <w:rPr>
                <w:color w:val="000000"/>
                <w:sz w:val="18"/>
              </w:rPr>
            </w:pPr>
            <w:r>
              <w:rPr>
                <w:color w:val="000000"/>
                <w:sz w:val="18"/>
              </w:rPr>
              <w:t>2,2</w:t>
            </w:r>
          </w:p>
        </w:tc>
        <w:tc>
          <w:tcPr>
            <w:tcW w:w="835" w:type="dxa"/>
            <w:gridSpan w:val="2"/>
            <w:noWrap/>
            <w:vAlign w:val="bottom"/>
          </w:tcPr>
          <w:p w:rsidR="00000000" w:rsidRDefault="00000000">
            <w:pPr>
              <w:tabs>
                <w:tab w:val="decimal" w:pos="404"/>
              </w:tabs>
              <w:jc w:val="right"/>
              <w:rPr>
                <w:color w:val="000000"/>
                <w:sz w:val="18"/>
              </w:rPr>
            </w:pPr>
            <w:r>
              <w:rPr>
                <w:color w:val="000000"/>
                <w:sz w:val="18"/>
              </w:rPr>
              <w:t>2,1</w:t>
            </w:r>
          </w:p>
        </w:tc>
        <w:tc>
          <w:tcPr>
            <w:tcW w:w="836" w:type="dxa"/>
            <w:noWrap/>
            <w:vAlign w:val="bottom"/>
          </w:tcPr>
          <w:p w:rsidR="00000000" w:rsidRDefault="00000000">
            <w:pPr>
              <w:tabs>
                <w:tab w:val="decimal" w:pos="367"/>
              </w:tabs>
              <w:jc w:val="right"/>
              <w:rPr>
                <w:color w:val="000000"/>
                <w:sz w:val="18"/>
              </w:rPr>
            </w:pPr>
            <w:r>
              <w:rPr>
                <w:color w:val="000000"/>
                <w:sz w:val="18"/>
              </w:rPr>
              <w:t>2,3</w:t>
            </w:r>
          </w:p>
        </w:tc>
        <w:tc>
          <w:tcPr>
            <w:tcW w:w="848" w:type="dxa"/>
            <w:noWrap/>
            <w:vAlign w:val="bottom"/>
          </w:tcPr>
          <w:p w:rsidR="00000000" w:rsidRDefault="00000000">
            <w:pPr>
              <w:tabs>
                <w:tab w:val="decimal" w:pos="367"/>
              </w:tabs>
              <w:jc w:val="right"/>
              <w:rPr>
                <w:color w:val="000000"/>
                <w:sz w:val="18"/>
              </w:rPr>
            </w:pPr>
            <w:r>
              <w:rPr>
                <w:color w:val="000000"/>
                <w:sz w:val="18"/>
              </w:rPr>
              <w:t>4,4</w:t>
            </w:r>
          </w:p>
        </w:tc>
        <w:tc>
          <w:tcPr>
            <w:tcW w:w="848" w:type="dxa"/>
            <w:gridSpan w:val="2"/>
            <w:noWrap/>
            <w:vAlign w:val="bottom"/>
          </w:tcPr>
          <w:p w:rsidR="00000000" w:rsidRDefault="00000000">
            <w:pPr>
              <w:tabs>
                <w:tab w:val="decimal" w:pos="367"/>
              </w:tabs>
              <w:jc w:val="right"/>
              <w:rPr>
                <w:color w:val="000000"/>
                <w:sz w:val="18"/>
              </w:rPr>
            </w:pPr>
            <w:r>
              <w:rPr>
                <w:color w:val="000000"/>
                <w:sz w:val="18"/>
              </w:rPr>
              <w:t>4,2</w:t>
            </w:r>
          </w:p>
        </w:tc>
        <w:tc>
          <w:tcPr>
            <w:tcW w:w="848" w:type="dxa"/>
            <w:gridSpan w:val="2"/>
            <w:noWrap/>
            <w:vAlign w:val="bottom"/>
          </w:tcPr>
          <w:p w:rsidR="00000000" w:rsidRDefault="00000000">
            <w:pPr>
              <w:tabs>
                <w:tab w:val="decimal" w:pos="367"/>
              </w:tabs>
              <w:jc w:val="right"/>
              <w:rPr>
                <w:color w:val="000000"/>
                <w:sz w:val="18"/>
              </w:rPr>
            </w:pPr>
            <w:r>
              <w:rPr>
                <w:color w:val="000000"/>
                <w:sz w:val="18"/>
              </w:rPr>
              <w:t>4,8</w:t>
            </w:r>
          </w:p>
        </w:tc>
        <w:tc>
          <w:tcPr>
            <w:tcW w:w="848" w:type="dxa"/>
            <w:noWrap/>
            <w:vAlign w:val="bottom"/>
          </w:tcPr>
          <w:p w:rsidR="00000000" w:rsidRDefault="00000000">
            <w:pPr>
              <w:tabs>
                <w:tab w:val="decimal" w:pos="367"/>
              </w:tabs>
              <w:jc w:val="right"/>
              <w:rPr>
                <w:color w:val="000000"/>
                <w:sz w:val="18"/>
              </w:rPr>
            </w:pPr>
            <w:r>
              <w:rPr>
                <w:color w:val="000000"/>
                <w:sz w:val="18"/>
              </w:rPr>
              <w:t>4,4</w:t>
            </w:r>
          </w:p>
        </w:tc>
        <w:tc>
          <w:tcPr>
            <w:tcW w:w="848" w:type="dxa"/>
            <w:gridSpan w:val="2"/>
            <w:noWrap/>
            <w:vAlign w:val="bottom"/>
          </w:tcPr>
          <w:p w:rsidR="00000000" w:rsidRDefault="00000000">
            <w:pPr>
              <w:tabs>
                <w:tab w:val="decimal" w:pos="367"/>
              </w:tabs>
              <w:jc w:val="right"/>
              <w:rPr>
                <w:color w:val="000000"/>
                <w:sz w:val="18"/>
              </w:rPr>
            </w:pPr>
            <w:r>
              <w:rPr>
                <w:color w:val="000000"/>
                <w:sz w:val="18"/>
              </w:rPr>
              <w:t>4,0</w:t>
            </w:r>
          </w:p>
        </w:tc>
        <w:tc>
          <w:tcPr>
            <w:tcW w:w="848" w:type="dxa"/>
            <w:gridSpan w:val="2"/>
            <w:noWrap/>
            <w:vAlign w:val="bottom"/>
          </w:tcPr>
          <w:p w:rsidR="00000000" w:rsidRDefault="00000000">
            <w:pPr>
              <w:tabs>
                <w:tab w:val="decimal" w:pos="367"/>
              </w:tabs>
              <w:jc w:val="right"/>
              <w:rPr>
                <w:color w:val="000000"/>
                <w:sz w:val="18"/>
              </w:rPr>
            </w:pPr>
            <w:r>
              <w:rPr>
                <w:color w:val="000000"/>
                <w:sz w:val="18"/>
              </w:rPr>
              <w:t>5,0</w:t>
            </w:r>
          </w:p>
        </w:tc>
        <w:tc>
          <w:tcPr>
            <w:tcW w:w="837" w:type="dxa"/>
            <w:noWrap/>
            <w:vAlign w:val="bottom"/>
          </w:tcPr>
          <w:p w:rsidR="00000000" w:rsidRDefault="00000000">
            <w:pPr>
              <w:tabs>
                <w:tab w:val="decimal" w:pos="367"/>
              </w:tabs>
              <w:jc w:val="right"/>
              <w:rPr>
                <w:color w:val="000000"/>
                <w:sz w:val="18"/>
              </w:rPr>
            </w:pPr>
            <w:r>
              <w:rPr>
                <w:color w:val="000000"/>
                <w:sz w:val="18"/>
              </w:rPr>
              <w:t>3,2</w:t>
            </w:r>
          </w:p>
        </w:tc>
        <w:tc>
          <w:tcPr>
            <w:tcW w:w="837" w:type="dxa"/>
            <w:gridSpan w:val="2"/>
            <w:noWrap/>
            <w:vAlign w:val="bottom"/>
          </w:tcPr>
          <w:p w:rsidR="00000000" w:rsidRDefault="00000000">
            <w:pPr>
              <w:tabs>
                <w:tab w:val="decimal" w:pos="367"/>
              </w:tabs>
              <w:jc w:val="right"/>
              <w:rPr>
                <w:color w:val="000000"/>
                <w:sz w:val="18"/>
              </w:rPr>
            </w:pPr>
            <w:r>
              <w:rPr>
                <w:color w:val="000000"/>
                <w:sz w:val="18"/>
              </w:rPr>
              <w:t>2,9</w:t>
            </w:r>
          </w:p>
        </w:tc>
        <w:tc>
          <w:tcPr>
            <w:tcW w:w="844" w:type="dxa"/>
            <w:noWrap/>
            <w:vAlign w:val="bottom"/>
          </w:tcPr>
          <w:p w:rsidR="00000000" w:rsidRDefault="00000000">
            <w:pPr>
              <w:tabs>
                <w:tab w:val="decimal" w:pos="367"/>
              </w:tabs>
              <w:jc w:val="right"/>
              <w:rPr>
                <w:color w:val="000000"/>
                <w:sz w:val="18"/>
              </w:rPr>
            </w:pPr>
            <w:r>
              <w:rPr>
                <w:color w:val="000000"/>
                <w:sz w:val="18"/>
              </w:rPr>
              <w:t>3,6</w:t>
            </w:r>
          </w:p>
        </w:tc>
      </w:tr>
      <w:tr w:rsidR="00000000">
        <w:trPr>
          <w:cantSplit/>
        </w:trPr>
        <w:tc>
          <w:tcPr>
            <w:tcW w:w="3380" w:type="dxa"/>
            <w:noWrap/>
            <w:vAlign w:val="bottom"/>
          </w:tcPr>
          <w:p w:rsidR="00000000" w:rsidRDefault="00000000">
            <w:pPr>
              <w:spacing w:before="20" w:after="20" w:line="240" w:lineRule="auto"/>
              <w:rPr>
                <w:sz w:val="16"/>
              </w:rPr>
            </w:pPr>
            <w:r>
              <w:rPr>
                <w:sz w:val="16"/>
              </w:rPr>
              <w:t>Коэффициент скрытой безработицы</w:t>
            </w:r>
          </w:p>
        </w:tc>
        <w:tc>
          <w:tcPr>
            <w:tcW w:w="838" w:type="dxa"/>
            <w:noWrap/>
            <w:vAlign w:val="bottom"/>
          </w:tcPr>
          <w:p w:rsidR="00000000" w:rsidRDefault="00000000">
            <w:pPr>
              <w:tabs>
                <w:tab w:val="decimal" w:pos="351"/>
              </w:tabs>
              <w:jc w:val="right"/>
              <w:rPr>
                <w:color w:val="000000"/>
                <w:sz w:val="18"/>
              </w:rPr>
            </w:pPr>
            <w:r>
              <w:rPr>
                <w:color w:val="000000"/>
                <w:sz w:val="18"/>
              </w:rPr>
              <w:t>1,1</w:t>
            </w:r>
          </w:p>
        </w:tc>
        <w:tc>
          <w:tcPr>
            <w:tcW w:w="835" w:type="dxa"/>
            <w:gridSpan w:val="2"/>
            <w:noWrap/>
            <w:vAlign w:val="bottom"/>
          </w:tcPr>
          <w:p w:rsidR="00000000" w:rsidRDefault="00000000">
            <w:pPr>
              <w:tabs>
                <w:tab w:val="decimal" w:pos="404"/>
              </w:tabs>
              <w:jc w:val="right"/>
              <w:rPr>
                <w:color w:val="000000"/>
                <w:sz w:val="18"/>
              </w:rPr>
            </w:pPr>
            <w:r>
              <w:rPr>
                <w:color w:val="000000"/>
                <w:sz w:val="18"/>
              </w:rPr>
              <w:t>0,4</w:t>
            </w:r>
          </w:p>
        </w:tc>
        <w:tc>
          <w:tcPr>
            <w:tcW w:w="836" w:type="dxa"/>
            <w:noWrap/>
            <w:vAlign w:val="bottom"/>
          </w:tcPr>
          <w:p w:rsidR="00000000" w:rsidRDefault="00000000">
            <w:pPr>
              <w:tabs>
                <w:tab w:val="decimal" w:pos="367"/>
              </w:tabs>
              <w:jc w:val="right"/>
              <w:rPr>
                <w:color w:val="000000"/>
                <w:sz w:val="18"/>
              </w:rPr>
            </w:pPr>
            <w:r>
              <w:rPr>
                <w:color w:val="000000"/>
                <w:sz w:val="18"/>
              </w:rPr>
              <w:t>2,0</w:t>
            </w:r>
          </w:p>
        </w:tc>
        <w:tc>
          <w:tcPr>
            <w:tcW w:w="848" w:type="dxa"/>
            <w:noWrap/>
            <w:vAlign w:val="bottom"/>
          </w:tcPr>
          <w:p w:rsidR="00000000" w:rsidRDefault="00000000">
            <w:pPr>
              <w:tabs>
                <w:tab w:val="decimal" w:pos="367"/>
              </w:tabs>
              <w:jc w:val="right"/>
              <w:rPr>
                <w:color w:val="000000"/>
                <w:sz w:val="18"/>
              </w:rPr>
            </w:pPr>
            <w:r>
              <w:rPr>
                <w:color w:val="000000"/>
                <w:sz w:val="18"/>
              </w:rPr>
              <w:t>4,8</w:t>
            </w:r>
          </w:p>
        </w:tc>
        <w:tc>
          <w:tcPr>
            <w:tcW w:w="848" w:type="dxa"/>
            <w:gridSpan w:val="2"/>
            <w:noWrap/>
            <w:vAlign w:val="bottom"/>
          </w:tcPr>
          <w:p w:rsidR="00000000" w:rsidRDefault="00000000">
            <w:pPr>
              <w:tabs>
                <w:tab w:val="decimal" w:pos="367"/>
              </w:tabs>
              <w:jc w:val="right"/>
              <w:rPr>
                <w:color w:val="000000"/>
                <w:sz w:val="18"/>
              </w:rPr>
            </w:pPr>
            <w:r>
              <w:rPr>
                <w:color w:val="000000"/>
                <w:sz w:val="18"/>
              </w:rPr>
              <w:t>1,5</w:t>
            </w:r>
          </w:p>
        </w:tc>
        <w:tc>
          <w:tcPr>
            <w:tcW w:w="848" w:type="dxa"/>
            <w:gridSpan w:val="2"/>
            <w:noWrap/>
            <w:vAlign w:val="bottom"/>
          </w:tcPr>
          <w:p w:rsidR="00000000" w:rsidRDefault="00000000">
            <w:pPr>
              <w:tabs>
                <w:tab w:val="decimal" w:pos="367"/>
              </w:tabs>
              <w:jc w:val="right"/>
              <w:rPr>
                <w:color w:val="000000"/>
                <w:sz w:val="18"/>
              </w:rPr>
            </w:pPr>
            <w:r>
              <w:rPr>
                <w:color w:val="000000"/>
                <w:sz w:val="18"/>
              </w:rPr>
              <w:t>9,7</w:t>
            </w:r>
          </w:p>
        </w:tc>
        <w:tc>
          <w:tcPr>
            <w:tcW w:w="848" w:type="dxa"/>
            <w:noWrap/>
            <w:vAlign w:val="bottom"/>
          </w:tcPr>
          <w:p w:rsidR="00000000" w:rsidRDefault="00000000">
            <w:pPr>
              <w:tabs>
                <w:tab w:val="decimal" w:pos="367"/>
              </w:tabs>
              <w:jc w:val="right"/>
              <w:rPr>
                <w:color w:val="000000"/>
                <w:sz w:val="18"/>
              </w:rPr>
            </w:pPr>
            <w:r>
              <w:rPr>
                <w:color w:val="000000"/>
                <w:sz w:val="18"/>
              </w:rPr>
              <w:t>2,0</w:t>
            </w:r>
          </w:p>
        </w:tc>
        <w:tc>
          <w:tcPr>
            <w:tcW w:w="848" w:type="dxa"/>
            <w:gridSpan w:val="2"/>
            <w:noWrap/>
            <w:vAlign w:val="bottom"/>
          </w:tcPr>
          <w:p w:rsidR="00000000" w:rsidRDefault="00000000">
            <w:pPr>
              <w:tabs>
                <w:tab w:val="decimal" w:pos="367"/>
              </w:tabs>
              <w:jc w:val="right"/>
              <w:rPr>
                <w:color w:val="000000"/>
                <w:sz w:val="18"/>
              </w:rPr>
            </w:pPr>
            <w:r>
              <w:rPr>
                <w:color w:val="000000"/>
                <w:sz w:val="18"/>
              </w:rPr>
              <w:t>0,9</w:t>
            </w:r>
          </w:p>
        </w:tc>
        <w:tc>
          <w:tcPr>
            <w:tcW w:w="848" w:type="dxa"/>
            <w:gridSpan w:val="2"/>
            <w:noWrap/>
            <w:vAlign w:val="bottom"/>
          </w:tcPr>
          <w:p w:rsidR="00000000" w:rsidRDefault="00000000">
            <w:pPr>
              <w:tabs>
                <w:tab w:val="decimal" w:pos="367"/>
              </w:tabs>
              <w:jc w:val="right"/>
              <w:rPr>
                <w:color w:val="000000"/>
                <w:sz w:val="18"/>
              </w:rPr>
            </w:pPr>
            <w:r>
              <w:rPr>
                <w:color w:val="000000"/>
                <w:sz w:val="18"/>
              </w:rPr>
              <w:t>3,5</w:t>
            </w:r>
          </w:p>
        </w:tc>
        <w:tc>
          <w:tcPr>
            <w:tcW w:w="837" w:type="dxa"/>
            <w:noWrap/>
            <w:vAlign w:val="bottom"/>
          </w:tcPr>
          <w:p w:rsidR="00000000" w:rsidRDefault="00000000">
            <w:pPr>
              <w:tabs>
                <w:tab w:val="decimal" w:pos="367"/>
              </w:tabs>
              <w:jc w:val="right"/>
              <w:rPr>
                <w:color w:val="000000"/>
                <w:sz w:val="18"/>
              </w:rPr>
            </w:pPr>
            <w:r>
              <w:rPr>
                <w:color w:val="000000"/>
                <w:sz w:val="18"/>
              </w:rPr>
              <w:t>2,3</w:t>
            </w:r>
          </w:p>
        </w:tc>
        <w:tc>
          <w:tcPr>
            <w:tcW w:w="837" w:type="dxa"/>
            <w:gridSpan w:val="2"/>
            <w:noWrap/>
            <w:vAlign w:val="bottom"/>
          </w:tcPr>
          <w:p w:rsidR="00000000" w:rsidRDefault="00000000">
            <w:pPr>
              <w:tabs>
                <w:tab w:val="decimal" w:pos="367"/>
              </w:tabs>
              <w:jc w:val="right"/>
              <w:rPr>
                <w:color w:val="000000"/>
                <w:sz w:val="18"/>
              </w:rPr>
            </w:pPr>
            <w:r>
              <w:rPr>
                <w:color w:val="000000"/>
                <w:sz w:val="18"/>
              </w:rPr>
              <w:t>1,6</w:t>
            </w:r>
          </w:p>
        </w:tc>
        <w:tc>
          <w:tcPr>
            <w:tcW w:w="844" w:type="dxa"/>
            <w:noWrap/>
            <w:vAlign w:val="bottom"/>
          </w:tcPr>
          <w:p w:rsidR="00000000" w:rsidRDefault="00000000">
            <w:pPr>
              <w:tabs>
                <w:tab w:val="decimal" w:pos="367"/>
              </w:tabs>
              <w:jc w:val="right"/>
              <w:rPr>
                <w:color w:val="000000"/>
                <w:sz w:val="18"/>
              </w:rPr>
            </w:pPr>
            <w:r>
              <w:rPr>
                <w:color w:val="000000"/>
                <w:sz w:val="18"/>
              </w:rPr>
              <w:t>3,3</w:t>
            </w:r>
          </w:p>
        </w:tc>
      </w:tr>
      <w:tr w:rsidR="00000000">
        <w:trPr>
          <w:cantSplit/>
        </w:trPr>
        <w:tc>
          <w:tcPr>
            <w:tcW w:w="3380" w:type="dxa"/>
            <w:noWrap/>
            <w:vAlign w:val="bottom"/>
          </w:tcPr>
          <w:p w:rsidR="00000000" w:rsidRDefault="00000000">
            <w:pPr>
              <w:spacing w:before="20" w:after="20" w:line="240" w:lineRule="auto"/>
              <w:rPr>
                <w:sz w:val="16"/>
              </w:rPr>
            </w:pPr>
            <w:r>
              <w:rPr>
                <w:sz w:val="16"/>
              </w:rPr>
              <w:t>Общий коэффициент неполной занятости</w:t>
            </w:r>
          </w:p>
        </w:tc>
        <w:tc>
          <w:tcPr>
            <w:tcW w:w="838" w:type="dxa"/>
            <w:noWrap/>
            <w:vAlign w:val="bottom"/>
          </w:tcPr>
          <w:p w:rsidR="00000000" w:rsidRDefault="00000000">
            <w:pPr>
              <w:tabs>
                <w:tab w:val="decimal" w:pos="351"/>
              </w:tabs>
              <w:jc w:val="right"/>
              <w:rPr>
                <w:color w:val="000000"/>
                <w:sz w:val="18"/>
              </w:rPr>
            </w:pPr>
            <w:r>
              <w:rPr>
                <w:color w:val="000000"/>
                <w:sz w:val="18"/>
              </w:rPr>
              <w:t>12,9</w:t>
            </w:r>
          </w:p>
        </w:tc>
        <w:tc>
          <w:tcPr>
            <w:tcW w:w="835" w:type="dxa"/>
            <w:gridSpan w:val="2"/>
            <w:noWrap/>
            <w:vAlign w:val="bottom"/>
          </w:tcPr>
          <w:p w:rsidR="00000000" w:rsidRDefault="00000000">
            <w:pPr>
              <w:tabs>
                <w:tab w:val="decimal" w:pos="404"/>
              </w:tabs>
              <w:jc w:val="right"/>
              <w:rPr>
                <w:color w:val="000000"/>
                <w:sz w:val="18"/>
              </w:rPr>
            </w:pPr>
            <w:r>
              <w:rPr>
                <w:color w:val="000000"/>
                <w:sz w:val="18"/>
              </w:rPr>
              <w:t>11,7</w:t>
            </w:r>
          </w:p>
        </w:tc>
        <w:tc>
          <w:tcPr>
            <w:tcW w:w="836" w:type="dxa"/>
            <w:noWrap/>
            <w:vAlign w:val="bottom"/>
          </w:tcPr>
          <w:p w:rsidR="00000000" w:rsidRDefault="00000000">
            <w:pPr>
              <w:tabs>
                <w:tab w:val="decimal" w:pos="367"/>
              </w:tabs>
              <w:jc w:val="right"/>
              <w:rPr>
                <w:color w:val="000000"/>
                <w:sz w:val="18"/>
              </w:rPr>
            </w:pPr>
            <w:r>
              <w:rPr>
                <w:color w:val="000000"/>
                <w:sz w:val="18"/>
              </w:rPr>
              <w:t>14,6</w:t>
            </w:r>
          </w:p>
        </w:tc>
        <w:tc>
          <w:tcPr>
            <w:tcW w:w="848" w:type="dxa"/>
            <w:noWrap/>
            <w:vAlign w:val="bottom"/>
          </w:tcPr>
          <w:p w:rsidR="00000000" w:rsidRDefault="00000000">
            <w:pPr>
              <w:tabs>
                <w:tab w:val="decimal" w:pos="367"/>
              </w:tabs>
              <w:jc w:val="right"/>
              <w:rPr>
                <w:color w:val="000000"/>
                <w:sz w:val="18"/>
              </w:rPr>
            </w:pPr>
            <w:r>
              <w:rPr>
                <w:color w:val="000000"/>
                <w:sz w:val="18"/>
              </w:rPr>
              <w:t>13,1</w:t>
            </w:r>
          </w:p>
        </w:tc>
        <w:tc>
          <w:tcPr>
            <w:tcW w:w="848" w:type="dxa"/>
            <w:gridSpan w:val="2"/>
            <w:noWrap/>
            <w:vAlign w:val="bottom"/>
          </w:tcPr>
          <w:p w:rsidR="00000000" w:rsidRDefault="00000000">
            <w:pPr>
              <w:tabs>
                <w:tab w:val="decimal" w:pos="367"/>
              </w:tabs>
              <w:jc w:val="right"/>
              <w:rPr>
                <w:color w:val="000000"/>
                <w:sz w:val="18"/>
              </w:rPr>
            </w:pPr>
            <w:r>
              <w:rPr>
                <w:color w:val="000000"/>
                <w:sz w:val="18"/>
              </w:rPr>
              <w:t>10,4</w:t>
            </w:r>
          </w:p>
        </w:tc>
        <w:tc>
          <w:tcPr>
            <w:tcW w:w="848" w:type="dxa"/>
            <w:gridSpan w:val="2"/>
            <w:noWrap/>
            <w:vAlign w:val="bottom"/>
          </w:tcPr>
          <w:p w:rsidR="00000000" w:rsidRDefault="00000000">
            <w:pPr>
              <w:tabs>
                <w:tab w:val="decimal" w:pos="367"/>
              </w:tabs>
              <w:jc w:val="right"/>
              <w:rPr>
                <w:color w:val="000000"/>
                <w:sz w:val="18"/>
              </w:rPr>
            </w:pPr>
            <w:r>
              <w:rPr>
                <w:color w:val="000000"/>
                <w:sz w:val="18"/>
              </w:rPr>
              <w:t>17,5</w:t>
            </w:r>
          </w:p>
        </w:tc>
        <w:tc>
          <w:tcPr>
            <w:tcW w:w="848" w:type="dxa"/>
            <w:noWrap/>
            <w:vAlign w:val="bottom"/>
          </w:tcPr>
          <w:p w:rsidR="00000000" w:rsidRDefault="00000000">
            <w:pPr>
              <w:tabs>
                <w:tab w:val="decimal" w:pos="367"/>
              </w:tabs>
              <w:jc w:val="right"/>
              <w:rPr>
                <w:color w:val="000000"/>
                <w:sz w:val="18"/>
              </w:rPr>
            </w:pPr>
            <w:r>
              <w:rPr>
                <w:color w:val="000000"/>
                <w:sz w:val="18"/>
              </w:rPr>
              <w:t>18,1</w:t>
            </w:r>
          </w:p>
        </w:tc>
        <w:tc>
          <w:tcPr>
            <w:tcW w:w="848" w:type="dxa"/>
            <w:gridSpan w:val="2"/>
            <w:noWrap/>
            <w:vAlign w:val="bottom"/>
          </w:tcPr>
          <w:p w:rsidR="00000000" w:rsidRDefault="00000000">
            <w:pPr>
              <w:tabs>
                <w:tab w:val="decimal" w:pos="367"/>
              </w:tabs>
              <w:jc w:val="right"/>
              <w:rPr>
                <w:color w:val="000000"/>
                <w:sz w:val="18"/>
              </w:rPr>
            </w:pPr>
            <w:r>
              <w:rPr>
                <w:color w:val="000000"/>
                <w:sz w:val="18"/>
              </w:rPr>
              <w:t>15,7</w:t>
            </w:r>
          </w:p>
        </w:tc>
        <w:tc>
          <w:tcPr>
            <w:tcW w:w="848" w:type="dxa"/>
            <w:gridSpan w:val="2"/>
            <w:noWrap/>
            <w:vAlign w:val="bottom"/>
          </w:tcPr>
          <w:p w:rsidR="00000000" w:rsidRDefault="00000000">
            <w:pPr>
              <w:tabs>
                <w:tab w:val="decimal" w:pos="367"/>
              </w:tabs>
              <w:jc w:val="right"/>
              <w:rPr>
                <w:color w:val="000000"/>
                <w:sz w:val="18"/>
              </w:rPr>
            </w:pPr>
            <w:r>
              <w:rPr>
                <w:color w:val="000000"/>
                <w:sz w:val="18"/>
              </w:rPr>
              <w:t>21,5</w:t>
            </w:r>
          </w:p>
        </w:tc>
        <w:tc>
          <w:tcPr>
            <w:tcW w:w="837" w:type="dxa"/>
            <w:noWrap/>
            <w:vAlign w:val="bottom"/>
          </w:tcPr>
          <w:p w:rsidR="00000000" w:rsidRDefault="00000000">
            <w:pPr>
              <w:tabs>
                <w:tab w:val="decimal" w:pos="367"/>
              </w:tabs>
              <w:jc w:val="right"/>
              <w:rPr>
                <w:color w:val="000000"/>
                <w:sz w:val="18"/>
              </w:rPr>
            </w:pPr>
            <w:r>
              <w:rPr>
                <w:color w:val="000000"/>
                <w:sz w:val="18"/>
              </w:rPr>
              <w:t>18,7</w:t>
            </w:r>
          </w:p>
        </w:tc>
        <w:tc>
          <w:tcPr>
            <w:tcW w:w="837" w:type="dxa"/>
            <w:gridSpan w:val="2"/>
            <w:noWrap/>
            <w:vAlign w:val="bottom"/>
          </w:tcPr>
          <w:p w:rsidR="00000000" w:rsidRDefault="00000000">
            <w:pPr>
              <w:tabs>
                <w:tab w:val="decimal" w:pos="367"/>
              </w:tabs>
              <w:jc w:val="right"/>
              <w:rPr>
                <w:color w:val="000000"/>
                <w:sz w:val="18"/>
              </w:rPr>
            </w:pPr>
            <w:r>
              <w:rPr>
                <w:color w:val="000000"/>
                <w:sz w:val="18"/>
              </w:rPr>
              <w:t>15,8</w:t>
            </w:r>
          </w:p>
        </w:tc>
        <w:tc>
          <w:tcPr>
            <w:tcW w:w="844" w:type="dxa"/>
            <w:noWrap/>
            <w:vAlign w:val="bottom"/>
          </w:tcPr>
          <w:p w:rsidR="00000000" w:rsidRDefault="00000000">
            <w:pPr>
              <w:tabs>
                <w:tab w:val="decimal" w:pos="367"/>
              </w:tabs>
              <w:jc w:val="right"/>
              <w:rPr>
                <w:color w:val="000000"/>
                <w:sz w:val="18"/>
              </w:rPr>
            </w:pPr>
            <w:r>
              <w:rPr>
                <w:color w:val="000000"/>
                <w:sz w:val="18"/>
              </w:rPr>
              <w:t>22,9</w:t>
            </w:r>
          </w:p>
        </w:tc>
      </w:tr>
      <w:tr w:rsidR="00000000">
        <w:trPr>
          <w:cantSplit/>
        </w:trPr>
        <w:tc>
          <w:tcPr>
            <w:tcW w:w="3380" w:type="dxa"/>
            <w:noWrap/>
            <w:vAlign w:val="bottom"/>
          </w:tcPr>
          <w:p w:rsidR="00000000" w:rsidRDefault="00000000">
            <w:pPr>
              <w:spacing w:before="20" w:after="20" w:line="240" w:lineRule="auto"/>
              <w:rPr>
                <w:sz w:val="16"/>
              </w:rPr>
            </w:pPr>
            <w:r>
              <w:rPr>
                <w:sz w:val="16"/>
              </w:rPr>
              <w:t>Коэффициент видимой неполной занятости</w:t>
            </w:r>
          </w:p>
        </w:tc>
        <w:tc>
          <w:tcPr>
            <w:tcW w:w="838" w:type="dxa"/>
            <w:noWrap/>
            <w:vAlign w:val="bottom"/>
          </w:tcPr>
          <w:p w:rsidR="00000000" w:rsidRDefault="00000000">
            <w:pPr>
              <w:tabs>
                <w:tab w:val="decimal" w:pos="351"/>
              </w:tabs>
              <w:jc w:val="right"/>
              <w:rPr>
                <w:color w:val="000000"/>
                <w:sz w:val="18"/>
              </w:rPr>
            </w:pPr>
            <w:r>
              <w:rPr>
                <w:color w:val="000000"/>
                <w:sz w:val="18"/>
              </w:rPr>
              <w:t>5,5</w:t>
            </w:r>
          </w:p>
        </w:tc>
        <w:tc>
          <w:tcPr>
            <w:tcW w:w="835" w:type="dxa"/>
            <w:gridSpan w:val="2"/>
            <w:noWrap/>
            <w:vAlign w:val="bottom"/>
          </w:tcPr>
          <w:p w:rsidR="00000000" w:rsidRDefault="00000000">
            <w:pPr>
              <w:tabs>
                <w:tab w:val="decimal" w:pos="404"/>
              </w:tabs>
              <w:jc w:val="right"/>
              <w:rPr>
                <w:color w:val="000000"/>
                <w:sz w:val="18"/>
              </w:rPr>
            </w:pPr>
            <w:r>
              <w:rPr>
                <w:color w:val="000000"/>
                <w:sz w:val="18"/>
              </w:rPr>
              <w:t>3,6</w:t>
            </w:r>
          </w:p>
        </w:tc>
        <w:tc>
          <w:tcPr>
            <w:tcW w:w="836" w:type="dxa"/>
            <w:noWrap/>
            <w:vAlign w:val="bottom"/>
          </w:tcPr>
          <w:p w:rsidR="00000000" w:rsidRDefault="00000000">
            <w:pPr>
              <w:tabs>
                <w:tab w:val="decimal" w:pos="367"/>
              </w:tabs>
              <w:jc w:val="right"/>
              <w:rPr>
                <w:color w:val="000000"/>
                <w:sz w:val="18"/>
              </w:rPr>
            </w:pPr>
            <w:r>
              <w:rPr>
                <w:color w:val="000000"/>
                <w:sz w:val="18"/>
              </w:rPr>
              <w:t>8,2</w:t>
            </w:r>
          </w:p>
        </w:tc>
        <w:tc>
          <w:tcPr>
            <w:tcW w:w="848" w:type="dxa"/>
            <w:noWrap/>
            <w:vAlign w:val="bottom"/>
          </w:tcPr>
          <w:p w:rsidR="00000000" w:rsidRDefault="00000000">
            <w:pPr>
              <w:tabs>
                <w:tab w:val="decimal" w:pos="367"/>
              </w:tabs>
              <w:jc w:val="right"/>
              <w:rPr>
                <w:color w:val="000000"/>
                <w:sz w:val="18"/>
              </w:rPr>
            </w:pPr>
            <w:r>
              <w:rPr>
                <w:color w:val="000000"/>
                <w:sz w:val="18"/>
              </w:rPr>
              <w:t>5,3</w:t>
            </w:r>
          </w:p>
        </w:tc>
        <w:tc>
          <w:tcPr>
            <w:tcW w:w="848" w:type="dxa"/>
            <w:gridSpan w:val="2"/>
            <w:noWrap/>
            <w:vAlign w:val="bottom"/>
          </w:tcPr>
          <w:p w:rsidR="00000000" w:rsidRDefault="00000000">
            <w:pPr>
              <w:tabs>
                <w:tab w:val="decimal" w:pos="367"/>
              </w:tabs>
              <w:jc w:val="right"/>
              <w:rPr>
                <w:color w:val="000000"/>
                <w:sz w:val="18"/>
              </w:rPr>
            </w:pPr>
            <w:r>
              <w:rPr>
                <w:color w:val="000000"/>
                <w:sz w:val="18"/>
              </w:rPr>
              <w:t>2,4</w:t>
            </w:r>
          </w:p>
        </w:tc>
        <w:tc>
          <w:tcPr>
            <w:tcW w:w="848" w:type="dxa"/>
            <w:gridSpan w:val="2"/>
            <w:noWrap/>
            <w:vAlign w:val="bottom"/>
          </w:tcPr>
          <w:p w:rsidR="00000000" w:rsidRDefault="00000000">
            <w:pPr>
              <w:tabs>
                <w:tab w:val="decimal" w:pos="367"/>
              </w:tabs>
              <w:jc w:val="right"/>
              <w:rPr>
                <w:color w:val="000000"/>
                <w:sz w:val="18"/>
              </w:rPr>
            </w:pPr>
            <w:r>
              <w:rPr>
                <w:color w:val="000000"/>
                <w:sz w:val="18"/>
              </w:rPr>
              <w:t>10,1</w:t>
            </w:r>
          </w:p>
        </w:tc>
        <w:tc>
          <w:tcPr>
            <w:tcW w:w="848" w:type="dxa"/>
            <w:noWrap/>
            <w:vAlign w:val="bottom"/>
          </w:tcPr>
          <w:p w:rsidR="00000000" w:rsidRDefault="00000000">
            <w:pPr>
              <w:tabs>
                <w:tab w:val="decimal" w:pos="367"/>
              </w:tabs>
              <w:jc w:val="right"/>
              <w:rPr>
                <w:color w:val="000000"/>
                <w:sz w:val="18"/>
              </w:rPr>
            </w:pPr>
            <w:r>
              <w:rPr>
                <w:color w:val="000000"/>
                <w:sz w:val="18"/>
              </w:rPr>
              <w:t>6,9</w:t>
            </w:r>
          </w:p>
        </w:tc>
        <w:tc>
          <w:tcPr>
            <w:tcW w:w="848" w:type="dxa"/>
            <w:gridSpan w:val="2"/>
            <w:noWrap/>
            <w:vAlign w:val="bottom"/>
          </w:tcPr>
          <w:p w:rsidR="00000000" w:rsidRDefault="00000000">
            <w:pPr>
              <w:tabs>
                <w:tab w:val="decimal" w:pos="367"/>
              </w:tabs>
              <w:jc w:val="right"/>
              <w:rPr>
                <w:color w:val="000000"/>
                <w:sz w:val="18"/>
              </w:rPr>
            </w:pPr>
            <w:r>
              <w:rPr>
                <w:color w:val="000000"/>
                <w:sz w:val="18"/>
              </w:rPr>
              <w:t>4,0</w:t>
            </w:r>
          </w:p>
        </w:tc>
        <w:tc>
          <w:tcPr>
            <w:tcW w:w="848" w:type="dxa"/>
            <w:gridSpan w:val="2"/>
            <w:noWrap/>
            <w:vAlign w:val="bottom"/>
          </w:tcPr>
          <w:p w:rsidR="00000000" w:rsidRDefault="00000000">
            <w:pPr>
              <w:tabs>
                <w:tab w:val="decimal" w:pos="367"/>
              </w:tabs>
              <w:jc w:val="right"/>
              <w:rPr>
                <w:color w:val="000000"/>
                <w:sz w:val="18"/>
              </w:rPr>
            </w:pPr>
            <w:r>
              <w:rPr>
                <w:color w:val="000000"/>
                <w:sz w:val="18"/>
              </w:rPr>
              <w:t>11,0</w:t>
            </w:r>
          </w:p>
        </w:tc>
        <w:tc>
          <w:tcPr>
            <w:tcW w:w="837" w:type="dxa"/>
            <w:noWrap/>
            <w:vAlign w:val="bottom"/>
          </w:tcPr>
          <w:p w:rsidR="00000000" w:rsidRDefault="00000000">
            <w:pPr>
              <w:tabs>
                <w:tab w:val="decimal" w:pos="367"/>
              </w:tabs>
              <w:jc w:val="right"/>
              <w:rPr>
                <w:color w:val="000000"/>
                <w:sz w:val="18"/>
              </w:rPr>
            </w:pPr>
            <w:r>
              <w:rPr>
                <w:color w:val="000000"/>
                <w:sz w:val="18"/>
              </w:rPr>
              <w:t>6,1</w:t>
            </w:r>
          </w:p>
        </w:tc>
        <w:tc>
          <w:tcPr>
            <w:tcW w:w="837" w:type="dxa"/>
            <w:gridSpan w:val="2"/>
            <w:noWrap/>
            <w:vAlign w:val="bottom"/>
          </w:tcPr>
          <w:p w:rsidR="00000000" w:rsidRDefault="00000000">
            <w:pPr>
              <w:tabs>
                <w:tab w:val="decimal" w:pos="367"/>
              </w:tabs>
              <w:jc w:val="right"/>
              <w:rPr>
                <w:color w:val="000000"/>
                <w:sz w:val="18"/>
              </w:rPr>
            </w:pPr>
            <w:r>
              <w:rPr>
                <w:color w:val="000000"/>
                <w:sz w:val="18"/>
              </w:rPr>
              <w:t>3,1</w:t>
            </w:r>
          </w:p>
        </w:tc>
        <w:tc>
          <w:tcPr>
            <w:tcW w:w="844" w:type="dxa"/>
            <w:noWrap/>
            <w:vAlign w:val="bottom"/>
          </w:tcPr>
          <w:p w:rsidR="00000000" w:rsidRDefault="00000000">
            <w:pPr>
              <w:tabs>
                <w:tab w:val="decimal" w:pos="367"/>
              </w:tabs>
              <w:jc w:val="right"/>
              <w:rPr>
                <w:color w:val="000000"/>
                <w:sz w:val="18"/>
              </w:rPr>
            </w:pPr>
            <w:r>
              <w:rPr>
                <w:color w:val="000000"/>
                <w:sz w:val="18"/>
              </w:rPr>
              <w:t>10,2</w:t>
            </w:r>
          </w:p>
        </w:tc>
      </w:tr>
      <w:tr w:rsidR="00000000">
        <w:trPr>
          <w:cantSplit/>
        </w:trPr>
        <w:tc>
          <w:tcPr>
            <w:tcW w:w="3380" w:type="dxa"/>
            <w:noWrap/>
            <w:vAlign w:val="bottom"/>
          </w:tcPr>
          <w:p w:rsidR="00000000" w:rsidRDefault="00000000">
            <w:pPr>
              <w:spacing w:before="20" w:after="20" w:line="240" w:lineRule="auto"/>
              <w:rPr>
                <w:sz w:val="16"/>
              </w:rPr>
            </w:pPr>
            <w:r>
              <w:rPr>
                <w:sz w:val="16"/>
              </w:rPr>
              <w:t>Коэффициент невидимой неполной занятости</w:t>
            </w:r>
          </w:p>
        </w:tc>
        <w:tc>
          <w:tcPr>
            <w:tcW w:w="838" w:type="dxa"/>
            <w:noWrap/>
            <w:vAlign w:val="bottom"/>
          </w:tcPr>
          <w:p w:rsidR="00000000" w:rsidRDefault="00000000">
            <w:pPr>
              <w:tabs>
                <w:tab w:val="decimal" w:pos="351"/>
              </w:tabs>
              <w:jc w:val="right"/>
              <w:rPr>
                <w:color w:val="000000"/>
                <w:sz w:val="18"/>
              </w:rPr>
            </w:pPr>
            <w:r>
              <w:rPr>
                <w:color w:val="000000"/>
                <w:sz w:val="18"/>
              </w:rPr>
              <w:t>7,4</w:t>
            </w:r>
          </w:p>
        </w:tc>
        <w:tc>
          <w:tcPr>
            <w:tcW w:w="835" w:type="dxa"/>
            <w:gridSpan w:val="2"/>
            <w:noWrap/>
            <w:vAlign w:val="bottom"/>
          </w:tcPr>
          <w:p w:rsidR="00000000" w:rsidRDefault="00000000">
            <w:pPr>
              <w:tabs>
                <w:tab w:val="decimal" w:pos="404"/>
              </w:tabs>
              <w:jc w:val="right"/>
              <w:rPr>
                <w:color w:val="000000"/>
                <w:sz w:val="18"/>
              </w:rPr>
            </w:pPr>
            <w:r>
              <w:rPr>
                <w:color w:val="000000"/>
                <w:sz w:val="18"/>
              </w:rPr>
              <w:t>8,1</w:t>
            </w:r>
          </w:p>
        </w:tc>
        <w:tc>
          <w:tcPr>
            <w:tcW w:w="836" w:type="dxa"/>
            <w:noWrap/>
            <w:vAlign w:val="bottom"/>
          </w:tcPr>
          <w:p w:rsidR="00000000" w:rsidRDefault="00000000">
            <w:pPr>
              <w:tabs>
                <w:tab w:val="decimal" w:pos="367"/>
              </w:tabs>
              <w:jc w:val="right"/>
              <w:rPr>
                <w:color w:val="000000"/>
                <w:sz w:val="18"/>
              </w:rPr>
            </w:pPr>
            <w:r>
              <w:rPr>
                <w:color w:val="000000"/>
                <w:sz w:val="18"/>
              </w:rPr>
              <w:t>6,4</w:t>
            </w:r>
          </w:p>
        </w:tc>
        <w:tc>
          <w:tcPr>
            <w:tcW w:w="848" w:type="dxa"/>
            <w:noWrap/>
            <w:vAlign w:val="bottom"/>
          </w:tcPr>
          <w:p w:rsidR="00000000" w:rsidRDefault="00000000">
            <w:pPr>
              <w:tabs>
                <w:tab w:val="decimal" w:pos="367"/>
              </w:tabs>
              <w:jc w:val="right"/>
              <w:rPr>
                <w:color w:val="000000"/>
                <w:sz w:val="18"/>
              </w:rPr>
            </w:pPr>
            <w:r>
              <w:rPr>
                <w:color w:val="000000"/>
                <w:sz w:val="18"/>
              </w:rPr>
              <w:t>7,8</w:t>
            </w:r>
          </w:p>
        </w:tc>
        <w:tc>
          <w:tcPr>
            <w:tcW w:w="848" w:type="dxa"/>
            <w:gridSpan w:val="2"/>
            <w:noWrap/>
            <w:vAlign w:val="bottom"/>
          </w:tcPr>
          <w:p w:rsidR="00000000" w:rsidRDefault="00000000">
            <w:pPr>
              <w:tabs>
                <w:tab w:val="decimal" w:pos="367"/>
              </w:tabs>
              <w:jc w:val="right"/>
              <w:rPr>
                <w:color w:val="000000"/>
                <w:sz w:val="18"/>
              </w:rPr>
            </w:pPr>
            <w:r>
              <w:rPr>
                <w:color w:val="000000"/>
                <w:sz w:val="18"/>
              </w:rPr>
              <w:t>8,0</w:t>
            </w:r>
          </w:p>
        </w:tc>
        <w:tc>
          <w:tcPr>
            <w:tcW w:w="848" w:type="dxa"/>
            <w:gridSpan w:val="2"/>
            <w:noWrap/>
            <w:vAlign w:val="bottom"/>
          </w:tcPr>
          <w:p w:rsidR="00000000" w:rsidRDefault="00000000">
            <w:pPr>
              <w:tabs>
                <w:tab w:val="decimal" w:pos="367"/>
              </w:tabs>
              <w:jc w:val="right"/>
              <w:rPr>
                <w:color w:val="000000"/>
                <w:sz w:val="18"/>
              </w:rPr>
            </w:pPr>
            <w:r>
              <w:rPr>
                <w:color w:val="000000"/>
                <w:sz w:val="18"/>
              </w:rPr>
              <w:t>7,5</w:t>
            </w:r>
          </w:p>
        </w:tc>
        <w:tc>
          <w:tcPr>
            <w:tcW w:w="848" w:type="dxa"/>
            <w:noWrap/>
            <w:vAlign w:val="bottom"/>
          </w:tcPr>
          <w:p w:rsidR="00000000" w:rsidRDefault="00000000">
            <w:pPr>
              <w:tabs>
                <w:tab w:val="decimal" w:pos="367"/>
              </w:tabs>
              <w:jc w:val="right"/>
              <w:rPr>
                <w:color w:val="000000"/>
                <w:sz w:val="18"/>
              </w:rPr>
            </w:pPr>
            <w:r>
              <w:rPr>
                <w:color w:val="000000"/>
                <w:sz w:val="18"/>
              </w:rPr>
              <w:t>11,2</w:t>
            </w:r>
          </w:p>
        </w:tc>
        <w:tc>
          <w:tcPr>
            <w:tcW w:w="848" w:type="dxa"/>
            <w:gridSpan w:val="2"/>
            <w:noWrap/>
            <w:vAlign w:val="bottom"/>
          </w:tcPr>
          <w:p w:rsidR="00000000" w:rsidRDefault="00000000">
            <w:pPr>
              <w:tabs>
                <w:tab w:val="decimal" w:pos="367"/>
              </w:tabs>
              <w:jc w:val="right"/>
              <w:rPr>
                <w:color w:val="000000"/>
                <w:sz w:val="18"/>
              </w:rPr>
            </w:pPr>
            <w:r>
              <w:rPr>
                <w:color w:val="000000"/>
                <w:sz w:val="18"/>
              </w:rPr>
              <w:t>11,7</w:t>
            </w:r>
          </w:p>
        </w:tc>
        <w:tc>
          <w:tcPr>
            <w:tcW w:w="848" w:type="dxa"/>
            <w:gridSpan w:val="2"/>
            <w:noWrap/>
            <w:vAlign w:val="bottom"/>
          </w:tcPr>
          <w:p w:rsidR="00000000" w:rsidRDefault="00000000">
            <w:pPr>
              <w:tabs>
                <w:tab w:val="decimal" w:pos="367"/>
              </w:tabs>
              <w:jc w:val="right"/>
              <w:rPr>
                <w:color w:val="000000"/>
                <w:sz w:val="18"/>
              </w:rPr>
            </w:pPr>
            <w:r>
              <w:rPr>
                <w:color w:val="000000"/>
                <w:sz w:val="18"/>
              </w:rPr>
              <w:t>10,5</w:t>
            </w:r>
          </w:p>
        </w:tc>
        <w:tc>
          <w:tcPr>
            <w:tcW w:w="837" w:type="dxa"/>
            <w:noWrap/>
            <w:vAlign w:val="bottom"/>
          </w:tcPr>
          <w:p w:rsidR="00000000" w:rsidRDefault="00000000">
            <w:pPr>
              <w:tabs>
                <w:tab w:val="decimal" w:pos="367"/>
              </w:tabs>
              <w:jc w:val="right"/>
              <w:rPr>
                <w:color w:val="000000"/>
                <w:sz w:val="18"/>
              </w:rPr>
            </w:pPr>
            <w:r>
              <w:rPr>
                <w:color w:val="000000"/>
                <w:sz w:val="18"/>
              </w:rPr>
              <w:t>12,7</w:t>
            </w:r>
          </w:p>
        </w:tc>
        <w:tc>
          <w:tcPr>
            <w:tcW w:w="837" w:type="dxa"/>
            <w:gridSpan w:val="2"/>
            <w:noWrap/>
            <w:vAlign w:val="bottom"/>
          </w:tcPr>
          <w:p w:rsidR="00000000" w:rsidRDefault="00000000">
            <w:pPr>
              <w:tabs>
                <w:tab w:val="decimal" w:pos="367"/>
              </w:tabs>
              <w:jc w:val="right"/>
              <w:rPr>
                <w:color w:val="000000"/>
                <w:sz w:val="18"/>
              </w:rPr>
            </w:pPr>
            <w:r>
              <w:rPr>
                <w:color w:val="000000"/>
                <w:sz w:val="18"/>
              </w:rPr>
              <w:t>12,7</w:t>
            </w:r>
          </w:p>
        </w:tc>
        <w:tc>
          <w:tcPr>
            <w:tcW w:w="844" w:type="dxa"/>
            <w:noWrap/>
            <w:vAlign w:val="bottom"/>
          </w:tcPr>
          <w:p w:rsidR="00000000" w:rsidRDefault="00000000">
            <w:pPr>
              <w:tabs>
                <w:tab w:val="decimal" w:pos="367"/>
              </w:tabs>
              <w:jc w:val="right"/>
              <w:rPr>
                <w:color w:val="000000"/>
                <w:sz w:val="18"/>
              </w:rPr>
            </w:pPr>
            <w:r>
              <w:rPr>
                <w:color w:val="000000"/>
                <w:sz w:val="18"/>
              </w:rPr>
              <w:t>12,7</w:t>
            </w:r>
          </w:p>
        </w:tc>
      </w:tr>
    </w:tbl>
    <w:p w:rsidR="00000000" w:rsidRDefault="00000000">
      <w:pPr>
        <w:spacing w:line="240" w:lineRule="auto"/>
        <w:rPr>
          <w:sz w:val="16"/>
          <w:szCs w:val="16"/>
        </w:rPr>
      </w:pPr>
    </w:p>
    <w:p w:rsidR="00000000" w:rsidRDefault="00000000">
      <w:pPr>
        <w:spacing w:line="240" w:lineRule="auto"/>
        <w:rPr>
          <w:sz w:val="16"/>
          <w:szCs w:val="16"/>
        </w:rPr>
      </w:pPr>
      <w:r>
        <w:rPr>
          <w:i/>
          <w:iCs/>
          <w:sz w:val="16"/>
          <w:szCs w:val="16"/>
        </w:rPr>
        <w:t>Источник</w:t>
      </w:r>
      <w:r>
        <w:rPr>
          <w:b/>
          <w:bCs/>
          <w:sz w:val="16"/>
          <w:szCs w:val="16"/>
        </w:rPr>
        <w:t xml:space="preserve">:  </w:t>
      </w:r>
      <w:r>
        <w:rPr>
          <w:sz w:val="16"/>
          <w:szCs w:val="16"/>
        </w:rPr>
        <w:t xml:space="preserve">ТСП/ГУСоП.  Постоянное обследование домохозяйств </w:t>
      </w:r>
      <w:r>
        <w:rPr>
          <w:sz w:val="16"/>
          <w:szCs w:val="16"/>
          <w:lang w:val="fr-FR"/>
        </w:rPr>
        <w:t>1995, 1999, 2004, 2005</w:t>
      </w:r>
      <w:r>
        <w:rPr>
          <w:sz w:val="16"/>
          <w:szCs w:val="16"/>
        </w:rPr>
        <w:t xml:space="preserve"> годов.</w:t>
      </w:r>
    </w:p>
    <w:p w:rsidR="00000000" w:rsidRDefault="00000000">
      <w:pPr>
        <w:spacing w:line="240" w:lineRule="auto"/>
        <w:rPr>
          <w:lang w:val="fr-FR"/>
        </w:rPr>
      </w:pPr>
    </w:p>
    <w:p w:rsidR="00000000" w:rsidRDefault="00000000">
      <w:pPr>
        <w:spacing w:line="240" w:lineRule="auto"/>
        <w:rPr>
          <w:sz w:val="16"/>
          <w:szCs w:val="16"/>
        </w:rPr>
      </w:pPr>
      <w:r>
        <w:rPr>
          <w:b/>
          <w:bCs/>
          <w:sz w:val="16"/>
          <w:szCs w:val="16"/>
          <w:vertAlign w:val="superscript"/>
        </w:rPr>
        <w:t>*</w:t>
      </w:r>
      <w:r>
        <w:rPr>
          <w:sz w:val="16"/>
          <w:szCs w:val="16"/>
        </w:rPr>
        <w:tab/>
        <w:t>Результаты постоянного обследования домохозяйств за 1995-1999 годы даются с поправкой на результаты переписи населения 2002 года.</w:t>
      </w:r>
    </w:p>
    <w:p w:rsidR="00000000" w:rsidRDefault="00000000">
      <w:pPr>
        <w:spacing w:line="240" w:lineRule="auto"/>
        <w:jc w:val="right"/>
        <w:rPr>
          <w:sz w:val="16"/>
          <w:szCs w:val="16"/>
          <w:vertAlign w:val="superscript"/>
        </w:rPr>
      </w:pPr>
    </w:p>
    <w:p w:rsidR="00000000" w:rsidRDefault="00000000">
      <w:pPr>
        <w:spacing w:line="240" w:lineRule="auto"/>
        <w:rPr>
          <w:sz w:val="16"/>
          <w:szCs w:val="16"/>
        </w:rPr>
      </w:pPr>
      <w:r>
        <w:rPr>
          <w:b/>
          <w:bCs/>
          <w:sz w:val="16"/>
          <w:szCs w:val="16"/>
          <w:vertAlign w:val="superscript"/>
        </w:rPr>
        <w:t>**</w:t>
      </w:r>
      <w:r>
        <w:rPr>
          <w:sz w:val="16"/>
          <w:szCs w:val="16"/>
        </w:rPr>
        <w:tab/>
        <w:t xml:space="preserve">Население в возрасте 30 лет и старше. </w:t>
      </w:r>
    </w:p>
    <w:p w:rsidR="00000000" w:rsidRDefault="00000000">
      <w:pPr>
        <w:spacing w:line="240" w:lineRule="auto"/>
        <w:rPr>
          <w:b/>
          <w:bCs/>
          <w:sz w:val="16"/>
          <w:szCs w:val="16"/>
        </w:rPr>
      </w:pPr>
    </w:p>
    <w:p w:rsidR="00000000" w:rsidRDefault="00000000">
      <w:pPr>
        <w:spacing w:line="480" w:lineRule="auto"/>
        <w:rPr>
          <w:b/>
          <w:bCs/>
        </w:rPr>
      </w:pPr>
      <w:r>
        <w:rPr>
          <w:b/>
          <w:bCs/>
          <w:sz w:val="16"/>
          <w:szCs w:val="16"/>
        </w:rPr>
        <w:br w:type="page"/>
      </w:r>
      <w:r>
        <w:rPr>
          <w:b/>
          <w:bCs/>
        </w:rPr>
        <w:t>4.1.2</w:t>
      </w:r>
      <w:r>
        <w:rPr>
          <w:b/>
          <w:bCs/>
        </w:rPr>
        <w:tab/>
        <w:t>Занятость (молодежь)</w:t>
      </w:r>
    </w:p>
    <w:p w:rsidR="00000000" w:rsidRDefault="00000000">
      <w:pPr>
        <w:spacing w:line="480" w:lineRule="auto"/>
        <w:jc w:val="center"/>
        <w:rPr>
          <w:b/>
          <w:bCs/>
        </w:rPr>
      </w:pPr>
      <w:r>
        <w:rPr>
          <w:b/>
          <w:bCs/>
        </w:rPr>
        <w:t>Показатели занятости молодежи, 1995</w:t>
      </w:r>
      <w:r>
        <w:rPr>
          <w:b/>
          <w:bCs/>
        </w:rPr>
        <w:noBreakHyphen/>
        <w:t>2005 годы</w:t>
      </w:r>
    </w:p>
    <w:tbl>
      <w:tblPr>
        <w:tblW w:w="1349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3380"/>
        <w:gridCol w:w="838"/>
        <w:gridCol w:w="829"/>
        <w:gridCol w:w="6"/>
        <w:gridCol w:w="836"/>
        <w:gridCol w:w="848"/>
        <w:gridCol w:w="6"/>
        <w:gridCol w:w="842"/>
        <w:gridCol w:w="840"/>
        <w:gridCol w:w="8"/>
        <w:gridCol w:w="848"/>
        <w:gridCol w:w="840"/>
        <w:gridCol w:w="8"/>
        <w:gridCol w:w="840"/>
        <w:gridCol w:w="8"/>
        <w:gridCol w:w="837"/>
        <w:gridCol w:w="826"/>
        <w:gridCol w:w="11"/>
        <w:gridCol w:w="844"/>
      </w:tblGrid>
      <w:tr w:rsidR="00000000">
        <w:trPr>
          <w:cantSplit/>
        </w:trPr>
        <w:tc>
          <w:tcPr>
            <w:tcW w:w="3380" w:type="dxa"/>
            <w:vMerge w:val="restart"/>
            <w:vAlign w:val="center"/>
          </w:tcPr>
          <w:p w:rsidR="00000000" w:rsidRDefault="00000000">
            <w:pPr>
              <w:spacing w:before="20" w:after="20" w:line="240" w:lineRule="auto"/>
              <w:jc w:val="center"/>
              <w:rPr>
                <w:b/>
                <w:bCs/>
                <w:sz w:val="16"/>
              </w:rPr>
            </w:pPr>
            <w:r>
              <w:rPr>
                <w:b/>
                <w:bCs/>
                <w:sz w:val="16"/>
              </w:rPr>
              <w:t>КАТЕГОРИЯ</w:t>
            </w:r>
          </w:p>
        </w:tc>
        <w:tc>
          <w:tcPr>
            <w:tcW w:w="2509" w:type="dxa"/>
            <w:gridSpan w:val="4"/>
            <w:vAlign w:val="center"/>
          </w:tcPr>
          <w:p w:rsidR="00000000" w:rsidRDefault="00000000">
            <w:pPr>
              <w:spacing w:before="20" w:after="20" w:line="240" w:lineRule="auto"/>
              <w:jc w:val="center"/>
              <w:rPr>
                <w:b/>
                <w:bCs/>
                <w:sz w:val="16"/>
              </w:rPr>
            </w:pPr>
            <w:r>
              <w:rPr>
                <w:b/>
                <w:bCs/>
                <w:sz w:val="16"/>
              </w:rPr>
              <w:t>1995 год</w:t>
            </w:r>
            <w:r>
              <w:rPr>
                <w:b/>
                <w:bCs/>
                <w:sz w:val="16"/>
                <w:vertAlign w:val="superscript"/>
              </w:rPr>
              <w:t>*</w:t>
            </w:r>
          </w:p>
        </w:tc>
        <w:tc>
          <w:tcPr>
            <w:tcW w:w="2536" w:type="dxa"/>
            <w:gridSpan w:val="4"/>
            <w:vAlign w:val="center"/>
          </w:tcPr>
          <w:p w:rsidR="00000000" w:rsidRDefault="00000000">
            <w:pPr>
              <w:spacing w:before="20" w:after="20" w:line="240" w:lineRule="auto"/>
              <w:jc w:val="center"/>
              <w:rPr>
                <w:b/>
                <w:bCs/>
                <w:sz w:val="16"/>
              </w:rPr>
            </w:pPr>
            <w:r>
              <w:rPr>
                <w:b/>
                <w:bCs/>
                <w:sz w:val="16"/>
              </w:rPr>
              <w:t>1999 год</w:t>
            </w:r>
            <w:r>
              <w:rPr>
                <w:b/>
                <w:bCs/>
                <w:sz w:val="16"/>
                <w:vertAlign w:val="superscript"/>
              </w:rPr>
              <w:t>*</w:t>
            </w:r>
          </w:p>
        </w:tc>
        <w:tc>
          <w:tcPr>
            <w:tcW w:w="2544" w:type="dxa"/>
            <w:gridSpan w:val="5"/>
            <w:vAlign w:val="center"/>
          </w:tcPr>
          <w:p w:rsidR="00000000" w:rsidRDefault="00000000">
            <w:pPr>
              <w:spacing w:before="20" w:after="20" w:line="240" w:lineRule="auto"/>
              <w:jc w:val="center"/>
              <w:rPr>
                <w:b/>
                <w:bCs/>
                <w:sz w:val="16"/>
              </w:rPr>
            </w:pPr>
            <w:r>
              <w:rPr>
                <w:b/>
                <w:bCs/>
                <w:sz w:val="16"/>
              </w:rPr>
              <w:t>2004 год</w:t>
            </w:r>
          </w:p>
        </w:tc>
        <w:tc>
          <w:tcPr>
            <w:tcW w:w="2526" w:type="dxa"/>
            <w:gridSpan w:val="5"/>
            <w:vAlign w:val="center"/>
          </w:tcPr>
          <w:p w:rsidR="00000000" w:rsidRDefault="00000000">
            <w:pPr>
              <w:spacing w:before="20" w:after="20" w:line="240" w:lineRule="auto"/>
              <w:jc w:val="center"/>
              <w:rPr>
                <w:b/>
                <w:bCs/>
                <w:sz w:val="16"/>
              </w:rPr>
            </w:pPr>
            <w:r>
              <w:rPr>
                <w:b/>
                <w:bCs/>
                <w:sz w:val="16"/>
              </w:rPr>
              <w:t>2005 год</w:t>
            </w:r>
          </w:p>
        </w:tc>
      </w:tr>
      <w:tr w:rsidR="00000000">
        <w:trPr>
          <w:cantSplit/>
        </w:trPr>
        <w:tc>
          <w:tcPr>
            <w:tcW w:w="3380" w:type="dxa"/>
            <w:vMerge/>
            <w:vAlign w:val="center"/>
          </w:tcPr>
          <w:p w:rsidR="00000000" w:rsidRDefault="00000000">
            <w:pPr>
              <w:spacing w:before="20" w:after="20" w:line="240" w:lineRule="auto"/>
              <w:jc w:val="center"/>
              <w:rPr>
                <w:b/>
                <w:bCs/>
                <w:sz w:val="16"/>
              </w:rPr>
            </w:pPr>
          </w:p>
        </w:tc>
        <w:tc>
          <w:tcPr>
            <w:tcW w:w="838" w:type="dxa"/>
            <w:vAlign w:val="center"/>
          </w:tcPr>
          <w:p w:rsidR="00000000" w:rsidRDefault="00000000">
            <w:pPr>
              <w:spacing w:before="20" w:after="20" w:line="240" w:lineRule="auto"/>
              <w:jc w:val="center"/>
              <w:rPr>
                <w:b/>
                <w:bCs/>
                <w:sz w:val="16"/>
              </w:rPr>
            </w:pPr>
            <w:r>
              <w:rPr>
                <w:b/>
                <w:bCs/>
                <w:sz w:val="16"/>
              </w:rPr>
              <w:t>Итого</w:t>
            </w:r>
          </w:p>
        </w:tc>
        <w:tc>
          <w:tcPr>
            <w:tcW w:w="829" w:type="dxa"/>
            <w:vAlign w:val="center"/>
          </w:tcPr>
          <w:p w:rsidR="00000000" w:rsidRDefault="00000000">
            <w:pPr>
              <w:spacing w:before="20" w:after="20" w:line="240" w:lineRule="auto"/>
              <w:jc w:val="center"/>
              <w:rPr>
                <w:b/>
                <w:bCs/>
                <w:sz w:val="16"/>
              </w:rPr>
            </w:pPr>
            <w:r>
              <w:rPr>
                <w:b/>
                <w:bCs/>
                <w:sz w:val="16"/>
              </w:rPr>
              <w:t>Мужчины</w:t>
            </w:r>
          </w:p>
        </w:tc>
        <w:tc>
          <w:tcPr>
            <w:tcW w:w="842" w:type="dxa"/>
            <w:gridSpan w:val="2"/>
            <w:vAlign w:val="center"/>
          </w:tcPr>
          <w:p w:rsidR="00000000" w:rsidRDefault="00000000">
            <w:pPr>
              <w:spacing w:before="20" w:after="20" w:line="240" w:lineRule="auto"/>
              <w:jc w:val="center"/>
              <w:rPr>
                <w:b/>
                <w:bCs/>
                <w:sz w:val="16"/>
              </w:rPr>
            </w:pPr>
            <w:r>
              <w:rPr>
                <w:b/>
                <w:bCs/>
                <w:sz w:val="16"/>
              </w:rPr>
              <w:t>Женщины</w:t>
            </w:r>
          </w:p>
        </w:tc>
        <w:tc>
          <w:tcPr>
            <w:tcW w:w="854" w:type="dxa"/>
            <w:gridSpan w:val="2"/>
            <w:vAlign w:val="center"/>
          </w:tcPr>
          <w:p w:rsidR="00000000" w:rsidRDefault="00000000">
            <w:pPr>
              <w:spacing w:before="20" w:after="20" w:line="240" w:lineRule="auto"/>
              <w:jc w:val="center"/>
              <w:rPr>
                <w:b/>
                <w:bCs/>
                <w:sz w:val="16"/>
              </w:rPr>
            </w:pPr>
            <w:r>
              <w:rPr>
                <w:b/>
                <w:bCs/>
                <w:sz w:val="16"/>
              </w:rPr>
              <w:t>Итого</w:t>
            </w:r>
          </w:p>
        </w:tc>
        <w:tc>
          <w:tcPr>
            <w:tcW w:w="842" w:type="dxa"/>
            <w:vAlign w:val="center"/>
          </w:tcPr>
          <w:p w:rsidR="00000000" w:rsidRDefault="00000000">
            <w:pPr>
              <w:spacing w:before="20" w:after="20" w:line="240" w:lineRule="auto"/>
              <w:jc w:val="center"/>
              <w:rPr>
                <w:b/>
                <w:bCs/>
                <w:sz w:val="16"/>
              </w:rPr>
            </w:pPr>
            <w:r>
              <w:rPr>
                <w:b/>
                <w:bCs/>
                <w:sz w:val="16"/>
              </w:rPr>
              <w:t>Мужчины</w:t>
            </w:r>
          </w:p>
        </w:tc>
        <w:tc>
          <w:tcPr>
            <w:tcW w:w="840" w:type="dxa"/>
            <w:vAlign w:val="center"/>
          </w:tcPr>
          <w:p w:rsidR="00000000" w:rsidRDefault="00000000">
            <w:pPr>
              <w:spacing w:before="20" w:after="20" w:line="240" w:lineRule="auto"/>
              <w:jc w:val="center"/>
              <w:rPr>
                <w:b/>
                <w:bCs/>
                <w:sz w:val="16"/>
              </w:rPr>
            </w:pPr>
            <w:r>
              <w:rPr>
                <w:b/>
                <w:bCs/>
                <w:sz w:val="16"/>
              </w:rPr>
              <w:t>Женщины</w:t>
            </w:r>
          </w:p>
        </w:tc>
        <w:tc>
          <w:tcPr>
            <w:tcW w:w="856" w:type="dxa"/>
            <w:gridSpan w:val="2"/>
            <w:vAlign w:val="center"/>
          </w:tcPr>
          <w:p w:rsidR="00000000" w:rsidRDefault="00000000">
            <w:pPr>
              <w:spacing w:before="20" w:after="20" w:line="240" w:lineRule="auto"/>
              <w:jc w:val="center"/>
              <w:rPr>
                <w:b/>
                <w:bCs/>
                <w:sz w:val="16"/>
              </w:rPr>
            </w:pPr>
            <w:r>
              <w:rPr>
                <w:b/>
                <w:bCs/>
                <w:sz w:val="16"/>
              </w:rPr>
              <w:t>Итого</w:t>
            </w:r>
          </w:p>
        </w:tc>
        <w:tc>
          <w:tcPr>
            <w:tcW w:w="840" w:type="dxa"/>
            <w:vAlign w:val="center"/>
          </w:tcPr>
          <w:p w:rsidR="00000000" w:rsidRDefault="00000000">
            <w:pPr>
              <w:spacing w:before="20" w:after="20" w:line="240" w:lineRule="auto"/>
              <w:jc w:val="center"/>
              <w:rPr>
                <w:b/>
                <w:bCs/>
                <w:sz w:val="16"/>
              </w:rPr>
            </w:pPr>
            <w:r>
              <w:rPr>
                <w:b/>
                <w:bCs/>
                <w:sz w:val="16"/>
              </w:rPr>
              <w:t>Мужчины</w:t>
            </w:r>
          </w:p>
        </w:tc>
        <w:tc>
          <w:tcPr>
            <w:tcW w:w="848" w:type="dxa"/>
            <w:gridSpan w:val="2"/>
            <w:vAlign w:val="center"/>
          </w:tcPr>
          <w:p w:rsidR="00000000" w:rsidRDefault="00000000">
            <w:pPr>
              <w:spacing w:before="20" w:after="20" w:line="240" w:lineRule="auto"/>
              <w:jc w:val="center"/>
              <w:rPr>
                <w:b/>
                <w:bCs/>
                <w:sz w:val="16"/>
              </w:rPr>
            </w:pPr>
            <w:r>
              <w:rPr>
                <w:b/>
                <w:bCs/>
                <w:sz w:val="16"/>
              </w:rPr>
              <w:t>Женщины</w:t>
            </w:r>
          </w:p>
        </w:tc>
        <w:tc>
          <w:tcPr>
            <w:tcW w:w="845" w:type="dxa"/>
            <w:gridSpan w:val="2"/>
            <w:vAlign w:val="center"/>
          </w:tcPr>
          <w:p w:rsidR="00000000" w:rsidRDefault="00000000">
            <w:pPr>
              <w:spacing w:before="20" w:after="20" w:line="240" w:lineRule="auto"/>
              <w:jc w:val="center"/>
              <w:rPr>
                <w:b/>
                <w:bCs/>
                <w:sz w:val="16"/>
              </w:rPr>
            </w:pPr>
            <w:r>
              <w:rPr>
                <w:b/>
                <w:bCs/>
                <w:sz w:val="16"/>
              </w:rPr>
              <w:t>Итого</w:t>
            </w:r>
          </w:p>
        </w:tc>
        <w:tc>
          <w:tcPr>
            <w:tcW w:w="826" w:type="dxa"/>
            <w:vAlign w:val="center"/>
          </w:tcPr>
          <w:p w:rsidR="00000000" w:rsidRDefault="00000000">
            <w:pPr>
              <w:spacing w:before="20" w:after="20" w:line="240" w:lineRule="auto"/>
              <w:jc w:val="center"/>
              <w:rPr>
                <w:b/>
                <w:bCs/>
                <w:sz w:val="16"/>
              </w:rPr>
            </w:pPr>
            <w:r>
              <w:rPr>
                <w:b/>
                <w:bCs/>
                <w:sz w:val="16"/>
              </w:rPr>
              <w:t>Мужчины</w:t>
            </w:r>
          </w:p>
        </w:tc>
        <w:tc>
          <w:tcPr>
            <w:tcW w:w="855" w:type="dxa"/>
            <w:gridSpan w:val="2"/>
            <w:vAlign w:val="center"/>
          </w:tcPr>
          <w:p w:rsidR="00000000" w:rsidRDefault="00000000">
            <w:pPr>
              <w:spacing w:before="20" w:after="20" w:line="240" w:lineRule="auto"/>
              <w:jc w:val="center"/>
              <w:rPr>
                <w:b/>
                <w:bCs/>
                <w:sz w:val="16"/>
              </w:rPr>
            </w:pPr>
            <w:r>
              <w:rPr>
                <w:b/>
                <w:bCs/>
                <w:sz w:val="16"/>
              </w:rPr>
              <w:t>Женщины</w:t>
            </w:r>
          </w:p>
        </w:tc>
      </w:tr>
      <w:tr w:rsidR="00000000">
        <w:trPr>
          <w:cantSplit/>
        </w:trPr>
        <w:tc>
          <w:tcPr>
            <w:tcW w:w="3380" w:type="dxa"/>
            <w:noWrap/>
            <w:vAlign w:val="bottom"/>
          </w:tcPr>
          <w:p w:rsidR="00000000" w:rsidRDefault="00000000">
            <w:pPr>
              <w:spacing w:before="20" w:after="20" w:line="240" w:lineRule="auto"/>
              <w:rPr>
                <w:sz w:val="16"/>
              </w:rPr>
            </w:pPr>
            <w:r>
              <w:rPr>
                <w:sz w:val="16"/>
              </w:rPr>
              <w:t>Экономически активное население (**)</w:t>
            </w:r>
          </w:p>
        </w:tc>
        <w:tc>
          <w:tcPr>
            <w:tcW w:w="838" w:type="dxa"/>
            <w:noWrap/>
            <w:vAlign w:val="bottom"/>
          </w:tcPr>
          <w:p w:rsidR="00000000" w:rsidRDefault="00000000">
            <w:pPr>
              <w:jc w:val="right"/>
              <w:rPr>
                <w:color w:val="000000"/>
                <w:sz w:val="18"/>
              </w:rPr>
            </w:pPr>
            <w:r>
              <w:rPr>
                <w:color w:val="000000"/>
                <w:sz w:val="18"/>
              </w:rPr>
              <w:t>834 623</w:t>
            </w:r>
          </w:p>
        </w:tc>
        <w:tc>
          <w:tcPr>
            <w:tcW w:w="835" w:type="dxa"/>
            <w:gridSpan w:val="2"/>
            <w:noWrap/>
            <w:vAlign w:val="bottom"/>
          </w:tcPr>
          <w:p w:rsidR="00000000" w:rsidRDefault="00000000">
            <w:pPr>
              <w:jc w:val="right"/>
              <w:rPr>
                <w:color w:val="000000"/>
                <w:sz w:val="18"/>
              </w:rPr>
            </w:pPr>
            <w:r>
              <w:rPr>
                <w:color w:val="000000"/>
                <w:sz w:val="18"/>
              </w:rPr>
              <w:t>492 677</w:t>
            </w:r>
          </w:p>
        </w:tc>
        <w:tc>
          <w:tcPr>
            <w:tcW w:w="836" w:type="dxa"/>
            <w:noWrap/>
            <w:vAlign w:val="bottom"/>
          </w:tcPr>
          <w:p w:rsidR="00000000" w:rsidRDefault="00000000">
            <w:pPr>
              <w:jc w:val="right"/>
              <w:rPr>
                <w:color w:val="000000"/>
                <w:sz w:val="18"/>
              </w:rPr>
            </w:pPr>
            <w:r>
              <w:rPr>
                <w:color w:val="000000"/>
                <w:sz w:val="18"/>
              </w:rPr>
              <w:t>341 947</w:t>
            </w:r>
          </w:p>
        </w:tc>
        <w:tc>
          <w:tcPr>
            <w:tcW w:w="848" w:type="dxa"/>
            <w:noWrap/>
            <w:vAlign w:val="bottom"/>
          </w:tcPr>
          <w:p w:rsidR="00000000" w:rsidRDefault="00000000">
            <w:pPr>
              <w:jc w:val="right"/>
              <w:rPr>
                <w:color w:val="000000"/>
                <w:sz w:val="18"/>
              </w:rPr>
            </w:pPr>
            <w:r>
              <w:rPr>
                <w:color w:val="000000"/>
                <w:sz w:val="18"/>
              </w:rPr>
              <w:t>792 389</w:t>
            </w:r>
          </w:p>
        </w:tc>
        <w:tc>
          <w:tcPr>
            <w:tcW w:w="848" w:type="dxa"/>
            <w:gridSpan w:val="2"/>
            <w:noWrap/>
            <w:vAlign w:val="bottom"/>
          </w:tcPr>
          <w:p w:rsidR="00000000" w:rsidRDefault="00000000">
            <w:pPr>
              <w:jc w:val="right"/>
              <w:rPr>
                <w:color w:val="000000"/>
                <w:sz w:val="18"/>
              </w:rPr>
            </w:pPr>
            <w:r>
              <w:rPr>
                <w:color w:val="000000"/>
                <w:sz w:val="18"/>
              </w:rPr>
              <w:t>501 736</w:t>
            </w:r>
          </w:p>
        </w:tc>
        <w:tc>
          <w:tcPr>
            <w:tcW w:w="848" w:type="dxa"/>
            <w:gridSpan w:val="2"/>
            <w:noWrap/>
            <w:vAlign w:val="bottom"/>
          </w:tcPr>
          <w:p w:rsidR="00000000" w:rsidRDefault="00000000">
            <w:pPr>
              <w:jc w:val="right"/>
              <w:rPr>
                <w:color w:val="000000"/>
                <w:sz w:val="18"/>
              </w:rPr>
            </w:pPr>
            <w:r>
              <w:rPr>
                <w:color w:val="000000"/>
                <w:sz w:val="18"/>
              </w:rPr>
              <w:t>290 653</w:t>
            </w:r>
          </w:p>
        </w:tc>
        <w:tc>
          <w:tcPr>
            <w:tcW w:w="848" w:type="dxa"/>
            <w:noWrap/>
            <w:vAlign w:val="bottom"/>
          </w:tcPr>
          <w:p w:rsidR="00000000" w:rsidRDefault="00000000">
            <w:pPr>
              <w:jc w:val="right"/>
              <w:rPr>
                <w:color w:val="000000"/>
                <w:sz w:val="18"/>
              </w:rPr>
            </w:pPr>
            <w:r>
              <w:rPr>
                <w:color w:val="000000"/>
                <w:sz w:val="18"/>
              </w:rPr>
              <w:t>1 058 824</w:t>
            </w:r>
          </w:p>
        </w:tc>
        <w:tc>
          <w:tcPr>
            <w:tcW w:w="848" w:type="dxa"/>
            <w:gridSpan w:val="2"/>
            <w:noWrap/>
            <w:vAlign w:val="bottom"/>
          </w:tcPr>
          <w:p w:rsidR="00000000" w:rsidRDefault="00000000">
            <w:pPr>
              <w:jc w:val="right"/>
              <w:rPr>
                <w:color w:val="000000"/>
                <w:sz w:val="18"/>
              </w:rPr>
            </w:pPr>
            <w:r>
              <w:rPr>
                <w:color w:val="000000"/>
                <w:sz w:val="18"/>
              </w:rPr>
              <w:t>641 378</w:t>
            </w:r>
          </w:p>
        </w:tc>
        <w:tc>
          <w:tcPr>
            <w:tcW w:w="848" w:type="dxa"/>
            <w:gridSpan w:val="2"/>
            <w:noWrap/>
            <w:vAlign w:val="bottom"/>
          </w:tcPr>
          <w:p w:rsidR="00000000" w:rsidRDefault="00000000">
            <w:pPr>
              <w:jc w:val="right"/>
              <w:rPr>
                <w:color w:val="000000"/>
                <w:sz w:val="18"/>
              </w:rPr>
            </w:pPr>
            <w:r>
              <w:rPr>
                <w:color w:val="000000"/>
                <w:sz w:val="18"/>
              </w:rPr>
              <w:t>417 446</w:t>
            </w:r>
          </w:p>
        </w:tc>
        <w:tc>
          <w:tcPr>
            <w:tcW w:w="837" w:type="dxa"/>
            <w:noWrap/>
            <w:vAlign w:val="bottom"/>
          </w:tcPr>
          <w:p w:rsidR="00000000" w:rsidRDefault="00000000">
            <w:pPr>
              <w:jc w:val="right"/>
              <w:rPr>
                <w:color w:val="000000"/>
                <w:sz w:val="18"/>
              </w:rPr>
            </w:pPr>
            <w:r>
              <w:rPr>
                <w:color w:val="000000"/>
                <w:sz w:val="18"/>
              </w:rPr>
              <w:t>1 018 817</w:t>
            </w:r>
          </w:p>
        </w:tc>
        <w:tc>
          <w:tcPr>
            <w:tcW w:w="837" w:type="dxa"/>
            <w:gridSpan w:val="2"/>
            <w:noWrap/>
            <w:vAlign w:val="bottom"/>
          </w:tcPr>
          <w:p w:rsidR="00000000" w:rsidRDefault="00000000">
            <w:pPr>
              <w:jc w:val="right"/>
              <w:rPr>
                <w:color w:val="000000"/>
                <w:sz w:val="18"/>
              </w:rPr>
            </w:pPr>
            <w:r>
              <w:rPr>
                <w:color w:val="000000"/>
                <w:sz w:val="18"/>
              </w:rPr>
              <w:t>628 076</w:t>
            </w:r>
          </w:p>
        </w:tc>
        <w:tc>
          <w:tcPr>
            <w:tcW w:w="844" w:type="dxa"/>
            <w:noWrap/>
            <w:vAlign w:val="bottom"/>
          </w:tcPr>
          <w:p w:rsidR="00000000" w:rsidRDefault="00000000">
            <w:pPr>
              <w:jc w:val="right"/>
              <w:rPr>
                <w:color w:val="000000"/>
                <w:sz w:val="18"/>
              </w:rPr>
            </w:pPr>
            <w:r>
              <w:rPr>
                <w:color w:val="000000"/>
                <w:sz w:val="18"/>
              </w:rPr>
              <w:t>390 741</w:t>
            </w:r>
          </w:p>
        </w:tc>
      </w:tr>
      <w:tr w:rsidR="00000000">
        <w:trPr>
          <w:cantSplit/>
        </w:trPr>
        <w:tc>
          <w:tcPr>
            <w:tcW w:w="3380" w:type="dxa"/>
            <w:noWrap/>
            <w:vAlign w:val="bottom"/>
          </w:tcPr>
          <w:p w:rsidR="00000000" w:rsidRDefault="00000000">
            <w:pPr>
              <w:spacing w:before="20" w:after="20" w:line="240" w:lineRule="auto"/>
              <w:rPr>
                <w:sz w:val="16"/>
              </w:rPr>
            </w:pPr>
            <w:r>
              <w:rPr>
                <w:sz w:val="16"/>
              </w:rPr>
              <w:t>Экономически неактивное население (**)</w:t>
            </w:r>
          </w:p>
        </w:tc>
        <w:tc>
          <w:tcPr>
            <w:tcW w:w="838" w:type="dxa"/>
            <w:noWrap/>
            <w:vAlign w:val="bottom"/>
          </w:tcPr>
          <w:p w:rsidR="00000000" w:rsidRDefault="00000000">
            <w:pPr>
              <w:jc w:val="right"/>
              <w:rPr>
                <w:color w:val="000000"/>
                <w:sz w:val="18"/>
              </w:rPr>
            </w:pPr>
            <w:r>
              <w:rPr>
                <w:color w:val="000000"/>
                <w:sz w:val="18"/>
              </w:rPr>
              <w:t>282 666</w:t>
            </w:r>
          </w:p>
        </w:tc>
        <w:tc>
          <w:tcPr>
            <w:tcW w:w="835" w:type="dxa"/>
            <w:gridSpan w:val="2"/>
            <w:noWrap/>
            <w:vAlign w:val="bottom"/>
          </w:tcPr>
          <w:p w:rsidR="00000000" w:rsidRDefault="00000000">
            <w:pPr>
              <w:jc w:val="right"/>
              <w:rPr>
                <w:color w:val="000000"/>
                <w:sz w:val="18"/>
              </w:rPr>
            </w:pPr>
            <w:r>
              <w:rPr>
                <w:color w:val="000000"/>
                <w:sz w:val="18"/>
              </w:rPr>
              <w:t>54 506</w:t>
            </w:r>
          </w:p>
        </w:tc>
        <w:tc>
          <w:tcPr>
            <w:tcW w:w="836" w:type="dxa"/>
            <w:noWrap/>
            <w:vAlign w:val="bottom"/>
          </w:tcPr>
          <w:p w:rsidR="00000000" w:rsidRDefault="00000000">
            <w:pPr>
              <w:jc w:val="right"/>
              <w:rPr>
                <w:color w:val="000000"/>
                <w:sz w:val="18"/>
              </w:rPr>
            </w:pPr>
            <w:r>
              <w:rPr>
                <w:color w:val="000000"/>
                <w:sz w:val="18"/>
              </w:rPr>
              <w:t>228 161</w:t>
            </w:r>
          </w:p>
        </w:tc>
        <w:tc>
          <w:tcPr>
            <w:tcW w:w="848" w:type="dxa"/>
            <w:noWrap/>
            <w:vAlign w:val="bottom"/>
          </w:tcPr>
          <w:p w:rsidR="00000000" w:rsidRDefault="00000000">
            <w:pPr>
              <w:jc w:val="right"/>
              <w:rPr>
                <w:color w:val="000000"/>
                <w:sz w:val="18"/>
              </w:rPr>
            </w:pPr>
            <w:r>
              <w:rPr>
                <w:color w:val="000000"/>
                <w:sz w:val="18"/>
              </w:rPr>
              <w:t>499 746</w:t>
            </w:r>
          </w:p>
        </w:tc>
        <w:tc>
          <w:tcPr>
            <w:tcW w:w="848" w:type="dxa"/>
            <w:gridSpan w:val="2"/>
            <w:noWrap/>
            <w:vAlign w:val="bottom"/>
          </w:tcPr>
          <w:p w:rsidR="00000000" w:rsidRDefault="00000000">
            <w:pPr>
              <w:jc w:val="right"/>
              <w:rPr>
                <w:color w:val="000000"/>
                <w:sz w:val="18"/>
              </w:rPr>
            </w:pPr>
            <w:r>
              <w:rPr>
                <w:color w:val="000000"/>
                <w:sz w:val="18"/>
              </w:rPr>
              <w:t>135 122</w:t>
            </w:r>
          </w:p>
        </w:tc>
        <w:tc>
          <w:tcPr>
            <w:tcW w:w="848" w:type="dxa"/>
            <w:gridSpan w:val="2"/>
            <w:noWrap/>
            <w:vAlign w:val="bottom"/>
          </w:tcPr>
          <w:p w:rsidR="00000000" w:rsidRDefault="00000000">
            <w:pPr>
              <w:jc w:val="right"/>
              <w:rPr>
                <w:color w:val="000000"/>
                <w:sz w:val="18"/>
              </w:rPr>
            </w:pPr>
            <w:r>
              <w:rPr>
                <w:color w:val="000000"/>
                <w:sz w:val="18"/>
              </w:rPr>
              <w:t>364 624</w:t>
            </w:r>
          </w:p>
        </w:tc>
        <w:tc>
          <w:tcPr>
            <w:tcW w:w="848" w:type="dxa"/>
            <w:noWrap/>
            <w:vAlign w:val="bottom"/>
          </w:tcPr>
          <w:p w:rsidR="00000000" w:rsidRDefault="00000000">
            <w:pPr>
              <w:jc w:val="right"/>
              <w:rPr>
                <w:color w:val="000000"/>
                <w:sz w:val="18"/>
              </w:rPr>
            </w:pPr>
            <w:r>
              <w:rPr>
                <w:color w:val="000000"/>
                <w:sz w:val="18"/>
              </w:rPr>
              <w:t>515 966</w:t>
            </w:r>
          </w:p>
        </w:tc>
        <w:tc>
          <w:tcPr>
            <w:tcW w:w="848" w:type="dxa"/>
            <w:gridSpan w:val="2"/>
            <w:noWrap/>
            <w:vAlign w:val="bottom"/>
          </w:tcPr>
          <w:p w:rsidR="00000000" w:rsidRDefault="00000000">
            <w:pPr>
              <w:jc w:val="right"/>
              <w:rPr>
                <w:color w:val="000000"/>
                <w:sz w:val="18"/>
              </w:rPr>
            </w:pPr>
            <w:r>
              <w:rPr>
                <w:color w:val="000000"/>
                <w:sz w:val="18"/>
              </w:rPr>
              <w:t>140 477</w:t>
            </w:r>
          </w:p>
        </w:tc>
        <w:tc>
          <w:tcPr>
            <w:tcW w:w="848" w:type="dxa"/>
            <w:gridSpan w:val="2"/>
            <w:noWrap/>
            <w:vAlign w:val="bottom"/>
          </w:tcPr>
          <w:p w:rsidR="00000000" w:rsidRDefault="00000000">
            <w:pPr>
              <w:jc w:val="right"/>
              <w:rPr>
                <w:color w:val="000000"/>
                <w:sz w:val="18"/>
              </w:rPr>
            </w:pPr>
            <w:r>
              <w:rPr>
                <w:color w:val="000000"/>
                <w:sz w:val="18"/>
              </w:rPr>
              <w:t>375 489</w:t>
            </w:r>
          </w:p>
        </w:tc>
        <w:tc>
          <w:tcPr>
            <w:tcW w:w="837" w:type="dxa"/>
            <w:noWrap/>
            <w:vAlign w:val="bottom"/>
          </w:tcPr>
          <w:p w:rsidR="00000000" w:rsidRDefault="00000000">
            <w:pPr>
              <w:jc w:val="right"/>
              <w:rPr>
                <w:color w:val="000000"/>
                <w:sz w:val="18"/>
              </w:rPr>
            </w:pPr>
            <w:r>
              <w:rPr>
                <w:color w:val="000000"/>
                <w:sz w:val="18"/>
              </w:rPr>
              <w:t>549 765</w:t>
            </w:r>
          </w:p>
        </w:tc>
        <w:tc>
          <w:tcPr>
            <w:tcW w:w="837" w:type="dxa"/>
            <w:gridSpan w:val="2"/>
            <w:noWrap/>
            <w:vAlign w:val="bottom"/>
          </w:tcPr>
          <w:p w:rsidR="00000000" w:rsidRDefault="00000000">
            <w:pPr>
              <w:jc w:val="right"/>
              <w:rPr>
                <w:color w:val="000000"/>
                <w:sz w:val="18"/>
              </w:rPr>
            </w:pPr>
            <w:r>
              <w:rPr>
                <w:color w:val="000000"/>
                <w:sz w:val="18"/>
              </w:rPr>
              <w:t>166 466</w:t>
            </w:r>
          </w:p>
        </w:tc>
        <w:tc>
          <w:tcPr>
            <w:tcW w:w="844" w:type="dxa"/>
            <w:noWrap/>
            <w:vAlign w:val="bottom"/>
          </w:tcPr>
          <w:p w:rsidR="00000000" w:rsidRDefault="00000000">
            <w:pPr>
              <w:jc w:val="right"/>
              <w:rPr>
                <w:color w:val="000000"/>
                <w:sz w:val="18"/>
              </w:rPr>
            </w:pPr>
            <w:r>
              <w:rPr>
                <w:color w:val="000000"/>
                <w:sz w:val="18"/>
              </w:rPr>
              <w:t>383 299</w:t>
            </w:r>
          </w:p>
        </w:tc>
      </w:tr>
      <w:tr w:rsidR="00000000">
        <w:trPr>
          <w:cantSplit/>
        </w:trPr>
        <w:tc>
          <w:tcPr>
            <w:tcW w:w="3380" w:type="dxa"/>
            <w:noWrap/>
            <w:vAlign w:val="bottom"/>
          </w:tcPr>
          <w:p w:rsidR="00000000" w:rsidRDefault="00000000">
            <w:pPr>
              <w:spacing w:before="20" w:after="20" w:line="240" w:lineRule="auto"/>
              <w:rPr>
                <w:sz w:val="16"/>
              </w:rPr>
            </w:pPr>
            <w:r>
              <w:rPr>
                <w:sz w:val="16"/>
              </w:rPr>
              <w:t>Занятое население</w:t>
            </w:r>
          </w:p>
        </w:tc>
        <w:tc>
          <w:tcPr>
            <w:tcW w:w="838" w:type="dxa"/>
            <w:noWrap/>
            <w:vAlign w:val="bottom"/>
          </w:tcPr>
          <w:p w:rsidR="00000000" w:rsidRDefault="00000000">
            <w:pPr>
              <w:jc w:val="right"/>
              <w:rPr>
                <w:color w:val="000000"/>
                <w:sz w:val="18"/>
              </w:rPr>
            </w:pPr>
            <w:r>
              <w:rPr>
                <w:color w:val="000000"/>
                <w:sz w:val="18"/>
              </w:rPr>
              <w:t>791 151</w:t>
            </w:r>
          </w:p>
        </w:tc>
        <w:tc>
          <w:tcPr>
            <w:tcW w:w="835" w:type="dxa"/>
            <w:gridSpan w:val="2"/>
            <w:noWrap/>
            <w:vAlign w:val="bottom"/>
          </w:tcPr>
          <w:p w:rsidR="00000000" w:rsidRDefault="00000000">
            <w:pPr>
              <w:jc w:val="right"/>
              <w:rPr>
                <w:color w:val="000000"/>
                <w:sz w:val="18"/>
              </w:rPr>
            </w:pPr>
            <w:r>
              <w:rPr>
                <w:color w:val="000000"/>
                <w:sz w:val="18"/>
              </w:rPr>
              <w:t>469 791</w:t>
            </w:r>
          </w:p>
        </w:tc>
        <w:tc>
          <w:tcPr>
            <w:tcW w:w="836" w:type="dxa"/>
            <w:noWrap/>
            <w:vAlign w:val="bottom"/>
          </w:tcPr>
          <w:p w:rsidR="00000000" w:rsidRDefault="00000000">
            <w:pPr>
              <w:jc w:val="right"/>
              <w:rPr>
                <w:color w:val="000000"/>
                <w:sz w:val="18"/>
              </w:rPr>
            </w:pPr>
            <w:r>
              <w:rPr>
                <w:color w:val="000000"/>
                <w:sz w:val="18"/>
              </w:rPr>
              <w:t>321 360</w:t>
            </w:r>
          </w:p>
        </w:tc>
        <w:tc>
          <w:tcPr>
            <w:tcW w:w="848" w:type="dxa"/>
            <w:noWrap/>
            <w:vAlign w:val="bottom"/>
          </w:tcPr>
          <w:p w:rsidR="00000000" w:rsidRDefault="00000000">
            <w:pPr>
              <w:jc w:val="right"/>
              <w:rPr>
                <w:color w:val="000000"/>
                <w:sz w:val="18"/>
              </w:rPr>
            </w:pPr>
            <w:r>
              <w:rPr>
                <w:color w:val="000000"/>
                <w:sz w:val="18"/>
              </w:rPr>
              <w:t>712 740</w:t>
            </w:r>
          </w:p>
        </w:tc>
        <w:tc>
          <w:tcPr>
            <w:tcW w:w="848" w:type="dxa"/>
            <w:gridSpan w:val="2"/>
            <w:noWrap/>
            <w:vAlign w:val="bottom"/>
          </w:tcPr>
          <w:p w:rsidR="00000000" w:rsidRDefault="00000000">
            <w:pPr>
              <w:jc w:val="right"/>
              <w:rPr>
                <w:color w:val="000000"/>
                <w:sz w:val="18"/>
              </w:rPr>
            </w:pPr>
            <w:r>
              <w:rPr>
                <w:color w:val="000000"/>
                <w:sz w:val="18"/>
              </w:rPr>
              <w:t>456 537</w:t>
            </w:r>
          </w:p>
        </w:tc>
        <w:tc>
          <w:tcPr>
            <w:tcW w:w="848" w:type="dxa"/>
            <w:gridSpan w:val="2"/>
            <w:noWrap/>
            <w:vAlign w:val="bottom"/>
          </w:tcPr>
          <w:p w:rsidR="00000000" w:rsidRDefault="00000000">
            <w:pPr>
              <w:jc w:val="right"/>
              <w:rPr>
                <w:color w:val="000000"/>
                <w:sz w:val="18"/>
              </w:rPr>
            </w:pPr>
            <w:r>
              <w:rPr>
                <w:color w:val="000000"/>
                <w:sz w:val="18"/>
              </w:rPr>
              <w:t>256 203</w:t>
            </w:r>
          </w:p>
        </w:tc>
        <w:tc>
          <w:tcPr>
            <w:tcW w:w="848" w:type="dxa"/>
            <w:noWrap/>
            <w:vAlign w:val="bottom"/>
          </w:tcPr>
          <w:p w:rsidR="00000000" w:rsidRDefault="00000000">
            <w:pPr>
              <w:jc w:val="right"/>
              <w:rPr>
                <w:color w:val="000000"/>
                <w:sz w:val="18"/>
              </w:rPr>
            </w:pPr>
            <w:r>
              <w:rPr>
                <w:color w:val="000000"/>
                <w:sz w:val="18"/>
              </w:rPr>
              <w:t>935 416</w:t>
            </w:r>
          </w:p>
        </w:tc>
        <w:tc>
          <w:tcPr>
            <w:tcW w:w="848" w:type="dxa"/>
            <w:gridSpan w:val="2"/>
            <w:noWrap/>
            <w:vAlign w:val="bottom"/>
          </w:tcPr>
          <w:p w:rsidR="00000000" w:rsidRDefault="00000000">
            <w:pPr>
              <w:jc w:val="right"/>
              <w:rPr>
                <w:color w:val="000000"/>
                <w:sz w:val="18"/>
              </w:rPr>
            </w:pPr>
            <w:r>
              <w:rPr>
                <w:color w:val="000000"/>
                <w:sz w:val="18"/>
              </w:rPr>
              <w:t>585 842</w:t>
            </w:r>
          </w:p>
        </w:tc>
        <w:tc>
          <w:tcPr>
            <w:tcW w:w="848" w:type="dxa"/>
            <w:gridSpan w:val="2"/>
            <w:noWrap/>
            <w:vAlign w:val="bottom"/>
          </w:tcPr>
          <w:p w:rsidR="00000000" w:rsidRDefault="00000000">
            <w:pPr>
              <w:jc w:val="right"/>
              <w:rPr>
                <w:color w:val="000000"/>
                <w:sz w:val="18"/>
              </w:rPr>
            </w:pPr>
            <w:r>
              <w:rPr>
                <w:color w:val="000000"/>
                <w:sz w:val="18"/>
              </w:rPr>
              <w:t>349 574</w:t>
            </w:r>
          </w:p>
        </w:tc>
        <w:tc>
          <w:tcPr>
            <w:tcW w:w="837" w:type="dxa"/>
            <w:noWrap/>
            <w:vAlign w:val="bottom"/>
          </w:tcPr>
          <w:p w:rsidR="00000000" w:rsidRDefault="00000000">
            <w:pPr>
              <w:jc w:val="right"/>
              <w:rPr>
                <w:color w:val="000000"/>
                <w:sz w:val="18"/>
              </w:rPr>
            </w:pPr>
            <w:r>
              <w:rPr>
                <w:color w:val="000000"/>
                <w:sz w:val="18"/>
              </w:rPr>
              <w:t>917 466</w:t>
            </w:r>
          </w:p>
        </w:tc>
        <w:tc>
          <w:tcPr>
            <w:tcW w:w="837" w:type="dxa"/>
            <w:gridSpan w:val="2"/>
            <w:noWrap/>
            <w:vAlign w:val="bottom"/>
          </w:tcPr>
          <w:p w:rsidR="00000000" w:rsidRDefault="00000000">
            <w:pPr>
              <w:jc w:val="right"/>
              <w:rPr>
                <w:color w:val="000000"/>
                <w:sz w:val="18"/>
              </w:rPr>
            </w:pPr>
            <w:r>
              <w:rPr>
                <w:color w:val="000000"/>
                <w:sz w:val="18"/>
              </w:rPr>
              <w:t>579 022</w:t>
            </w:r>
          </w:p>
        </w:tc>
        <w:tc>
          <w:tcPr>
            <w:tcW w:w="844" w:type="dxa"/>
            <w:noWrap/>
            <w:vAlign w:val="bottom"/>
          </w:tcPr>
          <w:p w:rsidR="00000000" w:rsidRDefault="00000000">
            <w:pPr>
              <w:jc w:val="right"/>
              <w:rPr>
                <w:color w:val="000000"/>
                <w:sz w:val="18"/>
              </w:rPr>
            </w:pPr>
            <w:r>
              <w:rPr>
                <w:color w:val="000000"/>
                <w:sz w:val="18"/>
              </w:rPr>
              <w:t>338 444</w:t>
            </w:r>
          </w:p>
        </w:tc>
      </w:tr>
      <w:tr w:rsidR="00000000">
        <w:trPr>
          <w:cantSplit/>
        </w:trPr>
        <w:tc>
          <w:tcPr>
            <w:tcW w:w="3380" w:type="dxa"/>
            <w:noWrap/>
            <w:vAlign w:val="bottom"/>
          </w:tcPr>
          <w:p w:rsidR="00000000" w:rsidRDefault="00000000">
            <w:pPr>
              <w:spacing w:before="20" w:after="20" w:line="240" w:lineRule="auto"/>
              <w:rPr>
                <w:sz w:val="16"/>
              </w:rPr>
            </w:pPr>
            <w:r>
              <w:rPr>
                <w:sz w:val="16"/>
              </w:rPr>
              <w:t>Открытая безработица</w:t>
            </w:r>
          </w:p>
        </w:tc>
        <w:tc>
          <w:tcPr>
            <w:tcW w:w="838" w:type="dxa"/>
            <w:noWrap/>
            <w:vAlign w:val="bottom"/>
          </w:tcPr>
          <w:p w:rsidR="00000000" w:rsidRDefault="00000000">
            <w:pPr>
              <w:jc w:val="right"/>
              <w:rPr>
                <w:color w:val="000000"/>
                <w:sz w:val="18"/>
              </w:rPr>
            </w:pPr>
            <w:r>
              <w:rPr>
                <w:color w:val="000000"/>
                <w:sz w:val="18"/>
              </w:rPr>
              <w:t>43 472</w:t>
            </w:r>
          </w:p>
        </w:tc>
        <w:tc>
          <w:tcPr>
            <w:tcW w:w="835" w:type="dxa"/>
            <w:gridSpan w:val="2"/>
            <w:noWrap/>
            <w:vAlign w:val="bottom"/>
          </w:tcPr>
          <w:p w:rsidR="00000000" w:rsidRDefault="00000000">
            <w:pPr>
              <w:jc w:val="right"/>
              <w:rPr>
                <w:color w:val="000000"/>
                <w:sz w:val="18"/>
              </w:rPr>
            </w:pPr>
            <w:r>
              <w:rPr>
                <w:color w:val="000000"/>
                <w:sz w:val="18"/>
              </w:rPr>
              <w:t>22 886</w:t>
            </w:r>
          </w:p>
        </w:tc>
        <w:tc>
          <w:tcPr>
            <w:tcW w:w="836" w:type="dxa"/>
            <w:noWrap/>
            <w:vAlign w:val="bottom"/>
          </w:tcPr>
          <w:p w:rsidR="00000000" w:rsidRDefault="00000000">
            <w:pPr>
              <w:jc w:val="right"/>
              <w:rPr>
                <w:color w:val="000000"/>
                <w:sz w:val="18"/>
              </w:rPr>
            </w:pPr>
            <w:r>
              <w:rPr>
                <w:color w:val="000000"/>
                <w:sz w:val="18"/>
              </w:rPr>
              <w:t>20 586</w:t>
            </w:r>
          </w:p>
        </w:tc>
        <w:tc>
          <w:tcPr>
            <w:tcW w:w="848" w:type="dxa"/>
            <w:noWrap/>
            <w:vAlign w:val="bottom"/>
          </w:tcPr>
          <w:p w:rsidR="00000000" w:rsidRDefault="00000000">
            <w:pPr>
              <w:jc w:val="right"/>
              <w:rPr>
                <w:color w:val="000000"/>
                <w:sz w:val="18"/>
              </w:rPr>
            </w:pPr>
            <w:r>
              <w:rPr>
                <w:color w:val="000000"/>
                <w:sz w:val="18"/>
              </w:rPr>
              <w:t>79 648</w:t>
            </w:r>
          </w:p>
        </w:tc>
        <w:tc>
          <w:tcPr>
            <w:tcW w:w="848" w:type="dxa"/>
            <w:gridSpan w:val="2"/>
            <w:noWrap/>
            <w:vAlign w:val="bottom"/>
          </w:tcPr>
          <w:p w:rsidR="00000000" w:rsidRDefault="00000000">
            <w:pPr>
              <w:jc w:val="right"/>
              <w:rPr>
                <w:color w:val="000000"/>
                <w:sz w:val="18"/>
              </w:rPr>
            </w:pPr>
            <w:r>
              <w:rPr>
                <w:color w:val="000000"/>
                <w:sz w:val="18"/>
              </w:rPr>
              <w:t>45 198</w:t>
            </w:r>
          </w:p>
        </w:tc>
        <w:tc>
          <w:tcPr>
            <w:tcW w:w="848" w:type="dxa"/>
            <w:gridSpan w:val="2"/>
            <w:noWrap/>
            <w:vAlign w:val="bottom"/>
          </w:tcPr>
          <w:p w:rsidR="00000000" w:rsidRDefault="00000000">
            <w:pPr>
              <w:jc w:val="right"/>
              <w:rPr>
                <w:color w:val="000000"/>
                <w:sz w:val="18"/>
              </w:rPr>
            </w:pPr>
            <w:r>
              <w:rPr>
                <w:color w:val="000000"/>
                <w:sz w:val="18"/>
              </w:rPr>
              <w:t>34 450</w:t>
            </w:r>
          </w:p>
        </w:tc>
        <w:tc>
          <w:tcPr>
            <w:tcW w:w="848" w:type="dxa"/>
            <w:noWrap/>
            <w:vAlign w:val="bottom"/>
          </w:tcPr>
          <w:p w:rsidR="00000000" w:rsidRDefault="00000000">
            <w:pPr>
              <w:jc w:val="right"/>
              <w:rPr>
                <w:color w:val="000000"/>
                <w:sz w:val="18"/>
              </w:rPr>
            </w:pPr>
            <w:r>
              <w:rPr>
                <w:color w:val="000000"/>
                <w:sz w:val="18"/>
              </w:rPr>
              <w:t>123 408</w:t>
            </w:r>
          </w:p>
        </w:tc>
        <w:tc>
          <w:tcPr>
            <w:tcW w:w="848" w:type="dxa"/>
            <w:gridSpan w:val="2"/>
            <w:noWrap/>
            <w:vAlign w:val="bottom"/>
          </w:tcPr>
          <w:p w:rsidR="00000000" w:rsidRDefault="00000000">
            <w:pPr>
              <w:jc w:val="right"/>
              <w:rPr>
                <w:color w:val="000000"/>
                <w:sz w:val="18"/>
              </w:rPr>
            </w:pPr>
            <w:r>
              <w:rPr>
                <w:color w:val="000000"/>
                <w:sz w:val="18"/>
              </w:rPr>
              <w:t>55 536</w:t>
            </w:r>
          </w:p>
        </w:tc>
        <w:tc>
          <w:tcPr>
            <w:tcW w:w="848" w:type="dxa"/>
            <w:gridSpan w:val="2"/>
            <w:noWrap/>
            <w:vAlign w:val="bottom"/>
          </w:tcPr>
          <w:p w:rsidR="00000000" w:rsidRDefault="00000000">
            <w:pPr>
              <w:jc w:val="right"/>
              <w:rPr>
                <w:color w:val="000000"/>
                <w:sz w:val="18"/>
              </w:rPr>
            </w:pPr>
            <w:r>
              <w:rPr>
                <w:color w:val="000000"/>
                <w:sz w:val="18"/>
              </w:rPr>
              <w:t>67 872</w:t>
            </w:r>
          </w:p>
        </w:tc>
        <w:tc>
          <w:tcPr>
            <w:tcW w:w="837" w:type="dxa"/>
            <w:noWrap/>
            <w:vAlign w:val="bottom"/>
          </w:tcPr>
          <w:p w:rsidR="00000000" w:rsidRDefault="00000000">
            <w:pPr>
              <w:jc w:val="right"/>
              <w:rPr>
                <w:color w:val="000000"/>
                <w:sz w:val="18"/>
              </w:rPr>
            </w:pPr>
            <w:r>
              <w:rPr>
                <w:color w:val="000000"/>
                <w:sz w:val="18"/>
              </w:rPr>
              <w:t>101 351</w:t>
            </w:r>
          </w:p>
        </w:tc>
        <w:tc>
          <w:tcPr>
            <w:tcW w:w="837" w:type="dxa"/>
            <w:gridSpan w:val="2"/>
            <w:noWrap/>
            <w:vAlign w:val="bottom"/>
          </w:tcPr>
          <w:p w:rsidR="00000000" w:rsidRDefault="00000000">
            <w:pPr>
              <w:jc w:val="right"/>
              <w:rPr>
                <w:color w:val="000000"/>
                <w:sz w:val="18"/>
              </w:rPr>
            </w:pPr>
            <w:r>
              <w:rPr>
                <w:color w:val="000000"/>
                <w:sz w:val="18"/>
              </w:rPr>
              <w:t>49 054</w:t>
            </w:r>
          </w:p>
        </w:tc>
        <w:tc>
          <w:tcPr>
            <w:tcW w:w="844" w:type="dxa"/>
            <w:noWrap/>
            <w:vAlign w:val="bottom"/>
          </w:tcPr>
          <w:p w:rsidR="00000000" w:rsidRDefault="00000000">
            <w:pPr>
              <w:jc w:val="right"/>
              <w:rPr>
                <w:color w:val="000000"/>
                <w:sz w:val="18"/>
              </w:rPr>
            </w:pPr>
            <w:r>
              <w:rPr>
                <w:color w:val="000000"/>
                <w:sz w:val="18"/>
              </w:rPr>
              <w:t>52 297</w:t>
            </w:r>
          </w:p>
        </w:tc>
      </w:tr>
      <w:tr w:rsidR="00000000">
        <w:trPr>
          <w:cantSplit/>
        </w:trPr>
        <w:tc>
          <w:tcPr>
            <w:tcW w:w="3380" w:type="dxa"/>
            <w:noWrap/>
            <w:vAlign w:val="bottom"/>
          </w:tcPr>
          <w:p w:rsidR="00000000" w:rsidRDefault="00000000">
            <w:pPr>
              <w:spacing w:before="20" w:after="20" w:line="240" w:lineRule="auto"/>
              <w:rPr>
                <w:sz w:val="16"/>
              </w:rPr>
            </w:pPr>
            <w:r>
              <w:rPr>
                <w:sz w:val="16"/>
              </w:rPr>
              <w:t>Скрытая безработица</w:t>
            </w:r>
          </w:p>
        </w:tc>
        <w:tc>
          <w:tcPr>
            <w:tcW w:w="838" w:type="dxa"/>
            <w:noWrap/>
            <w:vAlign w:val="bottom"/>
          </w:tcPr>
          <w:p w:rsidR="00000000" w:rsidRDefault="00000000">
            <w:pPr>
              <w:jc w:val="right"/>
              <w:rPr>
                <w:color w:val="000000"/>
                <w:sz w:val="18"/>
              </w:rPr>
            </w:pPr>
            <w:r>
              <w:rPr>
                <w:color w:val="000000"/>
                <w:sz w:val="18"/>
              </w:rPr>
              <w:t>29 196</w:t>
            </w:r>
          </w:p>
        </w:tc>
        <w:tc>
          <w:tcPr>
            <w:tcW w:w="835" w:type="dxa"/>
            <w:gridSpan w:val="2"/>
            <w:noWrap/>
            <w:vAlign w:val="bottom"/>
          </w:tcPr>
          <w:p w:rsidR="00000000" w:rsidRDefault="00000000">
            <w:pPr>
              <w:jc w:val="right"/>
              <w:rPr>
                <w:color w:val="000000"/>
                <w:sz w:val="18"/>
              </w:rPr>
            </w:pPr>
            <w:r>
              <w:rPr>
                <w:color w:val="000000"/>
                <w:sz w:val="18"/>
              </w:rPr>
              <w:t>10 021</w:t>
            </w:r>
          </w:p>
        </w:tc>
        <w:tc>
          <w:tcPr>
            <w:tcW w:w="836" w:type="dxa"/>
            <w:noWrap/>
            <w:vAlign w:val="bottom"/>
          </w:tcPr>
          <w:p w:rsidR="00000000" w:rsidRDefault="00000000">
            <w:pPr>
              <w:jc w:val="right"/>
              <w:rPr>
                <w:color w:val="000000"/>
                <w:sz w:val="18"/>
              </w:rPr>
            </w:pPr>
            <w:r>
              <w:rPr>
                <w:color w:val="000000"/>
                <w:sz w:val="18"/>
              </w:rPr>
              <w:t>19 175</w:t>
            </w:r>
          </w:p>
        </w:tc>
        <w:tc>
          <w:tcPr>
            <w:tcW w:w="848" w:type="dxa"/>
            <w:noWrap/>
            <w:vAlign w:val="bottom"/>
          </w:tcPr>
          <w:p w:rsidR="00000000" w:rsidRDefault="00000000">
            <w:pPr>
              <w:jc w:val="right"/>
              <w:rPr>
                <w:color w:val="000000"/>
                <w:sz w:val="18"/>
              </w:rPr>
            </w:pPr>
            <w:r>
              <w:rPr>
                <w:color w:val="000000"/>
                <w:sz w:val="18"/>
              </w:rPr>
              <w:t>121 461</w:t>
            </w:r>
          </w:p>
        </w:tc>
        <w:tc>
          <w:tcPr>
            <w:tcW w:w="848" w:type="dxa"/>
            <w:gridSpan w:val="2"/>
            <w:noWrap/>
            <w:vAlign w:val="bottom"/>
          </w:tcPr>
          <w:p w:rsidR="00000000" w:rsidRDefault="00000000">
            <w:pPr>
              <w:jc w:val="right"/>
              <w:rPr>
                <w:color w:val="000000"/>
                <w:sz w:val="18"/>
              </w:rPr>
            </w:pPr>
            <w:r>
              <w:rPr>
                <w:color w:val="000000"/>
                <w:sz w:val="18"/>
              </w:rPr>
              <w:t>41 246</w:t>
            </w:r>
          </w:p>
        </w:tc>
        <w:tc>
          <w:tcPr>
            <w:tcW w:w="848" w:type="dxa"/>
            <w:gridSpan w:val="2"/>
            <w:noWrap/>
            <w:vAlign w:val="bottom"/>
          </w:tcPr>
          <w:p w:rsidR="00000000" w:rsidRDefault="00000000">
            <w:pPr>
              <w:jc w:val="right"/>
              <w:rPr>
                <w:color w:val="000000"/>
                <w:sz w:val="18"/>
              </w:rPr>
            </w:pPr>
            <w:r>
              <w:rPr>
                <w:color w:val="000000"/>
                <w:sz w:val="18"/>
              </w:rPr>
              <w:t>80 215</w:t>
            </w:r>
          </w:p>
        </w:tc>
        <w:tc>
          <w:tcPr>
            <w:tcW w:w="848" w:type="dxa"/>
            <w:noWrap/>
            <w:vAlign w:val="bottom"/>
          </w:tcPr>
          <w:p w:rsidR="00000000" w:rsidRDefault="00000000">
            <w:pPr>
              <w:jc w:val="right"/>
              <w:rPr>
                <w:color w:val="000000"/>
                <w:sz w:val="18"/>
              </w:rPr>
            </w:pPr>
            <w:r>
              <w:rPr>
                <w:color w:val="000000"/>
                <w:sz w:val="18"/>
              </w:rPr>
              <w:t>60 490</w:t>
            </w:r>
          </w:p>
        </w:tc>
        <w:tc>
          <w:tcPr>
            <w:tcW w:w="848" w:type="dxa"/>
            <w:gridSpan w:val="2"/>
            <w:noWrap/>
            <w:vAlign w:val="bottom"/>
          </w:tcPr>
          <w:p w:rsidR="00000000" w:rsidRDefault="00000000">
            <w:pPr>
              <w:jc w:val="right"/>
              <w:rPr>
                <w:color w:val="000000"/>
                <w:sz w:val="18"/>
              </w:rPr>
            </w:pPr>
            <w:r>
              <w:rPr>
                <w:color w:val="000000"/>
                <w:sz w:val="18"/>
              </w:rPr>
              <w:t>21 280</w:t>
            </w:r>
          </w:p>
        </w:tc>
        <w:tc>
          <w:tcPr>
            <w:tcW w:w="848" w:type="dxa"/>
            <w:gridSpan w:val="2"/>
            <w:noWrap/>
            <w:vAlign w:val="bottom"/>
          </w:tcPr>
          <w:p w:rsidR="00000000" w:rsidRDefault="00000000">
            <w:pPr>
              <w:jc w:val="right"/>
              <w:rPr>
                <w:color w:val="000000"/>
                <w:sz w:val="18"/>
              </w:rPr>
            </w:pPr>
            <w:r>
              <w:rPr>
                <w:color w:val="000000"/>
                <w:sz w:val="18"/>
              </w:rPr>
              <w:t>39 210</w:t>
            </w:r>
          </w:p>
        </w:tc>
        <w:tc>
          <w:tcPr>
            <w:tcW w:w="837" w:type="dxa"/>
            <w:noWrap/>
            <w:vAlign w:val="bottom"/>
          </w:tcPr>
          <w:p w:rsidR="00000000" w:rsidRDefault="00000000">
            <w:pPr>
              <w:jc w:val="right"/>
              <w:rPr>
                <w:color w:val="000000"/>
                <w:sz w:val="18"/>
              </w:rPr>
            </w:pPr>
            <w:r>
              <w:rPr>
                <w:color w:val="000000"/>
                <w:sz w:val="18"/>
              </w:rPr>
              <w:t>58 235</w:t>
            </w:r>
          </w:p>
        </w:tc>
        <w:tc>
          <w:tcPr>
            <w:tcW w:w="837" w:type="dxa"/>
            <w:gridSpan w:val="2"/>
            <w:noWrap/>
            <w:vAlign w:val="bottom"/>
          </w:tcPr>
          <w:p w:rsidR="00000000" w:rsidRDefault="00000000">
            <w:pPr>
              <w:jc w:val="right"/>
              <w:rPr>
                <w:color w:val="000000"/>
                <w:sz w:val="18"/>
              </w:rPr>
            </w:pPr>
            <w:r>
              <w:rPr>
                <w:color w:val="000000"/>
                <w:sz w:val="18"/>
              </w:rPr>
              <w:t>21 884</w:t>
            </w:r>
          </w:p>
        </w:tc>
        <w:tc>
          <w:tcPr>
            <w:tcW w:w="844" w:type="dxa"/>
            <w:noWrap/>
            <w:vAlign w:val="bottom"/>
          </w:tcPr>
          <w:p w:rsidR="00000000" w:rsidRDefault="00000000">
            <w:pPr>
              <w:jc w:val="right"/>
              <w:rPr>
                <w:color w:val="000000"/>
                <w:sz w:val="18"/>
              </w:rPr>
            </w:pPr>
            <w:r>
              <w:rPr>
                <w:color w:val="000000"/>
                <w:sz w:val="18"/>
              </w:rPr>
              <w:t>36 351</w:t>
            </w:r>
          </w:p>
        </w:tc>
      </w:tr>
      <w:tr w:rsidR="00000000">
        <w:trPr>
          <w:cantSplit/>
        </w:trPr>
        <w:tc>
          <w:tcPr>
            <w:tcW w:w="3380" w:type="dxa"/>
            <w:noWrap/>
            <w:vAlign w:val="bottom"/>
          </w:tcPr>
          <w:p w:rsidR="00000000" w:rsidRDefault="00000000">
            <w:pPr>
              <w:spacing w:before="20" w:after="20" w:line="240" w:lineRule="auto"/>
              <w:rPr>
                <w:sz w:val="16"/>
              </w:rPr>
            </w:pPr>
            <w:r>
              <w:rPr>
                <w:sz w:val="16"/>
              </w:rPr>
              <w:t>Не полностью занятое население</w:t>
            </w:r>
          </w:p>
        </w:tc>
        <w:tc>
          <w:tcPr>
            <w:tcW w:w="838" w:type="dxa"/>
            <w:noWrap/>
            <w:vAlign w:val="bottom"/>
          </w:tcPr>
          <w:p w:rsidR="00000000" w:rsidRDefault="00000000">
            <w:pPr>
              <w:jc w:val="right"/>
              <w:rPr>
                <w:color w:val="000000"/>
                <w:sz w:val="18"/>
              </w:rPr>
            </w:pPr>
            <w:r>
              <w:rPr>
                <w:color w:val="000000"/>
                <w:sz w:val="18"/>
              </w:rPr>
              <w:t>187 217</w:t>
            </w:r>
          </w:p>
        </w:tc>
        <w:tc>
          <w:tcPr>
            <w:tcW w:w="835" w:type="dxa"/>
            <w:gridSpan w:val="2"/>
            <w:noWrap/>
            <w:vAlign w:val="bottom"/>
          </w:tcPr>
          <w:p w:rsidR="00000000" w:rsidRDefault="00000000">
            <w:pPr>
              <w:jc w:val="right"/>
              <w:rPr>
                <w:color w:val="000000"/>
                <w:sz w:val="18"/>
              </w:rPr>
            </w:pPr>
            <w:r>
              <w:rPr>
                <w:color w:val="000000"/>
                <w:sz w:val="18"/>
              </w:rPr>
              <w:t>97 568</w:t>
            </w:r>
          </w:p>
        </w:tc>
        <w:tc>
          <w:tcPr>
            <w:tcW w:w="836" w:type="dxa"/>
            <w:noWrap/>
            <w:vAlign w:val="bottom"/>
          </w:tcPr>
          <w:p w:rsidR="00000000" w:rsidRDefault="00000000">
            <w:pPr>
              <w:jc w:val="right"/>
              <w:rPr>
                <w:color w:val="000000"/>
                <w:sz w:val="18"/>
              </w:rPr>
            </w:pPr>
            <w:r>
              <w:rPr>
                <w:color w:val="000000"/>
                <w:sz w:val="18"/>
              </w:rPr>
              <w:t>89 649</w:t>
            </w:r>
          </w:p>
        </w:tc>
        <w:tc>
          <w:tcPr>
            <w:tcW w:w="848" w:type="dxa"/>
            <w:noWrap/>
            <w:vAlign w:val="bottom"/>
          </w:tcPr>
          <w:p w:rsidR="00000000" w:rsidRDefault="00000000">
            <w:pPr>
              <w:jc w:val="right"/>
              <w:rPr>
                <w:color w:val="000000"/>
                <w:sz w:val="18"/>
              </w:rPr>
            </w:pPr>
            <w:r>
              <w:rPr>
                <w:color w:val="000000"/>
                <w:sz w:val="18"/>
              </w:rPr>
              <w:t>185 075</w:t>
            </w:r>
          </w:p>
        </w:tc>
        <w:tc>
          <w:tcPr>
            <w:tcW w:w="848" w:type="dxa"/>
            <w:gridSpan w:val="2"/>
            <w:noWrap/>
            <w:vAlign w:val="bottom"/>
          </w:tcPr>
          <w:p w:rsidR="00000000" w:rsidRDefault="00000000">
            <w:pPr>
              <w:jc w:val="right"/>
              <w:rPr>
                <w:color w:val="000000"/>
                <w:sz w:val="18"/>
              </w:rPr>
            </w:pPr>
            <w:r>
              <w:rPr>
                <w:color w:val="000000"/>
                <w:sz w:val="18"/>
              </w:rPr>
              <w:t>102 428</w:t>
            </w:r>
          </w:p>
        </w:tc>
        <w:tc>
          <w:tcPr>
            <w:tcW w:w="848" w:type="dxa"/>
            <w:gridSpan w:val="2"/>
            <w:noWrap/>
            <w:vAlign w:val="bottom"/>
          </w:tcPr>
          <w:p w:rsidR="00000000" w:rsidRDefault="00000000">
            <w:pPr>
              <w:jc w:val="right"/>
              <w:rPr>
                <w:color w:val="000000"/>
                <w:sz w:val="18"/>
              </w:rPr>
            </w:pPr>
            <w:r>
              <w:rPr>
                <w:color w:val="000000"/>
                <w:sz w:val="18"/>
              </w:rPr>
              <w:t>82 647</w:t>
            </w:r>
          </w:p>
        </w:tc>
        <w:tc>
          <w:tcPr>
            <w:tcW w:w="848" w:type="dxa"/>
            <w:noWrap/>
            <w:vAlign w:val="bottom"/>
          </w:tcPr>
          <w:p w:rsidR="00000000" w:rsidRDefault="00000000">
            <w:pPr>
              <w:jc w:val="right"/>
              <w:rPr>
                <w:color w:val="000000"/>
                <w:sz w:val="18"/>
              </w:rPr>
            </w:pPr>
            <w:r>
              <w:rPr>
                <w:color w:val="000000"/>
                <w:sz w:val="18"/>
              </w:rPr>
              <w:t>344 349</w:t>
            </w:r>
          </w:p>
        </w:tc>
        <w:tc>
          <w:tcPr>
            <w:tcW w:w="848" w:type="dxa"/>
            <w:gridSpan w:val="2"/>
            <w:noWrap/>
            <w:vAlign w:val="bottom"/>
          </w:tcPr>
          <w:p w:rsidR="00000000" w:rsidRDefault="00000000">
            <w:pPr>
              <w:jc w:val="right"/>
              <w:rPr>
                <w:color w:val="000000"/>
                <w:sz w:val="18"/>
              </w:rPr>
            </w:pPr>
            <w:r>
              <w:rPr>
                <w:color w:val="000000"/>
                <w:sz w:val="18"/>
              </w:rPr>
              <w:t>189 642</w:t>
            </w:r>
          </w:p>
        </w:tc>
        <w:tc>
          <w:tcPr>
            <w:tcW w:w="848" w:type="dxa"/>
            <w:gridSpan w:val="2"/>
            <w:noWrap/>
            <w:vAlign w:val="bottom"/>
          </w:tcPr>
          <w:p w:rsidR="00000000" w:rsidRDefault="00000000">
            <w:pPr>
              <w:jc w:val="right"/>
              <w:rPr>
                <w:color w:val="000000"/>
                <w:sz w:val="18"/>
              </w:rPr>
            </w:pPr>
            <w:r>
              <w:rPr>
                <w:color w:val="000000"/>
                <w:sz w:val="18"/>
              </w:rPr>
              <w:t>154 707</w:t>
            </w:r>
          </w:p>
        </w:tc>
        <w:tc>
          <w:tcPr>
            <w:tcW w:w="837" w:type="dxa"/>
            <w:noWrap/>
            <w:vAlign w:val="bottom"/>
          </w:tcPr>
          <w:p w:rsidR="00000000" w:rsidRDefault="00000000">
            <w:pPr>
              <w:jc w:val="right"/>
              <w:rPr>
                <w:color w:val="000000"/>
                <w:sz w:val="18"/>
              </w:rPr>
            </w:pPr>
            <w:r>
              <w:rPr>
                <w:color w:val="000000"/>
                <w:sz w:val="18"/>
              </w:rPr>
              <w:t>361 973</w:t>
            </w:r>
          </w:p>
        </w:tc>
        <w:tc>
          <w:tcPr>
            <w:tcW w:w="837" w:type="dxa"/>
            <w:gridSpan w:val="2"/>
            <w:noWrap/>
            <w:vAlign w:val="bottom"/>
          </w:tcPr>
          <w:p w:rsidR="00000000" w:rsidRDefault="00000000">
            <w:pPr>
              <w:jc w:val="right"/>
              <w:rPr>
                <w:color w:val="000000"/>
                <w:sz w:val="18"/>
              </w:rPr>
            </w:pPr>
            <w:r>
              <w:rPr>
                <w:color w:val="000000"/>
                <w:sz w:val="18"/>
              </w:rPr>
              <w:t>201 901</w:t>
            </w:r>
          </w:p>
        </w:tc>
        <w:tc>
          <w:tcPr>
            <w:tcW w:w="844" w:type="dxa"/>
            <w:noWrap/>
            <w:vAlign w:val="bottom"/>
          </w:tcPr>
          <w:p w:rsidR="00000000" w:rsidRDefault="00000000">
            <w:pPr>
              <w:jc w:val="right"/>
              <w:rPr>
                <w:color w:val="000000"/>
                <w:sz w:val="18"/>
              </w:rPr>
            </w:pPr>
            <w:r>
              <w:rPr>
                <w:color w:val="000000"/>
                <w:sz w:val="18"/>
              </w:rPr>
              <w:t>160 072</w:t>
            </w:r>
          </w:p>
        </w:tc>
      </w:tr>
      <w:tr w:rsidR="00000000">
        <w:trPr>
          <w:cantSplit/>
        </w:trPr>
        <w:tc>
          <w:tcPr>
            <w:tcW w:w="3380" w:type="dxa"/>
            <w:noWrap/>
            <w:vAlign w:val="bottom"/>
          </w:tcPr>
          <w:p w:rsidR="00000000" w:rsidRDefault="00000000">
            <w:pPr>
              <w:spacing w:before="20" w:after="20" w:line="240" w:lineRule="auto"/>
              <w:rPr>
                <w:sz w:val="16"/>
              </w:rPr>
            </w:pPr>
            <w:r>
              <w:rPr>
                <w:sz w:val="16"/>
              </w:rPr>
              <w:t>Видимая неполная занятость</w:t>
            </w:r>
          </w:p>
        </w:tc>
        <w:tc>
          <w:tcPr>
            <w:tcW w:w="838" w:type="dxa"/>
            <w:noWrap/>
            <w:vAlign w:val="bottom"/>
          </w:tcPr>
          <w:p w:rsidR="00000000" w:rsidRDefault="00000000">
            <w:pPr>
              <w:jc w:val="right"/>
              <w:rPr>
                <w:color w:val="000000"/>
                <w:sz w:val="18"/>
              </w:rPr>
            </w:pPr>
            <w:r>
              <w:rPr>
                <w:color w:val="000000"/>
                <w:sz w:val="18"/>
              </w:rPr>
              <w:t>53 244</w:t>
            </w:r>
          </w:p>
        </w:tc>
        <w:tc>
          <w:tcPr>
            <w:tcW w:w="835" w:type="dxa"/>
            <w:gridSpan w:val="2"/>
            <w:noWrap/>
            <w:vAlign w:val="bottom"/>
          </w:tcPr>
          <w:p w:rsidR="00000000" w:rsidRDefault="00000000">
            <w:pPr>
              <w:jc w:val="right"/>
              <w:rPr>
                <w:color w:val="000000"/>
                <w:sz w:val="18"/>
              </w:rPr>
            </w:pPr>
            <w:r>
              <w:rPr>
                <w:color w:val="000000"/>
                <w:sz w:val="18"/>
              </w:rPr>
              <w:t>20 999</w:t>
            </w:r>
          </w:p>
        </w:tc>
        <w:tc>
          <w:tcPr>
            <w:tcW w:w="836" w:type="dxa"/>
            <w:noWrap/>
            <w:vAlign w:val="bottom"/>
          </w:tcPr>
          <w:p w:rsidR="00000000" w:rsidRDefault="00000000">
            <w:pPr>
              <w:jc w:val="right"/>
              <w:rPr>
                <w:color w:val="000000"/>
                <w:sz w:val="18"/>
              </w:rPr>
            </w:pPr>
            <w:r>
              <w:rPr>
                <w:color w:val="000000"/>
                <w:sz w:val="18"/>
              </w:rPr>
              <w:t>32 245</w:t>
            </w:r>
          </w:p>
        </w:tc>
        <w:tc>
          <w:tcPr>
            <w:tcW w:w="848" w:type="dxa"/>
            <w:noWrap/>
            <w:vAlign w:val="bottom"/>
          </w:tcPr>
          <w:p w:rsidR="00000000" w:rsidRDefault="00000000">
            <w:pPr>
              <w:jc w:val="right"/>
              <w:rPr>
                <w:color w:val="000000"/>
                <w:sz w:val="18"/>
              </w:rPr>
            </w:pPr>
            <w:r>
              <w:rPr>
                <w:color w:val="000000"/>
                <w:sz w:val="18"/>
              </w:rPr>
              <w:t>48 904</w:t>
            </w:r>
          </w:p>
        </w:tc>
        <w:tc>
          <w:tcPr>
            <w:tcW w:w="848" w:type="dxa"/>
            <w:gridSpan w:val="2"/>
            <w:noWrap/>
            <w:vAlign w:val="bottom"/>
          </w:tcPr>
          <w:p w:rsidR="00000000" w:rsidRDefault="00000000">
            <w:pPr>
              <w:jc w:val="right"/>
              <w:rPr>
                <w:color w:val="000000"/>
                <w:sz w:val="18"/>
              </w:rPr>
            </w:pPr>
            <w:r>
              <w:rPr>
                <w:color w:val="000000"/>
                <w:sz w:val="18"/>
              </w:rPr>
              <w:t>21 528</w:t>
            </w:r>
          </w:p>
        </w:tc>
        <w:tc>
          <w:tcPr>
            <w:tcW w:w="848" w:type="dxa"/>
            <w:gridSpan w:val="2"/>
            <w:noWrap/>
            <w:vAlign w:val="bottom"/>
          </w:tcPr>
          <w:p w:rsidR="00000000" w:rsidRDefault="00000000">
            <w:pPr>
              <w:jc w:val="right"/>
              <w:rPr>
                <w:color w:val="000000"/>
                <w:sz w:val="18"/>
              </w:rPr>
            </w:pPr>
            <w:r>
              <w:rPr>
                <w:color w:val="000000"/>
                <w:sz w:val="18"/>
              </w:rPr>
              <w:t>27 376</w:t>
            </w:r>
          </w:p>
        </w:tc>
        <w:tc>
          <w:tcPr>
            <w:tcW w:w="848" w:type="dxa"/>
            <w:noWrap/>
            <w:vAlign w:val="bottom"/>
          </w:tcPr>
          <w:p w:rsidR="00000000" w:rsidRDefault="00000000">
            <w:pPr>
              <w:jc w:val="right"/>
              <w:rPr>
                <w:color w:val="000000"/>
                <w:sz w:val="18"/>
              </w:rPr>
            </w:pPr>
            <w:r>
              <w:rPr>
                <w:color w:val="000000"/>
                <w:sz w:val="18"/>
              </w:rPr>
              <w:t>90 946</w:t>
            </w:r>
          </w:p>
        </w:tc>
        <w:tc>
          <w:tcPr>
            <w:tcW w:w="848" w:type="dxa"/>
            <w:gridSpan w:val="2"/>
            <w:noWrap/>
            <w:vAlign w:val="bottom"/>
          </w:tcPr>
          <w:p w:rsidR="00000000" w:rsidRDefault="00000000">
            <w:pPr>
              <w:jc w:val="right"/>
              <w:rPr>
                <w:color w:val="000000"/>
                <w:sz w:val="18"/>
              </w:rPr>
            </w:pPr>
            <w:r>
              <w:rPr>
                <w:color w:val="000000"/>
                <w:sz w:val="18"/>
              </w:rPr>
              <w:t>42 300</w:t>
            </w:r>
          </w:p>
        </w:tc>
        <w:tc>
          <w:tcPr>
            <w:tcW w:w="848" w:type="dxa"/>
            <w:gridSpan w:val="2"/>
            <w:noWrap/>
            <w:vAlign w:val="bottom"/>
          </w:tcPr>
          <w:p w:rsidR="00000000" w:rsidRDefault="00000000">
            <w:pPr>
              <w:jc w:val="right"/>
              <w:rPr>
                <w:color w:val="000000"/>
                <w:sz w:val="18"/>
              </w:rPr>
            </w:pPr>
            <w:r>
              <w:rPr>
                <w:color w:val="000000"/>
                <w:sz w:val="18"/>
              </w:rPr>
              <w:t>48 646</w:t>
            </w:r>
          </w:p>
        </w:tc>
        <w:tc>
          <w:tcPr>
            <w:tcW w:w="837" w:type="dxa"/>
            <w:noWrap/>
            <w:vAlign w:val="bottom"/>
          </w:tcPr>
          <w:p w:rsidR="00000000" w:rsidRDefault="00000000">
            <w:pPr>
              <w:jc w:val="right"/>
              <w:rPr>
                <w:color w:val="000000"/>
                <w:sz w:val="18"/>
              </w:rPr>
            </w:pPr>
            <w:r>
              <w:rPr>
                <w:color w:val="000000"/>
                <w:sz w:val="18"/>
              </w:rPr>
              <w:t>76 913</w:t>
            </w:r>
          </w:p>
        </w:tc>
        <w:tc>
          <w:tcPr>
            <w:tcW w:w="837" w:type="dxa"/>
            <w:gridSpan w:val="2"/>
            <w:noWrap/>
            <w:vAlign w:val="bottom"/>
          </w:tcPr>
          <w:p w:rsidR="00000000" w:rsidRDefault="00000000">
            <w:pPr>
              <w:jc w:val="right"/>
              <w:rPr>
                <w:color w:val="000000"/>
                <w:sz w:val="18"/>
              </w:rPr>
            </w:pPr>
            <w:r>
              <w:rPr>
                <w:color w:val="000000"/>
                <w:sz w:val="18"/>
              </w:rPr>
              <w:t>34 443</w:t>
            </w:r>
          </w:p>
        </w:tc>
        <w:tc>
          <w:tcPr>
            <w:tcW w:w="844" w:type="dxa"/>
            <w:noWrap/>
            <w:vAlign w:val="bottom"/>
          </w:tcPr>
          <w:p w:rsidR="00000000" w:rsidRDefault="00000000">
            <w:pPr>
              <w:jc w:val="right"/>
              <w:rPr>
                <w:color w:val="000000"/>
                <w:sz w:val="18"/>
              </w:rPr>
            </w:pPr>
            <w:r>
              <w:rPr>
                <w:color w:val="000000"/>
                <w:sz w:val="18"/>
              </w:rPr>
              <w:t>42 470</w:t>
            </w:r>
          </w:p>
        </w:tc>
      </w:tr>
      <w:tr w:rsidR="00000000">
        <w:trPr>
          <w:cantSplit/>
        </w:trPr>
        <w:tc>
          <w:tcPr>
            <w:tcW w:w="3380" w:type="dxa"/>
            <w:noWrap/>
            <w:vAlign w:val="bottom"/>
          </w:tcPr>
          <w:p w:rsidR="00000000" w:rsidRDefault="00000000">
            <w:pPr>
              <w:spacing w:before="20" w:after="20" w:line="240" w:lineRule="auto"/>
              <w:rPr>
                <w:sz w:val="16"/>
              </w:rPr>
            </w:pPr>
            <w:r>
              <w:rPr>
                <w:sz w:val="16"/>
              </w:rPr>
              <w:t>Невидимая неполная занятость</w:t>
            </w:r>
          </w:p>
        </w:tc>
        <w:tc>
          <w:tcPr>
            <w:tcW w:w="838" w:type="dxa"/>
            <w:noWrap/>
            <w:vAlign w:val="bottom"/>
          </w:tcPr>
          <w:p w:rsidR="00000000" w:rsidRDefault="00000000">
            <w:pPr>
              <w:jc w:val="right"/>
              <w:rPr>
                <w:color w:val="000000"/>
                <w:sz w:val="18"/>
              </w:rPr>
            </w:pPr>
            <w:r>
              <w:rPr>
                <w:color w:val="000000"/>
                <w:sz w:val="18"/>
              </w:rPr>
              <w:t>133 973</w:t>
            </w:r>
          </w:p>
        </w:tc>
        <w:tc>
          <w:tcPr>
            <w:tcW w:w="835" w:type="dxa"/>
            <w:gridSpan w:val="2"/>
            <w:noWrap/>
            <w:vAlign w:val="bottom"/>
          </w:tcPr>
          <w:p w:rsidR="00000000" w:rsidRDefault="00000000">
            <w:pPr>
              <w:jc w:val="right"/>
              <w:rPr>
                <w:color w:val="000000"/>
                <w:sz w:val="18"/>
              </w:rPr>
            </w:pPr>
            <w:r>
              <w:rPr>
                <w:color w:val="000000"/>
                <w:sz w:val="18"/>
              </w:rPr>
              <w:t>76 569</w:t>
            </w:r>
          </w:p>
        </w:tc>
        <w:tc>
          <w:tcPr>
            <w:tcW w:w="836" w:type="dxa"/>
            <w:noWrap/>
            <w:vAlign w:val="bottom"/>
          </w:tcPr>
          <w:p w:rsidR="00000000" w:rsidRDefault="00000000">
            <w:pPr>
              <w:jc w:val="right"/>
              <w:rPr>
                <w:color w:val="000000"/>
                <w:sz w:val="18"/>
              </w:rPr>
            </w:pPr>
            <w:r>
              <w:rPr>
                <w:color w:val="000000"/>
                <w:sz w:val="18"/>
              </w:rPr>
              <w:t>57 404</w:t>
            </w:r>
          </w:p>
        </w:tc>
        <w:tc>
          <w:tcPr>
            <w:tcW w:w="848" w:type="dxa"/>
            <w:noWrap/>
            <w:vAlign w:val="bottom"/>
          </w:tcPr>
          <w:p w:rsidR="00000000" w:rsidRDefault="00000000">
            <w:pPr>
              <w:jc w:val="right"/>
              <w:rPr>
                <w:color w:val="000000"/>
                <w:sz w:val="18"/>
              </w:rPr>
            </w:pPr>
            <w:r>
              <w:rPr>
                <w:color w:val="000000"/>
                <w:sz w:val="18"/>
              </w:rPr>
              <w:t>136 171</w:t>
            </w:r>
          </w:p>
        </w:tc>
        <w:tc>
          <w:tcPr>
            <w:tcW w:w="848" w:type="dxa"/>
            <w:gridSpan w:val="2"/>
            <w:noWrap/>
            <w:vAlign w:val="bottom"/>
          </w:tcPr>
          <w:p w:rsidR="00000000" w:rsidRDefault="00000000">
            <w:pPr>
              <w:jc w:val="right"/>
              <w:rPr>
                <w:color w:val="000000"/>
                <w:sz w:val="18"/>
              </w:rPr>
            </w:pPr>
            <w:r>
              <w:rPr>
                <w:color w:val="000000"/>
                <w:sz w:val="18"/>
              </w:rPr>
              <w:t>80 900</w:t>
            </w:r>
          </w:p>
        </w:tc>
        <w:tc>
          <w:tcPr>
            <w:tcW w:w="848" w:type="dxa"/>
            <w:gridSpan w:val="2"/>
            <w:noWrap/>
            <w:vAlign w:val="bottom"/>
          </w:tcPr>
          <w:p w:rsidR="00000000" w:rsidRDefault="00000000">
            <w:pPr>
              <w:jc w:val="right"/>
              <w:rPr>
                <w:color w:val="000000"/>
                <w:sz w:val="18"/>
              </w:rPr>
            </w:pPr>
            <w:r>
              <w:rPr>
                <w:color w:val="000000"/>
                <w:sz w:val="18"/>
              </w:rPr>
              <w:t>55 271</w:t>
            </w:r>
          </w:p>
        </w:tc>
        <w:tc>
          <w:tcPr>
            <w:tcW w:w="848" w:type="dxa"/>
            <w:noWrap/>
            <w:vAlign w:val="bottom"/>
          </w:tcPr>
          <w:p w:rsidR="00000000" w:rsidRDefault="00000000">
            <w:pPr>
              <w:jc w:val="right"/>
              <w:rPr>
                <w:color w:val="000000"/>
                <w:sz w:val="18"/>
              </w:rPr>
            </w:pPr>
            <w:r>
              <w:rPr>
                <w:color w:val="000000"/>
                <w:sz w:val="18"/>
              </w:rPr>
              <w:t>253 403</w:t>
            </w:r>
          </w:p>
        </w:tc>
        <w:tc>
          <w:tcPr>
            <w:tcW w:w="848" w:type="dxa"/>
            <w:gridSpan w:val="2"/>
            <w:noWrap/>
            <w:vAlign w:val="bottom"/>
          </w:tcPr>
          <w:p w:rsidR="00000000" w:rsidRDefault="00000000">
            <w:pPr>
              <w:jc w:val="right"/>
              <w:rPr>
                <w:color w:val="000000"/>
                <w:sz w:val="18"/>
              </w:rPr>
            </w:pPr>
            <w:r>
              <w:rPr>
                <w:color w:val="000000"/>
                <w:sz w:val="18"/>
              </w:rPr>
              <w:t>147 342</w:t>
            </w:r>
          </w:p>
        </w:tc>
        <w:tc>
          <w:tcPr>
            <w:tcW w:w="848" w:type="dxa"/>
            <w:gridSpan w:val="2"/>
            <w:noWrap/>
            <w:vAlign w:val="bottom"/>
          </w:tcPr>
          <w:p w:rsidR="00000000" w:rsidRDefault="00000000">
            <w:pPr>
              <w:jc w:val="right"/>
              <w:rPr>
                <w:color w:val="000000"/>
                <w:sz w:val="18"/>
              </w:rPr>
            </w:pPr>
            <w:r>
              <w:rPr>
                <w:color w:val="000000"/>
                <w:sz w:val="18"/>
              </w:rPr>
              <w:t>106 061</w:t>
            </w:r>
          </w:p>
        </w:tc>
        <w:tc>
          <w:tcPr>
            <w:tcW w:w="837" w:type="dxa"/>
            <w:noWrap/>
            <w:vAlign w:val="bottom"/>
          </w:tcPr>
          <w:p w:rsidR="00000000" w:rsidRDefault="00000000">
            <w:pPr>
              <w:jc w:val="right"/>
              <w:rPr>
                <w:color w:val="000000"/>
                <w:sz w:val="18"/>
              </w:rPr>
            </w:pPr>
            <w:r>
              <w:rPr>
                <w:color w:val="000000"/>
                <w:sz w:val="18"/>
              </w:rPr>
              <w:t>285 060</w:t>
            </w:r>
          </w:p>
        </w:tc>
        <w:tc>
          <w:tcPr>
            <w:tcW w:w="837" w:type="dxa"/>
            <w:gridSpan w:val="2"/>
            <w:noWrap/>
            <w:vAlign w:val="bottom"/>
          </w:tcPr>
          <w:p w:rsidR="00000000" w:rsidRDefault="00000000">
            <w:pPr>
              <w:jc w:val="right"/>
              <w:rPr>
                <w:color w:val="000000"/>
                <w:sz w:val="18"/>
              </w:rPr>
            </w:pPr>
            <w:r>
              <w:rPr>
                <w:color w:val="000000"/>
                <w:sz w:val="18"/>
              </w:rPr>
              <w:t>167 458</w:t>
            </w:r>
          </w:p>
        </w:tc>
        <w:tc>
          <w:tcPr>
            <w:tcW w:w="844" w:type="dxa"/>
            <w:noWrap/>
            <w:vAlign w:val="bottom"/>
          </w:tcPr>
          <w:p w:rsidR="00000000" w:rsidRDefault="00000000">
            <w:pPr>
              <w:jc w:val="right"/>
              <w:rPr>
                <w:color w:val="000000"/>
                <w:sz w:val="18"/>
              </w:rPr>
            </w:pPr>
            <w:r>
              <w:rPr>
                <w:color w:val="000000"/>
                <w:sz w:val="18"/>
              </w:rPr>
              <w:t>117 602</w:t>
            </w:r>
          </w:p>
        </w:tc>
      </w:tr>
      <w:tr w:rsidR="00000000">
        <w:trPr>
          <w:cantSplit/>
        </w:trPr>
        <w:tc>
          <w:tcPr>
            <w:tcW w:w="3380" w:type="dxa"/>
            <w:noWrap/>
            <w:vAlign w:val="bottom"/>
          </w:tcPr>
          <w:p w:rsidR="00000000" w:rsidRDefault="00000000">
            <w:pPr>
              <w:spacing w:before="20" w:after="20" w:line="240" w:lineRule="auto"/>
              <w:rPr>
                <w:b/>
                <w:bCs/>
                <w:sz w:val="16"/>
              </w:rPr>
            </w:pPr>
            <w:r>
              <w:rPr>
                <w:b/>
                <w:bCs/>
                <w:sz w:val="16"/>
              </w:rPr>
              <w:t>Общая численность населения</w:t>
            </w:r>
          </w:p>
        </w:tc>
        <w:tc>
          <w:tcPr>
            <w:tcW w:w="838" w:type="dxa"/>
            <w:noWrap/>
            <w:vAlign w:val="bottom"/>
          </w:tcPr>
          <w:p w:rsidR="00000000" w:rsidRDefault="00000000">
            <w:pPr>
              <w:jc w:val="right"/>
              <w:rPr>
                <w:b/>
                <w:bCs/>
                <w:color w:val="000000"/>
                <w:sz w:val="18"/>
              </w:rPr>
            </w:pPr>
            <w:r>
              <w:rPr>
                <w:b/>
                <w:bCs/>
                <w:color w:val="000000"/>
                <w:sz w:val="18"/>
              </w:rPr>
              <w:t>1 117 290</w:t>
            </w:r>
          </w:p>
        </w:tc>
        <w:tc>
          <w:tcPr>
            <w:tcW w:w="835" w:type="dxa"/>
            <w:gridSpan w:val="2"/>
            <w:noWrap/>
            <w:vAlign w:val="bottom"/>
          </w:tcPr>
          <w:p w:rsidR="00000000" w:rsidRDefault="00000000">
            <w:pPr>
              <w:jc w:val="right"/>
              <w:rPr>
                <w:b/>
                <w:bCs/>
                <w:color w:val="000000"/>
                <w:sz w:val="18"/>
              </w:rPr>
            </w:pPr>
            <w:r>
              <w:rPr>
                <w:b/>
                <w:bCs/>
                <w:color w:val="000000"/>
                <w:sz w:val="18"/>
              </w:rPr>
              <w:t>547 183</w:t>
            </w:r>
          </w:p>
        </w:tc>
        <w:tc>
          <w:tcPr>
            <w:tcW w:w="836" w:type="dxa"/>
            <w:noWrap/>
            <w:vAlign w:val="bottom"/>
          </w:tcPr>
          <w:p w:rsidR="00000000" w:rsidRDefault="00000000">
            <w:pPr>
              <w:jc w:val="right"/>
              <w:rPr>
                <w:b/>
                <w:bCs/>
                <w:color w:val="000000"/>
                <w:sz w:val="18"/>
              </w:rPr>
            </w:pPr>
            <w:r>
              <w:rPr>
                <w:b/>
                <w:bCs/>
                <w:color w:val="000000"/>
                <w:sz w:val="18"/>
              </w:rPr>
              <w:t>570 107</w:t>
            </w:r>
          </w:p>
        </w:tc>
        <w:tc>
          <w:tcPr>
            <w:tcW w:w="848" w:type="dxa"/>
            <w:noWrap/>
            <w:vAlign w:val="bottom"/>
          </w:tcPr>
          <w:p w:rsidR="00000000" w:rsidRDefault="00000000">
            <w:pPr>
              <w:jc w:val="right"/>
              <w:rPr>
                <w:b/>
                <w:bCs/>
                <w:color w:val="000000"/>
                <w:sz w:val="18"/>
              </w:rPr>
            </w:pPr>
            <w:r>
              <w:rPr>
                <w:b/>
                <w:bCs/>
                <w:color w:val="000000"/>
                <w:sz w:val="18"/>
              </w:rPr>
              <w:t>1 292 135</w:t>
            </w:r>
          </w:p>
        </w:tc>
        <w:tc>
          <w:tcPr>
            <w:tcW w:w="848" w:type="dxa"/>
            <w:gridSpan w:val="2"/>
            <w:noWrap/>
            <w:vAlign w:val="bottom"/>
          </w:tcPr>
          <w:p w:rsidR="00000000" w:rsidRDefault="00000000">
            <w:pPr>
              <w:jc w:val="right"/>
              <w:rPr>
                <w:b/>
                <w:bCs/>
                <w:color w:val="000000"/>
                <w:sz w:val="18"/>
              </w:rPr>
            </w:pPr>
            <w:r>
              <w:rPr>
                <w:b/>
                <w:bCs/>
                <w:color w:val="000000"/>
                <w:sz w:val="18"/>
              </w:rPr>
              <w:t>636 858</w:t>
            </w:r>
          </w:p>
        </w:tc>
        <w:tc>
          <w:tcPr>
            <w:tcW w:w="848" w:type="dxa"/>
            <w:gridSpan w:val="2"/>
            <w:noWrap/>
            <w:vAlign w:val="bottom"/>
          </w:tcPr>
          <w:p w:rsidR="00000000" w:rsidRDefault="00000000">
            <w:pPr>
              <w:jc w:val="right"/>
              <w:rPr>
                <w:b/>
                <w:bCs/>
                <w:color w:val="000000"/>
                <w:sz w:val="18"/>
              </w:rPr>
            </w:pPr>
            <w:r>
              <w:rPr>
                <w:b/>
                <w:bCs/>
                <w:color w:val="000000"/>
                <w:sz w:val="18"/>
              </w:rPr>
              <w:t>655 277</w:t>
            </w:r>
          </w:p>
        </w:tc>
        <w:tc>
          <w:tcPr>
            <w:tcW w:w="848" w:type="dxa"/>
            <w:noWrap/>
            <w:vAlign w:val="bottom"/>
          </w:tcPr>
          <w:p w:rsidR="00000000" w:rsidRDefault="00000000">
            <w:pPr>
              <w:jc w:val="right"/>
              <w:rPr>
                <w:b/>
                <w:bCs/>
                <w:color w:val="000000"/>
                <w:sz w:val="18"/>
              </w:rPr>
            </w:pPr>
            <w:r>
              <w:rPr>
                <w:b/>
                <w:bCs/>
                <w:color w:val="000000"/>
                <w:sz w:val="18"/>
              </w:rPr>
              <w:t>1 574 790</w:t>
            </w:r>
          </w:p>
        </w:tc>
        <w:tc>
          <w:tcPr>
            <w:tcW w:w="848" w:type="dxa"/>
            <w:gridSpan w:val="2"/>
            <w:noWrap/>
            <w:vAlign w:val="bottom"/>
          </w:tcPr>
          <w:p w:rsidR="00000000" w:rsidRDefault="00000000">
            <w:pPr>
              <w:jc w:val="right"/>
              <w:rPr>
                <w:b/>
                <w:bCs/>
                <w:color w:val="000000"/>
                <w:sz w:val="18"/>
              </w:rPr>
            </w:pPr>
            <w:r>
              <w:rPr>
                <w:b/>
                <w:bCs/>
                <w:color w:val="000000"/>
                <w:sz w:val="18"/>
              </w:rPr>
              <w:t>781 855</w:t>
            </w:r>
          </w:p>
        </w:tc>
        <w:tc>
          <w:tcPr>
            <w:tcW w:w="848" w:type="dxa"/>
            <w:gridSpan w:val="2"/>
            <w:noWrap/>
            <w:vAlign w:val="bottom"/>
          </w:tcPr>
          <w:p w:rsidR="00000000" w:rsidRDefault="00000000">
            <w:pPr>
              <w:jc w:val="right"/>
              <w:rPr>
                <w:b/>
                <w:bCs/>
                <w:color w:val="000000"/>
                <w:sz w:val="18"/>
              </w:rPr>
            </w:pPr>
            <w:r>
              <w:rPr>
                <w:b/>
                <w:bCs/>
                <w:color w:val="000000"/>
                <w:sz w:val="18"/>
              </w:rPr>
              <w:t>792 935</w:t>
            </w:r>
          </w:p>
        </w:tc>
        <w:tc>
          <w:tcPr>
            <w:tcW w:w="837" w:type="dxa"/>
            <w:noWrap/>
            <w:vAlign w:val="bottom"/>
          </w:tcPr>
          <w:p w:rsidR="00000000" w:rsidRDefault="00000000">
            <w:pPr>
              <w:jc w:val="right"/>
              <w:rPr>
                <w:b/>
                <w:bCs/>
                <w:color w:val="000000"/>
                <w:sz w:val="18"/>
              </w:rPr>
            </w:pPr>
            <w:r>
              <w:rPr>
                <w:b/>
                <w:bCs/>
                <w:color w:val="000000"/>
                <w:sz w:val="18"/>
              </w:rPr>
              <w:t>1 568 582</w:t>
            </w:r>
          </w:p>
        </w:tc>
        <w:tc>
          <w:tcPr>
            <w:tcW w:w="837" w:type="dxa"/>
            <w:gridSpan w:val="2"/>
            <w:noWrap/>
            <w:vAlign w:val="bottom"/>
          </w:tcPr>
          <w:p w:rsidR="00000000" w:rsidRDefault="00000000">
            <w:pPr>
              <w:jc w:val="right"/>
              <w:rPr>
                <w:b/>
                <w:bCs/>
                <w:color w:val="000000"/>
                <w:sz w:val="18"/>
              </w:rPr>
            </w:pPr>
            <w:r>
              <w:rPr>
                <w:b/>
                <w:bCs/>
                <w:color w:val="000000"/>
                <w:sz w:val="18"/>
              </w:rPr>
              <w:t>794 542</w:t>
            </w:r>
          </w:p>
        </w:tc>
        <w:tc>
          <w:tcPr>
            <w:tcW w:w="844" w:type="dxa"/>
            <w:noWrap/>
            <w:vAlign w:val="bottom"/>
          </w:tcPr>
          <w:p w:rsidR="00000000" w:rsidRDefault="00000000">
            <w:pPr>
              <w:jc w:val="right"/>
              <w:rPr>
                <w:b/>
                <w:bCs/>
                <w:color w:val="000000"/>
                <w:sz w:val="18"/>
              </w:rPr>
            </w:pPr>
            <w:r>
              <w:rPr>
                <w:b/>
                <w:bCs/>
                <w:color w:val="000000"/>
                <w:sz w:val="18"/>
              </w:rPr>
              <w:t>774 040</w:t>
            </w:r>
          </w:p>
        </w:tc>
      </w:tr>
      <w:tr w:rsidR="00000000">
        <w:trPr>
          <w:cantSplit/>
        </w:trPr>
        <w:tc>
          <w:tcPr>
            <w:tcW w:w="3380" w:type="dxa"/>
            <w:noWrap/>
            <w:vAlign w:val="bottom"/>
          </w:tcPr>
          <w:p w:rsidR="00000000" w:rsidRDefault="00000000">
            <w:pPr>
              <w:spacing w:before="20" w:after="20" w:line="240" w:lineRule="auto"/>
              <w:rPr>
                <w:sz w:val="16"/>
              </w:rPr>
            </w:pPr>
            <w:r>
              <w:rPr>
                <w:sz w:val="16"/>
              </w:rPr>
              <w:t>Коэффициент активности</w:t>
            </w:r>
          </w:p>
        </w:tc>
        <w:tc>
          <w:tcPr>
            <w:tcW w:w="838" w:type="dxa"/>
            <w:noWrap/>
            <w:vAlign w:val="bottom"/>
          </w:tcPr>
          <w:p w:rsidR="00000000" w:rsidRDefault="00000000">
            <w:pPr>
              <w:tabs>
                <w:tab w:val="decimal" w:pos="404"/>
              </w:tabs>
              <w:jc w:val="right"/>
              <w:rPr>
                <w:color w:val="000000"/>
                <w:sz w:val="18"/>
              </w:rPr>
            </w:pPr>
            <w:r>
              <w:rPr>
                <w:color w:val="000000"/>
                <w:sz w:val="18"/>
              </w:rPr>
              <w:t>74,7</w:t>
            </w:r>
          </w:p>
        </w:tc>
        <w:tc>
          <w:tcPr>
            <w:tcW w:w="835" w:type="dxa"/>
            <w:gridSpan w:val="2"/>
            <w:noWrap/>
            <w:vAlign w:val="bottom"/>
          </w:tcPr>
          <w:p w:rsidR="00000000" w:rsidRDefault="00000000">
            <w:pPr>
              <w:tabs>
                <w:tab w:val="decimal" w:pos="404"/>
              </w:tabs>
              <w:jc w:val="right"/>
              <w:rPr>
                <w:color w:val="000000"/>
                <w:sz w:val="18"/>
              </w:rPr>
            </w:pPr>
            <w:r>
              <w:rPr>
                <w:color w:val="000000"/>
                <w:sz w:val="18"/>
              </w:rPr>
              <w:t>90,0</w:t>
            </w:r>
          </w:p>
        </w:tc>
        <w:tc>
          <w:tcPr>
            <w:tcW w:w="836" w:type="dxa"/>
            <w:noWrap/>
            <w:vAlign w:val="bottom"/>
          </w:tcPr>
          <w:p w:rsidR="00000000" w:rsidRDefault="00000000">
            <w:pPr>
              <w:tabs>
                <w:tab w:val="decimal" w:pos="404"/>
              </w:tabs>
              <w:jc w:val="right"/>
              <w:rPr>
                <w:color w:val="000000"/>
                <w:sz w:val="18"/>
              </w:rPr>
            </w:pPr>
            <w:r>
              <w:rPr>
                <w:color w:val="000000"/>
                <w:sz w:val="18"/>
              </w:rPr>
              <w:t>60,0</w:t>
            </w:r>
          </w:p>
        </w:tc>
        <w:tc>
          <w:tcPr>
            <w:tcW w:w="848" w:type="dxa"/>
            <w:noWrap/>
            <w:vAlign w:val="bottom"/>
          </w:tcPr>
          <w:p w:rsidR="00000000" w:rsidRDefault="00000000">
            <w:pPr>
              <w:tabs>
                <w:tab w:val="decimal" w:pos="404"/>
              </w:tabs>
              <w:jc w:val="right"/>
              <w:rPr>
                <w:color w:val="000000"/>
                <w:sz w:val="18"/>
              </w:rPr>
            </w:pPr>
            <w:r>
              <w:rPr>
                <w:color w:val="000000"/>
                <w:sz w:val="18"/>
              </w:rPr>
              <w:t>61,3</w:t>
            </w:r>
          </w:p>
        </w:tc>
        <w:tc>
          <w:tcPr>
            <w:tcW w:w="848" w:type="dxa"/>
            <w:gridSpan w:val="2"/>
            <w:noWrap/>
            <w:vAlign w:val="bottom"/>
          </w:tcPr>
          <w:p w:rsidR="00000000" w:rsidRDefault="00000000">
            <w:pPr>
              <w:tabs>
                <w:tab w:val="decimal" w:pos="404"/>
              </w:tabs>
              <w:jc w:val="right"/>
              <w:rPr>
                <w:color w:val="000000"/>
                <w:sz w:val="18"/>
              </w:rPr>
            </w:pPr>
            <w:r>
              <w:rPr>
                <w:color w:val="000000"/>
                <w:sz w:val="18"/>
              </w:rPr>
              <w:t>78,8</w:t>
            </w:r>
          </w:p>
        </w:tc>
        <w:tc>
          <w:tcPr>
            <w:tcW w:w="848" w:type="dxa"/>
            <w:gridSpan w:val="2"/>
            <w:noWrap/>
            <w:vAlign w:val="bottom"/>
          </w:tcPr>
          <w:p w:rsidR="00000000" w:rsidRDefault="00000000">
            <w:pPr>
              <w:tabs>
                <w:tab w:val="decimal" w:pos="404"/>
              </w:tabs>
              <w:jc w:val="right"/>
              <w:rPr>
                <w:color w:val="000000"/>
                <w:sz w:val="18"/>
              </w:rPr>
            </w:pPr>
            <w:r>
              <w:rPr>
                <w:color w:val="000000"/>
                <w:sz w:val="18"/>
              </w:rPr>
              <w:t>44,4</w:t>
            </w:r>
          </w:p>
        </w:tc>
        <w:tc>
          <w:tcPr>
            <w:tcW w:w="848" w:type="dxa"/>
            <w:noWrap/>
            <w:vAlign w:val="bottom"/>
          </w:tcPr>
          <w:p w:rsidR="00000000" w:rsidRDefault="00000000">
            <w:pPr>
              <w:tabs>
                <w:tab w:val="decimal" w:pos="404"/>
              </w:tabs>
              <w:jc w:val="right"/>
              <w:rPr>
                <w:color w:val="000000"/>
                <w:sz w:val="18"/>
              </w:rPr>
            </w:pPr>
            <w:r>
              <w:rPr>
                <w:color w:val="000000"/>
                <w:sz w:val="18"/>
              </w:rPr>
              <w:t>67,2</w:t>
            </w:r>
          </w:p>
        </w:tc>
        <w:tc>
          <w:tcPr>
            <w:tcW w:w="848" w:type="dxa"/>
            <w:gridSpan w:val="2"/>
            <w:noWrap/>
            <w:vAlign w:val="bottom"/>
          </w:tcPr>
          <w:p w:rsidR="00000000" w:rsidRDefault="00000000">
            <w:pPr>
              <w:tabs>
                <w:tab w:val="decimal" w:pos="404"/>
              </w:tabs>
              <w:jc w:val="right"/>
              <w:rPr>
                <w:color w:val="000000"/>
                <w:sz w:val="18"/>
              </w:rPr>
            </w:pPr>
            <w:r>
              <w:rPr>
                <w:color w:val="000000"/>
                <w:sz w:val="18"/>
              </w:rPr>
              <w:t>82,0</w:t>
            </w:r>
          </w:p>
        </w:tc>
        <w:tc>
          <w:tcPr>
            <w:tcW w:w="848" w:type="dxa"/>
            <w:gridSpan w:val="2"/>
            <w:noWrap/>
            <w:vAlign w:val="bottom"/>
          </w:tcPr>
          <w:p w:rsidR="00000000" w:rsidRDefault="00000000">
            <w:pPr>
              <w:tabs>
                <w:tab w:val="decimal" w:pos="404"/>
              </w:tabs>
              <w:jc w:val="right"/>
              <w:rPr>
                <w:color w:val="000000"/>
                <w:sz w:val="18"/>
              </w:rPr>
            </w:pPr>
            <w:r>
              <w:rPr>
                <w:color w:val="000000"/>
                <w:sz w:val="18"/>
              </w:rPr>
              <w:t>52,6</w:t>
            </w:r>
          </w:p>
        </w:tc>
        <w:tc>
          <w:tcPr>
            <w:tcW w:w="837" w:type="dxa"/>
            <w:noWrap/>
            <w:vAlign w:val="bottom"/>
          </w:tcPr>
          <w:p w:rsidR="00000000" w:rsidRDefault="00000000">
            <w:pPr>
              <w:tabs>
                <w:tab w:val="decimal" w:pos="404"/>
              </w:tabs>
              <w:jc w:val="right"/>
              <w:rPr>
                <w:color w:val="000000"/>
                <w:sz w:val="18"/>
              </w:rPr>
            </w:pPr>
            <w:r>
              <w:rPr>
                <w:color w:val="000000"/>
                <w:sz w:val="18"/>
              </w:rPr>
              <w:t>65,0</w:t>
            </w:r>
          </w:p>
        </w:tc>
        <w:tc>
          <w:tcPr>
            <w:tcW w:w="837" w:type="dxa"/>
            <w:gridSpan w:val="2"/>
            <w:noWrap/>
            <w:vAlign w:val="bottom"/>
          </w:tcPr>
          <w:p w:rsidR="00000000" w:rsidRDefault="00000000">
            <w:pPr>
              <w:tabs>
                <w:tab w:val="decimal" w:pos="404"/>
              </w:tabs>
              <w:jc w:val="right"/>
              <w:rPr>
                <w:color w:val="000000"/>
                <w:sz w:val="18"/>
              </w:rPr>
            </w:pPr>
            <w:r>
              <w:rPr>
                <w:color w:val="000000"/>
                <w:sz w:val="18"/>
              </w:rPr>
              <w:t>79,0</w:t>
            </w:r>
          </w:p>
        </w:tc>
        <w:tc>
          <w:tcPr>
            <w:tcW w:w="844" w:type="dxa"/>
            <w:noWrap/>
            <w:vAlign w:val="bottom"/>
          </w:tcPr>
          <w:p w:rsidR="00000000" w:rsidRDefault="00000000">
            <w:pPr>
              <w:tabs>
                <w:tab w:val="decimal" w:pos="404"/>
              </w:tabs>
              <w:jc w:val="right"/>
              <w:rPr>
                <w:color w:val="000000"/>
                <w:sz w:val="18"/>
              </w:rPr>
            </w:pPr>
            <w:r>
              <w:rPr>
                <w:color w:val="000000"/>
                <w:sz w:val="18"/>
              </w:rPr>
              <w:t>50,5</w:t>
            </w:r>
          </w:p>
        </w:tc>
      </w:tr>
      <w:tr w:rsidR="00000000">
        <w:trPr>
          <w:cantSplit/>
        </w:trPr>
        <w:tc>
          <w:tcPr>
            <w:tcW w:w="3380" w:type="dxa"/>
            <w:noWrap/>
            <w:vAlign w:val="bottom"/>
          </w:tcPr>
          <w:p w:rsidR="00000000" w:rsidRDefault="00000000">
            <w:pPr>
              <w:spacing w:before="20" w:after="20" w:line="240" w:lineRule="auto"/>
              <w:rPr>
                <w:sz w:val="16"/>
              </w:rPr>
            </w:pPr>
            <w:r>
              <w:rPr>
                <w:sz w:val="16"/>
              </w:rPr>
              <w:t>Коэффициент занятости</w:t>
            </w:r>
          </w:p>
        </w:tc>
        <w:tc>
          <w:tcPr>
            <w:tcW w:w="838" w:type="dxa"/>
            <w:noWrap/>
            <w:vAlign w:val="bottom"/>
          </w:tcPr>
          <w:p w:rsidR="00000000" w:rsidRDefault="00000000">
            <w:pPr>
              <w:tabs>
                <w:tab w:val="decimal" w:pos="404"/>
              </w:tabs>
              <w:jc w:val="right"/>
              <w:rPr>
                <w:color w:val="000000"/>
                <w:sz w:val="18"/>
              </w:rPr>
            </w:pPr>
            <w:r>
              <w:rPr>
                <w:color w:val="000000"/>
                <w:sz w:val="18"/>
              </w:rPr>
              <w:t>94,8</w:t>
            </w:r>
          </w:p>
        </w:tc>
        <w:tc>
          <w:tcPr>
            <w:tcW w:w="835" w:type="dxa"/>
            <w:gridSpan w:val="2"/>
            <w:noWrap/>
            <w:vAlign w:val="bottom"/>
          </w:tcPr>
          <w:p w:rsidR="00000000" w:rsidRDefault="00000000">
            <w:pPr>
              <w:tabs>
                <w:tab w:val="decimal" w:pos="404"/>
              </w:tabs>
              <w:jc w:val="right"/>
              <w:rPr>
                <w:color w:val="000000"/>
                <w:sz w:val="18"/>
              </w:rPr>
            </w:pPr>
            <w:r>
              <w:rPr>
                <w:color w:val="000000"/>
                <w:sz w:val="18"/>
              </w:rPr>
              <w:t>95,4</w:t>
            </w:r>
          </w:p>
        </w:tc>
        <w:tc>
          <w:tcPr>
            <w:tcW w:w="836" w:type="dxa"/>
            <w:noWrap/>
            <w:vAlign w:val="bottom"/>
          </w:tcPr>
          <w:p w:rsidR="00000000" w:rsidRDefault="00000000">
            <w:pPr>
              <w:tabs>
                <w:tab w:val="decimal" w:pos="404"/>
              </w:tabs>
              <w:jc w:val="right"/>
              <w:rPr>
                <w:color w:val="000000"/>
                <w:sz w:val="18"/>
              </w:rPr>
            </w:pPr>
            <w:r>
              <w:rPr>
                <w:color w:val="000000"/>
                <w:sz w:val="18"/>
              </w:rPr>
              <w:t>94,0</w:t>
            </w:r>
          </w:p>
        </w:tc>
        <w:tc>
          <w:tcPr>
            <w:tcW w:w="848" w:type="dxa"/>
            <w:noWrap/>
            <w:vAlign w:val="bottom"/>
          </w:tcPr>
          <w:p w:rsidR="00000000" w:rsidRDefault="00000000">
            <w:pPr>
              <w:tabs>
                <w:tab w:val="decimal" w:pos="404"/>
              </w:tabs>
              <w:jc w:val="right"/>
              <w:rPr>
                <w:color w:val="000000"/>
                <w:sz w:val="18"/>
              </w:rPr>
            </w:pPr>
            <w:r>
              <w:rPr>
                <w:color w:val="000000"/>
                <w:sz w:val="18"/>
              </w:rPr>
              <w:t>89,9</w:t>
            </w:r>
          </w:p>
        </w:tc>
        <w:tc>
          <w:tcPr>
            <w:tcW w:w="848" w:type="dxa"/>
            <w:gridSpan w:val="2"/>
            <w:noWrap/>
            <w:vAlign w:val="bottom"/>
          </w:tcPr>
          <w:p w:rsidR="00000000" w:rsidRDefault="00000000">
            <w:pPr>
              <w:tabs>
                <w:tab w:val="decimal" w:pos="404"/>
              </w:tabs>
              <w:jc w:val="right"/>
              <w:rPr>
                <w:color w:val="000000"/>
                <w:sz w:val="18"/>
              </w:rPr>
            </w:pPr>
            <w:r>
              <w:rPr>
                <w:color w:val="000000"/>
                <w:sz w:val="18"/>
              </w:rPr>
              <w:t>91,0</w:t>
            </w:r>
          </w:p>
        </w:tc>
        <w:tc>
          <w:tcPr>
            <w:tcW w:w="848" w:type="dxa"/>
            <w:gridSpan w:val="2"/>
            <w:noWrap/>
            <w:vAlign w:val="bottom"/>
          </w:tcPr>
          <w:p w:rsidR="00000000" w:rsidRDefault="00000000">
            <w:pPr>
              <w:tabs>
                <w:tab w:val="decimal" w:pos="404"/>
              </w:tabs>
              <w:jc w:val="right"/>
              <w:rPr>
                <w:color w:val="000000"/>
                <w:sz w:val="18"/>
              </w:rPr>
            </w:pPr>
            <w:r>
              <w:rPr>
                <w:color w:val="000000"/>
                <w:sz w:val="18"/>
              </w:rPr>
              <w:t>88,1</w:t>
            </w:r>
          </w:p>
        </w:tc>
        <w:tc>
          <w:tcPr>
            <w:tcW w:w="848" w:type="dxa"/>
            <w:noWrap/>
            <w:vAlign w:val="bottom"/>
          </w:tcPr>
          <w:p w:rsidR="00000000" w:rsidRDefault="00000000">
            <w:pPr>
              <w:tabs>
                <w:tab w:val="decimal" w:pos="404"/>
              </w:tabs>
              <w:jc w:val="right"/>
              <w:rPr>
                <w:color w:val="000000"/>
                <w:sz w:val="18"/>
              </w:rPr>
            </w:pPr>
            <w:r>
              <w:rPr>
                <w:color w:val="000000"/>
                <w:sz w:val="18"/>
              </w:rPr>
              <w:t>88,3</w:t>
            </w:r>
          </w:p>
        </w:tc>
        <w:tc>
          <w:tcPr>
            <w:tcW w:w="848" w:type="dxa"/>
            <w:gridSpan w:val="2"/>
            <w:noWrap/>
            <w:vAlign w:val="bottom"/>
          </w:tcPr>
          <w:p w:rsidR="00000000" w:rsidRDefault="00000000">
            <w:pPr>
              <w:tabs>
                <w:tab w:val="decimal" w:pos="404"/>
              </w:tabs>
              <w:jc w:val="right"/>
              <w:rPr>
                <w:color w:val="000000"/>
                <w:sz w:val="18"/>
              </w:rPr>
            </w:pPr>
            <w:r>
              <w:rPr>
                <w:color w:val="000000"/>
                <w:sz w:val="18"/>
              </w:rPr>
              <w:t>91,3</w:t>
            </w:r>
          </w:p>
        </w:tc>
        <w:tc>
          <w:tcPr>
            <w:tcW w:w="848" w:type="dxa"/>
            <w:gridSpan w:val="2"/>
            <w:noWrap/>
            <w:vAlign w:val="bottom"/>
          </w:tcPr>
          <w:p w:rsidR="00000000" w:rsidRDefault="00000000">
            <w:pPr>
              <w:tabs>
                <w:tab w:val="decimal" w:pos="404"/>
              </w:tabs>
              <w:jc w:val="right"/>
              <w:rPr>
                <w:color w:val="000000"/>
                <w:sz w:val="18"/>
              </w:rPr>
            </w:pPr>
            <w:r>
              <w:rPr>
                <w:color w:val="000000"/>
                <w:sz w:val="18"/>
              </w:rPr>
              <w:t>83,7</w:t>
            </w:r>
          </w:p>
        </w:tc>
        <w:tc>
          <w:tcPr>
            <w:tcW w:w="837" w:type="dxa"/>
            <w:noWrap/>
            <w:vAlign w:val="bottom"/>
          </w:tcPr>
          <w:p w:rsidR="00000000" w:rsidRDefault="00000000">
            <w:pPr>
              <w:tabs>
                <w:tab w:val="decimal" w:pos="404"/>
              </w:tabs>
              <w:jc w:val="right"/>
              <w:rPr>
                <w:color w:val="000000"/>
                <w:sz w:val="18"/>
              </w:rPr>
            </w:pPr>
            <w:r>
              <w:rPr>
                <w:color w:val="000000"/>
                <w:sz w:val="18"/>
              </w:rPr>
              <w:t>90,1</w:t>
            </w:r>
          </w:p>
        </w:tc>
        <w:tc>
          <w:tcPr>
            <w:tcW w:w="837" w:type="dxa"/>
            <w:gridSpan w:val="2"/>
            <w:noWrap/>
            <w:vAlign w:val="bottom"/>
          </w:tcPr>
          <w:p w:rsidR="00000000" w:rsidRDefault="00000000">
            <w:pPr>
              <w:tabs>
                <w:tab w:val="decimal" w:pos="404"/>
              </w:tabs>
              <w:jc w:val="right"/>
              <w:rPr>
                <w:color w:val="000000"/>
                <w:sz w:val="18"/>
              </w:rPr>
            </w:pPr>
            <w:r>
              <w:rPr>
                <w:color w:val="000000"/>
                <w:sz w:val="18"/>
              </w:rPr>
              <w:t>92,2</w:t>
            </w:r>
          </w:p>
        </w:tc>
        <w:tc>
          <w:tcPr>
            <w:tcW w:w="844" w:type="dxa"/>
            <w:noWrap/>
            <w:vAlign w:val="bottom"/>
          </w:tcPr>
          <w:p w:rsidR="00000000" w:rsidRDefault="00000000">
            <w:pPr>
              <w:tabs>
                <w:tab w:val="decimal" w:pos="404"/>
              </w:tabs>
              <w:jc w:val="right"/>
              <w:rPr>
                <w:color w:val="000000"/>
                <w:sz w:val="18"/>
              </w:rPr>
            </w:pPr>
            <w:r>
              <w:rPr>
                <w:color w:val="000000"/>
                <w:sz w:val="18"/>
              </w:rPr>
              <w:t>86,6</w:t>
            </w:r>
          </w:p>
        </w:tc>
      </w:tr>
      <w:tr w:rsidR="00000000">
        <w:trPr>
          <w:cantSplit/>
        </w:trPr>
        <w:tc>
          <w:tcPr>
            <w:tcW w:w="3380" w:type="dxa"/>
            <w:noWrap/>
            <w:vAlign w:val="bottom"/>
          </w:tcPr>
          <w:p w:rsidR="00000000" w:rsidRDefault="00000000">
            <w:pPr>
              <w:spacing w:before="20" w:after="20" w:line="240" w:lineRule="auto"/>
              <w:rPr>
                <w:sz w:val="16"/>
              </w:rPr>
            </w:pPr>
            <w:r>
              <w:rPr>
                <w:sz w:val="16"/>
              </w:rPr>
              <w:t>Коэффициент открытой безработицы</w:t>
            </w:r>
          </w:p>
        </w:tc>
        <w:tc>
          <w:tcPr>
            <w:tcW w:w="838" w:type="dxa"/>
            <w:noWrap/>
            <w:vAlign w:val="bottom"/>
          </w:tcPr>
          <w:p w:rsidR="00000000" w:rsidRDefault="00000000">
            <w:pPr>
              <w:tabs>
                <w:tab w:val="decimal" w:pos="404"/>
              </w:tabs>
              <w:jc w:val="right"/>
              <w:rPr>
                <w:color w:val="000000"/>
                <w:sz w:val="18"/>
              </w:rPr>
            </w:pPr>
            <w:r>
              <w:rPr>
                <w:color w:val="000000"/>
                <w:sz w:val="18"/>
              </w:rPr>
              <w:t>5,2</w:t>
            </w:r>
          </w:p>
        </w:tc>
        <w:tc>
          <w:tcPr>
            <w:tcW w:w="835" w:type="dxa"/>
            <w:gridSpan w:val="2"/>
            <w:noWrap/>
            <w:vAlign w:val="bottom"/>
          </w:tcPr>
          <w:p w:rsidR="00000000" w:rsidRDefault="00000000">
            <w:pPr>
              <w:tabs>
                <w:tab w:val="decimal" w:pos="404"/>
              </w:tabs>
              <w:jc w:val="right"/>
              <w:rPr>
                <w:color w:val="000000"/>
                <w:sz w:val="18"/>
              </w:rPr>
            </w:pPr>
            <w:r>
              <w:rPr>
                <w:color w:val="000000"/>
                <w:sz w:val="18"/>
              </w:rPr>
              <w:t>4,6</w:t>
            </w:r>
          </w:p>
        </w:tc>
        <w:tc>
          <w:tcPr>
            <w:tcW w:w="836" w:type="dxa"/>
            <w:noWrap/>
            <w:vAlign w:val="bottom"/>
          </w:tcPr>
          <w:p w:rsidR="00000000" w:rsidRDefault="00000000">
            <w:pPr>
              <w:tabs>
                <w:tab w:val="decimal" w:pos="404"/>
              </w:tabs>
              <w:jc w:val="right"/>
              <w:rPr>
                <w:color w:val="000000"/>
                <w:sz w:val="18"/>
              </w:rPr>
            </w:pPr>
            <w:r>
              <w:rPr>
                <w:color w:val="000000"/>
                <w:sz w:val="18"/>
              </w:rPr>
              <w:t>6,0</w:t>
            </w:r>
          </w:p>
        </w:tc>
        <w:tc>
          <w:tcPr>
            <w:tcW w:w="848" w:type="dxa"/>
            <w:noWrap/>
            <w:vAlign w:val="bottom"/>
          </w:tcPr>
          <w:p w:rsidR="00000000" w:rsidRDefault="00000000">
            <w:pPr>
              <w:tabs>
                <w:tab w:val="decimal" w:pos="404"/>
              </w:tabs>
              <w:jc w:val="right"/>
              <w:rPr>
                <w:color w:val="000000"/>
                <w:sz w:val="18"/>
              </w:rPr>
            </w:pPr>
            <w:r>
              <w:rPr>
                <w:color w:val="000000"/>
                <w:sz w:val="18"/>
              </w:rPr>
              <w:t>10,1</w:t>
            </w:r>
          </w:p>
        </w:tc>
        <w:tc>
          <w:tcPr>
            <w:tcW w:w="848" w:type="dxa"/>
            <w:gridSpan w:val="2"/>
            <w:noWrap/>
            <w:vAlign w:val="bottom"/>
          </w:tcPr>
          <w:p w:rsidR="00000000" w:rsidRDefault="00000000">
            <w:pPr>
              <w:tabs>
                <w:tab w:val="decimal" w:pos="404"/>
              </w:tabs>
              <w:jc w:val="right"/>
              <w:rPr>
                <w:color w:val="000000"/>
                <w:sz w:val="18"/>
              </w:rPr>
            </w:pPr>
            <w:r>
              <w:rPr>
                <w:color w:val="000000"/>
                <w:sz w:val="18"/>
              </w:rPr>
              <w:t>9,0</w:t>
            </w:r>
          </w:p>
        </w:tc>
        <w:tc>
          <w:tcPr>
            <w:tcW w:w="848" w:type="dxa"/>
            <w:gridSpan w:val="2"/>
            <w:noWrap/>
            <w:vAlign w:val="bottom"/>
          </w:tcPr>
          <w:p w:rsidR="00000000" w:rsidRDefault="00000000">
            <w:pPr>
              <w:tabs>
                <w:tab w:val="decimal" w:pos="404"/>
              </w:tabs>
              <w:jc w:val="right"/>
              <w:rPr>
                <w:color w:val="000000"/>
                <w:sz w:val="18"/>
              </w:rPr>
            </w:pPr>
            <w:r>
              <w:rPr>
                <w:color w:val="000000"/>
                <w:sz w:val="18"/>
              </w:rPr>
              <w:t>11,9</w:t>
            </w:r>
          </w:p>
        </w:tc>
        <w:tc>
          <w:tcPr>
            <w:tcW w:w="848" w:type="dxa"/>
            <w:noWrap/>
            <w:vAlign w:val="bottom"/>
          </w:tcPr>
          <w:p w:rsidR="00000000" w:rsidRDefault="00000000">
            <w:pPr>
              <w:tabs>
                <w:tab w:val="decimal" w:pos="404"/>
              </w:tabs>
              <w:jc w:val="right"/>
              <w:rPr>
                <w:color w:val="000000"/>
                <w:sz w:val="18"/>
              </w:rPr>
            </w:pPr>
            <w:r>
              <w:rPr>
                <w:color w:val="000000"/>
                <w:sz w:val="18"/>
              </w:rPr>
              <w:t>11,7</w:t>
            </w:r>
          </w:p>
        </w:tc>
        <w:tc>
          <w:tcPr>
            <w:tcW w:w="848" w:type="dxa"/>
            <w:gridSpan w:val="2"/>
            <w:noWrap/>
            <w:vAlign w:val="bottom"/>
          </w:tcPr>
          <w:p w:rsidR="00000000" w:rsidRDefault="00000000">
            <w:pPr>
              <w:tabs>
                <w:tab w:val="decimal" w:pos="404"/>
              </w:tabs>
              <w:jc w:val="right"/>
              <w:rPr>
                <w:color w:val="000000"/>
                <w:sz w:val="18"/>
              </w:rPr>
            </w:pPr>
            <w:r>
              <w:rPr>
                <w:color w:val="000000"/>
                <w:sz w:val="18"/>
              </w:rPr>
              <w:t>8,7</w:t>
            </w:r>
          </w:p>
        </w:tc>
        <w:tc>
          <w:tcPr>
            <w:tcW w:w="848" w:type="dxa"/>
            <w:gridSpan w:val="2"/>
            <w:noWrap/>
            <w:vAlign w:val="bottom"/>
          </w:tcPr>
          <w:p w:rsidR="00000000" w:rsidRDefault="00000000">
            <w:pPr>
              <w:tabs>
                <w:tab w:val="decimal" w:pos="404"/>
              </w:tabs>
              <w:jc w:val="right"/>
              <w:rPr>
                <w:color w:val="000000"/>
                <w:sz w:val="18"/>
              </w:rPr>
            </w:pPr>
            <w:r>
              <w:rPr>
                <w:color w:val="000000"/>
                <w:sz w:val="18"/>
              </w:rPr>
              <w:t>16,3</w:t>
            </w:r>
          </w:p>
        </w:tc>
        <w:tc>
          <w:tcPr>
            <w:tcW w:w="837" w:type="dxa"/>
            <w:noWrap/>
            <w:vAlign w:val="bottom"/>
          </w:tcPr>
          <w:p w:rsidR="00000000" w:rsidRDefault="00000000">
            <w:pPr>
              <w:tabs>
                <w:tab w:val="decimal" w:pos="404"/>
              </w:tabs>
              <w:jc w:val="right"/>
              <w:rPr>
                <w:color w:val="000000"/>
                <w:sz w:val="18"/>
              </w:rPr>
            </w:pPr>
            <w:r>
              <w:rPr>
                <w:color w:val="000000"/>
                <w:sz w:val="18"/>
              </w:rPr>
              <w:t>9,9</w:t>
            </w:r>
          </w:p>
        </w:tc>
        <w:tc>
          <w:tcPr>
            <w:tcW w:w="837" w:type="dxa"/>
            <w:gridSpan w:val="2"/>
            <w:noWrap/>
            <w:vAlign w:val="bottom"/>
          </w:tcPr>
          <w:p w:rsidR="00000000" w:rsidRDefault="00000000">
            <w:pPr>
              <w:tabs>
                <w:tab w:val="decimal" w:pos="404"/>
              </w:tabs>
              <w:jc w:val="right"/>
              <w:rPr>
                <w:color w:val="000000"/>
                <w:sz w:val="18"/>
              </w:rPr>
            </w:pPr>
            <w:r>
              <w:rPr>
                <w:color w:val="000000"/>
                <w:sz w:val="18"/>
              </w:rPr>
              <w:t>7,8</w:t>
            </w:r>
          </w:p>
        </w:tc>
        <w:tc>
          <w:tcPr>
            <w:tcW w:w="844" w:type="dxa"/>
            <w:noWrap/>
            <w:vAlign w:val="bottom"/>
          </w:tcPr>
          <w:p w:rsidR="00000000" w:rsidRDefault="00000000">
            <w:pPr>
              <w:tabs>
                <w:tab w:val="decimal" w:pos="404"/>
              </w:tabs>
              <w:jc w:val="right"/>
              <w:rPr>
                <w:color w:val="000000"/>
                <w:sz w:val="18"/>
              </w:rPr>
            </w:pPr>
            <w:r>
              <w:rPr>
                <w:color w:val="000000"/>
                <w:sz w:val="18"/>
              </w:rPr>
              <w:t>13,4</w:t>
            </w:r>
          </w:p>
        </w:tc>
      </w:tr>
      <w:tr w:rsidR="00000000">
        <w:trPr>
          <w:cantSplit/>
        </w:trPr>
        <w:tc>
          <w:tcPr>
            <w:tcW w:w="3380" w:type="dxa"/>
            <w:noWrap/>
            <w:vAlign w:val="bottom"/>
          </w:tcPr>
          <w:p w:rsidR="00000000" w:rsidRDefault="00000000">
            <w:pPr>
              <w:spacing w:before="20" w:after="20" w:line="240" w:lineRule="auto"/>
              <w:rPr>
                <w:sz w:val="16"/>
              </w:rPr>
            </w:pPr>
            <w:r>
              <w:rPr>
                <w:sz w:val="16"/>
              </w:rPr>
              <w:t>Коэффициент скрытой безработицы</w:t>
            </w:r>
          </w:p>
        </w:tc>
        <w:tc>
          <w:tcPr>
            <w:tcW w:w="838" w:type="dxa"/>
            <w:noWrap/>
            <w:vAlign w:val="bottom"/>
          </w:tcPr>
          <w:p w:rsidR="00000000" w:rsidRDefault="00000000">
            <w:pPr>
              <w:tabs>
                <w:tab w:val="decimal" w:pos="404"/>
              </w:tabs>
              <w:jc w:val="right"/>
              <w:rPr>
                <w:color w:val="000000"/>
                <w:sz w:val="18"/>
              </w:rPr>
            </w:pPr>
            <w:r>
              <w:rPr>
                <w:color w:val="000000"/>
                <w:sz w:val="18"/>
              </w:rPr>
              <w:t>3,4</w:t>
            </w:r>
          </w:p>
        </w:tc>
        <w:tc>
          <w:tcPr>
            <w:tcW w:w="835" w:type="dxa"/>
            <w:gridSpan w:val="2"/>
            <w:noWrap/>
            <w:vAlign w:val="bottom"/>
          </w:tcPr>
          <w:p w:rsidR="00000000" w:rsidRDefault="00000000">
            <w:pPr>
              <w:tabs>
                <w:tab w:val="decimal" w:pos="404"/>
              </w:tabs>
              <w:jc w:val="right"/>
              <w:rPr>
                <w:color w:val="000000"/>
                <w:sz w:val="18"/>
              </w:rPr>
            </w:pPr>
            <w:r>
              <w:rPr>
                <w:color w:val="000000"/>
                <w:sz w:val="18"/>
              </w:rPr>
              <w:t>2,0</w:t>
            </w:r>
          </w:p>
        </w:tc>
        <w:tc>
          <w:tcPr>
            <w:tcW w:w="836" w:type="dxa"/>
            <w:noWrap/>
            <w:vAlign w:val="bottom"/>
          </w:tcPr>
          <w:p w:rsidR="00000000" w:rsidRDefault="00000000">
            <w:pPr>
              <w:tabs>
                <w:tab w:val="decimal" w:pos="404"/>
              </w:tabs>
              <w:jc w:val="right"/>
              <w:rPr>
                <w:color w:val="000000"/>
                <w:sz w:val="18"/>
              </w:rPr>
            </w:pPr>
            <w:r>
              <w:rPr>
                <w:color w:val="000000"/>
                <w:sz w:val="18"/>
              </w:rPr>
              <w:t>5,3</w:t>
            </w:r>
          </w:p>
        </w:tc>
        <w:tc>
          <w:tcPr>
            <w:tcW w:w="848" w:type="dxa"/>
            <w:noWrap/>
            <w:vAlign w:val="bottom"/>
          </w:tcPr>
          <w:p w:rsidR="00000000" w:rsidRDefault="00000000">
            <w:pPr>
              <w:tabs>
                <w:tab w:val="decimal" w:pos="404"/>
              </w:tabs>
              <w:jc w:val="right"/>
              <w:rPr>
                <w:color w:val="000000"/>
                <w:sz w:val="18"/>
              </w:rPr>
            </w:pPr>
            <w:r>
              <w:rPr>
                <w:color w:val="000000"/>
                <w:sz w:val="18"/>
              </w:rPr>
              <w:t>13,3</w:t>
            </w:r>
          </w:p>
        </w:tc>
        <w:tc>
          <w:tcPr>
            <w:tcW w:w="848" w:type="dxa"/>
            <w:gridSpan w:val="2"/>
            <w:noWrap/>
            <w:vAlign w:val="bottom"/>
          </w:tcPr>
          <w:p w:rsidR="00000000" w:rsidRDefault="00000000">
            <w:pPr>
              <w:tabs>
                <w:tab w:val="decimal" w:pos="404"/>
              </w:tabs>
              <w:jc w:val="right"/>
              <w:rPr>
                <w:color w:val="000000"/>
                <w:sz w:val="18"/>
              </w:rPr>
            </w:pPr>
            <w:r>
              <w:rPr>
                <w:color w:val="000000"/>
                <w:sz w:val="18"/>
              </w:rPr>
              <w:t>7,6</w:t>
            </w:r>
          </w:p>
        </w:tc>
        <w:tc>
          <w:tcPr>
            <w:tcW w:w="848" w:type="dxa"/>
            <w:gridSpan w:val="2"/>
            <w:noWrap/>
            <w:vAlign w:val="bottom"/>
          </w:tcPr>
          <w:p w:rsidR="00000000" w:rsidRDefault="00000000">
            <w:pPr>
              <w:tabs>
                <w:tab w:val="decimal" w:pos="404"/>
              </w:tabs>
              <w:jc w:val="right"/>
              <w:rPr>
                <w:color w:val="000000"/>
                <w:sz w:val="18"/>
              </w:rPr>
            </w:pPr>
            <w:r>
              <w:rPr>
                <w:color w:val="000000"/>
                <w:sz w:val="18"/>
              </w:rPr>
              <w:t>21,6</w:t>
            </w:r>
          </w:p>
        </w:tc>
        <w:tc>
          <w:tcPr>
            <w:tcW w:w="848" w:type="dxa"/>
            <w:noWrap/>
            <w:vAlign w:val="bottom"/>
          </w:tcPr>
          <w:p w:rsidR="00000000" w:rsidRDefault="00000000">
            <w:pPr>
              <w:tabs>
                <w:tab w:val="decimal" w:pos="404"/>
              </w:tabs>
              <w:jc w:val="right"/>
              <w:rPr>
                <w:color w:val="000000"/>
                <w:sz w:val="18"/>
              </w:rPr>
            </w:pPr>
            <w:r>
              <w:rPr>
                <w:color w:val="000000"/>
                <w:sz w:val="18"/>
              </w:rPr>
              <w:t>5,4</w:t>
            </w:r>
          </w:p>
        </w:tc>
        <w:tc>
          <w:tcPr>
            <w:tcW w:w="848" w:type="dxa"/>
            <w:gridSpan w:val="2"/>
            <w:noWrap/>
            <w:vAlign w:val="bottom"/>
          </w:tcPr>
          <w:p w:rsidR="00000000" w:rsidRDefault="00000000">
            <w:pPr>
              <w:tabs>
                <w:tab w:val="decimal" w:pos="404"/>
              </w:tabs>
              <w:jc w:val="right"/>
              <w:rPr>
                <w:color w:val="000000"/>
                <w:sz w:val="18"/>
              </w:rPr>
            </w:pPr>
            <w:r>
              <w:rPr>
                <w:color w:val="000000"/>
                <w:sz w:val="18"/>
              </w:rPr>
              <w:t>3,2</w:t>
            </w:r>
          </w:p>
        </w:tc>
        <w:tc>
          <w:tcPr>
            <w:tcW w:w="848" w:type="dxa"/>
            <w:gridSpan w:val="2"/>
            <w:noWrap/>
            <w:vAlign w:val="bottom"/>
          </w:tcPr>
          <w:p w:rsidR="00000000" w:rsidRDefault="00000000">
            <w:pPr>
              <w:tabs>
                <w:tab w:val="decimal" w:pos="404"/>
              </w:tabs>
              <w:jc w:val="right"/>
              <w:rPr>
                <w:color w:val="000000"/>
                <w:sz w:val="18"/>
              </w:rPr>
            </w:pPr>
            <w:r>
              <w:rPr>
                <w:color w:val="000000"/>
                <w:sz w:val="18"/>
              </w:rPr>
              <w:t>8,6</w:t>
            </w:r>
          </w:p>
        </w:tc>
        <w:tc>
          <w:tcPr>
            <w:tcW w:w="837" w:type="dxa"/>
            <w:noWrap/>
            <w:vAlign w:val="bottom"/>
          </w:tcPr>
          <w:p w:rsidR="00000000" w:rsidRDefault="00000000">
            <w:pPr>
              <w:tabs>
                <w:tab w:val="decimal" w:pos="404"/>
              </w:tabs>
              <w:jc w:val="right"/>
              <w:rPr>
                <w:color w:val="000000"/>
                <w:sz w:val="18"/>
              </w:rPr>
            </w:pPr>
            <w:r>
              <w:rPr>
                <w:color w:val="000000"/>
                <w:sz w:val="18"/>
              </w:rPr>
              <w:t>5,4</w:t>
            </w:r>
          </w:p>
        </w:tc>
        <w:tc>
          <w:tcPr>
            <w:tcW w:w="837" w:type="dxa"/>
            <w:gridSpan w:val="2"/>
            <w:noWrap/>
            <w:vAlign w:val="bottom"/>
          </w:tcPr>
          <w:p w:rsidR="00000000" w:rsidRDefault="00000000">
            <w:pPr>
              <w:tabs>
                <w:tab w:val="decimal" w:pos="404"/>
              </w:tabs>
              <w:jc w:val="right"/>
              <w:rPr>
                <w:color w:val="000000"/>
                <w:sz w:val="18"/>
              </w:rPr>
            </w:pPr>
            <w:r>
              <w:rPr>
                <w:color w:val="000000"/>
                <w:sz w:val="18"/>
              </w:rPr>
              <w:t>3,4</w:t>
            </w:r>
          </w:p>
        </w:tc>
        <w:tc>
          <w:tcPr>
            <w:tcW w:w="844" w:type="dxa"/>
            <w:noWrap/>
            <w:vAlign w:val="bottom"/>
          </w:tcPr>
          <w:p w:rsidR="00000000" w:rsidRDefault="00000000">
            <w:pPr>
              <w:tabs>
                <w:tab w:val="decimal" w:pos="404"/>
              </w:tabs>
              <w:jc w:val="right"/>
              <w:rPr>
                <w:color w:val="000000"/>
                <w:sz w:val="18"/>
              </w:rPr>
            </w:pPr>
            <w:r>
              <w:rPr>
                <w:color w:val="000000"/>
                <w:sz w:val="18"/>
              </w:rPr>
              <w:t>8,5</w:t>
            </w:r>
          </w:p>
        </w:tc>
      </w:tr>
      <w:tr w:rsidR="00000000">
        <w:trPr>
          <w:cantSplit/>
        </w:trPr>
        <w:tc>
          <w:tcPr>
            <w:tcW w:w="3380" w:type="dxa"/>
            <w:noWrap/>
            <w:vAlign w:val="bottom"/>
          </w:tcPr>
          <w:p w:rsidR="00000000" w:rsidRDefault="00000000">
            <w:pPr>
              <w:spacing w:before="20" w:after="20" w:line="240" w:lineRule="auto"/>
              <w:rPr>
                <w:sz w:val="16"/>
              </w:rPr>
            </w:pPr>
            <w:r>
              <w:rPr>
                <w:sz w:val="16"/>
              </w:rPr>
              <w:t>Общий коэффициент неполной занятости</w:t>
            </w:r>
          </w:p>
        </w:tc>
        <w:tc>
          <w:tcPr>
            <w:tcW w:w="838" w:type="dxa"/>
            <w:noWrap/>
            <w:vAlign w:val="bottom"/>
          </w:tcPr>
          <w:p w:rsidR="00000000" w:rsidRDefault="00000000">
            <w:pPr>
              <w:tabs>
                <w:tab w:val="decimal" w:pos="404"/>
              </w:tabs>
              <w:jc w:val="right"/>
              <w:rPr>
                <w:color w:val="000000"/>
                <w:sz w:val="18"/>
              </w:rPr>
            </w:pPr>
            <w:r>
              <w:rPr>
                <w:color w:val="000000"/>
                <w:sz w:val="18"/>
              </w:rPr>
              <w:t>22,4</w:t>
            </w:r>
          </w:p>
        </w:tc>
        <w:tc>
          <w:tcPr>
            <w:tcW w:w="835" w:type="dxa"/>
            <w:gridSpan w:val="2"/>
            <w:noWrap/>
            <w:vAlign w:val="bottom"/>
          </w:tcPr>
          <w:p w:rsidR="00000000" w:rsidRDefault="00000000">
            <w:pPr>
              <w:tabs>
                <w:tab w:val="decimal" w:pos="404"/>
              </w:tabs>
              <w:jc w:val="right"/>
              <w:rPr>
                <w:color w:val="000000"/>
                <w:sz w:val="18"/>
              </w:rPr>
            </w:pPr>
            <w:r>
              <w:rPr>
                <w:color w:val="000000"/>
                <w:sz w:val="18"/>
              </w:rPr>
              <w:t>19,8</w:t>
            </w:r>
          </w:p>
        </w:tc>
        <w:tc>
          <w:tcPr>
            <w:tcW w:w="836" w:type="dxa"/>
            <w:noWrap/>
            <w:vAlign w:val="bottom"/>
          </w:tcPr>
          <w:p w:rsidR="00000000" w:rsidRDefault="00000000">
            <w:pPr>
              <w:tabs>
                <w:tab w:val="decimal" w:pos="404"/>
              </w:tabs>
              <w:jc w:val="right"/>
              <w:rPr>
                <w:color w:val="000000"/>
                <w:sz w:val="18"/>
              </w:rPr>
            </w:pPr>
            <w:r>
              <w:rPr>
                <w:color w:val="000000"/>
                <w:sz w:val="18"/>
              </w:rPr>
              <w:t>26,2</w:t>
            </w:r>
          </w:p>
        </w:tc>
        <w:tc>
          <w:tcPr>
            <w:tcW w:w="848" w:type="dxa"/>
            <w:noWrap/>
            <w:vAlign w:val="bottom"/>
          </w:tcPr>
          <w:p w:rsidR="00000000" w:rsidRDefault="00000000">
            <w:pPr>
              <w:tabs>
                <w:tab w:val="decimal" w:pos="404"/>
              </w:tabs>
              <w:jc w:val="right"/>
              <w:rPr>
                <w:color w:val="000000"/>
                <w:sz w:val="18"/>
              </w:rPr>
            </w:pPr>
            <w:r>
              <w:rPr>
                <w:color w:val="000000"/>
                <w:sz w:val="18"/>
              </w:rPr>
              <w:t>23,4</w:t>
            </w:r>
          </w:p>
        </w:tc>
        <w:tc>
          <w:tcPr>
            <w:tcW w:w="848" w:type="dxa"/>
            <w:gridSpan w:val="2"/>
            <w:noWrap/>
            <w:vAlign w:val="bottom"/>
          </w:tcPr>
          <w:p w:rsidR="00000000" w:rsidRDefault="00000000">
            <w:pPr>
              <w:tabs>
                <w:tab w:val="decimal" w:pos="404"/>
              </w:tabs>
              <w:jc w:val="right"/>
              <w:rPr>
                <w:color w:val="000000"/>
                <w:sz w:val="18"/>
              </w:rPr>
            </w:pPr>
            <w:r>
              <w:rPr>
                <w:color w:val="000000"/>
                <w:sz w:val="18"/>
              </w:rPr>
              <w:t>20,4</w:t>
            </w:r>
          </w:p>
        </w:tc>
        <w:tc>
          <w:tcPr>
            <w:tcW w:w="848" w:type="dxa"/>
            <w:gridSpan w:val="2"/>
            <w:noWrap/>
            <w:vAlign w:val="bottom"/>
          </w:tcPr>
          <w:p w:rsidR="00000000" w:rsidRDefault="00000000">
            <w:pPr>
              <w:tabs>
                <w:tab w:val="decimal" w:pos="404"/>
              </w:tabs>
              <w:jc w:val="right"/>
              <w:rPr>
                <w:color w:val="000000"/>
                <w:sz w:val="18"/>
              </w:rPr>
            </w:pPr>
            <w:r>
              <w:rPr>
                <w:color w:val="000000"/>
                <w:sz w:val="18"/>
              </w:rPr>
              <w:t>28,4</w:t>
            </w:r>
          </w:p>
        </w:tc>
        <w:tc>
          <w:tcPr>
            <w:tcW w:w="848" w:type="dxa"/>
            <w:noWrap/>
            <w:vAlign w:val="bottom"/>
          </w:tcPr>
          <w:p w:rsidR="00000000" w:rsidRDefault="00000000">
            <w:pPr>
              <w:tabs>
                <w:tab w:val="decimal" w:pos="404"/>
              </w:tabs>
              <w:jc w:val="right"/>
              <w:rPr>
                <w:color w:val="000000"/>
                <w:sz w:val="18"/>
              </w:rPr>
            </w:pPr>
            <w:r>
              <w:rPr>
                <w:color w:val="000000"/>
                <w:sz w:val="18"/>
              </w:rPr>
              <w:t>32,5</w:t>
            </w:r>
          </w:p>
        </w:tc>
        <w:tc>
          <w:tcPr>
            <w:tcW w:w="848" w:type="dxa"/>
            <w:gridSpan w:val="2"/>
            <w:noWrap/>
            <w:vAlign w:val="bottom"/>
          </w:tcPr>
          <w:p w:rsidR="00000000" w:rsidRDefault="00000000">
            <w:pPr>
              <w:tabs>
                <w:tab w:val="decimal" w:pos="404"/>
              </w:tabs>
              <w:jc w:val="right"/>
              <w:rPr>
                <w:color w:val="000000"/>
                <w:sz w:val="18"/>
              </w:rPr>
            </w:pPr>
            <w:r>
              <w:rPr>
                <w:color w:val="000000"/>
                <w:sz w:val="18"/>
              </w:rPr>
              <w:t>29,6</w:t>
            </w:r>
          </w:p>
        </w:tc>
        <w:tc>
          <w:tcPr>
            <w:tcW w:w="848" w:type="dxa"/>
            <w:gridSpan w:val="2"/>
            <w:noWrap/>
            <w:vAlign w:val="bottom"/>
          </w:tcPr>
          <w:p w:rsidR="00000000" w:rsidRDefault="00000000">
            <w:pPr>
              <w:tabs>
                <w:tab w:val="decimal" w:pos="404"/>
              </w:tabs>
              <w:jc w:val="right"/>
              <w:rPr>
                <w:color w:val="000000"/>
                <w:sz w:val="18"/>
              </w:rPr>
            </w:pPr>
            <w:r>
              <w:rPr>
                <w:color w:val="000000"/>
                <w:sz w:val="18"/>
              </w:rPr>
              <w:t>37,1</w:t>
            </w:r>
          </w:p>
        </w:tc>
        <w:tc>
          <w:tcPr>
            <w:tcW w:w="837" w:type="dxa"/>
            <w:noWrap/>
            <w:vAlign w:val="bottom"/>
          </w:tcPr>
          <w:p w:rsidR="00000000" w:rsidRDefault="00000000">
            <w:pPr>
              <w:tabs>
                <w:tab w:val="decimal" w:pos="404"/>
              </w:tabs>
              <w:jc w:val="right"/>
              <w:rPr>
                <w:color w:val="000000"/>
                <w:sz w:val="18"/>
              </w:rPr>
            </w:pPr>
            <w:r>
              <w:rPr>
                <w:color w:val="000000"/>
                <w:sz w:val="18"/>
              </w:rPr>
              <w:t>35,5</w:t>
            </w:r>
          </w:p>
        </w:tc>
        <w:tc>
          <w:tcPr>
            <w:tcW w:w="837" w:type="dxa"/>
            <w:gridSpan w:val="2"/>
            <w:noWrap/>
            <w:vAlign w:val="bottom"/>
          </w:tcPr>
          <w:p w:rsidR="00000000" w:rsidRDefault="00000000">
            <w:pPr>
              <w:tabs>
                <w:tab w:val="decimal" w:pos="404"/>
              </w:tabs>
              <w:jc w:val="right"/>
              <w:rPr>
                <w:color w:val="000000"/>
                <w:sz w:val="18"/>
              </w:rPr>
            </w:pPr>
            <w:r>
              <w:rPr>
                <w:color w:val="000000"/>
                <w:sz w:val="18"/>
              </w:rPr>
              <w:t>32,1</w:t>
            </w:r>
          </w:p>
        </w:tc>
        <w:tc>
          <w:tcPr>
            <w:tcW w:w="844" w:type="dxa"/>
            <w:noWrap/>
            <w:vAlign w:val="bottom"/>
          </w:tcPr>
          <w:p w:rsidR="00000000" w:rsidRDefault="00000000">
            <w:pPr>
              <w:tabs>
                <w:tab w:val="decimal" w:pos="404"/>
              </w:tabs>
              <w:jc w:val="right"/>
              <w:rPr>
                <w:color w:val="000000"/>
                <w:sz w:val="18"/>
              </w:rPr>
            </w:pPr>
            <w:r>
              <w:rPr>
                <w:color w:val="000000"/>
                <w:sz w:val="18"/>
              </w:rPr>
              <w:t>41,0</w:t>
            </w:r>
          </w:p>
        </w:tc>
      </w:tr>
      <w:tr w:rsidR="00000000">
        <w:trPr>
          <w:cantSplit/>
        </w:trPr>
        <w:tc>
          <w:tcPr>
            <w:tcW w:w="3380" w:type="dxa"/>
            <w:noWrap/>
            <w:vAlign w:val="bottom"/>
          </w:tcPr>
          <w:p w:rsidR="00000000" w:rsidRDefault="00000000">
            <w:pPr>
              <w:spacing w:before="20" w:after="20" w:line="240" w:lineRule="auto"/>
              <w:rPr>
                <w:sz w:val="16"/>
              </w:rPr>
            </w:pPr>
            <w:r>
              <w:rPr>
                <w:sz w:val="16"/>
              </w:rPr>
              <w:t>Коэффициент видимой неполной занятости</w:t>
            </w:r>
          </w:p>
        </w:tc>
        <w:tc>
          <w:tcPr>
            <w:tcW w:w="838" w:type="dxa"/>
            <w:noWrap/>
            <w:vAlign w:val="bottom"/>
          </w:tcPr>
          <w:p w:rsidR="00000000" w:rsidRDefault="00000000">
            <w:pPr>
              <w:tabs>
                <w:tab w:val="decimal" w:pos="404"/>
              </w:tabs>
              <w:jc w:val="right"/>
              <w:rPr>
                <w:color w:val="000000"/>
                <w:sz w:val="18"/>
              </w:rPr>
            </w:pPr>
            <w:r>
              <w:rPr>
                <w:color w:val="000000"/>
                <w:sz w:val="18"/>
              </w:rPr>
              <w:t>6,4</w:t>
            </w:r>
          </w:p>
        </w:tc>
        <w:tc>
          <w:tcPr>
            <w:tcW w:w="835" w:type="dxa"/>
            <w:gridSpan w:val="2"/>
            <w:noWrap/>
            <w:vAlign w:val="bottom"/>
          </w:tcPr>
          <w:p w:rsidR="00000000" w:rsidRDefault="00000000">
            <w:pPr>
              <w:tabs>
                <w:tab w:val="decimal" w:pos="404"/>
              </w:tabs>
              <w:jc w:val="right"/>
              <w:rPr>
                <w:color w:val="000000"/>
                <w:sz w:val="18"/>
              </w:rPr>
            </w:pPr>
            <w:r>
              <w:rPr>
                <w:color w:val="000000"/>
                <w:sz w:val="18"/>
              </w:rPr>
              <w:t>4,3</w:t>
            </w:r>
          </w:p>
        </w:tc>
        <w:tc>
          <w:tcPr>
            <w:tcW w:w="836" w:type="dxa"/>
            <w:noWrap/>
            <w:vAlign w:val="bottom"/>
          </w:tcPr>
          <w:p w:rsidR="00000000" w:rsidRDefault="00000000">
            <w:pPr>
              <w:tabs>
                <w:tab w:val="decimal" w:pos="404"/>
              </w:tabs>
              <w:jc w:val="right"/>
              <w:rPr>
                <w:color w:val="000000"/>
                <w:sz w:val="18"/>
              </w:rPr>
            </w:pPr>
            <w:r>
              <w:rPr>
                <w:color w:val="000000"/>
                <w:sz w:val="18"/>
              </w:rPr>
              <w:t>9,4</w:t>
            </w:r>
          </w:p>
        </w:tc>
        <w:tc>
          <w:tcPr>
            <w:tcW w:w="848" w:type="dxa"/>
            <w:noWrap/>
            <w:vAlign w:val="bottom"/>
          </w:tcPr>
          <w:p w:rsidR="00000000" w:rsidRDefault="00000000">
            <w:pPr>
              <w:tabs>
                <w:tab w:val="decimal" w:pos="404"/>
              </w:tabs>
              <w:jc w:val="right"/>
              <w:rPr>
                <w:color w:val="000000"/>
                <w:sz w:val="18"/>
              </w:rPr>
            </w:pPr>
            <w:r>
              <w:rPr>
                <w:color w:val="000000"/>
                <w:sz w:val="18"/>
              </w:rPr>
              <w:t>6,2</w:t>
            </w:r>
          </w:p>
        </w:tc>
        <w:tc>
          <w:tcPr>
            <w:tcW w:w="848" w:type="dxa"/>
            <w:gridSpan w:val="2"/>
            <w:noWrap/>
            <w:vAlign w:val="bottom"/>
          </w:tcPr>
          <w:p w:rsidR="00000000" w:rsidRDefault="00000000">
            <w:pPr>
              <w:tabs>
                <w:tab w:val="decimal" w:pos="404"/>
              </w:tabs>
              <w:jc w:val="right"/>
              <w:rPr>
                <w:color w:val="000000"/>
                <w:sz w:val="18"/>
              </w:rPr>
            </w:pPr>
            <w:r>
              <w:rPr>
                <w:color w:val="000000"/>
                <w:sz w:val="18"/>
              </w:rPr>
              <w:t>4,3</w:t>
            </w:r>
          </w:p>
        </w:tc>
        <w:tc>
          <w:tcPr>
            <w:tcW w:w="848" w:type="dxa"/>
            <w:gridSpan w:val="2"/>
            <w:noWrap/>
            <w:vAlign w:val="bottom"/>
          </w:tcPr>
          <w:p w:rsidR="00000000" w:rsidRDefault="00000000">
            <w:pPr>
              <w:tabs>
                <w:tab w:val="decimal" w:pos="404"/>
              </w:tabs>
              <w:jc w:val="right"/>
              <w:rPr>
                <w:color w:val="000000"/>
                <w:sz w:val="18"/>
              </w:rPr>
            </w:pPr>
            <w:r>
              <w:rPr>
                <w:color w:val="000000"/>
                <w:sz w:val="18"/>
              </w:rPr>
              <w:t>9,4</w:t>
            </w:r>
          </w:p>
        </w:tc>
        <w:tc>
          <w:tcPr>
            <w:tcW w:w="848" w:type="dxa"/>
            <w:noWrap/>
            <w:vAlign w:val="bottom"/>
          </w:tcPr>
          <w:p w:rsidR="00000000" w:rsidRDefault="00000000">
            <w:pPr>
              <w:tabs>
                <w:tab w:val="decimal" w:pos="404"/>
              </w:tabs>
              <w:jc w:val="right"/>
              <w:rPr>
                <w:color w:val="000000"/>
                <w:sz w:val="18"/>
              </w:rPr>
            </w:pPr>
            <w:r>
              <w:rPr>
                <w:color w:val="000000"/>
                <w:sz w:val="18"/>
              </w:rPr>
              <w:t>8,6</w:t>
            </w:r>
          </w:p>
        </w:tc>
        <w:tc>
          <w:tcPr>
            <w:tcW w:w="848" w:type="dxa"/>
            <w:gridSpan w:val="2"/>
            <w:noWrap/>
            <w:vAlign w:val="bottom"/>
          </w:tcPr>
          <w:p w:rsidR="00000000" w:rsidRDefault="00000000">
            <w:pPr>
              <w:tabs>
                <w:tab w:val="decimal" w:pos="404"/>
              </w:tabs>
              <w:jc w:val="right"/>
              <w:rPr>
                <w:color w:val="000000"/>
                <w:sz w:val="18"/>
              </w:rPr>
            </w:pPr>
            <w:r>
              <w:rPr>
                <w:color w:val="000000"/>
                <w:sz w:val="18"/>
              </w:rPr>
              <w:t>6,6</w:t>
            </w:r>
          </w:p>
        </w:tc>
        <w:tc>
          <w:tcPr>
            <w:tcW w:w="848" w:type="dxa"/>
            <w:gridSpan w:val="2"/>
            <w:noWrap/>
            <w:vAlign w:val="bottom"/>
          </w:tcPr>
          <w:p w:rsidR="00000000" w:rsidRDefault="00000000">
            <w:pPr>
              <w:tabs>
                <w:tab w:val="decimal" w:pos="404"/>
              </w:tabs>
              <w:jc w:val="right"/>
              <w:rPr>
                <w:color w:val="000000"/>
                <w:sz w:val="18"/>
              </w:rPr>
            </w:pPr>
            <w:r>
              <w:rPr>
                <w:color w:val="000000"/>
                <w:sz w:val="18"/>
              </w:rPr>
              <w:t>11,7</w:t>
            </w:r>
          </w:p>
        </w:tc>
        <w:tc>
          <w:tcPr>
            <w:tcW w:w="837" w:type="dxa"/>
            <w:noWrap/>
            <w:vAlign w:val="bottom"/>
          </w:tcPr>
          <w:p w:rsidR="00000000" w:rsidRDefault="00000000">
            <w:pPr>
              <w:tabs>
                <w:tab w:val="decimal" w:pos="404"/>
              </w:tabs>
              <w:jc w:val="right"/>
              <w:rPr>
                <w:color w:val="000000"/>
                <w:sz w:val="18"/>
              </w:rPr>
            </w:pPr>
            <w:r>
              <w:rPr>
                <w:color w:val="000000"/>
                <w:sz w:val="18"/>
              </w:rPr>
              <w:t>7,5</w:t>
            </w:r>
          </w:p>
        </w:tc>
        <w:tc>
          <w:tcPr>
            <w:tcW w:w="837" w:type="dxa"/>
            <w:gridSpan w:val="2"/>
            <w:noWrap/>
            <w:vAlign w:val="bottom"/>
          </w:tcPr>
          <w:p w:rsidR="00000000" w:rsidRDefault="00000000">
            <w:pPr>
              <w:tabs>
                <w:tab w:val="decimal" w:pos="404"/>
              </w:tabs>
              <w:jc w:val="right"/>
              <w:rPr>
                <w:color w:val="000000"/>
                <w:sz w:val="18"/>
              </w:rPr>
            </w:pPr>
            <w:r>
              <w:rPr>
                <w:color w:val="000000"/>
                <w:sz w:val="18"/>
              </w:rPr>
              <w:t>5,5</w:t>
            </w:r>
          </w:p>
        </w:tc>
        <w:tc>
          <w:tcPr>
            <w:tcW w:w="844" w:type="dxa"/>
            <w:noWrap/>
            <w:vAlign w:val="bottom"/>
          </w:tcPr>
          <w:p w:rsidR="00000000" w:rsidRDefault="00000000">
            <w:pPr>
              <w:tabs>
                <w:tab w:val="decimal" w:pos="404"/>
              </w:tabs>
              <w:jc w:val="right"/>
              <w:rPr>
                <w:color w:val="000000"/>
                <w:sz w:val="18"/>
              </w:rPr>
            </w:pPr>
            <w:r>
              <w:rPr>
                <w:color w:val="000000"/>
                <w:sz w:val="18"/>
              </w:rPr>
              <w:t>10,9</w:t>
            </w:r>
          </w:p>
        </w:tc>
      </w:tr>
      <w:tr w:rsidR="00000000">
        <w:trPr>
          <w:cantSplit/>
        </w:trPr>
        <w:tc>
          <w:tcPr>
            <w:tcW w:w="3380" w:type="dxa"/>
            <w:noWrap/>
            <w:vAlign w:val="bottom"/>
          </w:tcPr>
          <w:p w:rsidR="00000000" w:rsidRDefault="00000000">
            <w:pPr>
              <w:spacing w:before="20" w:after="20" w:line="240" w:lineRule="auto"/>
              <w:rPr>
                <w:sz w:val="16"/>
              </w:rPr>
            </w:pPr>
            <w:r>
              <w:rPr>
                <w:sz w:val="16"/>
              </w:rPr>
              <w:t>Коэффициент невидимой неполной занятости</w:t>
            </w:r>
          </w:p>
        </w:tc>
        <w:tc>
          <w:tcPr>
            <w:tcW w:w="838" w:type="dxa"/>
            <w:noWrap/>
            <w:vAlign w:val="bottom"/>
          </w:tcPr>
          <w:p w:rsidR="00000000" w:rsidRDefault="00000000">
            <w:pPr>
              <w:tabs>
                <w:tab w:val="decimal" w:pos="404"/>
              </w:tabs>
              <w:jc w:val="right"/>
              <w:rPr>
                <w:color w:val="000000"/>
                <w:sz w:val="18"/>
              </w:rPr>
            </w:pPr>
            <w:r>
              <w:rPr>
                <w:color w:val="000000"/>
                <w:sz w:val="18"/>
              </w:rPr>
              <w:t>16,1</w:t>
            </w:r>
          </w:p>
        </w:tc>
        <w:tc>
          <w:tcPr>
            <w:tcW w:w="835" w:type="dxa"/>
            <w:gridSpan w:val="2"/>
            <w:noWrap/>
            <w:vAlign w:val="bottom"/>
          </w:tcPr>
          <w:p w:rsidR="00000000" w:rsidRDefault="00000000">
            <w:pPr>
              <w:tabs>
                <w:tab w:val="decimal" w:pos="404"/>
              </w:tabs>
              <w:jc w:val="right"/>
              <w:rPr>
                <w:color w:val="000000"/>
                <w:sz w:val="18"/>
              </w:rPr>
            </w:pPr>
            <w:r>
              <w:rPr>
                <w:color w:val="000000"/>
                <w:sz w:val="18"/>
              </w:rPr>
              <w:t>15,5</w:t>
            </w:r>
          </w:p>
        </w:tc>
        <w:tc>
          <w:tcPr>
            <w:tcW w:w="836" w:type="dxa"/>
            <w:noWrap/>
            <w:vAlign w:val="bottom"/>
          </w:tcPr>
          <w:p w:rsidR="00000000" w:rsidRDefault="00000000">
            <w:pPr>
              <w:tabs>
                <w:tab w:val="decimal" w:pos="404"/>
              </w:tabs>
              <w:jc w:val="right"/>
              <w:rPr>
                <w:color w:val="000000"/>
                <w:sz w:val="18"/>
              </w:rPr>
            </w:pPr>
            <w:r>
              <w:rPr>
                <w:color w:val="000000"/>
                <w:sz w:val="18"/>
              </w:rPr>
              <w:t>16,8</w:t>
            </w:r>
          </w:p>
        </w:tc>
        <w:tc>
          <w:tcPr>
            <w:tcW w:w="848" w:type="dxa"/>
            <w:noWrap/>
            <w:vAlign w:val="bottom"/>
          </w:tcPr>
          <w:p w:rsidR="00000000" w:rsidRDefault="00000000">
            <w:pPr>
              <w:tabs>
                <w:tab w:val="decimal" w:pos="404"/>
              </w:tabs>
              <w:jc w:val="right"/>
              <w:rPr>
                <w:color w:val="000000"/>
                <w:sz w:val="18"/>
              </w:rPr>
            </w:pPr>
            <w:r>
              <w:rPr>
                <w:color w:val="000000"/>
                <w:sz w:val="18"/>
              </w:rPr>
              <w:t>17,2</w:t>
            </w:r>
          </w:p>
        </w:tc>
        <w:tc>
          <w:tcPr>
            <w:tcW w:w="848" w:type="dxa"/>
            <w:gridSpan w:val="2"/>
            <w:noWrap/>
            <w:vAlign w:val="bottom"/>
          </w:tcPr>
          <w:p w:rsidR="00000000" w:rsidRDefault="00000000">
            <w:pPr>
              <w:tabs>
                <w:tab w:val="decimal" w:pos="404"/>
              </w:tabs>
              <w:jc w:val="right"/>
              <w:rPr>
                <w:color w:val="000000"/>
                <w:sz w:val="18"/>
              </w:rPr>
            </w:pPr>
            <w:r>
              <w:rPr>
                <w:color w:val="000000"/>
                <w:sz w:val="18"/>
              </w:rPr>
              <w:t>16,1</w:t>
            </w:r>
          </w:p>
        </w:tc>
        <w:tc>
          <w:tcPr>
            <w:tcW w:w="848" w:type="dxa"/>
            <w:gridSpan w:val="2"/>
            <w:noWrap/>
            <w:vAlign w:val="bottom"/>
          </w:tcPr>
          <w:p w:rsidR="00000000" w:rsidRDefault="00000000">
            <w:pPr>
              <w:tabs>
                <w:tab w:val="decimal" w:pos="404"/>
              </w:tabs>
              <w:jc w:val="right"/>
              <w:rPr>
                <w:color w:val="000000"/>
                <w:sz w:val="18"/>
              </w:rPr>
            </w:pPr>
            <w:r>
              <w:rPr>
                <w:color w:val="000000"/>
                <w:sz w:val="18"/>
              </w:rPr>
              <w:t>19,0</w:t>
            </w:r>
          </w:p>
        </w:tc>
        <w:tc>
          <w:tcPr>
            <w:tcW w:w="848" w:type="dxa"/>
            <w:noWrap/>
            <w:vAlign w:val="bottom"/>
          </w:tcPr>
          <w:p w:rsidR="00000000" w:rsidRDefault="00000000">
            <w:pPr>
              <w:tabs>
                <w:tab w:val="decimal" w:pos="404"/>
              </w:tabs>
              <w:jc w:val="right"/>
              <w:rPr>
                <w:color w:val="000000"/>
                <w:sz w:val="18"/>
              </w:rPr>
            </w:pPr>
            <w:r>
              <w:rPr>
                <w:color w:val="000000"/>
                <w:sz w:val="18"/>
              </w:rPr>
              <w:t>23,9</w:t>
            </w:r>
          </w:p>
        </w:tc>
        <w:tc>
          <w:tcPr>
            <w:tcW w:w="848" w:type="dxa"/>
            <w:gridSpan w:val="2"/>
            <w:noWrap/>
            <w:vAlign w:val="bottom"/>
          </w:tcPr>
          <w:p w:rsidR="00000000" w:rsidRDefault="00000000">
            <w:pPr>
              <w:tabs>
                <w:tab w:val="decimal" w:pos="404"/>
              </w:tabs>
              <w:jc w:val="right"/>
              <w:rPr>
                <w:color w:val="000000"/>
                <w:sz w:val="18"/>
              </w:rPr>
            </w:pPr>
            <w:r>
              <w:rPr>
                <w:color w:val="000000"/>
                <w:sz w:val="18"/>
              </w:rPr>
              <w:t>23,0</w:t>
            </w:r>
          </w:p>
        </w:tc>
        <w:tc>
          <w:tcPr>
            <w:tcW w:w="848" w:type="dxa"/>
            <w:gridSpan w:val="2"/>
            <w:noWrap/>
            <w:vAlign w:val="bottom"/>
          </w:tcPr>
          <w:p w:rsidR="00000000" w:rsidRDefault="00000000">
            <w:pPr>
              <w:tabs>
                <w:tab w:val="decimal" w:pos="404"/>
              </w:tabs>
              <w:jc w:val="right"/>
              <w:rPr>
                <w:color w:val="000000"/>
                <w:sz w:val="18"/>
              </w:rPr>
            </w:pPr>
            <w:r>
              <w:rPr>
                <w:color w:val="000000"/>
                <w:sz w:val="18"/>
              </w:rPr>
              <w:t>25,4</w:t>
            </w:r>
          </w:p>
        </w:tc>
        <w:tc>
          <w:tcPr>
            <w:tcW w:w="837" w:type="dxa"/>
            <w:noWrap/>
            <w:vAlign w:val="bottom"/>
          </w:tcPr>
          <w:p w:rsidR="00000000" w:rsidRDefault="00000000">
            <w:pPr>
              <w:tabs>
                <w:tab w:val="decimal" w:pos="404"/>
              </w:tabs>
              <w:jc w:val="right"/>
              <w:rPr>
                <w:color w:val="000000"/>
                <w:sz w:val="18"/>
              </w:rPr>
            </w:pPr>
            <w:r>
              <w:rPr>
                <w:color w:val="000000"/>
                <w:sz w:val="18"/>
              </w:rPr>
              <w:t>28,0</w:t>
            </w:r>
          </w:p>
        </w:tc>
        <w:tc>
          <w:tcPr>
            <w:tcW w:w="837" w:type="dxa"/>
            <w:gridSpan w:val="2"/>
            <w:noWrap/>
            <w:vAlign w:val="bottom"/>
          </w:tcPr>
          <w:p w:rsidR="00000000" w:rsidRDefault="00000000">
            <w:pPr>
              <w:tabs>
                <w:tab w:val="decimal" w:pos="404"/>
              </w:tabs>
              <w:jc w:val="right"/>
              <w:rPr>
                <w:color w:val="000000"/>
                <w:sz w:val="18"/>
              </w:rPr>
            </w:pPr>
            <w:r>
              <w:rPr>
                <w:color w:val="000000"/>
                <w:sz w:val="18"/>
              </w:rPr>
              <w:t>26,7</w:t>
            </w:r>
          </w:p>
        </w:tc>
        <w:tc>
          <w:tcPr>
            <w:tcW w:w="844" w:type="dxa"/>
            <w:noWrap/>
            <w:vAlign w:val="bottom"/>
          </w:tcPr>
          <w:p w:rsidR="00000000" w:rsidRDefault="00000000">
            <w:pPr>
              <w:tabs>
                <w:tab w:val="decimal" w:pos="404"/>
              </w:tabs>
              <w:jc w:val="right"/>
              <w:rPr>
                <w:color w:val="000000"/>
                <w:sz w:val="18"/>
              </w:rPr>
            </w:pPr>
            <w:r>
              <w:rPr>
                <w:color w:val="000000"/>
                <w:sz w:val="18"/>
              </w:rPr>
              <w:t>30,1</w:t>
            </w:r>
          </w:p>
        </w:tc>
      </w:tr>
    </w:tbl>
    <w:p w:rsidR="00000000" w:rsidRDefault="00000000">
      <w:pPr>
        <w:spacing w:line="240" w:lineRule="auto"/>
        <w:rPr>
          <w:sz w:val="16"/>
          <w:szCs w:val="16"/>
        </w:rPr>
      </w:pPr>
    </w:p>
    <w:p w:rsidR="00000000" w:rsidRDefault="00000000">
      <w:pPr>
        <w:spacing w:line="240" w:lineRule="auto"/>
        <w:rPr>
          <w:sz w:val="16"/>
          <w:szCs w:val="16"/>
        </w:rPr>
      </w:pPr>
      <w:r>
        <w:rPr>
          <w:i/>
          <w:iCs/>
          <w:sz w:val="16"/>
          <w:szCs w:val="16"/>
        </w:rPr>
        <w:t>Источник</w:t>
      </w:r>
      <w:r>
        <w:rPr>
          <w:b/>
          <w:bCs/>
          <w:sz w:val="16"/>
          <w:szCs w:val="16"/>
        </w:rPr>
        <w:t xml:space="preserve">:  </w:t>
      </w:r>
      <w:r>
        <w:rPr>
          <w:sz w:val="16"/>
          <w:szCs w:val="16"/>
        </w:rPr>
        <w:t xml:space="preserve">ТСП/ГУСоП.  Постоянное обследование домохозяйств </w:t>
      </w:r>
      <w:r>
        <w:rPr>
          <w:sz w:val="16"/>
          <w:szCs w:val="16"/>
          <w:lang w:val="fr-FR"/>
        </w:rPr>
        <w:t>1995, 1999, 2004, 2005</w:t>
      </w:r>
      <w:r>
        <w:rPr>
          <w:sz w:val="16"/>
          <w:szCs w:val="16"/>
        </w:rPr>
        <w:t xml:space="preserve"> годов.</w:t>
      </w:r>
    </w:p>
    <w:p w:rsidR="00000000" w:rsidRDefault="00000000">
      <w:pPr>
        <w:spacing w:line="240" w:lineRule="auto"/>
        <w:rPr>
          <w:lang w:val="fr-FR"/>
        </w:rPr>
      </w:pPr>
    </w:p>
    <w:p w:rsidR="00000000" w:rsidRDefault="00000000">
      <w:pPr>
        <w:spacing w:line="240" w:lineRule="auto"/>
        <w:rPr>
          <w:sz w:val="16"/>
          <w:szCs w:val="16"/>
        </w:rPr>
      </w:pPr>
      <w:r>
        <w:rPr>
          <w:b/>
          <w:bCs/>
          <w:sz w:val="16"/>
          <w:szCs w:val="16"/>
          <w:vertAlign w:val="superscript"/>
        </w:rPr>
        <w:t>*</w:t>
      </w:r>
      <w:r>
        <w:rPr>
          <w:sz w:val="16"/>
          <w:szCs w:val="16"/>
        </w:rPr>
        <w:tab/>
        <w:t>Результаты постоянного обследования домохозяйств за 1995-1999 годы даются с поправкой на результаты переписи населения 2002 года.</w:t>
      </w:r>
    </w:p>
    <w:p w:rsidR="00000000" w:rsidRDefault="00000000">
      <w:pPr>
        <w:spacing w:line="240" w:lineRule="auto"/>
        <w:jc w:val="right"/>
        <w:rPr>
          <w:sz w:val="16"/>
          <w:szCs w:val="16"/>
          <w:vertAlign w:val="superscript"/>
        </w:rPr>
      </w:pPr>
    </w:p>
    <w:p w:rsidR="00000000" w:rsidRDefault="00000000">
      <w:pPr>
        <w:spacing w:line="240" w:lineRule="auto"/>
        <w:rPr>
          <w:sz w:val="16"/>
          <w:szCs w:val="16"/>
        </w:rPr>
      </w:pPr>
      <w:r>
        <w:rPr>
          <w:b/>
          <w:bCs/>
          <w:sz w:val="16"/>
          <w:szCs w:val="16"/>
          <w:vertAlign w:val="superscript"/>
        </w:rPr>
        <w:t>**</w:t>
      </w:r>
      <w:r>
        <w:rPr>
          <w:sz w:val="16"/>
          <w:szCs w:val="16"/>
        </w:rPr>
        <w:tab/>
        <w:t xml:space="preserve">Население в возрасте от 15 до 29 лет. </w:t>
      </w:r>
    </w:p>
    <w:p w:rsidR="00000000" w:rsidRDefault="00000000">
      <w:pPr>
        <w:spacing w:line="240" w:lineRule="auto"/>
        <w:rPr>
          <w:b/>
          <w:bCs/>
          <w:sz w:val="16"/>
          <w:szCs w:val="16"/>
        </w:rPr>
      </w:pPr>
    </w:p>
    <w:p w:rsidR="00000000" w:rsidRDefault="00000000">
      <w:pPr>
        <w:spacing w:line="240" w:lineRule="auto"/>
        <w:rPr>
          <w:b/>
          <w:bCs/>
          <w:sz w:val="16"/>
          <w:szCs w:val="16"/>
        </w:rPr>
      </w:pPr>
    </w:p>
    <w:p w:rsidR="00000000" w:rsidRDefault="00000000">
      <w:pPr>
        <w:spacing w:line="240" w:lineRule="auto"/>
        <w:rPr>
          <w:b/>
          <w:bCs/>
          <w:sz w:val="16"/>
          <w:szCs w:val="16"/>
        </w:rPr>
      </w:pPr>
    </w:p>
    <w:p w:rsidR="00000000" w:rsidRDefault="00000000"/>
    <w:p w:rsidR="00000000" w:rsidRDefault="00000000">
      <w:pPr>
        <w:rPr>
          <w:b/>
          <w:bCs/>
        </w:rPr>
        <w:sectPr w:rsidR="00000000">
          <w:headerReference w:type="even" r:id="rId19"/>
          <w:headerReference w:type="default" r:id="rId20"/>
          <w:headerReference w:type="first" r:id="rId21"/>
          <w:pgSz w:w="16838" w:h="11906" w:orient="landscape" w:code="9"/>
          <w:pgMar w:top="1701" w:right="851" w:bottom="851" w:left="1701" w:header="851" w:footer="851" w:gutter="0"/>
          <w:cols w:space="720"/>
          <w:formProt w:val="0"/>
          <w:noEndnote/>
          <w:titlePg/>
        </w:sectPr>
      </w:pPr>
    </w:p>
    <w:p w:rsidR="00000000" w:rsidRDefault="00000000">
      <w:pPr>
        <w:rPr>
          <w:b/>
          <w:bCs/>
        </w:rPr>
      </w:pPr>
      <w:r>
        <w:rPr>
          <w:b/>
          <w:bCs/>
          <w:lang w:val="en-US"/>
        </w:rPr>
        <w:tab/>
      </w:r>
      <w:r>
        <w:rPr>
          <w:b/>
          <w:bCs/>
        </w:rPr>
        <w:t>4.2</w:t>
      </w:r>
      <w:r>
        <w:rPr>
          <w:b/>
          <w:bCs/>
        </w:rPr>
        <w:tab/>
        <w:t>Распределение доходов и масштабы бедности</w:t>
      </w:r>
    </w:p>
    <w:p w:rsidR="00000000" w:rsidRDefault="00000000">
      <w:pPr>
        <w:rPr>
          <w:b/>
          <w:bCs/>
        </w:rPr>
      </w:pPr>
    </w:p>
    <w:p w:rsidR="00000000" w:rsidRDefault="00000000">
      <w:pPr>
        <w:jc w:val="center"/>
        <w:rPr>
          <w:b/>
          <w:bCs/>
          <w:lang w:val="en-US"/>
        </w:rPr>
      </w:pPr>
      <w:r>
        <w:rPr>
          <w:b/>
          <w:bCs/>
        </w:rPr>
        <w:t>Показатели доходов и бедности</w:t>
      </w:r>
    </w:p>
    <w:p w:rsidR="00000000" w:rsidRDefault="00000000">
      <w:pPr>
        <w:jc w:val="center"/>
        <w:rPr>
          <w:b/>
          <w:bCs/>
          <w:lang w:val="en-US"/>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13"/>
        <w:gridCol w:w="957"/>
        <w:gridCol w:w="957"/>
        <w:gridCol w:w="957"/>
        <w:gridCol w:w="957"/>
      </w:tblGrid>
      <w:tr w:rsidR="00000000">
        <w:trPr>
          <w:trHeight w:val="20"/>
          <w:jc w:val="center"/>
        </w:trPr>
        <w:tc>
          <w:tcPr>
            <w:tcW w:w="5513" w:type="dxa"/>
            <w:vAlign w:val="center"/>
          </w:tcPr>
          <w:p w:rsidR="00000000" w:rsidRDefault="00000000">
            <w:pPr>
              <w:jc w:val="center"/>
              <w:rPr>
                <w:b/>
                <w:bCs/>
                <w:color w:val="000000"/>
                <w:sz w:val="22"/>
              </w:rPr>
            </w:pPr>
          </w:p>
        </w:tc>
        <w:tc>
          <w:tcPr>
            <w:tcW w:w="957" w:type="dxa"/>
            <w:vAlign w:val="center"/>
          </w:tcPr>
          <w:p w:rsidR="00000000" w:rsidRDefault="00000000">
            <w:pPr>
              <w:jc w:val="center"/>
              <w:rPr>
                <w:b/>
                <w:bCs/>
                <w:color w:val="000000"/>
                <w:sz w:val="22"/>
              </w:rPr>
            </w:pPr>
            <w:r>
              <w:rPr>
                <w:b/>
                <w:bCs/>
                <w:color w:val="000000"/>
                <w:sz w:val="22"/>
              </w:rPr>
              <w:t>1995</w:t>
            </w:r>
          </w:p>
        </w:tc>
        <w:tc>
          <w:tcPr>
            <w:tcW w:w="957" w:type="dxa"/>
            <w:vAlign w:val="center"/>
          </w:tcPr>
          <w:p w:rsidR="00000000" w:rsidRDefault="00000000">
            <w:pPr>
              <w:jc w:val="center"/>
              <w:rPr>
                <w:b/>
                <w:bCs/>
                <w:color w:val="000000"/>
                <w:sz w:val="22"/>
              </w:rPr>
            </w:pPr>
            <w:r>
              <w:rPr>
                <w:b/>
                <w:bCs/>
                <w:color w:val="000000"/>
                <w:sz w:val="22"/>
              </w:rPr>
              <w:t>1999</w:t>
            </w:r>
          </w:p>
        </w:tc>
        <w:tc>
          <w:tcPr>
            <w:tcW w:w="957" w:type="dxa"/>
            <w:vAlign w:val="center"/>
          </w:tcPr>
          <w:p w:rsidR="00000000" w:rsidRDefault="00000000">
            <w:pPr>
              <w:jc w:val="center"/>
              <w:rPr>
                <w:b/>
                <w:bCs/>
                <w:color w:val="000000"/>
                <w:sz w:val="22"/>
              </w:rPr>
            </w:pPr>
            <w:r>
              <w:rPr>
                <w:b/>
                <w:bCs/>
                <w:color w:val="000000"/>
                <w:sz w:val="22"/>
              </w:rPr>
              <w:t>2004</w:t>
            </w:r>
          </w:p>
        </w:tc>
        <w:tc>
          <w:tcPr>
            <w:tcW w:w="957" w:type="dxa"/>
            <w:vAlign w:val="center"/>
          </w:tcPr>
          <w:p w:rsidR="00000000" w:rsidRDefault="00000000">
            <w:pPr>
              <w:jc w:val="center"/>
              <w:rPr>
                <w:b/>
                <w:bCs/>
                <w:color w:val="000000"/>
                <w:sz w:val="22"/>
              </w:rPr>
            </w:pPr>
            <w:r>
              <w:rPr>
                <w:b/>
                <w:bCs/>
                <w:color w:val="000000"/>
                <w:sz w:val="22"/>
              </w:rPr>
              <w:t>2005</w:t>
            </w:r>
          </w:p>
        </w:tc>
      </w:tr>
      <w:tr w:rsidR="00000000">
        <w:trPr>
          <w:trHeight w:val="20"/>
          <w:jc w:val="center"/>
        </w:trPr>
        <w:tc>
          <w:tcPr>
            <w:tcW w:w="5513" w:type="dxa"/>
            <w:tcBorders>
              <w:bottom w:val="single" w:sz="4" w:space="0" w:color="auto"/>
            </w:tcBorders>
            <w:noWrap/>
            <w:vAlign w:val="bottom"/>
          </w:tcPr>
          <w:p w:rsidR="00000000" w:rsidRDefault="00000000">
            <w:pPr>
              <w:rPr>
                <w:color w:val="000000"/>
                <w:sz w:val="22"/>
              </w:rPr>
            </w:pPr>
            <w:r>
              <w:rPr>
                <w:color w:val="000000"/>
                <w:sz w:val="22"/>
              </w:rPr>
              <w:t>Общая доля (в процентах) доходов первых двух квинтилей (40% от общей численности населения)</w:t>
            </w:r>
          </w:p>
        </w:tc>
        <w:tc>
          <w:tcPr>
            <w:tcW w:w="957" w:type="dxa"/>
            <w:tcBorders>
              <w:bottom w:val="single" w:sz="4" w:space="0" w:color="auto"/>
            </w:tcBorders>
            <w:noWrap/>
            <w:vAlign w:val="bottom"/>
          </w:tcPr>
          <w:p w:rsidR="00000000" w:rsidRDefault="00000000">
            <w:pPr>
              <w:jc w:val="right"/>
              <w:rPr>
                <w:color w:val="000000"/>
                <w:sz w:val="22"/>
              </w:rPr>
            </w:pPr>
            <w:r>
              <w:rPr>
                <w:color w:val="000000"/>
                <w:sz w:val="22"/>
              </w:rPr>
              <w:t>7,4</w:t>
            </w:r>
          </w:p>
        </w:tc>
        <w:tc>
          <w:tcPr>
            <w:tcW w:w="957" w:type="dxa"/>
            <w:tcBorders>
              <w:bottom w:val="single" w:sz="4" w:space="0" w:color="auto"/>
            </w:tcBorders>
            <w:noWrap/>
            <w:vAlign w:val="bottom"/>
          </w:tcPr>
          <w:p w:rsidR="00000000" w:rsidRDefault="00000000">
            <w:pPr>
              <w:jc w:val="right"/>
              <w:rPr>
                <w:color w:val="000000"/>
                <w:sz w:val="22"/>
              </w:rPr>
            </w:pPr>
            <w:r>
              <w:rPr>
                <w:color w:val="000000"/>
                <w:sz w:val="22"/>
              </w:rPr>
              <w:t>10,4</w:t>
            </w:r>
          </w:p>
        </w:tc>
        <w:tc>
          <w:tcPr>
            <w:tcW w:w="957" w:type="dxa"/>
            <w:tcBorders>
              <w:bottom w:val="single" w:sz="4" w:space="0" w:color="auto"/>
            </w:tcBorders>
            <w:noWrap/>
            <w:vAlign w:val="bottom"/>
          </w:tcPr>
          <w:p w:rsidR="00000000" w:rsidRDefault="00000000">
            <w:pPr>
              <w:jc w:val="right"/>
              <w:rPr>
                <w:color w:val="000000"/>
                <w:sz w:val="22"/>
              </w:rPr>
            </w:pPr>
            <w:r>
              <w:rPr>
                <w:color w:val="000000"/>
                <w:sz w:val="22"/>
              </w:rPr>
              <w:t>11,5</w:t>
            </w:r>
          </w:p>
        </w:tc>
        <w:tc>
          <w:tcPr>
            <w:tcW w:w="957" w:type="dxa"/>
            <w:tcBorders>
              <w:bottom w:val="single" w:sz="4" w:space="0" w:color="auto"/>
            </w:tcBorders>
            <w:noWrap/>
            <w:vAlign w:val="bottom"/>
          </w:tcPr>
          <w:p w:rsidR="00000000" w:rsidRDefault="00000000">
            <w:pPr>
              <w:jc w:val="right"/>
              <w:rPr>
                <w:color w:val="000000"/>
                <w:sz w:val="22"/>
              </w:rPr>
            </w:pPr>
            <w:r>
              <w:rPr>
                <w:color w:val="000000"/>
                <w:sz w:val="22"/>
              </w:rPr>
              <w:t>11,2</w:t>
            </w:r>
          </w:p>
        </w:tc>
      </w:tr>
      <w:tr w:rsidR="00000000">
        <w:trPr>
          <w:trHeight w:val="20"/>
          <w:jc w:val="center"/>
        </w:trPr>
        <w:tc>
          <w:tcPr>
            <w:tcW w:w="5513" w:type="dxa"/>
            <w:noWrap/>
            <w:vAlign w:val="bottom"/>
          </w:tcPr>
          <w:p w:rsidR="00000000" w:rsidRDefault="00000000">
            <w:pPr>
              <w:ind w:firstLine="283"/>
              <w:rPr>
                <w:color w:val="000000"/>
                <w:sz w:val="22"/>
              </w:rPr>
            </w:pPr>
            <w:r>
              <w:rPr>
                <w:color w:val="000000"/>
                <w:sz w:val="22"/>
              </w:rPr>
              <w:t>Черта бедности (в гуарани):</w:t>
            </w:r>
          </w:p>
        </w:tc>
        <w:tc>
          <w:tcPr>
            <w:tcW w:w="957" w:type="dxa"/>
            <w:noWrap/>
            <w:vAlign w:val="bottom"/>
          </w:tcPr>
          <w:p w:rsidR="00000000" w:rsidRDefault="00000000">
            <w:pPr>
              <w:jc w:val="right"/>
              <w:rPr>
                <w:color w:val="000000"/>
                <w:sz w:val="22"/>
              </w:rPr>
            </w:pPr>
          </w:p>
        </w:tc>
        <w:tc>
          <w:tcPr>
            <w:tcW w:w="957" w:type="dxa"/>
            <w:noWrap/>
            <w:vAlign w:val="bottom"/>
          </w:tcPr>
          <w:p w:rsidR="00000000" w:rsidRDefault="00000000">
            <w:pPr>
              <w:jc w:val="right"/>
              <w:rPr>
                <w:color w:val="000000"/>
                <w:sz w:val="22"/>
              </w:rPr>
            </w:pPr>
          </w:p>
        </w:tc>
        <w:tc>
          <w:tcPr>
            <w:tcW w:w="957" w:type="dxa"/>
            <w:noWrap/>
            <w:vAlign w:val="bottom"/>
          </w:tcPr>
          <w:p w:rsidR="00000000" w:rsidRDefault="00000000">
            <w:pPr>
              <w:jc w:val="right"/>
              <w:rPr>
                <w:color w:val="000000"/>
                <w:sz w:val="22"/>
              </w:rPr>
            </w:pPr>
          </w:p>
        </w:tc>
        <w:tc>
          <w:tcPr>
            <w:tcW w:w="957" w:type="dxa"/>
            <w:noWrap/>
            <w:vAlign w:val="bottom"/>
          </w:tcPr>
          <w:p w:rsidR="00000000" w:rsidRDefault="00000000">
            <w:pPr>
              <w:jc w:val="right"/>
              <w:rPr>
                <w:color w:val="000000"/>
                <w:sz w:val="22"/>
              </w:rPr>
            </w:pPr>
          </w:p>
        </w:tc>
      </w:tr>
      <w:tr w:rsidR="00000000">
        <w:trPr>
          <w:trHeight w:val="20"/>
          <w:jc w:val="center"/>
        </w:trPr>
        <w:tc>
          <w:tcPr>
            <w:tcW w:w="5513" w:type="dxa"/>
            <w:noWrap/>
            <w:vAlign w:val="bottom"/>
          </w:tcPr>
          <w:p w:rsidR="00000000" w:rsidRDefault="00000000">
            <w:pPr>
              <w:ind w:firstLine="525"/>
              <w:rPr>
                <w:color w:val="000000"/>
                <w:sz w:val="22"/>
              </w:rPr>
            </w:pPr>
            <w:r>
              <w:rPr>
                <w:color w:val="000000"/>
                <w:sz w:val="22"/>
              </w:rPr>
              <w:t>Асунсьон</w:t>
            </w:r>
          </w:p>
        </w:tc>
        <w:tc>
          <w:tcPr>
            <w:tcW w:w="957" w:type="dxa"/>
            <w:noWrap/>
            <w:vAlign w:val="bottom"/>
          </w:tcPr>
          <w:p w:rsidR="00000000" w:rsidRDefault="00000000">
            <w:pPr>
              <w:jc w:val="right"/>
              <w:rPr>
                <w:color w:val="000000"/>
                <w:sz w:val="22"/>
              </w:rPr>
            </w:pPr>
            <w:r>
              <w:rPr>
                <w:color w:val="000000"/>
                <w:sz w:val="22"/>
              </w:rPr>
              <w:t>170 394</w:t>
            </w:r>
          </w:p>
        </w:tc>
        <w:tc>
          <w:tcPr>
            <w:tcW w:w="957" w:type="dxa"/>
            <w:noWrap/>
            <w:vAlign w:val="bottom"/>
          </w:tcPr>
          <w:p w:rsidR="00000000" w:rsidRDefault="00000000">
            <w:pPr>
              <w:jc w:val="right"/>
              <w:rPr>
                <w:color w:val="000000"/>
                <w:sz w:val="22"/>
              </w:rPr>
            </w:pPr>
            <w:r>
              <w:rPr>
                <w:color w:val="000000"/>
                <w:sz w:val="22"/>
              </w:rPr>
              <w:t>235 359</w:t>
            </w:r>
          </w:p>
        </w:tc>
        <w:tc>
          <w:tcPr>
            <w:tcW w:w="957" w:type="dxa"/>
            <w:noWrap/>
            <w:vAlign w:val="bottom"/>
          </w:tcPr>
          <w:p w:rsidR="00000000" w:rsidRDefault="00000000">
            <w:pPr>
              <w:jc w:val="right"/>
              <w:rPr>
                <w:color w:val="000000"/>
                <w:sz w:val="22"/>
              </w:rPr>
            </w:pPr>
            <w:r>
              <w:rPr>
                <w:color w:val="000000"/>
                <w:sz w:val="22"/>
              </w:rPr>
              <w:t>358 822</w:t>
            </w:r>
          </w:p>
        </w:tc>
        <w:tc>
          <w:tcPr>
            <w:tcW w:w="957" w:type="dxa"/>
            <w:noWrap/>
            <w:vAlign w:val="bottom"/>
          </w:tcPr>
          <w:p w:rsidR="00000000" w:rsidRDefault="00000000">
            <w:pPr>
              <w:jc w:val="right"/>
              <w:rPr>
                <w:color w:val="000000"/>
                <w:sz w:val="22"/>
              </w:rPr>
            </w:pPr>
            <w:r>
              <w:rPr>
                <w:color w:val="000000"/>
                <w:sz w:val="22"/>
              </w:rPr>
              <w:t>400 753</w:t>
            </w:r>
          </w:p>
        </w:tc>
      </w:tr>
      <w:tr w:rsidR="00000000">
        <w:trPr>
          <w:trHeight w:val="20"/>
          <w:jc w:val="center"/>
        </w:trPr>
        <w:tc>
          <w:tcPr>
            <w:tcW w:w="5513" w:type="dxa"/>
            <w:noWrap/>
            <w:vAlign w:val="bottom"/>
          </w:tcPr>
          <w:p w:rsidR="00000000" w:rsidRDefault="00000000">
            <w:pPr>
              <w:ind w:firstLine="525"/>
              <w:rPr>
                <w:color w:val="000000"/>
                <w:sz w:val="22"/>
              </w:rPr>
            </w:pPr>
            <w:r>
              <w:rPr>
                <w:color w:val="000000"/>
                <w:sz w:val="22"/>
              </w:rPr>
              <w:t>Центральные городские районы</w:t>
            </w:r>
          </w:p>
        </w:tc>
        <w:tc>
          <w:tcPr>
            <w:tcW w:w="957" w:type="dxa"/>
            <w:noWrap/>
            <w:vAlign w:val="bottom"/>
          </w:tcPr>
          <w:p w:rsidR="00000000" w:rsidRDefault="00000000">
            <w:pPr>
              <w:jc w:val="right"/>
              <w:rPr>
                <w:color w:val="000000"/>
                <w:sz w:val="22"/>
              </w:rPr>
            </w:pPr>
            <w:r>
              <w:rPr>
                <w:color w:val="000000"/>
                <w:sz w:val="22"/>
              </w:rPr>
              <w:t>168 658</w:t>
            </w:r>
          </w:p>
        </w:tc>
        <w:tc>
          <w:tcPr>
            <w:tcW w:w="957" w:type="dxa"/>
            <w:noWrap/>
            <w:vAlign w:val="bottom"/>
          </w:tcPr>
          <w:p w:rsidR="00000000" w:rsidRDefault="00000000">
            <w:pPr>
              <w:jc w:val="right"/>
              <w:rPr>
                <w:color w:val="000000"/>
                <w:sz w:val="22"/>
              </w:rPr>
            </w:pPr>
            <w:r>
              <w:rPr>
                <w:color w:val="000000"/>
                <w:sz w:val="22"/>
              </w:rPr>
              <w:t>232 981</w:t>
            </w:r>
          </w:p>
        </w:tc>
        <w:tc>
          <w:tcPr>
            <w:tcW w:w="957" w:type="dxa"/>
            <w:noWrap/>
            <w:vAlign w:val="bottom"/>
          </w:tcPr>
          <w:p w:rsidR="00000000" w:rsidRDefault="00000000">
            <w:pPr>
              <w:jc w:val="right"/>
              <w:rPr>
                <w:color w:val="000000"/>
                <w:sz w:val="22"/>
              </w:rPr>
            </w:pPr>
            <w:r>
              <w:rPr>
                <w:color w:val="000000"/>
                <w:sz w:val="22"/>
              </w:rPr>
              <w:t>355 181</w:t>
            </w:r>
          </w:p>
        </w:tc>
        <w:tc>
          <w:tcPr>
            <w:tcW w:w="957" w:type="dxa"/>
            <w:noWrap/>
            <w:vAlign w:val="bottom"/>
          </w:tcPr>
          <w:p w:rsidR="00000000" w:rsidRDefault="00000000">
            <w:pPr>
              <w:jc w:val="right"/>
              <w:rPr>
                <w:color w:val="000000"/>
                <w:sz w:val="22"/>
              </w:rPr>
            </w:pPr>
            <w:r>
              <w:rPr>
                <w:color w:val="000000"/>
                <w:sz w:val="22"/>
              </w:rPr>
              <w:t>396 683</w:t>
            </w:r>
          </w:p>
        </w:tc>
      </w:tr>
      <w:tr w:rsidR="00000000">
        <w:trPr>
          <w:trHeight w:val="20"/>
          <w:jc w:val="center"/>
        </w:trPr>
        <w:tc>
          <w:tcPr>
            <w:tcW w:w="5513" w:type="dxa"/>
            <w:noWrap/>
            <w:vAlign w:val="bottom"/>
          </w:tcPr>
          <w:p w:rsidR="00000000" w:rsidRDefault="00000000">
            <w:pPr>
              <w:ind w:firstLine="525"/>
              <w:rPr>
                <w:color w:val="000000"/>
                <w:sz w:val="22"/>
              </w:rPr>
            </w:pPr>
            <w:r>
              <w:rPr>
                <w:color w:val="000000"/>
                <w:sz w:val="22"/>
              </w:rPr>
              <w:t>Остальные городские районы</w:t>
            </w:r>
          </w:p>
        </w:tc>
        <w:tc>
          <w:tcPr>
            <w:tcW w:w="957" w:type="dxa"/>
            <w:noWrap/>
            <w:vAlign w:val="bottom"/>
          </w:tcPr>
          <w:p w:rsidR="00000000" w:rsidRDefault="00000000">
            <w:pPr>
              <w:jc w:val="right"/>
              <w:rPr>
                <w:color w:val="000000"/>
                <w:sz w:val="22"/>
              </w:rPr>
            </w:pPr>
            <w:r>
              <w:rPr>
                <w:color w:val="000000"/>
                <w:sz w:val="22"/>
              </w:rPr>
              <w:t>106 928</w:t>
            </w:r>
          </w:p>
        </w:tc>
        <w:tc>
          <w:tcPr>
            <w:tcW w:w="957" w:type="dxa"/>
            <w:noWrap/>
            <w:vAlign w:val="bottom"/>
          </w:tcPr>
          <w:p w:rsidR="00000000" w:rsidRDefault="00000000">
            <w:pPr>
              <w:jc w:val="right"/>
              <w:rPr>
                <w:color w:val="000000"/>
                <w:sz w:val="22"/>
              </w:rPr>
            </w:pPr>
            <w:r>
              <w:rPr>
                <w:color w:val="000000"/>
                <w:sz w:val="22"/>
              </w:rPr>
              <w:t>145 412</w:t>
            </w:r>
          </w:p>
        </w:tc>
        <w:tc>
          <w:tcPr>
            <w:tcW w:w="957" w:type="dxa"/>
            <w:noWrap/>
            <w:vAlign w:val="bottom"/>
          </w:tcPr>
          <w:p w:rsidR="00000000" w:rsidRDefault="00000000">
            <w:pPr>
              <w:jc w:val="right"/>
              <w:rPr>
                <w:color w:val="000000"/>
                <w:sz w:val="22"/>
              </w:rPr>
            </w:pPr>
            <w:r>
              <w:rPr>
                <w:color w:val="000000"/>
                <w:sz w:val="22"/>
              </w:rPr>
              <w:t>223 469</w:t>
            </w:r>
          </w:p>
        </w:tc>
        <w:tc>
          <w:tcPr>
            <w:tcW w:w="957" w:type="dxa"/>
            <w:noWrap/>
            <w:vAlign w:val="bottom"/>
          </w:tcPr>
          <w:p w:rsidR="00000000" w:rsidRDefault="00000000">
            <w:pPr>
              <w:jc w:val="right"/>
              <w:rPr>
                <w:color w:val="000000"/>
                <w:sz w:val="22"/>
              </w:rPr>
            </w:pPr>
            <w:r>
              <w:rPr>
                <w:color w:val="000000"/>
                <w:sz w:val="22"/>
              </w:rPr>
              <w:t>250 074</w:t>
            </w:r>
          </w:p>
        </w:tc>
      </w:tr>
      <w:tr w:rsidR="00000000">
        <w:trPr>
          <w:trHeight w:val="20"/>
          <w:jc w:val="center"/>
        </w:trPr>
        <w:tc>
          <w:tcPr>
            <w:tcW w:w="5513" w:type="dxa"/>
            <w:noWrap/>
            <w:vAlign w:val="bottom"/>
          </w:tcPr>
          <w:p w:rsidR="00000000" w:rsidRDefault="00000000">
            <w:pPr>
              <w:ind w:firstLine="525"/>
              <w:rPr>
                <w:color w:val="000000"/>
                <w:sz w:val="22"/>
              </w:rPr>
            </w:pPr>
            <w:r>
              <w:rPr>
                <w:color w:val="000000"/>
                <w:sz w:val="22"/>
              </w:rPr>
              <w:t xml:space="preserve">Сельские районы </w:t>
            </w:r>
          </w:p>
        </w:tc>
        <w:tc>
          <w:tcPr>
            <w:tcW w:w="957" w:type="dxa"/>
            <w:noWrap/>
            <w:vAlign w:val="bottom"/>
          </w:tcPr>
          <w:p w:rsidR="00000000" w:rsidRDefault="00000000">
            <w:pPr>
              <w:jc w:val="right"/>
              <w:rPr>
                <w:color w:val="000000"/>
                <w:sz w:val="22"/>
              </w:rPr>
            </w:pPr>
            <w:r>
              <w:rPr>
                <w:color w:val="000000"/>
                <w:sz w:val="22"/>
              </w:rPr>
              <w:t>64 996</w:t>
            </w:r>
          </w:p>
        </w:tc>
        <w:tc>
          <w:tcPr>
            <w:tcW w:w="957" w:type="dxa"/>
            <w:noWrap/>
            <w:vAlign w:val="bottom"/>
          </w:tcPr>
          <w:p w:rsidR="00000000" w:rsidRDefault="00000000">
            <w:pPr>
              <w:jc w:val="right"/>
              <w:rPr>
                <w:color w:val="000000"/>
                <w:sz w:val="22"/>
              </w:rPr>
            </w:pPr>
            <w:r>
              <w:rPr>
                <w:color w:val="000000"/>
                <w:sz w:val="22"/>
              </w:rPr>
              <w:t>87 269</w:t>
            </w:r>
          </w:p>
        </w:tc>
        <w:tc>
          <w:tcPr>
            <w:tcW w:w="957" w:type="dxa"/>
            <w:noWrap/>
            <w:vAlign w:val="bottom"/>
          </w:tcPr>
          <w:p w:rsidR="00000000" w:rsidRDefault="00000000">
            <w:pPr>
              <w:jc w:val="right"/>
              <w:rPr>
                <w:color w:val="000000"/>
                <w:sz w:val="22"/>
              </w:rPr>
            </w:pPr>
            <w:r>
              <w:rPr>
                <w:color w:val="000000"/>
                <w:sz w:val="22"/>
              </w:rPr>
              <w:t>135 000</w:t>
            </w:r>
          </w:p>
        </w:tc>
        <w:tc>
          <w:tcPr>
            <w:tcW w:w="957" w:type="dxa"/>
            <w:noWrap/>
            <w:vAlign w:val="bottom"/>
          </w:tcPr>
          <w:p w:rsidR="00000000" w:rsidRDefault="00000000">
            <w:pPr>
              <w:jc w:val="right"/>
              <w:rPr>
                <w:color w:val="000000"/>
                <w:sz w:val="22"/>
              </w:rPr>
            </w:pPr>
            <w:r>
              <w:rPr>
                <w:color w:val="000000"/>
                <w:sz w:val="22"/>
              </w:rPr>
              <w:t>151 315</w:t>
            </w:r>
          </w:p>
        </w:tc>
      </w:tr>
      <w:tr w:rsidR="00000000">
        <w:trPr>
          <w:trHeight w:val="20"/>
          <w:jc w:val="center"/>
        </w:trPr>
        <w:tc>
          <w:tcPr>
            <w:tcW w:w="5513" w:type="dxa"/>
            <w:noWrap/>
            <w:vAlign w:val="bottom"/>
          </w:tcPr>
          <w:p w:rsidR="00000000" w:rsidRDefault="00000000">
            <w:pPr>
              <w:rPr>
                <w:color w:val="000000"/>
                <w:sz w:val="22"/>
              </w:rPr>
            </w:pPr>
            <w:r>
              <w:rPr>
                <w:color w:val="000000"/>
                <w:sz w:val="22"/>
              </w:rPr>
              <w:t>Доля населения (в процентах), проживающего в бедности</w:t>
            </w:r>
          </w:p>
        </w:tc>
        <w:tc>
          <w:tcPr>
            <w:tcW w:w="957" w:type="dxa"/>
            <w:noWrap/>
            <w:vAlign w:val="bottom"/>
          </w:tcPr>
          <w:p w:rsidR="00000000" w:rsidRDefault="00000000">
            <w:pPr>
              <w:jc w:val="right"/>
              <w:rPr>
                <w:color w:val="000000"/>
                <w:sz w:val="22"/>
              </w:rPr>
            </w:pPr>
            <w:r>
              <w:rPr>
                <w:color w:val="000000"/>
                <w:sz w:val="22"/>
              </w:rPr>
              <w:t> </w:t>
            </w:r>
          </w:p>
        </w:tc>
        <w:tc>
          <w:tcPr>
            <w:tcW w:w="957" w:type="dxa"/>
            <w:noWrap/>
            <w:vAlign w:val="bottom"/>
          </w:tcPr>
          <w:p w:rsidR="00000000" w:rsidRDefault="00000000">
            <w:pPr>
              <w:jc w:val="right"/>
              <w:rPr>
                <w:color w:val="000000"/>
                <w:sz w:val="22"/>
              </w:rPr>
            </w:pPr>
          </w:p>
        </w:tc>
        <w:tc>
          <w:tcPr>
            <w:tcW w:w="957" w:type="dxa"/>
            <w:noWrap/>
            <w:vAlign w:val="bottom"/>
          </w:tcPr>
          <w:p w:rsidR="00000000" w:rsidRDefault="00000000">
            <w:pPr>
              <w:jc w:val="right"/>
              <w:rPr>
                <w:color w:val="000000"/>
                <w:sz w:val="22"/>
              </w:rPr>
            </w:pPr>
            <w:r>
              <w:rPr>
                <w:color w:val="000000"/>
                <w:sz w:val="22"/>
              </w:rPr>
              <w:t> </w:t>
            </w:r>
          </w:p>
        </w:tc>
        <w:tc>
          <w:tcPr>
            <w:tcW w:w="957" w:type="dxa"/>
            <w:noWrap/>
            <w:vAlign w:val="bottom"/>
          </w:tcPr>
          <w:p w:rsidR="00000000" w:rsidRDefault="00000000">
            <w:pPr>
              <w:jc w:val="right"/>
              <w:rPr>
                <w:color w:val="000000"/>
                <w:sz w:val="22"/>
              </w:rPr>
            </w:pPr>
            <w:r>
              <w:rPr>
                <w:color w:val="000000"/>
                <w:sz w:val="22"/>
              </w:rPr>
              <w:t> </w:t>
            </w:r>
          </w:p>
        </w:tc>
      </w:tr>
      <w:tr w:rsidR="00000000">
        <w:trPr>
          <w:trHeight w:val="20"/>
          <w:jc w:val="center"/>
        </w:trPr>
        <w:tc>
          <w:tcPr>
            <w:tcW w:w="5513" w:type="dxa"/>
            <w:noWrap/>
            <w:vAlign w:val="bottom"/>
          </w:tcPr>
          <w:p w:rsidR="00000000" w:rsidRDefault="00000000">
            <w:pPr>
              <w:ind w:firstLine="283"/>
              <w:rPr>
                <w:color w:val="000000"/>
                <w:sz w:val="22"/>
              </w:rPr>
            </w:pPr>
            <w:r>
              <w:rPr>
                <w:color w:val="000000"/>
                <w:sz w:val="22"/>
              </w:rPr>
              <w:t>Городские районы</w:t>
            </w:r>
          </w:p>
        </w:tc>
        <w:tc>
          <w:tcPr>
            <w:tcW w:w="957" w:type="dxa"/>
            <w:noWrap/>
            <w:vAlign w:val="bottom"/>
          </w:tcPr>
          <w:p w:rsidR="00000000" w:rsidRDefault="00000000">
            <w:pPr>
              <w:jc w:val="right"/>
              <w:rPr>
                <w:color w:val="000000"/>
                <w:sz w:val="22"/>
              </w:rPr>
            </w:pPr>
            <w:r>
              <w:rPr>
                <w:color w:val="000000"/>
                <w:sz w:val="22"/>
              </w:rPr>
              <w:t> </w:t>
            </w:r>
          </w:p>
        </w:tc>
        <w:tc>
          <w:tcPr>
            <w:tcW w:w="957" w:type="dxa"/>
            <w:noWrap/>
            <w:vAlign w:val="bottom"/>
          </w:tcPr>
          <w:p w:rsidR="00000000" w:rsidRDefault="00000000">
            <w:pPr>
              <w:jc w:val="right"/>
              <w:rPr>
                <w:color w:val="000000"/>
                <w:sz w:val="22"/>
              </w:rPr>
            </w:pPr>
          </w:p>
        </w:tc>
        <w:tc>
          <w:tcPr>
            <w:tcW w:w="957" w:type="dxa"/>
            <w:noWrap/>
            <w:vAlign w:val="bottom"/>
          </w:tcPr>
          <w:p w:rsidR="00000000" w:rsidRDefault="00000000">
            <w:pPr>
              <w:jc w:val="right"/>
              <w:rPr>
                <w:color w:val="000000"/>
                <w:sz w:val="22"/>
              </w:rPr>
            </w:pPr>
            <w:r>
              <w:rPr>
                <w:color w:val="000000"/>
                <w:sz w:val="22"/>
              </w:rPr>
              <w:t> </w:t>
            </w:r>
          </w:p>
        </w:tc>
        <w:tc>
          <w:tcPr>
            <w:tcW w:w="957" w:type="dxa"/>
            <w:noWrap/>
            <w:vAlign w:val="bottom"/>
          </w:tcPr>
          <w:p w:rsidR="00000000" w:rsidRDefault="00000000">
            <w:pPr>
              <w:jc w:val="right"/>
              <w:rPr>
                <w:color w:val="000000"/>
                <w:sz w:val="22"/>
              </w:rPr>
            </w:pPr>
            <w:r>
              <w:rPr>
                <w:color w:val="000000"/>
                <w:sz w:val="22"/>
              </w:rPr>
              <w:t> </w:t>
            </w:r>
          </w:p>
        </w:tc>
      </w:tr>
      <w:tr w:rsidR="00000000">
        <w:trPr>
          <w:trHeight w:val="20"/>
          <w:jc w:val="center"/>
        </w:trPr>
        <w:tc>
          <w:tcPr>
            <w:tcW w:w="5513" w:type="dxa"/>
            <w:noWrap/>
            <w:vAlign w:val="bottom"/>
          </w:tcPr>
          <w:p w:rsidR="00000000" w:rsidRDefault="00000000">
            <w:pPr>
              <w:ind w:left="567" w:hanging="28"/>
              <w:rPr>
                <w:color w:val="000000"/>
                <w:sz w:val="22"/>
              </w:rPr>
            </w:pPr>
            <w:r>
              <w:rPr>
                <w:color w:val="000000"/>
                <w:sz w:val="22"/>
              </w:rPr>
              <w:t>Население, проживающее в условиях крайней бедности</w:t>
            </w:r>
          </w:p>
        </w:tc>
        <w:tc>
          <w:tcPr>
            <w:tcW w:w="957" w:type="dxa"/>
            <w:noWrap/>
            <w:vAlign w:val="bottom"/>
          </w:tcPr>
          <w:p w:rsidR="00000000" w:rsidRDefault="00000000">
            <w:pPr>
              <w:tabs>
                <w:tab w:val="decimal" w:pos="289"/>
              </w:tabs>
              <w:jc w:val="right"/>
              <w:rPr>
                <w:color w:val="000000"/>
                <w:sz w:val="22"/>
              </w:rPr>
            </w:pPr>
            <w:r>
              <w:rPr>
                <w:color w:val="000000"/>
                <w:sz w:val="22"/>
              </w:rPr>
              <w:t>6,8</w:t>
            </w:r>
          </w:p>
        </w:tc>
        <w:tc>
          <w:tcPr>
            <w:tcW w:w="957" w:type="dxa"/>
            <w:noWrap/>
            <w:vAlign w:val="bottom"/>
          </w:tcPr>
          <w:p w:rsidR="00000000" w:rsidRDefault="00000000">
            <w:pPr>
              <w:tabs>
                <w:tab w:val="decimal" w:pos="257"/>
              </w:tabs>
              <w:jc w:val="right"/>
              <w:rPr>
                <w:color w:val="000000"/>
                <w:sz w:val="22"/>
              </w:rPr>
            </w:pPr>
            <w:r>
              <w:rPr>
                <w:color w:val="000000"/>
                <w:sz w:val="22"/>
              </w:rPr>
              <w:t>6,1</w:t>
            </w:r>
          </w:p>
        </w:tc>
        <w:tc>
          <w:tcPr>
            <w:tcW w:w="957" w:type="dxa"/>
            <w:noWrap/>
            <w:vAlign w:val="bottom"/>
          </w:tcPr>
          <w:p w:rsidR="00000000" w:rsidRDefault="00000000">
            <w:pPr>
              <w:tabs>
                <w:tab w:val="decimal" w:pos="257"/>
              </w:tabs>
              <w:jc w:val="right"/>
              <w:rPr>
                <w:color w:val="000000"/>
                <w:sz w:val="22"/>
              </w:rPr>
            </w:pPr>
            <w:r>
              <w:rPr>
                <w:color w:val="000000"/>
                <w:sz w:val="22"/>
              </w:rPr>
              <w:t>12,8</w:t>
            </w:r>
          </w:p>
        </w:tc>
        <w:tc>
          <w:tcPr>
            <w:tcW w:w="957" w:type="dxa"/>
            <w:noWrap/>
            <w:vAlign w:val="bottom"/>
          </w:tcPr>
          <w:p w:rsidR="00000000" w:rsidRDefault="00000000">
            <w:pPr>
              <w:tabs>
                <w:tab w:val="decimal" w:pos="257"/>
              </w:tabs>
              <w:jc w:val="right"/>
              <w:rPr>
                <w:color w:val="000000"/>
                <w:sz w:val="22"/>
              </w:rPr>
            </w:pPr>
            <w:r>
              <w:rPr>
                <w:color w:val="000000"/>
                <w:sz w:val="22"/>
              </w:rPr>
              <w:t>11,6</w:t>
            </w:r>
          </w:p>
        </w:tc>
      </w:tr>
      <w:tr w:rsidR="00000000">
        <w:trPr>
          <w:trHeight w:val="20"/>
          <w:jc w:val="center"/>
        </w:trPr>
        <w:tc>
          <w:tcPr>
            <w:tcW w:w="5513" w:type="dxa"/>
            <w:noWrap/>
            <w:vAlign w:val="bottom"/>
          </w:tcPr>
          <w:p w:rsidR="00000000" w:rsidRDefault="00000000">
            <w:pPr>
              <w:rPr>
                <w:color w:val="000000"/>
                <w:sz w:val="22"/>
              </w:rPr>
            </w:pPr>
            <w:r>
              <w:rPr>
                <w:color w:val="000000"/>
                <w:sz w:val="22"/>
              </w:rPr>
              <w:tab/>
              <w:t>Население проживающее в условиях бедности</w:t>
            </w:r>
          </w:p>
        </w:tc>
        <w:tc>
          <w:tcPr>
            <w:tcW w:w="957" w:type="dxa"/>
            <w:noWrap/>
            <w:vAlign w:val="bottom"/>
          </w:tcPr>
          <w:p w:rsidR="00000000" w:rsidRDefault="00000000">
            <w:pPr>
              <w:tabs>
                <w:tab w:val="decimal" w:pos="289"/>
              </w:tabs>
              <w:jc w:val="right"/>
              <w:rPr>
                <w:color w:val="000000"/>
                <w:sz w:val="22"/>
              </w:rPr>
            </w:pPr>
            <w:r>
              <w:rPr>
                <w:color w:val="000000"/>
                <w:sz w:val="22"/>
              </w:rPr>
              <w:t>16,9</w:t>
            </w:r>
          </w:p>
        </w:tc>
        <w:tc>
          <w:tcPr>
            <w:tcW w:w="957" w:type="dxa"/>
            <w:noWrap/>
            <w:vAlign w:val="bottom"/>
          </w:tcPr>
          <w:p w:rsidR="00000000" w:rsidRDefault="00000000">
            <w:pPr>
              <w:tabs>
                <w:tab w:val="decimal" w:pos="257"/>
              </w:tabs>
              <w:jc w:val="right"/>
              <w:rPr>
                <w:color w:val="000000"/>
                <w:sz w:val="22"/>
              </w:rPr>
            </w:pPr>
            <w:r>
              <w:rPr>
                <w:color w:val="000000"/>
                <w:sz w:val="22"/>
              </w:rPr>
              <w:t>20,6</w:t>
            </w:r>
          </w:p>
        </w:tc>
        <w:tc>
          <w:tcPr>
            <w:tcW w:w="957" w:type="dxa"/>
            <w:noWrap/>
            <w:vAlign w:val="bottom"/>
          </w:tcPr>
          <w:p w:rsidR="00000000" w:rsidRDefault="00000000">
            <w:pPr>
              <w:tabs>
                <w:tab w:val="decimal" w:pos="257"/>
              </w:tabs>
              <w:jc w:val="right"/>
              <w:rPr>
                <w:color w:val="000000"/>
                <w:sz w:val="22"/>
              </w:rPr>
            </w:pPr>
            <w:r>
              <w:rPr>
                <w:color w:val="000000"/>
                <w:sz w:val="22"/>
              </w:rPr>
              <w:t>25,7</w:t>
            </w:r>
          </w:p>
        </w:tc>
        <w:tc>
          <w:tcPr>
            <w:tcW w:w="957" w:type="dxa"/>
            <w:noWrap/>
            <w:vAlign w:val="bottom"/>
          </w:tcPr>
          <w:p w:rsidR="00000000" w:rsidRDefault="00000000">
            <w:pPr>
              <w:tabs>
                <w:tab w:val="decimal" w:pos="257"/>
              </w:tabs>
              <w:jc w:val="right"/>
              <w:rPr>
                <w:color w:val="000000"/>
                <w:sz w:val="22"/>
              </w:rPr>
            </w:pPr>
            <w:r>
              <w:rPr>
                <w:color w:val="000000"/>
                <w:sz w:val="22"/>
              </w:rPr>
              <w:t>27,8</w:t>
            </w:r>
          </w:p>
        </w:tc>
      </w:tr>
      <w:tr w:rsidR="00000000">
        <w:trPr>
          <w:trHeight w:val="20"/>
          <w:jc w:val="center"/>
        </w:trPr>
        <w:tc>
          <w:tcPr>
            <w:tcW w:w="5513" w:type="dxa"/>
            <w:noWrap/>
            <w:vAlign w:val="bottom"/>
          </w:tcPr>
          <w:p w:rsidR="00000000" w:rsidRDefault="00000000">
            <w:pPr>
              <w:ind w:firstLine="283"/>
              <w:rPr>
                <w:b/>
                <w:bCs/>
                <w:color w:val="000000"/>
                <w:sz w:val="22"/>
              </w:rPr>
            </w:pPr>
            <w:r>
              <w:rPr>
                <w:b/>
                <w:bCs/>
                <w:color w:val="000000"/>
                <w:sz w:val="22"/>
              </w:rPr>
              <w:t>Итого</w:t>
            </w:r>
          </w:p>
        </w:tc>
        <w:tc>
          <w:tcPr>
            <w:tcW w:w="957" w:type="dxa"/>
            <w:noWrap/>
            <w:vAlign w:val="bottom"/>
          </w:tcPr>
          <w:p w:rsidR="00000000" w:rsidRDefault="00000000">
            <w:pPr>
              <w:tabs>
                <w:tab w:val="decimal" w:pos="289"/>
              </w:tabs>
              <w:jc w:val="right"/>
              <w:rPr>
                <w:b/>
                <w:bCs/>
                <w:color w:val="000000"/>
                <w:sz w:val="22"/>
              </w:rPr>
            </w:pPr>
            <w:r>
              <w:rPr>
                <w:b/>
                <w:bCs/>
                <w:color w:val="000000"/>
                <w:sz w:val="22"/>
              </w:rPr>
              <w:t>23,7</w:t>
            </w:r>
          </w:p>
        </w:tc>
        <w:tc>
          <w:tcPr>
            <w:tcW w:w="957" w:type="dxa"/>
            <w:noWrap/>
            <w:vAlign w:val="bottom"/>
          </w:tcPr>
          <w:p w:rsidR="00000000" w:rsidRDefault="00000000">
            <w:pPr>
              <w:tabs>
                <w:tab w:val="decimal" w:pos="257"/>
              </w:tabs>
              <w:jc w:val="right"/>
              <w:rPr>
                <w:b/>
                <w:bCs/>
                <w:color w:val="000000"/>
                <w:sz w:val="22"/>
              </w:rPr>
            </w:pPr>
            <w:r>
              <w:rPr>
                <w:b/>
                <w:bCs/>
                <w:color w:val="000000"/>
                <w:sz w:val="22"/>
              </w:rPr>
              <w:t>26,7</w:t>
            </w:r>
          </w:p>
        </w:tc>
        <w:tc>
          <w:tcPr>
            <w:tcW w:w="957" w:type="dxa"/>
            <w:noWrap/>
            <w:vAlign w:val="bottom"/>
          </w:tcPr>
          <w:p w:rsidR="00000000" w:rsidRDefault="00000000">
            <w:pPr>
              <w:tabs>
                <w:tab w:val="decimal" w:pos="257"/>
              </w:tabs>
              <w:jc w:val="right"/>
              <w:rPr>
                <w:b/>
                <w:bCs/>
                <w:color w:val="000000"/>
                <w:sz w:val="22"/>
              </w:rPr>
            </w:pPr>
            <w:r>
              <w:rPr>
                <w:b/>
                <w:bCs/>
                <w:color w:val="000000"/>
                <w:sz w:val="22"/>
              </w:rPr>
              <w:t>38,4</w:t>
            </w:r>
          </w:p>
        </w:tc>
        <w:tc>
          <w:tcPr>
            <w:tcW w:w="957" w:type="dxa"/>
            <w:noWrap/>
            <w:vAlign w:val="bottom"/>
          </w:tcPr>
          <w:p w:rsidR="00000000" w:rsidRDefault="00000000">
            <w:pPr>
              <w:tabs>
                <w:tab w:val="decimal" w:pos="257"/>
              </w:tabs>
              <w:jc w:val="right"/>
              <w:rPr>
                <w:b/>
                <w:bCs/>
                <w:color w:val="000000"/>
                <w:sz w:val="22"/>
              </w:rPr>
            </w:pPr>
            <w:r>
              <w:rPr>
                <w:b/>
                <w:bCs/>
                <w:color w:val="000000"/>
                <w:sz w:val="22"/>
              </w:rPr>
              <w:t>39,4</w:t>
            </w:r>
          </w:p>
        </w:tc>
      </w:tr>
      <w:tr w:rsidR="00000000">
        <w:trPr>
          <w:trHeight w:val="20"/>
          <w:jc w:val="center"/>
        </w:trPr>
        <w:tc>
          <w:tcPr>
            <w:tcW w:w="5513" w:type="dxa"/>
            <w:noWrap/>
            <w:vAlign w:val="bottom"/>
          </w:tcPr>
          <w:p w:rsidR="00000000" w:rsidRDefault="00000000">
            <w:pPr>
              <w:ind w:firstLine="283"/>
              <w:rPr>
                <w:color w:val="000000"/>
                <w:sz w:val="22"/>
              </w:rPr>
            </w:pPr>
            <w:r>
              <w:rPr>
                <w:color w:val="000000"/>
                <w:sz w:val="22"/>
              </w:rPr>
              <w:t>Сельские районы</w:t>
            </w:r>
          </w:p>
        </w:tc>
        <w:tc>
          <w:tcPr>
            <w:tcW w:w="957" w:type="dxa"/>
            <w:noWrap/>
            <w:vAlign w:val="bottom"/>
          </w:tcPr>
          <w:p w:rsidR="00000000" w:rsidRDefault="00000000">
            <w:pPr>
              <w:tabs>
                <w:tab w:val="decimal" w:pos="289"/>
              </w:tabs>
              <w:jc w:val="right"/>
              <w:rPr>
                <w:color w:val="000000"/>
                <w:sz w:val="22"/>
              </w:rPr>
            </w:pPr>
            <w:r>
              <w:rPr>
                <w:color w:val="000000"/>
                <w:sz w:val="22"/>
              </w:rPr>
              <w:t> </w:t>
            </w:r>
          </w:p>
        </w:tc>
        <w:tc>
          <w:tcPr>
            <w:tcW w:w="957" w:type="dxa"/>
            <w:noWrap/>
            <w:vAlign w:val="bottom"/>
          </w:tcPr>
          <w:p w:rsidR="00000000" w:rsidRDefault="00000000">
            <w:pPr>
              <w:tabs>
                <w:tab w:val="decimal" w:pos="257"/>
              </w:tabs>
              <w:jc w:val="right"/>
              <w:rPr>
                <w:color w:val="000000"/>
                <w:sz w:val="22"/>
              </w:rPr>
            </w:pPr>
          </w:p>
        </w:tc>
        <w:tc>
          <w:tcPr>
            <w:tcW w:w="957" w:type="dxa"/>
            <w:noWrap/>
            <w:vAlign w:val="bottom"/>
          </w:tcPr>
          <w:p w:rsidR="00000000" w:rsidRDefault="00000000">
            <w:pPr>
              <w:tabs>
                <w:tab w:val="decimal" w:pos="257"/>
              </w:tabs>
              <w:jc w:val="right"/>
              <w:rPr>
                <w:color w:val="000000"/>
                <w:sz w:val="22"/>
              </w:rPr>
            </w:pPr>
            <w:r>
              <w:rPr>
                <w:color w:val="000000"/>
                <w:sz w:val="22"/>
              </w:rPr>
              <w:t> </w:t>
            </w:r>
          </w:p>
        </w:tc>
        <w:tc>
          <w:tcPr>
            <w:tcW w:w="957" w:type="dxa"/>
            <w:noWrap/>
            <w:vAlign w:val="bottom"/>
          </w:tcPr>
          <w:p w:rsidR="00000000" w:rsidRDefault="00000000">
            <w:pPr>
              <w:tabs>
                <w:tab w:val="decimal" w:pos="257"/>
              </w:tabs>
              <w:jc w:val="right"/>
              <w:rPr>
                <w:color w:val="000000"/>
                <w:sz w:val="22"/>
              </w:rPr>
            </w:pPr>
            <w:r>
              <w:rPr>
                <w:color w:val="000000"/>
                <w:sz w:val="22"/>
              </w:rPr>
              <w:t> </w:t>
            </w:r>
          </w:p>
        </w:tc>
      </w:tr>
      <w:tr w:rsidR="00000000">
        <w:trPr>
          <w:trHeight w:val="20"/>
          <w:jc w:val="center"/>
        </w:trPr>
        <w:tc>
          <w:tcPr>
            <w:tcW w:w="5513" w:type="dxa"/>
            <w:noWrap/>
            <w:vAlign w:val="bottom"/>
          </w:tcPr>
          <w:p w:rsidR="00000000" w:rsidRDefault="00000000">
            <w:pPr>
              <w:ind w:left="567" w:hanging="28"/>
              <w:rPr>
                <w:color w:val="000000"/>
                <w:sz w:val="22"/>
              </w:rPr>
            </w:pPr>
            <w:r>
              <w:rPr>
                <w:color w:val="000000"/>
                <w:sz w:val="22"/>
              </w:rPr>
              <w:t>Население, проживающее в условиях крайней бедности</w:t>
            </w:r>
          </w:p>
        </w:tc>
        <w:tc>
          <w:tcPr>
            <w:tcW w:w="957" w:type="dxa"/>
            <w:noWrap/>
            <w:vAlign w:val="bottom"/>
          </w:tcPr>
          <w:p w:rsidR="00000000" w:rsidRDefault="00000000">
            <w:pPr>
              <w:tabs>
                <w:tab w:val="decimal" w:pos="289"/>
              </w:tabs>
              <w:jc w:val="right"/>
              <w:rPr>
                <w:color w:val="000000"/>
                <w:sz w:val="22"/>
              </w:rPr>
            </w:pPr>
            <w:r>
              <w:rPr>
                <w:color w:val="000000"/>
                <w:sz w:val="22"/>
              </w:rPr>
              <w:t>21,4</w:t>
            </w:r>
          </w:p>
        </w:tc>
        <w:tc>
          <w:tcPr>
            <w:tcW w:w="957" w:type="dxa"/>
            <w:noWrap/>
            <w:vAlign w:val="bottom"/>
          </w:tcPr>
          <w:p w:rsidR="00000000" w:rsidRDefault="00000000">
            <w:pPr>
              <w:tabs>
                <w:tab w:val="decimal" w:pos="257"/>
              </w:tabs>
              <w:jc w:val="right"/>
              <w:rPr>
                <w:color w:val="000000"/>
                <w:sz w:val="22"/>
              </w:rPr>
            </w:pPr>
            <w:r>
              <w:rPr>
                <w:color w:val="000000"/>
                <w:sz w:val="22"/>
              </w:rPr>
              <w:t>26,5</w:t>
            </w:r>
          </w:p>
        </w:tc>
        <w:tc>
          <w:tcPr>
            <w:tcW w:w="957" w:type="dxa"/>
            <w:noWrap/>
            <w:vAlign w:val="bottom"/>
          </w:tcPr>
          <w:p w:rsidR="00000000" w:rsidRDefault="00000000">
            <w:pPr>
              <w:tabs>
                <w:tab w:val="decimal" w:pos="257"/>
              </w:tabs>
              <w:jc w:val="right"/>
              <w:rPr>
                <w:color w:val="000000"/>
                <w:sz w:val="22"/>
              </w:rPr>
            </w:pPr>
            <w:r>
              <w:rPr>
                <w:color w:val="000000"/>
                <w:sz w:val="22"/>
              </w:rPr>
              <w:t>22,8</w:t>
            </w:r>
          </w:p>
        </w:tc>
        <w:tc>
          <w:tcPr>
            <w:tcW w:w="957" w:type="dxa"/>
            <w:noWrap/>
            <w:vAlign w:val="bottom"/>
          </w:tcPr>
          <w:p w:rsidR="00000000" w:rsidRDefault="00000000">
            <w:pPr>
              <w:tabs>
                <w:tab w:val="decimal" w:pos="257"/>
              </w:tabs>
              <w:jc w:val="right"/>
              <w:rPr>
                <w:color w:val="000000"/>
                <w:sz w:val="22"/>
              </w:rPr>
            </w:pPr>
            <w:r>
              <w:rPr>
                <w:color w:val="000000"/>
                <w:sz w:val="22"/>
              </w:rPr>
              <w:t>20,8</w:t>
            </w:r>
          </w:p>
        </w:tc>
      </w:tr>
      <w:tr w:rsidR="00000000">
        <w:trPr>
          <w:trHeight w:val="20"/>
          <w:jc w:val="center"/>
        </w:trPr>
        <w:tc>
          <w:tcPr>
            <w:tcW w:w="5513" w:type="dxa"/>
            <w:noWrap/>
            <w:vAlign w:val="bottom"/>
          </w:tcPr>
          <w:p w:rsidR="00000000" w:rsidRDefault="00000000">
            <w:pPr>
              <w:rPr>
                <w:color w:val="000000"/>
                <w:sz w:val="22"/>
              </w:rPr>
            </w:pPr>
            <w:r>
              <w:rPr>
                <w:color w:val="000000"/>
                <w:sz w:val="22"/>
              </w:rPr>
              <w:tab/>
              <w:t>Население проживающее в условиях бедности</w:t>
            </w:r>
          </w:p>
        </w:tc>
        <w:tc>
          <w:tcPr>
            <w:tcW w:w="957" w:type="dxa"/>
            <w:noWrap/>
            <w:vAlign w:val="bottom"/>
          </w:tcPr>
          <w:p w:rsidR="00000000" w:rsidRDefault="00000000">
            <w:pPr>
              <w:tabs>
                <w:tab w:val="decimal" w:pos="289"/>
              </w:tabs>
              <w:jc w:val="right"/>
              <w:rPr>
                <w:color w:val="000000"/>
                <w:sz w:val="22"/>
              </w:rPr>
            </w:pPr>
            <w:r>
              <w:rPr>
                <w:color w:val="000000"/>
                <w:sz w:val="22"/>
              </w:rPr>
              <w:t>15,8</w:t>
            </w:r>
          </w:p>
        </w:tc>
        <w:tc>
          <w:tcPr>
            <w:tcW w:w="957" w:type="dxa"/>
            <w:noWrap/>
            <w:vAlign w:val="bottom"/>
          </w:tcPr>
          <w:p w:rsidR="00000000" w:rsidRDefault="00000000">
            <w:pPr>
              <w:tabs>
                <w:tab w:val="decimal" w:pos="257"/>
              </w:tabs>
              <w:jc w:val="right"/>
              <w:rPr>
                <w:color w:val="000000"/>
                <w:sz w:val="22"/>
              </w:rPr>
            </w:pPr>
            <w:r>
              <w:rPr>
                <w:color w:val="000000"/>
                <w:sz w:val="22"/>
              </w:rPr>
              <w:t>15,4</w:t>
            </w:r>
          </w:p>
        </w:tc>
        <w:tc>
          <w:tcPr>
            <w:tcW w:w="957" w:type="dxa"/>
            <w:noWrap/>
            <w:vAlign w:val="bottom"/>
          </w:tcPr>
          <w:p w:rsidR="00000000" w:rsidRDefault="00000000">
            <w:pPr>
              <w:tabs>
                <w:tab w:val="decimal" w:pos="257"/>
              </w:tabs>
              <w:jc w:val="right"/>
              <w:rPr>
                <w:color w:val="000000"/>
                <w:sz w:val="22"/>
              </w:rPr>
            </w:pPr>
            <w:r>
              <w:rPr>
                <w:color w:val="000000"/>
                <w:sz w:val="22"/>
              </w:rPr>
              <w:t>17,3</w:t>
            </w:r>
          </w:p>
        </w:tc>
        <w:tc>
          <w:tcPr>
            <w:tcW w:w="957" w:type="dxa"/>
            <w:noWrap/>
            <w:vAlign w:val="bottom"/>
          </w:tcPr>
          <w:p w:rsidR="00000000" w:rsidRDefault="00000000">
            <w:pPr>
              <w:tabs>
                <w:tab w:val="decimal" w:pos="257"/>
              </w:tabs>
              <w:jc w:val="right"/>
              <w:rPr>
                <w:color w:val="000000"/>
                <w:sz w:val="22"/>
              </w:rPr>
            </w:pPr>
            <w:r>
              <w:rPr>
                <w:color w:val="000000"/>
                <w:sz w:val="22"/>
              </w:rPr>
              <w:t>15,8</w:t>
            </w:r>
          </w:p>
        </w:tc>
      </w:tr>
      <w:tr w:rsidR="00000000">
        <w:trPr>
          <w:trHeight w:val="20"/>
          <w:jc w:val="center"/>
        </w:trPr>
        <w:tc>
          <w:tcPr>
            <w:tcW w:w="5513" w:type="dxa"/>
            <w:noWrap/>
            <w:vAlign w:val="bottom"/>
          </w:tcPr>
          <w:p w:rsidR="00000000" w:rsidRDefault="00000000">
            <w:pPr>
              <w:ind w:firstLine="283"/>
              <w:rPr>
                <w:b/>
                <w:bCs/>
                <w:color w:val="000000"/>
                <w:sz w:val="22"/>
              </w:rPr>
            </w:pPr>
            <w:r>
              <w:rPr>
                <w:b/>
                <w:bCs/>
                <w:color w:val="000000"/>
                <w:sz w:val="22"/>
              </w:rPr>
              <w:t>Итого</w:t>
            </w:r>
          </w:p>
        </w:tc>
        <w:tc>
          <w:tcPr>
            <w:tcW w:w="957" w:type="dxa"/>
            <w:noWrap/>
            <w:vAlign w:val="bottom"/>
          </w:tcPr>
          <w:p w:rsidR="00000000" w:rsidRDefault="00000000">
            <w:pPr>
              <w:tabs>
                <w:tab w:val="decimal" w:pos="289"/>
              </w:tabs>
              <w:jc w:val="right"/>
              <w:rPr>
                <w:b/>
                <w:bCs/>
                <w:color w:val="000000"/>
                <w:sz w:val="22"/>
              </w:rPr>
            </w:pPr>
            <w:r>
              <w:rPr>
                <w:b/>
                <w:bCs/>
                <w:color w:val="000000"/>
                <w:sz w:val="22"/>
              </w:rPr>
              <w:t>37,2</w:t>
            </w:r>
          </w:p>
        </w:tc>
        <w:tc>
          <w:tcPr>
            <w:tcW w:w="957" w:type="dxa"/>
            <w:noWrap/>
            <w:vAlign w:val="bottom"/>
          </w:tcPr>
          <w:p w:rsidR="00000000" w:rsidRDefault="00000000">
            <w:pPr>
              <w:tabs>
                <w:tab w:val="decimal" w:pos="257"/>
              </w:tabs>
              <w:jc w:val="right"/>
              <w:rPr>
                <w:b/>
                <w:bCs/>
                <w:color w:val="000000"/>
                <w:sz w:val="22"/>
              </w:rPr>
            </w:pPr>
            <w:r>
              <w:rPr>
                <w:b/>
                <w:bCs/>
                <w:color w:val="000000"/>
                <w:sz w:val="22"/>
              </w:rPr>
              <w:t>42,0</w:t>
            </w:r>
          </w:p>
        </w:tc>
        <w:tc>
          <w:tcPr>
            <w:tcW w:w="957" w:type="dxa"/>
            <w:noWrap/>
            <w:vAlign w:val="bottom"/>
          </w:tcPr>
          <w:p w:rsidR="00000000" w:rsidRDefault="00000000">
            <w:pPr>
              <w:tabs>
                <w:tab w:val="decimal" w:pos="257"/>
              </w:tabs>
              <w:jc w:val="right"/>
              <w:rPr>
                <w:b/>
                <w:bCs/>
                <w:color w:val="000000"/>
                <w:sz w:val="22"/>
              </w:rPr>
            </w:pPr>
            <w:r>
              <w:rPr>
                <w:b/>
                <w:bCs/>
                <w:color w:val="000000"/>
                <w:sz w:val="22"/>
              </w:rPr>
              <w:t>40,1</w:t>
            </w:r>
          </w:p>
        </w:tc>
        <w:tc>
          <w:tcPr>
            <w:tcW w:w="957" w:type="dxa"/>
            <w:noWrap/>
            <w:vAlign w:val="bottom"/>
          </w:tcPr>
          <w:p w:rsidR="00000000" w:rsidRDefault="00000000">
            <w:pPr>
              <w:tabs>
                <w:tab w:val="decimal" w:pos="257"/>
              </w:tabs>
              <w:jc w:val="right"/>
              <w:rPr>
                <w:b/>
                <w:bCs/>
                <w:color w:val="000000"/>
                <w:sz w:val="22"/>
              </w:rPr>
            </w:pPr>
            <w:r>
              <w:rPr>
                <w:b/>
                <w:bCs/>
                <w:color w:val="000000"/>
                <w:sz w:val="22"/>
              </w:rPr>
              <w:t>36,6</w:t>
            </w:r>
          </w:p>
        </w:tc>
      </w:tr>
      <w:tr w:rsidR="00000000">
        <w:trPr>
          <w:trHeight w:val="20"/>
          <w:jc w:val="center"/>
        </w:trPr>
        <w:tc>
          <w:tcPr>
            <w:tcW w:w="5513" w:type="dxa"/>
            <w:noWrap/>
            <w:vAlign w:val="bottom"/>
          </w:tcPr>
          <w:p w:rsidR="00000000" w:rsidRDefault="00000000">
            <w:pPr>
              <w:ind w:firstLine="283"/>
              <w:rPr>
                <w:color w:val="000000"/>
                <w:sz w:val="22"/>
              </w:rPr>
            </w:pPr>
            <w:r>
              <w:rPr>
                <w:color w:val="000000"/>
                <w:sz w:val="22"/>
              </w:rPr>
              <w:t>Всего по городским и сельским районам</w:t>
            </w:r>
          </w:p>
        </w:tc>
        <w:tc>
          <w:tcPr>
            <w:tcW w:w="957" w:type="dxa"/>
            <w:noWrap/>
            <w:vAlign w:val="bottom"/>
          </w:tcPr>
          <w:p w:rsidR="00000000" w:rsidRDefault="00000000">
            <w:pPr>
              <w:tabs>
                <w:tab w:val="decimal" w:pos="289"/>
              </w:tabs>
              <w:jc w:val="right"/>
              <w:rPr>
                <w:color w:val="000000"/>
                <w:sz w:val="22"/>
              </w:rPr>
            </w:pPr>
            <w:r>
              <w:rPr>
                <w:color w:val="000000"/>
                <w:sz w:val="22"/>
              </w:rPr>
              <w:t> </w:t>
            </w:r>
          </w:p>
        </w:tc>
        <w:tc>
          <w:tcPr>
            <w:tcW w:w="957" w:type="dxa"/>
            <w:noWrap/>
            <w:vAlign w:val="bottom"/>
          </w:tcPr>
          <w:p w:rsidR="00000000" w:rsidRDefault="00000000">
            <w:pPr>
              <w:tabs>
                <w:tab w:val="decimal" w:pos="257"/>
              </w:tabs>
              <w:jc w:val="right"/>
              <w:rPr>
                <w:color w:val="000000"/>
                <w:sz w:val="22"/>
              </w:rPr>
            </w:pPr>
          </w:p>
        </w:tc>
        <w:tc>
          <w:tcPr>
            <w:tcW w:w="957" w:type="dxa"/>
            <w:noWrap/>
            <w:vAlign w:val="bottom"/>
          </w:tcPr>
          <w:p w:rsidR="00000000" w:rsidRDefault="00000000">
            <w:pPr>
              <w:tabs>
                <w:tab w:val="decimal" w:pos="257"/>
              </w:tabs>
              <w:jc w:val="right"/>
              <w:rPr>
                <w:color w:val="000000"/>
                <w:sz w:val="22"/>
              </w:rPr>
            </w:pPr>
            <w:r>
              <w:rPr>
                <w:color w:val="000000"/>
                <w:sz w:val="22"/>
              </w:rPr>
              <w:t> </w:t>
            </w:r>
          </w:p>
        </w:tc>
        <w:tc>
          <w:tcPr>
            <w:tcW w:w="957" w:type="dxa"/>
            <w:noWrap/>
            <w:vAlign w:val="bottom"/>
          </w:tcPr>
          <w:p w:rsidR="00000000" w:rsidRDefault="00000000">
            <w:pPr>
              <w:tabs>
                <w:tab w:val="decimal" w:pos="257"/>
              </w:tabs>
              <w:jc w:val="right"/>
              <w:rPr>
                <w:color w:val="000000"/>
                <w:sz w:val="22"/>
              </w:rPr>
            </w:pPr>
            <w:r>
              <w:rPr>
                <w:color w:val="000000"/>
                <w:sz w:val="22"/>
              </w:rPr>
              <w:t> </w:t>
            </w:r>
          </w:p>
        </w:tc>
      </w:tr>
      <w:tr w:rsidR="00000000">
        <w:trPr>
          <w:trHeight w:val="20"/>
          <w:jc w:val="center"/>
        </w:trPr>
        <w:tc>
          <w:tcPr>
            <w:tcW w:w="5513" w:type="dxa"/>
            <w:noWrap/>
            <w:vAlign w:val="bottom"/>
          </w:tcPr>
          <w:p w:rsidR="00000000" w:rsidRDefault="00000000">
            <w:pPr>
              <w:ind w:left="567" w:hanging="28"/>
              <w:rPr>
                <w:color w:val="000000"/>
                <w:sz w:val="22"/>
              </w:rPr>
            </w:pPr>
            <w:r>
              <w:rPr>
                <w:color w:val="000000"/>
                <w:sz w:val="22"/>
              </w:rPr>
              <w:t>Население, проживающее в условиях крайней бедности</w:t>
            </w:r>
          </w:p>
        </w:tc>
        <w:tc>
          <w:tcPr>
            <w:tcW w:w="957" w:type="dxa"/>
            <w:noWrap/>
            <w:vAlign w:val="bottom"/>
          </w:tcPr>
          <w:p w:rsidR="00000000" w:rsidRDefault="00000000">
            <w:pPr>
              <w:tabs>
                <w:tab w:val="decimal" w:pos="289"/>
              </w:tabs>
              <w:jc w:val="right"/>
              <w:rPr>
                <w:color w:val="000000"/>
                <w:sz w:val="22"/>
              </w:rPr>
            </w:pPr>
            <w:r>
              <w:rPr>
                <w:color w:val="000000"/>
                <w:sz w:val="22"/>
              </w:rPr>
              <w:t>13,9</w:t>
            </w:r>
          </w:p>
        </w:tc>
        <w:tc>
          <w:tcPr>
            <w:tcW w:w="957" w:type="dxa"/>
            <w:noWrap/>
            <w:vAlign w:val="bottom"/>
          </w:tcPr>
          <w:p w:rsidR="00000000" w:rsidRDefault="00000000">
            <w:pPr>
              <w:tabs>
                <w:tab w:val="decimal" w:pos="257"/>
              </w:tabs>
              <w:jc w:val="right"/>
              <w:rPr>
                <w:color w:val="000000"/>
                <w:sz w:val="22"/>
              </w:rPr>
            </w:pPr>
            <w:r>
              <w:rPr>
                <w:color w:val="000000"/>
                <w:sz w:val="22"/>
              </w:rPr>
              <w:t>15,5</w:t>
            </w:r>
          </w:p>
        </w:tc>
        <w:tc>
          <w:tcPr>
            <w:tcW w:w="957" w:type="dxa"/>
            <w:noWrap/>
            <w:vAlign w:val="bottom"/>
          </w:tcPr>
          <w:p w:rsidR="00000000" w:rsidRDefault="00000000">
            <w:pPr>
              <w:tabs>
                <w:tab w:val="decimal" w:pos="257"/>
              </w:tabs>
              <w:jc w:val="right"/>
              <w:rPr>
                <w:color w:val="000000"/>
                <w:sz w:val="22"/>
              </w:rPr>
            </w:pPr>
            <w:r>
              <w:rPr>
                <w:color w:val="000000"/>
                <w:sz w:val="22"/>
              </w:rPr>
              <w:t>17,1</w:t>
            </w:r>
          </w:p>
        </w:tc>
        <w:tc>
          <w:tcPr>
            <w:tcW w:w="957" w:type="dxa"/>
            <w:noWrap/>
            <w:vAlign w:val="bottom"/>
          </w:tcPr>
          <w:p w:rsidR="00000000" w:rsidRDefault="00000000">
            <w:pPr>
              <w:tabs>
                <w:tab w:val="decimal" w:pos="257"/>
              </w:tabs>
              <w:jc w:val="right"/>
              <w:rPr>
                <w:color w:val="000000"/>
                <w:sz w:val="22"/>
              </w:rPr>
            </w:pPr>
            <w:r>
              <w:rPr>
                <w:color w:val="000000"/>
                <w:sz w:val="22"/>
              </w:rPr>
              <w:t>15,5</w:t>
            </w:r>
          </w:p>
        </w:tc>
      </w:tr>
      <w:tr w:rsidR="00000000">
        <w:trPr>
          <w:trHeight w:val="20"/>
          <w:jc w:val="center"/>
        </w:trPr>
        <w:tc>
          <w:tcPr>
            <w:tcW w:w="5513" w:type="dxa"/>
            <w:noWrap/>
            <w:vAlign w:val="bottom"/>
          </w:tcPr>
          <w:p w:rsidR="00000000" w:rsidRDefault="00000000">
            <w:pPr>
              <w:rPr>
                <w:color w:val="000000"/>
                <w:sz w:val="22"/>
              </w:rPr>
            </w:pPr>
            <w:r>
              <w:rPr>
                <w:color w:val="000000"/>
                <w:sz w:val="22"/>
              </w:rPr>
              <w:tab/>
              <w:t>Население проживающее в условиях бедности</w:t>
            </w:r>
          </w:p>
        </w:tc>
        <w:tc>
          <w:tcPr>
            <w:tcW w:w="957" w:type="dxa"/>
            <w:noWrap/>
            <w:vAlign w:val="bottom"/>
          </w:tcPr>
          <w:p w:rsidR="00000000" w:rsidRDefault="00000000">
            <w:pPr>
              <w:tabs>
                <w:tab w:val="decimal" w:pos="289"/>
              </w:tabs>
              <w:jc w:val="right"/>
              <w:rPr>
                <w:color w:val="000000"/>
                <w:sz w:val="22"/>
              </w:rPr>
            </w:pPr>
            <w:r>
              <w:rPr>
                <w:color w:val="000000"/>
                <w:sz w:val="22"/>
              </w:rPr>
              <w:t>16,4</w:t>
            </w:r>
          </w:p>
        </w:tc>
        <w:tc>
          <w:tcPr>
            <w:tcW w:w="957" w:type="dxa"/>
            <w:noWrap/>
            <w:vAlign w:val="bottom"/>
          </w:tcPr>
          <w:p w:rsidR="00000000" w:rsidRDefault="00000000">
            <w:pPr>
              <w:tabs>
                <w:tab w:val="decimal" w:pos="257"/>
              </w:tabs>
              <w:jc w:val="right"/>
              <w:rPr>
                <w:color w:val="000000"/>
                <w:sz w:val="22"/>
              </w:rPr>
            </w:pPr>
            <w:r>
              <w:rPr>
                <w:color w:val="000000"/>
                <w:sz w:val="22"/>
              </w:rPr>
              <w:t>18,2</w:t>
            </w:r>
          </w:p>
        </w:tc>
        <w:tc>
          <w:tcPr>
            <w:tcW w:w="957" w:type="dxa"/>
            <w:noWrap/>
            <w:vAlign w:val="bottom"/>
          </w:tcPr>
          <w:p w:rsidR="00000000" w:rsidRDefault="00000000">
            <w:pPr>
              <w:tabs>
                <w:tab w:val="decimal" w:pos="257"/>
              </w:tabs>
              <w:jc w:val="right"/>
              <w:rPr>
                <w:color w:val="000000"/>
                <w:sz w:val="22"/>
              </w:rPr>
            </w:pPr>
            <w:r>
              <w:rPr>
                <w:color w:val="000000"/>
                <w:sz w:val="22"/>
              </w:rPr>
              <w:t>22,1</w:t>
            </w:r>
          </w:p>
        </w:tc>
        <w:tc>
          <w:tcPr>
            <w:tcW w:w="957" w:type="dxa"/>
            <w:noWrap/>
            <w:vAlign w:val="bottom"/>
          </w:tcPr>
          <w:p w:rsidR="00000000" w:rsidRDefault="00000000">
            <w:pPr>
              <w:tabs>
                <w:tab w:val="decimal" w:pos="257"/>
              </w:tabs>
              <w:jc w:val="right"/>
              <w:rPr>
                <w:color w:val="000000"/>
                <w:sz w:val="22"/>
              </w:rPr>
            </w:pPr>
            <w:r>
              <w:rPr>
                <w:color w:val="000000"/>
                <w:sz w:val="22"/>
              </w:rPr>
              <w:t>22,7</w:t>
            </w:r>
          </w:p>
        </w:tc>
      </w:tr>
      <w:tr w:rsidR="00000000">
        <w:trPr>
          <w:trHeight w:val="20"/>
          <w:jc w:val="center"/>
        </w:trPr>
        <w:tc>
          <w:tcPr>
            <w:tcW w:w="5513" w:type="dxa"/>
            <w:noWrap/>
            <w:vAlign w:val="bottom"/>
          </w:tcPr>
          <w:p w:rsidR="00000000" w:rsidRDefault="00000000">
            <w:pPr>
              <w:ind w:firstLine="525"/>
              <w:rPr>
                <w:b/>
                <w:bCs/>
                <w:color w:val="000000"/>
                <w:sz w:val="22"/>
              </w:rPr>
            </w:pPr>
            <w:r>
              <w:rPr>
                <w:b/>
                <w:bCs/>
                <w:color w:val="000000"/>
                <w:sz w:val="22"/>
              </w:rPr>
              <w:t>Всего</w:t>
            </w:r>
          </w:p>
        </w:tc>
        <w:tc>
          <w:tcPr>
            <w:tcW w:w="957" w:type="dxa"/>
            <w:noWrap/>
            <w:vAlign w:val="bottom"/>
          </w:tcPr>
          <w:p w:rsidR="00000000" w:rsidRDefault="00000000">
            <w:pPr>
              <w:tabs>
                <w:tab w:val="decimal" w:pos="289"/>
              </w:tabs>
              <w:jc w:val="right"/>
              <w:rPr>
                <w:b/>
                <w:bCs/>
                <w:color w:val="000000"/>
                <w:sz w:val="22"/>
              </w:rPr>
            </w:pPr>
            <w:r>
              <w:rPr>
                <w:b/>
                <w:bCs/>
                <w:color w:val="000000"/>
                <w:sz w:val="22"/>
              </w:rPr>
              <w:t>30,3</w:t>
            </w:r>
          </w:p>
        </w:tc>
        <w:tc>
          <w:tcPr>
            <w:tcW w:w="957" w:type="dxa"/>
            <w:noWrap/>
            <w:vAlign w:val="bottom"/>
          </w:tcPr>
          <w:p w:rsidR="00000000" w:rsidRDefault="00000000">
            <w:pPr>
              <w:tabs>
                <w:tab w:val="decimal" w:pos="257"/>
              </w:tabs>
              <w:jc w:val="right"/>
              <w:rPr>
                <w:b/>
                <w:bCs/>
                <w:color w:val="000000"/>
                <w:sz w:val="22"/>
              </w:rPr>
            </w:pPr>
            <w:r>
              <w:rPr>
                <w:b/>
                <w:bCs/>
                <w:color w:val="000000"/>
                <w:sz w:val="22"/>
              </w:rPr>
              <w:t>33,7</w:t>
            </w:r>
          </w:p>
        </w:tc>
        <w:tc>
          <w:tcPr>
            <w:tcW w:w="957" w:type="dxa"/>
            <w:noWrap/>
            <w:vAlign w:val="bottom"/>
          </w:tcPr>
          <w:p w:rsidR="00000000" w:rsidRDefault="00000000">
            <w:pPr>
              <w:tabs>
                <w:tab w:val="decimal" w:pos="257"/>
              </w:tabs>
              <w:jc w:val="right"/>
              <w:rPr>
                <w:b/>
                <w:bCs/>
                <w:color w:val="000000"/>
                <w:sz w:val="22"/>
              </w:rPr>
            </w:pPr>
            <w:r>
              <w:rPr>
                <w:b/>
                <w:bCs/>
                <w:color w:val="000000"/>
                <w:sz w:val="22"/>
              </w:rPr>
              <w:t>39,2</w:t>
            </w:r>
          </w:p>
        </w:tc>
        <w:tc>
          <w:tcPr>
            <w:tcW w:w="957" w:type="dxa"/>
            <w:noWrap/>
            <w:vAlign w:val="bottom"/>
          </w:tcPr>
          <w:p w:rsidR="00000000" w:rsidRDefault="00000000">
            <w:pPr>
              <w:tabs>
                <w:tab w:val="decimal" w:pos="257"/>
              </w:tabs>
              <w:jc w:val="right"/>
              <w:rPr>
                <w:b/>
                <w:bCs/>
                <w:color w:val="000000"/>
                <w:sz w:val="22"/>
              </w:rPr>
            </w:pPr>
            <w:r>
              <w:rPr>
                <w:b/>
                <w:bCs/>
                <w:color w:val="000000"/>
                <w:sz w:val="22"/>
              </w:rPr>
              <w:t>38,2</w:t>
            </w:r>
          </w:p>
        </w:tc>
      </w:tr>
      <w:tr w:rsidR="00000000">
        <w:trPr>
          <w:trHeight w:val="20"/>
          <w:jc w:val="center"/>
        </w:trPr>
        <w:tc>
          <w:tcPr>
            <w:tcW w:w="5513" w:type="dxa"/>
            <w:noWrap/>
            <w:vAlign w:val="bottom"/>
          </w:tcPr>
          <w:p w:rsidR="00000000" w:rsidRDefault="00000000">
            <w:pPr>
              <w:rPr>
                <w:color w:val="000000"/>
                <w:sz w:val="22"/>
              </w:rPr>
            </w:pPr>
            <w:r>
              <w:rPr>
                <w:color w:val="000000"/>
                <w:sz w:val="22"/>
              </w:rPr>
              <w:t>Индекс Джини</w:t>
            </w:r>
          </w:p>
        </w:tc>
        <w:tc>
          <w:tcPr>
            <w:tcW w:w="957" w:type="dxa"/>
            <w:noWrap/>
            <w:vAlign w:val="bottom"/>
          </w:tcPr>
          <w:p w:rsidR="00000000" w:rsidRDefault="00000000">
            <w:pPr>
              <w:jc w:val="right"/>
              <w:rPr>
                <w:color w:val="000000"/>
                <w:sz w:val="22"/>
              </w:rPr>
            </w:pPr>
            <w:r>
              <w:rPr>
                <w:color w:val="000000"/>
                <w:sz w:val="22"/>
              </w:rPr>
              <w:t>0,618</w:t>
            </w:r>
          </w:p>
        </w:tc>
        <w:tc>
          <w:tcPr>
            <w:tcW w:w="957" w:type="dxa"/>
            <w:noWrap/>
            <w:vAlign w:val="bottom"/>
          </w:tcPr>
          <w:p w:rsidR="00000000" w:rsidRDefault="00000000">
            <w:pPr>
              <w:jc w:val="right"/>
              <w:rPr>
                <w:color w:val="000000"/>
                <w:sz w:val="22"/>
              </w:rPr>
            </w:pPr>
            <w:r>
              <w:rPr>
                <w:color w:val="000000"/>
                <w:sz w:val="22"/>
              </w:rPr>
              <w:t>0,529</w:t>
            </w:r>
          </w:p>
        </w:tc>
        <w:tc>
          <w:tcPr>
            <w:tcW w:w="957" w:type="dxa"/>
            <w:noWrap/>
            <w:vAlign w:val="bottom"/>
          </w:tcPr>
          <w:p w:rsidR="00000000" w:rsidRDefault="00000000">
            <w:pPr>
              <w:jc w:val="right"/>
              <w:rPr>
                <w:color w:val="000000"/>
                <w:sz w:val="22"/>
              </w:rPr>
            </w:pPr>
            <w:r>
              <w:rPr>
                <w:color w:val="000000"/>
                <w:sz w:val="22"/>
              </w:rPr>
              <w:t>0,522</w:t>
            </w:r>
          </w:p>
        </w:tc>
        <w:tc>
          <w:tcPr>
            <w:tcW w:w="957" w:type="dxa"/>
            <w:noWrap/>
            <w:vAlign w:val="bottom"/>
          </w:tcPr>
          <w:p w:rsidR="00000000" w:rsidRDefault="00000000">
            <w:pPr>
              <w:jc w:val="right"/>
              <w:rPr>
                <w:color w:val="000000"/>
                <w:sz w:val="22"/>
              </w:rPr>
            </w:pPr>
            <w:r>
              <w:rPr>
                <w:color w:val="000000"/>
                <w:sz w:val="22"/>
              </w:rPr>
              <w:t>0,506</w:t>
            </w:r>
          </w:p>
        </w:tc>
      </w:tr>
    </w:tbl>
    <w:p w:rsidR="00000000" w:rsidRDefault="00000000"/>
    <w:p w:rsidR="00000000" w:rsidRDefault="00000000">
      <w:pPr>
        <w:rPr>
          <w:color w:val="000000"/>
          <w:szCs w:val="16"/>
        </w:rPr>
      </w:pPr>
      <w:r>
        <w:tab/>
      </w:r>
      <w:r>
        <w:rPr>
          <w:i/>
          <w:iCs/>
        </w:rPr>
        <w:t>Источник:</w:t>
      </w:r>
      <w:r>
        <w:t xml:space="preserve">  </w:t>
      </w:r>
      <w:r>
        <w:rPr>
          <w:color w:val="000000"/>
          <w:szCs w:val="16"/>
        </w:rPr>
        <w:t>TСП/ТУСОП.  Постоянное обследование домохозяйств 1995, 1999, 2004 годов.</w:t>
      </w:r>
    </w:p>
    <w:p w:rsidR="00000000" w:rsidRDefault="00000000">
      <w:pPr>
        <w:rPr>
          <w:color w:val="000000"/>
          <w:szCs w:val="16"/>
        </w:rPr>
      </w:pPr>
    </w:p>
    <w:p w:rsidR="00000000" w:rsidRDefault="00000000">
      <w:pPr>
        <w:rPr>
          <w:b/>
          <w:bCs/>
          <w:color w:val="000000"/>
          <w:szCs w:val="16"/>
        </w:rPr>
      </w:pPr>
      <w:r>
        <w:rPr>
          <w:b/>
          <w:bCs/>
          <w:color w:val="000000"/>
          <w:szCs w:val="16"/>
        </w:rPr>
        <w:t>5.</w:t>
      </w:r>
      <w:r>
        <w:rPr>
          <w:b/>
          <w:bCs/>
          <w:color w:val="000000"/>
          <w:szCs w:val="16"/>
        </w:rPr>
        <w:tab/>
        <w:t>Внешний государственный долг</w:t>
      </w:r>
    </w:p>
    <w:p w:rsidR="00000000" w:rsidRDefault="00000000">
      <w:pPr>
        <w:rPr>
          <w:b/>
          <w:bCs/>
          <w:color w:val="000000"/>
          <w:szCs w:val="16"/>
        </w:rPr>
      </w:pPr>
    </w:p>
    <w:p w:rsidR="00000000" w:rsidRDefault="00000000">
      <w:pPr>
        <w:rPr>
          <w:color w:val="000000"/>
          <w:szCs w:val="16"/>
        </w:rPr>
      </w:pPr>
      <w:r>
        <w:rPr>
          <w:color w:val="000000"/>
          <w:szCs w:val="16"/>
        </w:rPr>
        <w:t>41.</w:t>
      </w:r>
      <w:r>
        <w:rPr>
          <w:color w:val="000000"/>
          <w:szCs w:val="16"/>
        </w:rPr>
        <w:tab/>
        <w:t>Что касается внешнего государственного долга, то Центральным банком Парагвая были представлены следующие сведения:</w:t>
      </w:r>
    </w:p>
    <w:p w:rsidR="00000000" w:rsidRDefault="00000000">
      <w:pPr>
        <w:rPr>
          <w:color w:val="000000"/>
          <w:szCs w:val="16"/>
        </w:rPr>
      </w:pPr>
    </w:p>
    <w:p w:rsidR="00000000" w:rsidRDefault="00000000">
      <w:pPr>
        <w:keepNext/>
        <w:spacing w:line="240" w:lineRule="auto"/>
        <w:jc w:val="center"/>
        <w:rPr>
          <w:b/>
          <w:bCs/>
        </w:rPr>
      </w:pPr>
      <w:r>
        <w:rPr>
          <w:b/>
          <w:bCs/>
        </w:rPr>
        <w:t>Внешний государственный долг, непокрытое сальдо по состоянию</w:t>
      </w:r>
      <w:r>
        <w:rPr>
          <w:b/>
          <w:bCs/>
        </w:rPr>
        <w:br/>
        <w:t>на 31 декабря 2005 года</w:t>
      </w:r>
    </w:p>
    <w:p w:rsidR="00000000" w:rsidRDefault="00000000">
      <w:pPr>
        <w:keepNext/>
        <w:spacing w:line="240" w:lineRule="auto"/>
        <w:jc w:val="center"/>
        <w:rPr>
          <w:i/>
          <w:iCs/>
        </w:rPr>
      </w:pPr>
      <w:r>
        <w:rPr>
          <w:i/>
          <w:iCs/>
        </w:rPr>
        <w:t>(в долл. США)</w:t>
      </w:r>
    </w:p>
    <w:p w:rsidR="00000000" w:rsidRDefault="00000000">
      <w:pPr>
        <w:keepNext/>
        <w:spacing w:line="240" w:lineRule="auto"/>
        <w:jc w:val="center"/>
        <w:rPr>
          <w:i/>
          <w:iCs/>
          <w:sz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94"/>
        <w:gridCol w:w="1750"/>
        <w:gridCol w:w="1741"/>
      </w:tblGrid>
      <w:tr w:rsidR="00000000">
        <w:tblPrEx>
          <w:tblCellMar>
            <w:top w:w="0" w:type="dxa"/>
            <w:bottom w:w="0" w:type="dxa"/>
          </w:tblCellMar>
        </w:tblPrEx>
        <w:trPr>
          <w:cantSplit/>
          <w:trHeight w:val="20"/>
          <w:tblHeader/>
          <w:jc w:val="center"/>
        </w:trPr>
        <w:tc>
          <w:tcPr>
            <w:tcW w:w="5894" w:type="dxa"/>
            <w:vMerge w:val="restart"/>
            <w:vAlign w:val="center"/>
          </w:tcPr>
          <w:p w:rsidR="00000000" w:rsidRDefault="00000000">
            <w:pPr>
              <w:keepNext/>
              <w:autoSpaceDE w:val="0"/>
              <w:autoSpaceDN w:val="0"/>
              <w:adjustRightInd w:val="0"/>
              <w:jc w:val="center"/>
              <w:rPr>
                <w:b/>
                <w:bCs/>
                <w:color w:val="000000"/>
              </w:rPr>
            </w:pPr>
            <w:r>
              <w:rPr>
                <w:b/>
                <w:bCs/>
                <w:color w:val="000000"/>
              </w:rPr>
              <w:t>Структура государственного сектора</w:t>
            </w:r>
          </w:p>
        </w:tc>
        <w:tc>
          <w:tcPr>
            <w:tcW w:w="3491" w:type="dxa"/>
            <w:gridSpan w:val="2"/>
            <w:vAlign w:val="center"/>
          </w:tcPr>
          <w:p w:rsidR="00000000" w:rsidRDefault="00000000">
            <w:pPr>
              <w:keepNext/>
              <w:autoSpaceDE w:val="0"/>
              <w:autoSpaceDN w:val="0"/>
              <w:adjustRightInd w:val="0"/>
              <w:jc w:val="center"/>
              <w:rPr>
                <w:b/>
                <w:bCs/>
                <w:color w:val="000000"/>
              </w:rPr>
            </w:pPr>
            <w:r>
              <w:rPr>
                <w:b/>
                <w:bCs/>
                <w:color w:val="000000"/>
              </w:rPr>
              <w:t>Непокрытое сальдо</w:t>
            </w:r>
          </w:p>
        </w:tc>
      </w:tr>
      <w:tr w:rsidR="00000000">
        <w:tblPrEx>
          <w:tblCellMar>
            <w:top w:w="0" w:type="dxa"/>
            <w:bottom w:w="0" w:type="dxa"/>
          </w:tblCellMar>
        </w:tblPrEx>
        <w:trPr>
          <w:cantSplit/>
          <w:trHeight w:val="20"/>
          <w:tblHeader/>
          <w:jc w:val="center"/>
        </w:trPr>
        <w:tc>
          <w:tcPr>
            <w:tcW w:w="5894" w:type="dxa"/>
            <w:vMerge/>
            <w:vAlign w:val="center"/>
          </w:tcPr>
          <w:p w:rsidR="00000000" w:rsidRDefault="00000000">
            <w:pPr>
              <w:autoSpaceDE w:val="0"/>
              <w:autoSpaceDN w:val="0"/>
              <w:adjustRightInd w:val="0"/>
              <w:jc w:val="center"/>
              <w:rPr>
                <w:b/>
                <w:bCs/>
                <w:color w:val="000000"/>
              </w:rPr>
            </w:pPr>
          </w:p>
        </w:tc>
        <w:tc>
          <w:tcPr>
            <w:tcW w:w="1750" w:type="dxa"/>
            <w:vAlign w:val="center"/>
          </w:tcPr>
          <w:p w:rsidR="00000000" w:rsidRDefault="00000000">
            <w:pPr>
              <w:autoSpaceDE w:val="0"/>
              <w:autoSpaceDN w:val="0"/>
              <w:adjustRightInd w:val="0"/>
              <w:jc w:val="center"/>
              <w:rPr>
                <w:b/>
                <w:bCs/>
                <w:color w:val="000000"/>
              </w:rPr>
            </w:pPr>
            <w:r>
              <w:rPr>
                <w:b/>
                <w:bCs/>
                <w:color w:val="000000"/>
              </w:rPr>
              <w:t>Должник</w:t>
            </w:r>
          </w:p>
        </w:tc>
        <w:tc>
          <w:tcPr>
            <w:tcW w:w="1741" w:type="dxa"/>
            <w:vAlign w:val="center"/>
          </w:tcPr>
          <w:p w:rsidR="00000000" w:rsidRDefault="00000000">
            <w:pPr>
              <w:autoSpaceDE w:val="0"/>
              <w:autoSpaceDN w:val="0"/>
              <w:adjustRightInd w:val="0"/>
              <w:jc w:val="center"/>
              <w:rPr>
                <w:b/>
                <w:bCs/>
                <w:color w:val="000000"/>
                <w:lang w:val="en-US"/>
              </w:rPr>
            </w:pPr>
            <w:r>
              <w:rPr>
                <w:b/>
                <w:bCs/>
                <w:color w:val="000000"/>
              </w:rPr>
              <w:t>Плательщик</w:t>
            </w:r>
          </w:p>
        </w:tc>
      </w:tr>
      <w:tr w:rsidR="00000000">
        <w:tblPrEx>
          <w:tblCellMar>
            <w:top w:w="0" w:type="dxa"/>
            <w:bottom w:w="0" w:type="dxa"/>
          </w:tblCellMar>
        </w:tblPrEx>
        <w:trPr>
          <w:trHeight w:val="20"/>
          <w:jc w:val="center"/>
        </w:trPr>
        <w:tc>
          <w:tcPr>
            <w:tcW w:w="5894" w:type="dxa"/>
          </w:tcPr>
          <w:p w:rsidR="00000000" w:rsidRDefault="00000000">
            <w:pPr>
              <w:autoSpaceDE w:val="0"/>
              <w:autoSpaceDN w:val="0"/>
              <w:adjustRightInd w:val="0"/>
              <w:rPr>
                <w:color w:val="000000"/>
                <w:szCs w:val="18"/>
              </w:rPr>
            </w:pPr>
            <w:r>
              <w:rPr>
                <w:color w:val="000000"/>
                <w:szCs w:val="18"/>
                <w:lang w:val="en-US"/>
              </w:rPr>
              <w:t xml:space="preserve">I.  </w:t>
            </w:r>
            <w:r>
              <w:rPr>
                <w:color w:val="000000"/>
                <w:szCs w:val="18"/>
              </w:rPr>
              <w:t>Нефинансовый государственный сектор</w:t>
            </w:r>
          </w:p>
        </w:tc>
        <w:tc>
          <w:tcPr>
            <w:tcW w:w="1750" w:type="dxa"/>
          </w:tcPr>
          <w:p w:rsidR="00000000" w:rsidRDefault="00000000">
            <w:pPr>
              <w:autoSpaceDE w:val="0"/>
              <w:autoSpaceDN w:val="0"/>
              <w:adjustRightInd w:val="0"/>
              <w:jc w:val="right"/>
              <w:rPr>
                <w:color w:val="000000"/>
                <w:szCs w:val="18"/>
              </w:rPr>
            </w:pPr>
            <w:r>
              <w:rPr>
                <w:color w:val="000000"/>
                <w:szCs w:val="18"/>
              </w:rPr>
              <w:t>2 234 816 889,6</w:t>
            </w:r>
          </w:p>
        </w:tc>
        <w:tc>
          <w:tcPr>
            <w:tcW w:w="1741" w:type="dxa"/>
          </w:tcPr>
          <w:p w:rsidR="00000000" w:rsidRDefault="00000000">
            <w:pPr>
              <w:autoSpaceDE w:val="0"/>
              <w:autoSpaceDN w:val="0"/>
              <w:adjustRightInd w:val="0"/>
              <w:jc w:val="right"/>
              <w:rPr>
                <w:color w:val="000000"/>
                <w:szCs w:val="18"/>
              </w:rPr>
            </w:pPr>
            <w:r>
              <w:rPr>
                <w:color w:val="000000"/>
                <w:szCs w:val="18"/>
              </w:rPr>
              <w:t>2 230 738 643,5</w:t>
            </w:r>
          </w:p>
        </w:tc>
      </w:tr>
      <w:tr w:rsidR="00000000">
        <w:tblPrEx>
          <w:tblCellMar>
            <w:top w:w="0" w:type="dxa"/>
            <w:bottom w:w="0" w:type="dxa"/>
          </w:tblCellMar>
        </w:tblPrEx>
        <w:trPr>
          <w:trHeight w:val="20"/>
          <w:jc w:val="center"/>
        </w:trPr>
        <w:tc>
          <w:tcPr>
            <w:tcW w:w="5894" w:type="dxa"/>
          </w:tcPr>
          <w:p w:rsidR="00000000" w:rsidRDefault="00000000">
            <w:pPr>
              <w:autoSpaceDE w:val="0"/>
              <w:autoSpaceDN w:val="0"/>
              <w:adjustRightInd w:val="0"/>
              <w:ind w:firstLine="225"/>
              <w:rPr>
                <w:color w:val="000000"/>
                <w:szCs w:val="16"/>
              </w:rPr>
            </w:pPr>
            <w:r>
              <w:rPr>
                <w:color w:val="000000"/>
                <w:szCs w:val="16"/>
                <w:lang w:val="en-US"/>
              </w:rPr>
              <w:t>I</w:t>
            </w:r>
            <w:r>
              <w:rPr>
                <w:color w:val="000000"/>
                <w:szCs w:val="16"/>
              </w:rPr>
              <w:t>.</w:t>
            </w:r>
            <w:r>
              <w:rPr>
                <w:color w:val="000000"/>
                <w:szCs w:val="16"/>
                <w:lang w:val="en-US"/>
              </w:rPr>
              <w:t>I</w:t>
            </w:r>
            <w:r>
              <w:rPr>
                <w:color w:val="000000"/>
                <w:szCs w:val="16"/>
              </w:rPr>
              <w:t xml:space="preserve">  Все органы власти</w:t>
            </w:r>
          </w:p>
        </w:tc>
        <w:tc>
          <w:tcPr>
            <w:tcW w:w="1750" w:type="dxa"/>
          </w:tcPr>
          <w:p w:rsidR="00000000" w:rsidRDefault="00000000">
            <w:pPr>
              <w:autoSpaceDE w:val="0"/>
              <w:autoSpaceDN w:val="0"/>
              <w:adjustRightInd w:val="0"/>
              <w:jc w:val="right"/>
              <w:rPr>
                <w:color w:val="000000"/>
                <w:szCs w:val="16"/>
              </w:rPr>
            </w:pPr>
            <w:r>
              <w:rPr>
                <w:color w:val="000000"/>
                <w:szCs w:val="16"/>
              </w:rPr>
              <w:t>2 234 816 889,6</w:t>
            </w:r>
          </w:p>
        </w:tc>
        <w:tc>
          <w:tcPr>
            <w:tcW w:w="1741" w:type="dxa"/>
          </w:tcPr>
          <w:p w:rsidR="00000000" w:rsidRDefault="00000000">
            <w:pPr>
              <w:autoSpaceDE w:val="0"/>
              <w:autoSpaceDN w:val="0"/>
              <w:adjustRightInd w:val="0"/>
              <w:jc w:val="right"/>
              <w:rPr>
                <w:color w:val="000000"/>
                <w:szCs w:val="16"/>
              </w:rPr>
            </w:pPr>
            <w:r>
              <w:rPr>
                <w:color w:val="000000"/>
                <w:szCs w:val="16"/>
              </w:rPr>
              <w:t>1 816 779 439,1</w:t>
            </w:r>
          </w:p>
        </w:tc>
      </w:tr>
      <w:tr w:rsidR="00000000">
        <w:tblPrEx>
          <w:tblCellMar>
            <w:top w:w="0" w:type="dxa"/>
            <w:bottom w:w="0" w:type="dxa"/>
          </w:tblCellMar>
        </w:tblPrEx>
        <w:trPr>
          <w:trHeight w:val="20"/>
          <w:jc w:val="center"/>
        </w:trPr>
        <w:tc>
          <w:tcPr>
            <w:tcW w:w="5894" w:type="dxa"/>
          </w:tcPr>
          <w:p w:rsidR="00000000" w:rsidRDefault="00000000">
            <w:pPr>
              <w:autoSpaceDE w:val="0"/>
              <w:autoSpaceDN w:val="0"/>
              <w:adjustRightInd w:val="0"/>
              <w:ind w:firstLine="575"/>
              <w:rPr>
                <w:color w:val="000000"/>
                <w:szCs w:val="16"/>
              </w:rPr>
            </w:pPr>
            <w:r>
              <w:rPr>
                <w:color w:val="000000"/>
                <w:szCs w:val="16"/>
                <w:lang w:val="en-US"/>
              </w:rPr>
              <w:t>I</w:t>
            </w:r>
            <w:r>
              <w:rPr>
                <w:color w:val="000000"/>
                <w:szCs w:val="16"/>
              </w:rPr>
              <w:t>.</w:t>
            </w:r>
            <w:r>
              <w:rPr>
                <w:color w:val="000000"/>
                <w:szCs w:val="16"/>
                <w:lang w:val="en-US"/>
              </w:rPr>
              <w:t>I</w:t>
            </w:r>
            <w:r>
              <w:rPr>
                <w:color w:val="000000"/>
                <w:szCs w:val="16"/>
              </w:rPr>
              <w:t>.</w:t>
            </w:r>
            <w:r>
              <w:rPr>
                <w:color w:val="000000"/>
                <w:szCs w:val="16"/>
                <w:lang w:val="en-US"/>
              </w:rPr>
              <w:t>I</w:t>
            </w:r>
            <w:r>
              <w:rPr>
                <w:color w:val="000000"/>
                <w:szCs w:val="16"/>
              </w:rPr>
              <w:t xml:space="preserve">  Центральные органы власти</w:t>
            </w:r>
          </w:p>
        </w:tc>
        <w:tc>
          <w:tcPr>
            <w:tcW w:w="1750" w:type="dxa"/>
          </w:tcPr>
          <w:p w:rsidR="00000000" w:rsidRDefault="00000000">
            <w:pPr>
              <w:autoSpaceDE w:val="0"/>
              <w:autoSpaceDN w:val="0"/>
              <w:adjustRightInd w:val="0"/>
              <w:jc w:val="right"/>
              <w:rPr>
                <w:color w:val="000000"/>
                <w:szCs w:val="16"/>
              </w:rPr>
            </w:pPr>
            <w:r>
              <w:rPr>
                <w:color w:val="000000"/>
                <w:szCs w:val="16"/>
              </w:rPr>
              <w:t>2 129 506 574,0</w:t>
            </w:r>
          </w:p>
        </w:tc>
        <w:tc>
          <w:tcPr>
            <w:tcW w:w="1741" w:type="dxa"/>
          </w:tcPr>
          <w:p w:rsidR="00000000" w:rsidRDefault="00000000">
            <w:pPr>
              <w:autoSpaceDE w:val="0"/>
              <w:autoSpaceDN w:val="0"/>
              <w:adjustRightInd w:val="0"/>
              <w:jc w:val="right"/>
              <w:rPr>
                <w:color w:val="000000"/>
                <w:szCs w:val="16"/>
              </w:rPr>
            </w:pPr>
            <w:r>
              <w:rPr>
                <w:color w:val="000000"/>
                <w:szCs w:val="16"/>
              </w:rPr>
              <w:t>1 815 868 461,3</w:t>
            </w:r>
          </w:p>
        </w:tc>
      </w:tr>
      <w:tr w:rsidR="00000000">
        <w:tblPrEx>
          <w:tblCellMar>
            <w:top w:w="0" w:type="dxa"/>
            <w:bottom w:w="0" w:type="dxa"/>
          </w:tblCellMar>
        </w:tblPrEx>
        <w:trPr>
          <w:trHeight w:val="20"/>
          <w:jc w:val="center"/>
        </w:trPr>
        <w:tc>
          <w:tcPr>
            <w:tcW w:w="5894" w:type="dxa"/>
          </w:tcPr>
          <w:p w:rsidR="00000000" w:rsidRDefault="00000000">
            <w:pPr>
              <w:autoSpaceDE w:val="0"/>
              <w:autoSpaceDN w:val="0"/>
              <w:adjustRightInd w:val="0"/>
              <w:ind w:firstLine="1065"/>
              <w:rPr>
                <w:color w:val="000000"/>
                <w:szCs w:val="16"/>
              </w:rPr>
            </w:pPr>
            <w:r>
              <w:rPr>
                <w:color w:val="000000"/>
                <w:szCs w:val="16"/>
                <w:lang w:val="en-US"/>
              </w:rPr>
              <w:t>I</w:t>
            </w:r>
            <w:r>
              <w:rPr>
                <w:color w:val="000000"/>
                <w:szCs w:val="16"/>
              </w:rPr>
              <w:t>.</w:t>
            </w:r>
            <w:r>
              <w:rPr>
                <w:color w:val="000000"/>
                <w:szCs w:val="16"/>
                <w:lang w:val="en-US"/>
              </w:rPr>
              <w:t>I</w:t>
            </w:r>
            <w:r>
              <w:rPr>
                <w:color w:val="000000"/>
                <w:szCs w:val="16"/>
              </w:rPr>
              <w:t>.</w:t>
            </w:r>
            <w:r>
              <w:rPr>
                <w:color w:val="000000"/>
                <w:szCs w:val="16"/>
                <w:lang w:val="en-US"/>
              </w:rPr>
              <w:t>I</w:t>
            </w:r>
            <w:r>
              <w:rPr>
                <w:color w:val="000000"/>
                <w:szCs w:val="16"/>
              </w:rPr>
              <w:t>.1  Центральная администрация</w:t>
            </w:r>
          </w:p>
        </w:tc>
        <w:tc>
          <w:tcPr>
            <w:tcW w:w="1750" w:type="dxa"/>
          </w:tcPr>
          <w:p w:rsidR="00000000" w:rsidRDefault="00000000">
            <w:pPr>
              <w:autoSpaceDE w:val="0"/>
              <w:autoSpaceDN w:val="0"/>
              <w:adjustRightInd w:val="0"/>
              <w:jc w:val="right"/>
              <w:rPr>
                <w:color w:val="000000"/>
                <w:szCs w:val="16"/>
              </w:rPr>
            </w:pPr>
            <w:r>
              <w:rPr>
                <w:color w:val="000000"/>
                <w:szCs w:val="16"/>
              </w:rPr>
              <w:t>2 129 506 574,0</w:t>
            </w:r>
          </w:p>
        </w:tc>
        <w:tc>
          <w:tcPr>
            <w:tcW w:w="1741" w:type="dxa"/>
          </w:tcPr>
          <w:p w:rsidR="00000000" w:rsidRDefault="00000000">
            <w:pPr>
              <w:autoSpaceDE w:val="0"/>
              <w:autoSpaceDN w:val="0"/>
              <w:adjustRightInd w:val="0"/>
              <w:jc w:val="right"/>
              <w:rPr>
                <w:color w:val="000000"/>
                <w:szCs w:val="16"/>
              </w:rPr>
            </w:pPr>
            <w:r>
              <w:rPr>
                <w:color w:val="000000"/>
                <w:szCs w:val="16"/>
              </w:rPr>
              <w:t>1 815 868 461,3</w:t>
            </w:r>
          </w:p>
        </w:tc>
      </w:tr>
      <w:tr w:rsidR="00000000">
        <w:tblPrEx>
          <w:tblCellMar>
            <w:top w:w="0" w:type="dxa"/>
            <w:bottom w:w="0" w:type="dxa"/>
          </w:tblCellMar>
        </w:tblPrEx>
        <w:trPr>
          <w:trHeight w:val="20"/>
          <w:jc w:val="center"/>
        </w:trPr>
        <w:tc>
          <w:tcPr>
            <w:tcW w:w="5894" w:type="dxa"/>
          </w:tcPr>
          <w:p w:rsidR="00000000" w:rsidRDefault="00000000">
            <w:pPr>
              <w:autoSpaceDE w:val="0"/>
              <w:autoSpaceDN w:val="0"/>
              <w:adjustRightInd w:val="0"/>
              <w:ind w:firstLine="1065"/>
              <w:rPr>
                <w:color w:val="000000"/>
                <w:szCs w:val="16"/>
              </w:rPr>
            </w:pPr>
            <w:r>
              <w:rPr>
                <w:color w:val="000000"/>
                <w:szCs w:val="16"/>
                <w:lang w:val="en-US"/>
              </w:rPr>
              <w:t>I</w:t>
            </w:r>
            <w:r>
              <w:rPr>
                <w:color w:val="000000"/>
                <w:szCs w:val="16"/>
              </w:rPr>
              <w:t>.</w:t>
            </w:r>
            <w:r>
              <w:rPr>
                <w:color w:val="000000"/>
                <w:szCs w:val="16"/>
                <w:lang w:val="en-US"/>
              </w:rPr>
              <w:t>I</w:t>
            </w:r>
            <w:r>
              <w:rPr>
                <w:color w:val="000000"/>
                <w:szCs w:val="16"/>
              </w:rPr>
              <w:t>.</w:t>
            </w:r>
            <w:r>
              <w:rPr>
                <w:color w:val="000000"/>
                <w:szCs w:val="16"/>
                <w:lang w:val="en-US"/>
              </w:rPr>
              <w:t>I</w:t>
            </w:r>
            <w:r>
              <w:rPr>
                <w:color w:val="000000"/>
                <w:szCs w:val="16"/>
              </w:rPr>
              <w:t>.2  Децентрализованная администрация</w:t>
            </w:r>
          </w:p>
        </w:tc>
        <w:tc>
          <w:tcPr>
            <w:tcW w:w="1750" w:type="dxa"/>
          </w:tcPr>
          <w:p w:rsidR="00000000" w:rsidRDefault="00000000">
            <w:pPr>
              <w:autoSpaceDE w:val="0"/>
              <w:autoSpaceDN w:val="0"/>
              <w:adjustRightInd w:val="0"/>
              <w:jc w:val="right"/>
              <w:rPr>
                <w:color w:val="000000"/>
                <w:szCs w:val="16"/>
                <w:lang w:val="en-US"/>
              </w:rPr>
            </w:pPr>
            <w:r>
              <w:rPr>
                <w:color w:val="000000"/>
                <w:szCs w:val="16"/>
                <w:lang w:val="en-US"/>
              </w:rPr>
              <w:t>0,0</w:t>
            </w:r>
          </w:p>
        </w:tc>
        <w:tc>
          <w:tcPr>
            <w:tcW w:w="1741" w:type="dxa"/>
          </w:tcPr>
          <w:p w:rsidR="00000000" w:rsidRDefault="00000000">
            <w:pPr>
              <w:autoSpaceDE w:val="0"/>
              <w:autoSpaceDN w:val="0"/>
              <w:adjustRightInd w:val="0"/>
              <w:jc w:val="right"/>
              <w:rPr>
                <w:color w:val="000000"/>
                <w:szCs w:val="16"/>
                <w:lang w:val="en-US"/>
              </w:rPr>
            </w:pPr>
            <w:r>
              <w:rPr>
                <w:color w:val="000000"/>
                <w:szCs w:val="16"/>
                <w:lang w:val="en-US"/>
              </w:rPr>
              <w:t>0,0</w:t>
            </w:r>
          </w:p>
        </w:tc>
      </w:tr>
      <w:tr w:rsidR="00000000">
        <w:tblPrEx>
          <w:tblCellMar>
            <w:top w:w="0" w:type="dxa"/>
            <w:bottom w:w="0" w:type="dxa"/>
          </w:tblCellMar>
        </w:tblPrEx>
        <w:trPr>
          <w:trHeight w:val="20"/>
          <w:jc w:val="center"/>
        </w:trPr>
        <w:tc>
          <w:tcPr>
            <w:tcW w:w="5894" w:type="dxa"/>
          </w:tcPr>
          <w:p w:rsidR="00000000" w:rsidRDefault="00000000">
            <w:pPr>
              <w:autoSpaceDE w:val="0"/>
              <w:autoSpaceDN w:val="0"/>
              <w:adjustRightInd w:val="0"/>
              <w:ind w:firstLine="1065"/>
              <w:rPr>
                <w:color w:val="000000"/>
                <w:szCs w:val="16"/>
              </w:rPr>
            </w:pPr>
            <w:r>
              <w:rPr>
                <w:color w:val="000000"/>
                <w:szCs w:val="16"/>
                <w:lang w:val="en-US"/>
              </w:rPr>
              <w:t>I</w:t>
            </w:r>
            <w:r>
              <w:rPr>
                <w:color w:val="000000"/>
                <w:szCs w:val="16"/>
              </w:rPr>
              <w:t>.</w:t>
            </w:r>
            <w:r>
              <w:rPr>
                <w:color w:val="000000"/>
                <w:szCs w:val="16"/>
                <w:lang w:val="en-US"/>
              </w:rPr>
              <w:t>I</w:t>
            </w:r>
            <w:r>
              <w:rPr>
                <w:color w:val="000000"/>
                <w:szCs w:val="16"/>
              </w:rPr>
              <w:t>.</w:t>
            </w:r>
            <w:r>
              <w:rPr>
                <w:color w:val="000000"/>
                <w:szCs w:val="16"/>
                <w:lang w:val="en-US"/>
              </w:rPr>
              <w:t>I</w:t>
            </w:r>
            <w:r>
              <w:rPr>
                <w:color w:val="000000"/>
                <w:szCs w:val="16"/>
              </w:rPr>
              <w:t>.3  Социальное обеспечение</w:t>
            </w:r>
          </w:p>
        </w:tc>
        <w:tc>
          <w:tcPr>
            <w:tcW w:w="1750" w:type="dxa"/>
          </w:tcPr>
          <w:p w:rsidR="00000000" w:rsidRDefault="00000000">
            <w:pPr>
              <w:autoSpaceDE w:val="0"/>
              <w:autoSpaceDN w:val="0"/>
              <w:adjustRightInd w:val="0"/>
              <w:jc w:val="right"/>
              <w:rPr>
                <w:color w:val="000000"/>
                <w:szCs w:val="16"/>
                <w:lang w:val="fr-FR"/>
              </w:rPr>
            </w:pPr>
            <w:r>
              <w:rPr>
                <w:color w:val="000000"/>
                <w:szCs w:val="16"/>
                <w:lang w:val="fr-FR"/>
              </w:rPr>
              <w:t>0,0</w:t>
            </w:r>
          </w:p>
        </w:tc>
        <w:tc>
          <w:tcPr>
            <w:tcW w:w="1741" w:type="dxa"/>
          </w:tcPr>
          <w:p w:rsidR="00000000" w:rsidRDefault="00000000">
            <w:pPr>
              <w:autoSpaceDE w:val="0"/>
              <w:autoSpaceDN w:val="0"/>
              <w:adjustRightInd w:val="0"/>
              <w:jc w:val="right"/>
              <w:rPr>
                <w:color w:val="000000"/>
                <w:szCs w:val="16"/>
                <w:lang w:val="fr-FR"/>
              </w:rPr>
            </w:pPr>
            <w:r>
              <w:rPr>
                <w:color w:val="000000"/>
                <w:szCs w:val="16"/>
                <w:lang w:val="fr-FR"/>
              </w:rPr>
              <w:t>0,0</w:t>
            </w:r>
          </w:p>
        </w:tc>
      </w:tr>
      <w:tr w:rsidR="00000000">
        <w:tblPrEx>
          <w:tblCellMar>
            <w:top w:w="0" w:type="dxa"/>
            <w:bottom w:w="0" w:type="dxa"/>
          </w:tblCellMar>
        </w:tblPrEx>
        <w:trPr>
          <w:trHeight w:val="20"/>
          <w:jc w:val="center"/>
        </w:trPr>
        <w:tc>
          <w:tcPr>
            <w:tcW w:w="5894" w:type="dxa"/>
          </w:tcPr>
          <w:p w:rsidR="00000000" w:rsidRDefault="00000000">
            <w:pPr>
              <w:autoSpaceDE w:val="0"/>
              <w:autoSpaceDN w:val="0"/>
              <w:adjustRightInd w:val="0"/>
              <w:ind w:firstLine="575"/>
              <w:rPr>
                <w:color w:val="000000"/>
                <w:szCs w:val="16"/>
              </w:rPr>
            </w:pPr>
            <w:r>
              <w:rPr>
                <w:color w:val="000000"/>
                <w:szCs w:val="16"/>
                <w:lang w:val="fr-FR"/>
              </w:rPr>
              <w:t>I</w:t>
            </w:r>
            <w:r>
              <w:rPr>
                <w:color w:val="000000"/>
                <w:szCs w:val="16"/>
              </w:rPr>
              <w:t>.</w:t>
            </w:r>
            <w:r>
              <w:rPr>
                <w:color w:val="000000"/>
                <w:szCs w:val="16"/>
                <w:lang w:val="fr-FR"/>
              </w:rPr>
              <w:t>I</w:t>
            </w:r>
            <w:r>
              <w:rPr>
                <w:color w:val="000000"/>
                <w:szCs w:val="16"/>
              </w:rPr>
              <w:t>.</w:t>
            </w:r>
            <w:r>
              <w:rPr>
                <w:color w:val="000000"/>
                <w:szCs w:val="16"/>
                <w:lang w:val="fr-FR"/>
              </w:rPr>
              <w:t>II</w:t>
            </w:r>
            <w:r>
              <w:rPr>
                <w:color w:val="000000"/>
                <w:szCs w:val="16"/>
              </w:rPr>
              <w:t xml:space="preserve">  Местные органы власти</w:t>
            </w:r>
          </w:p>
        </w:tc>
        <w:tc>
          <w:tcPr>
            <w:tcW w:w="1750" w:type="dxa"/>
          </w:tcPr>
          <w:p w:rsidR="00000000" w:rsidRDefault="00000000">
            <w:pPr>
              <w:autoSpaceDE w:val="0"/>
              <w:autoSpaceDN w:val="0"/>
              <w:adjustRightInd w:val="0"/>
              <w:jc w:val="right"/>
              <w:rPr>
                <w:color w:val="000000"/>
                <w:szCs w:val="16"/>
                <w:lang w:val="fr-FR"/>
              </w:rPr>
            </w:pPr>
            <w:r>
              <w:rPr>
                <w:color w:val="000000"/>
                <w:szCs w:val="16"/>
                <w:lang w:val="fr-FR"/>
              </w:rPr>
              <w:t>0,0</w:t>
            </w:r>
          </w:p>
        </w:tc>
        <w:tc>
          <w:tcPr>
            <w:tcW w:w="1741" w:type="dxa"/>
          </w:tcPr>
          <w:p w:rsidR="00000000" w:rsidRDefault="00000000">
            <w:pPr>
              <w:autoSpaceDE w:val="0"/>
              <w:autoSpaceDN w:val="0"/>
              <w:adjustRightInd w:val="0"/>
              <w:jc w:val="right"/>
              <w:rPr>
                <w:color w:val="000000"/>
                <w:szCs w:val="16"/>
              </w:rPr>
            </w:pPr>
            <w:r>
              <w:rPr>
                <w:color w:val="000000"/>
                <w:szCs w:val="16"/>
              </w:rPr>
              <w:t>910 977,8</w:t>
            </w:r>
          </w:p>
        </w:tc>
      </w:tr>
      <w:tr w:rsidR="00000000">
        <w:tblPrEx>
          <w:tblCellMar>
            <w:top w:w="0" w:type="dxa"/>
            <w:bottom w:w="0" w:type="dxa"/>
          </w:tblCellMar>
        </w:tblPrEx>
        <w:trPr>
          <w:trHeight w:val="20"/>
          <w:jc w:val="center"/>
        </w:trPr>
        <w:tc>
          <w:tcPr>
            <w:tcW w:w="5894" w:type="dxa"/>
          </w:tcPr>
          <w:p w:rsidR="00000000" w:rsidRDefault="00000000">
            <w:pPr>
              <w:autoSpaceDE w:val="0"/>
              <w:autoSpaceDN w:val="0"/>
              <w:adjustRightInd w:val="0"/>
              <w:ind w:firstLine="225"/>
              <w:rPr>
                <w:color w:val="000000"/>
                <w:szCs w:val="16"/>
              </w:rPr>
            </w:pPr>
            <w:r>
              <w:rPr>
                <w:color w:val="000000"/>
                <w:szCs w:val="16"/>
                <w:lang w:val="fr-FR"/>
              </w:rPr>
              <w:t>I</w:t>
            </w:r>
            <w:r>
              <w:rPr>
                <w:color w:val="000000"/>
                <w:szCs w:val="16"/>
              </w:rPr>
              <w:t>.</w:t>
            </w:r>
            <w:r>
              <w:rPr>
                <w:color w:val="000000"/>
                <w:szCs w:val="16"/>
                <w:lang w:val="fr-FR"/>
              </w:rPr>
              <w:t>II</w:t>
            </w:r>
            <w:r>
              <w:rPr>
                <w:color w:val="000000"/>
                <w:szCs w:val="16"/>
              </w:rPr>
              <w:t xml:space="preserve">  Нефинансовые государственные предприятия</w:t>
            </w:r>
          </w:p>
        </w:tc>
        <w:tc>
          <w:tcPr>
            <w:tcW w:w="1750" w:type="dxa"/>
          </w:tcPr>
          <w:p w:rsidR="00000000" w:rsidRDefault="00000000">
            <w:pPr>
              <w:autoSpaceDE w:val="0"/>
              <w:autoSpaceDN w:val="0"/>
              <w:adjustRightInd w:val="0"/>
              <w:jc w:val="right"/>
              <w:rPr>
                <w:color w:val="000000"/>
                <w:szCs w:val="16"/>
              </w:rPr>
            </w:pPr>
            <w:r>
              <w:rPr>
                <w:color w:val="000000"/>
                <w:szCs w:val="16"/>
              </w:rPr>
              <w:t>105 310 315,6</w:t>
            </w:r>
          </w:p>
        </w:tc>
        <w:tc>
          <w:tcPr>
            <w:tcW w:w="1741" w:type="dxa"/>
          </w:tcPr>
          <w:p w:rsidR="00000000" w:rsidRDefault="00000000">
            <w:pPr>
              <w:autoSpaceDE w:val="0"/>
              <w:autoSpaceDN w:val="0"/>
              <w:adjustRightInd w:val="0"/>
              <w:jc w:val="right"/>
              <w:rPr>
                <w:color w:val="000000"/>
                <w:szCs w:val="16"/>
              </w:rPr>
            </w:pPr>
            <w:r>
              <w:rPr>
                <w:color w:val="000000"/>
                <w:szCs w:val="16"/>
              </w:rPr>
              <w:t>413 959 204,4</w:t>
            </w:r>
          </w:p>
        </w:tc>
      </w:tr>
      <w:tr w:rsidR="00000000">
        <w:tblPrEx>
          <w:tblCellMar>
            <w:top w:w="0" w:type="dxa"/>
            <w:bottom w:w="0" w:type="dxa"/>
          </w:tblCellMar>
        </w:tblPrEx>
        <w:trPr>
          <w:trHeight w:val="20"/>
          <w:jc w:val="center"/>
        </w:trPr>
        <w:tc>
          <w:tcPr>
            <w:tcW w:w="5894" w:type="dxa"/>
          </w:tcPr>
          <w:p w:rsidR="00000000" w:rsidRDefault="00000000">
            <w:pPr>
              <w:keepNext/>
              <w:autoSpaceDE w:val="0"/>
              <w:autoSpaceDN w:val="0"/>
              <w:adjustRightInd w:val="0"/>
              <w:rPr>
                <w:color w:val="000000"/>
                <w:szCs w:val="16"/>
              </w:rPr>
            </w:pPr>
            <w:r>
              <w:rPr>
                <w:color w:val="000000"/>
                <w:szCs w:val="16"/>
                <w:lang w:val="fr-FR"/>
              </w:rPr>
              <w:t>II</w:t>
            </w:r>
            <w:r>
              <w:rPr>
                <w:color w:val="000000"/>
                <w:szCs w:val="16"/>
              </w:rPr>
              <w:t xml:space="preserve">  Финансовый государственный сектор</w:t>
            </w:r>
          </w:p>
        </w:tc>
        <w:tc>
          <w:tcPr>
            <w:tcW w:w="1750" w:type="dxa"/>
          </w:tcPr>
          <w:p w:rsidR="00000000" w:rsidRDefault="00000000">
            <w:pPr>
              <w:keepNext/>
              <w:autoSpaceDE w:val="0"/>
              <w:autoSpaceDN w:val="0"/>
              <w:adjustRightInd w:val="0"/>
              <w:jc w:val="right"/>
              <w:rPr>
                <w:color w:val="000000"/>
                <w:szCs w:val="16"/>
              </w:rPr>
            </w:pPr>
            <w:r>
              <w:rPr>
                <w:color w:val="000000"/>
                <w:szCs w:val="16"/>
              </w:rPr>
              <w:t>23 314 373,0</w:t>
            </w:r>
          </w:p>
        </w:tc>
        <w:tc>
          <w:tcPr>
            <w:tcW w:w="1741" w:type="dxa"/>
          </w:tcPr>
          <w:p w:rsidR="00000000" w:rsidRDefault="00000000">
            <w:pPr>
              <w:keepNext/>
              <w:autoSpaceDE w:val="0"/>
              <w:autoSpaceDN w:val="0"/>
              <w:adjustRightInd w:val="0"/>
              <w:jc w:val="right"/>
              <w:rPr>
                <w:color w:val="000000"/>
                <w:szCs w:val="16"/>
              </w:rPr>
            </w:pPr>
            <w:r>
              <w:rPr>
                <w:color w:val="000000"/>
                <w:szCs w:val="16"/>
              </w:rPr>
              <w:t>27 392 619,0</w:t>
            </w:r>
          </w:p>
        </w:tc>
      </w:tr>
      <w:tr w:rsidR="00000000">
        <w:tblPrEx>
          <w:tblCellMar>
            <w:top w:w="0" w:type="dxa"/>
            <w:bottom w:w="0" w:type="dxa"/>
          </w:tblCellMar>
        </w:tblPrEx>
        <w:trPr>
          <w:trHeight w:val="20"/>
          <w:jc w:val="center"/>
        </w:trPr>
        <w:tc>
          <w:tcPr>
            <w:tcW w:w="5894" w:type="dxa"/>
          </w:tcPr>
          <w:p w:rsidR="00000000" w:rsidRDefault="00000000">
            <w:pPr>
              <w:tabs>
                <w:tab w:val="left" w:pos="306"/>
                <w:tab w:val="left" w:pos="666"/>
              </w:tabs>
              <w:autoSpaceDE w:val="0"/>
              <w:autoSpaceDN w:val="0"/>
              <w:adjustRightInd w:val="0"/>
              <w:rPr>
                <w:color w:val="000000"/>
                <w:szCs w:val="16"/>
              </w:rPr>
            </w:pPr>
            <w:r>
              <w:rPr>
                <w:color w:val="000000"/>
                <w:szCs w:val="16"/>
              </w:rPr>
              <w:tab/>
            </w:r>
            <w:r>
              <w:rPr>
                <w:color w:val="000000"/>
                <w:szCs w:val="16"/>
                <w:lang w:val="fr-FR"/>
              </w:rPr>
              <w:t>A</w:t>
            </w:r>
            <w:r>
              <w:rPr>
                <w:color w:val="000000"/>
                <w:szCs w:val="16"/>
              </w:rPr>
              <w:t>.</w:t>
            </w:r>
            <w:r>
              <w:rPr>
                <w:color w:val="000000"/>
                <w:szCs w:val="16"/>
              </w:rPr>
              <w:tab/>
              <w:t>Многосторонние организации</w:t>
            </w:r>
          </w:p>
        </w:tc>
        <w:tc>
          <w:tcPr>
            <w:tcW w:w="1750" w:type="dxa"/>
          </w:tcPr>
          <w:p w:rsidR="00000000" w:rsidRDefault="00000000">
            <w:pPr>
              <w:autoSpaceDE w:val="0"/>
              <w:autoSpaceDN w:val="0"/>
              <w:adjustRightInd w:val="0"/>
              <w:rPr>
                <w:color w:val="000000"/>
                <w:szCs w:val="22"/>
                <w:lang w:val="fr-FR"/>
              </w:rPr>
            </w:pPr>
            <w:r>
              <w:rPr>
                <w:color w:val="000000"/>
                <w:szCs w:val="22"/>
                <w:lang w:val="fr-FR"/>
              </w:rPr>
              <w:t xml:space="preserve">1 256 626 048,4 </w:t>
            </w:r>
          </w:p>
        </w:tc>
        <w:tc>
          <w:tcPr>
            <w:tcW w:w="1741" w:type="dxa"/>
          </w:tcPr>
          <w:p w:rsidR="00000000" w:rsidRDefault="00000000">
            <w:pPr>
              <w:tabs>
                <w:tab w:val="decimal" w:pos="896"/>
              </w:tabs>
              <w:autoSpaceDE w:val="0"/>
              <w:autoSpaceDN w:val="0"/>
              <w:adjustRightInd w:val="0"/>
              <w:jc w:val="right"/>
              <w:rPr>
                <w:color w:val="000000"/>
                <w:szCs w:val="16"/>
                <w:lang w:val="fr-FR"/>
              </w:rPr>
            </w:pPr>
            <w:r>
              <w:rPr>
                <w:color w:val="000000"/>
                <w:szCs w:val="16"/>
                <w:lang w:val="fr-FR"/>
              </w:rPr>
              <w:t>55,6</w:t>
            </w:r>
          </w:p>
        </w:tc>
      </w:tr>
      <w:tr w:rsidR="00000000">
        <w:tblPrEx>
          <w:tblCellMar>
            <w:top w:w="0" w:type="dxa"/>
            <w:bottom w:w="0" w:type="dxa"/>
          </w:tblCellMar>
        </w:tblPrEx>
        <w:trPr>
          <w:trHeight w:val="20"/>
          <w:jc w:val="center"/>
        </w:trPr>
        <w:tc>
          <w:tcPr>
            <w:tcW w:w="5894" w:type="dxa"/>
          </w:tcPr>
          <w:p w:rsidR="00000000" w:rsidRDefault="00000000">
            <w:pPr>
              <w:tabs>
                <w:tab w:val="left" w:pos="306"/>
                <w:tab w:val="left" w:pos="666"/>
              </w:tabs>
              <w:autoSpaceDE w:val="0"/>
              <w:autoSpaceDN w:val="0"/>
              <w:adjustRightInd w:val="0"/>
              <w:rPr>
                <w:color w:val="000000"/>
                <w:szCs w:val="16"/>
              </w:rPr>
            </w:pPr>
            <w:r>
              <w:rPr>
                <w:color w:val="000000"/>
                <w:szCs w:val="16"/>
                <w:lang w:val="fr-FR"/>
              </w:rPr>
              <w:tab/>
              <w:t>B</w:t>
            </w:r>
            <w:r>
              <w:rPr>
                <w:color w:val="000000"/>
                <w:szCs w:val="16"/>
              </w:rPr>
              <w:t>.</w:t>
            </w:r>
            <w:r>
              <w:rPr>
                <w:color w:val="000000"/>
                <w:szCs w:val="16"/>
              </w:rPr>
              <w:tab/>
              <w:t>Официальные двусторонние организации</w:t>
            </w:r>
          </w:p>
        </w:tc>
        <w:tc>
          <w:tcPr>
            <w:tcW w:w="1750" w:type="dxa"/>
          </w:tcPr>
          <w:p w:rsidR="00000000" w:rsidRDefault="00000000">
            <w:pPr>
              <w:autoSpaceDE w:val="0"/>
              <w:autoSpaceDN w:val="0"/>
              <w:adjustRightInd w:val="0"/>
              <w:rPr>
                <w:color w:val="000000"/>
                <w:szCs w:val="22"/>
                <w:lang w:val="fr-FR"/>
              </w:rPr>
            </w:pPr>
            <w:r>
              <w:rPr>
                <w:color w:val="000000"/>
                <w:szCs w:val="22"/>
                <w:lang w:val="fr-FR"/>
              </w:rPr>
              <w:t xml:space="preserve">1 001 505 214,1 </w:t>
            </w:r>
          </w:p>
        </w:tc>
        <w:tc>
          <w:tcPr>
            <w:tcW w:w="1741" w:type="dxa"/>
          </w:tcPr>
          <w:p w:rsidR="00000000" w:rsidRDefault="00000000">
            <w:pPr>
              <w:tabs>
                <w:tab w:val="decimal" w:pos="896"/>
              </w:tabs>
              <w:autoSpaceDE w:val="0"/>
              <w:autoSpaceDN w:val="0"/>
              <w:adjustRightInd w:val="0"/>
              <w:jc w:val="right"/>
              <w:rPr>
                <w:color w:val="000000"/>
                <w:szCs w:val="16"/>
                <w:lang w:val="fr-FR"/>
              </w:rPr>
            </w:pPr>
            <w:r>
              <w:rPr>
                <w:color w:val="000000"/>
                <w:szCs w:val="16"/>
                <w:lang w:val="fr-FR"/>
              </w:rPr>
              <w:t>44,4</w:t>
            </w:r>
          </w:p>
        </w:tc>
      </w:tr>
      <w:tr w:rsidR="00000000">
        <w:tblPrEx>
          <w:tblCellMar>
            <w:top w:w="0" w:type="dxa"/>
            <w:bottom w:w="0" w:type="dxa"/>
          </w:tblCellMar>
        </w:tblPrEx>
        <w:trPr>
          <w:trHeight w:val="20"/>
          <w:jc w:val="center"/>
        </w:trPr>
        <w:tc>
          <w:tcPr>
            <w:tcW w:w="5894" w:type="dxa"/>
          </w:tcPr>
          <w:p w:rsidR="00000000" w:rsidRDefault="00000000">
            <w:pPr>
              <w:tabs>
                <w:tab w:val="left" w:pos="306"/>
                <w:tab w:val="left" w:pos="666"/>
              </w:tabs>
              <w:autoSpaceDE w:val="0"/>
              <w:autoSpaceDN w:val="0"/>
              <w:adjustRightInd w:val="0"/>
              <w:rPr>
                <w:color w:val="000000"/>
                <w:szCs w:val="16"/>
              </w:rPr>
            </w:pPr>
            <w:r>
              <w:rPr>
                <w:color w:val="000000"/>
                <w:szCs w:val="16"/>
                <w:lang w:val="fr-FR"/>
              </w:rPr>
              <w:tab/>
              <w:t>C</w:t>
            </w:r>
            <w:r>
              <w:rPr>
                <w:color w:val="000000"/>
                <w:szCs w:val="16"/>
              </w:rPr>
              <w:t>.</w:t>
            </w:r>
            <w:r>
              <w:rPr>
                <w:color w:val="000000"/>
                <w:szCs w:val="16"/>
              </w:rPr>
              <w:tab/>
              <w:t>Коммерческие и частные провинциальные банки</w:t>
            </w:r>
          </w:p>
        </w:tc>
        <w:tc>
          <w:tcPr>
            <w:tcW w:w="1750" w:type="dxa"/>
          </w:tcPr>
          <w:p w:rsidR="00000000" w:rsidRDefault="00000000">
            <w:pPr>
              <w:autoSpaceDE w:val="0"/>
              <w:autoSpaceDN w:val="0"/>
              <w:adjustRightInd w:val="0"/>
              <w:jc w:val="right"/>
              <w:rPr>
                <w:color w:val="000000"/>
                <w:szCs w:val="16"/>
                <w:lang w:val="fr-FR"/>
              </w:rPr>
            </w:pPr>
            <w:r>
              <w:rPr>
                <w:color w:val="000000"/>
                <w:szCs w:val="16"/>
                <w:lang w:val="fr-FR"/>
              </w:rPr>
              <w:t>0,0</w:t>
            </w:r>
          </w:p>
        </w:tc>
        <w:tc>
          <w:tcPr>
            <w:tcW w:w="1741" w:type="dxa"/>
          </w:tcPr>
          <w:p w:rsidR="00000000" w:rsidRDefault="00000000">
            <w:pPr>
              <w:tabs>
                <w:tab w:val="decimal" w:pos="896"/>
              </w:tabs>
              <w:autoSpaceDE w:val="0"/>
              <w:autoSpaceDN w:val="0"/>
              <w:adjustRightInd w:val="0"/>
              <w:jc w:val="right"/>
              <w:rPr>
                <w:color w:val="000000"/>
                <w:szCs w:val="16"/>
                <w:lang w:val="fr-FR"/>
              </w:rPr>
            </w:pPr>
            <w:r>
              <w:rPr>
                <w:color w:val="000000"/>
                <w:szCs w:val="16"/>
                <w:lang w:val="fr-FR"/>
              </w:rPr>
              <w:t>0,0</w:t>
            </w:r>
          </w:p>
        </w:tc>
      </w:tr>
      <w:tr w:rsidR="00000000">
        <w:tblPrEx>
          <w:tblCellMar>
            <w:top w:w="0" w:type="dxa"/>
            <w:bottom w:w="0" w:type="dxa"/>
          </w:tblCellMar>
        </w:tblPrEx>
        <w:trPr>
          <w:trHeight w:val="20"/>
          <w:jc w:val="center"/>
        </w:trPr>
        <w:tc>
          <w:tcPr>
            <w:tcW w:w="5894" w:type="dxa"/>
          </w:tcPr>
          <w:p w:rsidR="00000000" w:rsidRDefault="00000000">
            <w:pPr>
              <w:autoSpaceDE w:val="0"/>
              <w:autoSpaceDN w:val="0"/>
              <w:adjustRightInd w:val="0"/>
              <w:ind w:left="666"/>
              <w:rPr>
                <w:b/>
                <w:bCs/>
                <w:color w:val="000000"/>
                <w:szCs w:val="16"/>
                <w:lang w:val="fr-FR"/>
              </w:rPr>
            </w:pPr>
            <w:r>
              <w:rPr>
                <w:b/>
                <w:bCs/>
                <w:color w:val="000000"/>
                <w:szCs w:val="16"/>
              </w:rPr>
              <w:t>Итого</w:t>
            </w:r>
            <w:r>
              <w:rPr>
                <w:b/>
                <w:bCs/>
                <w:color w:val="000000"/>
                <w:szCs w:val="16"/>
                <w:lang w:val="fr-FR"/>
              </w:rPr>
              <w:t xml:space="preserve"> (A+B+C)</w:t>
            </w:r>
          </w:p>
        </w:tc>
        <w:tc>
          <w:tcPr>
            <w:tcW w:w="1750" w:type="dxa"/>
          </w:tcPr>
          <w:p w:rsidR="00000000" w:rsidRDefault="00000000">
            <w:pPr>
              <w:autoSpaceDE w:val="0"/>
              <w:autoSpaceDN w:val="0"/>
              <w:adjustRightInd w:val="0"/>
              <w:rPr>
                <w:b/>
                <w:bCs/>
                <w:color w:val="000000"/>
                <w:szCs w:val="26"/>
                <w:lang w:val="en-US"/>
              </w:rPr>
            </w:pPr>
            <w:r>
              <w:rPr>
                <w:b/>
                <w:bCs/>
                <w:color w:val="000000"/>
                <w:szCs w:val="26"/>
                <w:lang w:val="fr-FR"/>
              </w:rPr>
              <w:t>2 2</w:t>
            </w:r>
            <w:r>
              <w:rPr>
                <w:b/>
                <w:bCs/>
                <w:color w:val="000000"/>
                <w:szCs w:val="26"/>
                <w:lang w:val="en-US"/>
              </w:rPr>
              <w:t xml:space="preserve">58 131 262,5 </w:t>
            </w:r>
          </w:p>
        </w:tc>
        <w:tc>
          <w:tcPr>
            <w:tcW w:w="1741" w:type="dxa"/>
          </w:tcPr>
          <w:p w:rsidR="00000000" w:rsidRDefault="00000000">
            <w:pPr>
              <w:autoSpaceDE w:val="0"/>
              <w:autoSpaceDN w:val="0"/>
              <w:adjustRightInd w:val="0"/>
              <w:jc w:val="right"/>
              <w:rPr>
                <w:b/>
                <w:bCs/>
                <w:color w:val="000000"/>
                <w:szCs w:val="26"/>
                <w:lang w:val="en-US"/>
              </w:rPr>
            </w:pPr>
            <w:r>
              <w:rPr>
                <w:b/>
                <w:bCs/>
                <w:color w:val="000000"/>
                <w:szCs w:val="26"/>
                <w:lang w:val="en-US"/>
              </w:rPr>
              <w:t>100,0</w:t>
            </w:r>
          </w:p>
        </w:tc>
      </w:tr>
      <w:tr w:rsidR="00000000">
        <w:tblPrEx>
          <w:tblCellMar>
            <w:top w:w="0" w:type="dxa"/>
            <w:bottom w:w="0" w:type="dxa"/>
          </w:tblCellMar>
        </w:tblPrEx>
        <w:trPr>
          <w:trHeight w:val="20"/>
          <w:jc w:val="center"/>
        </w:trPr>
        <w:tc>
          <w:tcPr>
            <w:tcW w:w="5894" w:type="dxa"/>
          </w:tcPr>
          <w:p w:rsidR="00000000" w:rsidRDefault="00000000">
            <w:pPr>
              <w:autoSpaceDE w:val="0"/>
              <w:autoSpaceDN w:val="0"/>
              <w:adjustRightInd w:val="0"/>
              <w:ind w:left="1026"/>
              <w:rPr>
                <w:b/>
                <w:bCs/>
                <w:color w:val="000000"/>
                <w:szCs w:val="16"/>
              </w:rPr>
            </w:pPr>
            <w:r>
              <w:rPr>
                <w:b/>
                <w:bCs/>
                <w:color w:val="000000"/>
                <w:szCs w:val="16"/>
              </w:rPr>
              <w:t>Итого по государственному сектору (</w:t>
            </w:r>
            <w:r>
              <w:rPr>
                <w:b/>
                <w:bCs/>
                <w:color w:val="000000"/>
                <w:szCs w:val="16"/>
                <w:lang w:val="en-US"/>
              </w:rPr>
              <w:t>I</w:t>
            </w:r>
            <w:r>
              <w:rPr>
                <w:b/>
                <w:bCs/>
                <w:color w:val="000000"/>
                <w:szCs w:val="16"/>
              </w:rPr>
              <w:t>+</w:t>
            </w:r>
            <w:r>
              <w:rPr>
                <w:b/>
                <w:bCs/>
                <w:color w:val="000000"/>
                <w:szCs w:val="16"/>
                <w:lang w:val="en-US"/>
              </w:rPr>
              <w:t>II</w:t>
            </w:r>
            <w:r>
              <w:rPr>
                <w:b/>
                <w:bCs/>
                <w:color w:val="000000"/>
                <w:szCs w:val="16"/>
              </w:rPr>
              <w:t>)</w:t>
            </w:r>
          </w:p>
        </w:tc>
        <w:tc>
          <w:tcPr>
            <w:tcW w:w="1750" w:type="dxa"/>
          </w:tcPr>
          <w:p w:rsidR="00000000" w:rsidRDefault="00000000">
            <w:pPr>
              <w:autoSpaceDE w:val="0"/>
              <w:autoSpaceDN w:val="0"/>
              <w:adjustRightInd w:val="0"/>
              <w:rPr>
                <w:b/>
                <w:bCs/>
                <w:color w:val="000000"/>
                <w:szCs w:val="26"/>
              </w:rPr>
            </w:pPr>
            <w:r>
              <w:rPr>
                <w:b/>
                <w:bCs/>
                <w:color w:val="000000"/>
                <w:szCs w:val="26"/>
              </w:rPr>
              <w:t>2 258 131 262,5</w:t>
            </w:r>
          </w:p>
        </w:tc>
        <w:tc>
          <w:tcPr>
            <w:tcW w:w="1741" w:type="dxa"/>
          </w:tcPr>
          <w:p w:rsidR="00000000" w:rsidRDefault="00000000">
            <w:pPr>
              <w:autoSpaceDE w:val="0"/>
              <w:autoSpaceDN w:val="0"/>
              <w:adjustRightInd w:val="0"/>
              <w:jc w:val="center"/>
              <w:rPr>
                <w:b/>
                <w:bCs/>
                <w:color w:val="000000"/>
                <w:szCs w:val="26"/>
              </w:rPr>
            </w:pPr>
            <w:r>
              <w:rPr>
                <w:b/>
                <w:bCs/>
                <w:color w:val="000000"/>
                <w:szCs w:val="26"/>
              </w:rPr>
              <w:t>2 258 131 262,5</w:t>
            </w:r>
          </w:p>
        </w:tc>
      </w:tr>
    </w:tbl>
    <w:p w:rsidR="00000000" w:rsidRDefault="00000000">
      <w:pPr>
        <w:spacing w:line="240" w:lineRule="auto"/>
        <w:rPr>
          <w:sz w:val="16"/>
        </w:rPr>
      </w:pPr>
    </w:p>
    <w:p w:rsidR="00000000" w:rsidRDefault="00000000">
      <w:pPr>
        <w:spacing w:line="240" w:lineRule="auto"/>
        <w:rPr>
          <w:color w:val="000000"/>
          <w:szCs w:val="16"/>
        </w:rPr>
      </w:pPr>
      <w:r>
        <w:tab/>
      </w:r>
      <w:r>
        <w:rPr>
          <w:i/>
          <w:iCs/>
        </w:rPr>
        <w:t>Источник:</w:t>
      </w:r>
      <w:r>
        <w:t xml:space="preserve">  Браузер системы управления задолженностью и финансового анализа (версия 2.0), справка, полученная 1 февраля 2006 года в 11 час. 05 мин.  Обменный курс по состоянию на 30 декабря 2005 года, предварительные данные.</w:t>
      </w:r>
    </w:p>
    <w:p w:rsidR="00000000" w:rsidRDefault="00000000">
      <w:pPr>
        <w:spacing w:line="240" w:lineRule="auto"/>
        <w:rPr>
          <w:color w:val="000000"/>
          <w:sz w:val="16"/>
          <w:szCs w:val="16"/>
        </w:rPr>
      </w:pPr>
    </w:p>
    <w:p w:rsidR="00000000" w:rsidRDefault="00000000">
      <w:pPr>
        <w:spacing w:line="240" w:lineRule="auto"/>
        <w:rPr>
          <w:color w:val="000000"/>
          <w:szCs w:val="16"/>
        </w:rPr>
      </w:pPr>
      <w:r>
        <w:rPr>
          <w:color w:val="000000"/>
          <w:szCs w:val="16"/>
        </w:rPr>
        <w:tab/>
      </w:r>
      <w:r>
        <w:rPr>
          <w:i/>
          <w:iCs/>
          <w:color w:val="000000"/>
          <w:szCs w:val="16"/>
        </w:rPr>
        <w:t>Примечание:</w:t>
      </w:r>
      <w:r>
        <w:rPr>
          <w:color w:val="000000"/>
          <w:szCs w:val="16"/>
        </w:rPr>
        <w:t xml:space="preserve">  Непокрытое сальдо складывается из выплаченных и подлежащих возмещению сумм и просроченных и неоплаченных обязательств.</w:t>
      </w:r>
    </w:p>
    <w:p w:rsidR="00000000" w:rsidRDefault="00000000">
      <w:pPr>
        <w:spacing w:line="240" w:lineRule="auto"/>
        <w:rPr>
          <w:color w:val="000000"/>
          <w:sz w:val="16"/>
          <w:szCs w:val="16"/>
        </w:rPr>
      </w:pPr>
    </w:p>
    <w:p w:rsidR="00000000" w:rsidRDefault="00000000">
      <w:pPr>
        <w:spacing w:line="240" w:lineRule="auto"/>
        <w:ind w:left="567"/>
        <w:rPr>
          <w:color w:val="000000"/>
          <w:szCs w:val="16"/>
        </w:rPr>
      </w:pPr>
      <w:r>
        <w:rPr>
          <w:color w:val="000000"/>
          <w:szCs w:val="16"/>
        </w:rPr>
        <w:t>Должник:  любое лицо, взявшее на себя по договору обязательство вернуть кредит.</w:t>
      </w:r>
    </w:p>
    <w:p w:rsidR="00000000" w:rsidRDefault="00000000">
      <w:pPr>
        <w:spacing w:line="240" w:lineRule="auto"/>
        <w:ind w:left="567"/>
        <w:rPr>
          <w:color w:val="000000"/>
          <w:sz w:val="16"/>
          <w:szCs w:val="16"/>
        </w:rPr>
      </w:pPr>
    </w:p>
    <w:p w:rsidR="00000000" w:rsidRDefault="00000000">
      <w:pPr>
        <w:spacing w:line="240" w:lineRule="auto"/>
        <w:ind w:left="567"/>
        <w:rPr>
          <w:color w:val="000000"/>
          <w:szCs w:val="16"/>
        </w:rPr>
      </w:pPr>
      <w:r>
        <w:rPr>
          <w:color w:val="000000"/>
          <w:szCs w:val="16"/>
        </w:rPr>
        <w:t>Плательщик:  любое лицо, берущее на себя обязательство погасить задолженность.</w:t>
      </w:r>
    </w:p>
    <w:p w:rsidR="00000000" w:rsidRDefault="00000000">
      <w:pPr>
        <w:spacing w:line="240" w:lineRule="auto"/>
        <w:ind w:left="567"/>
        <w:rPr>
          <w:color w:val="000000"/>
          <w:sz w:val="16"/>
          <w:szCs w:val="16"/>
        </w:rPr>
      </w:pPr>
    </w:p>
    <w:p w:rsidR="00000000" w:rsidRDefault="00000000">
      <w:pPr>
        <w:spacing w:line="240" w:lineRule="auto"/>
      </w:pPr>
      <w:r>
        <w:rPr>
          <w:b/>
          <w:bCs/>
        </w:rPr>
        <w:t>*</w:t>
      </w:r>
      <w:r>
        <w:tab/>
        <w:t>В министерстве финансов центральной администрации сюда включаются платежи, произведенные с выставлением счета другим государственным предприятиям, которые не входят в центральную администрацию.</w:t>
      </w:r>
    </w:p>
    <w:p w:rsidR="00000000" w:rsidRDefault="00000000">
      <w:pPr>
        <w:spacing w:line="240" w:lineRule="auto"/>
        <w:rPr>
          <w:sz w:val="16"/>
        </w:rPr>
      </w:pPr>
    </w:p>
    <w:p w:rsidR="00000000" w:rsidRDefault="00000000">
      <w:pPr>
        <w:spacing w:line="240" w:lineRule="auto"/>
      </w:pPr>
      <w:r>
        <w:rPr>
          <w:b/>
          <w:bCs/>
        </w:rPr>
        <w:t>**</w:t>
      </w:r>
      <w:r>
        <w:tab/>
        <w:t>Исключая кредиты, полученные АНДЕ у Банка Бразилии (по состоянию на 31 декабря 2003 года сальдо составляет сумму в 66,7 млн. долл. США) и у Национального банка Аргентины.  По состоянию на 31 декабря 2003 года сальдо составляет сумму в 48,3 долл. США для целей объединения капиталов бразильско-парагвайского и аргентинско-парагвайского предприятий в Итайпу и Ясирете.</w:t>
      </w:r>
    </w:p>
    <w:p w:rsidR="00000000" w:rsidRDefault="00000000">
      <w:pPr>
        <w:rPr>
          <w:sz w:val="16"/>
        </w:rPr>
      </w:pPr>
    </w:p>
    <w:p w:rsidR="00000000" w:rsidRDefault="00000000">
      <w:pPr>
        <w:spacing w:line="240" w:lineRule="auto"/>
      </w:pPr>
      <w:r>
        <w:rPr>
          <w:b/>
          <w:bCs/>
          <w:vertAlign w:val="superscript"/>
        </w:rPr>
        <w:t>1</w:t>
      </w:r>
      <w:r>
        <w:rPr>
          <w:b/>
          <w:bCs/>
        </w:rPr>
        <w:tab/>
      </w:r>
      <w:r>
        <w:t>Задолженность на льготных условиях:  "Чайнатраст" - 200 000 000 долл. США - Промышленный и коммерческий банк Китая:  200 000 000 долл. США.</w:t>
      </w:r>
    </w:p>
    <w:p w:rsidR="00000000" w:rsidRDefault="00000000"/>
    <w:p w:rsidR="00000000" w:rsidRDefault="00000000">
      <w:r>
        <w:t>41.</w:t>
      </w:r>
      <w:r>
        <w:tab/>
        <w:t>На основе предоставленных тем же учреждением обновленных данных о внешнем государственном долге можно выделить следующие совокупные показатели.</w:t>
      </w:r>
    </w:p>
    <w:p w:rsidR="00000000" w:rsidRDefault="00000000"/>
    <w:p w:rsidR="00000000" w:rsidRDefault="00000000">
      <w:pPr>
        <w:jc w:val="center"/>
        <w:rPr>
          <w:b/>
          <w:bCs/>
        </w:rPr>
      </w:pPr>
      <w:r>
        <w:rPr>
          <w:b/>
          <w:bCs/>
          <w:lang w:val="en-US"/>
        </w:rPr>
        <w:t>F</w:t>
      </w:r>
      <w:r>
        <w:rPr>
          <w:b/>
          <w:bCs/>
        </w:rPr>
        <w:t>.</w:t>
      </w:r>
      <w:r>
        <w:rPr>
          <w:b/>
          <w:bCs/>
        </w:rPr>
        <w:tab/>
        <w:t>Показатели в области культуры</w:t>
      </w:r>
      <w:r>
        <w:rPr>
          <w:rStyle w:val="FootnoteReference"/>
        </w:rPr>
        <w:footnoteReference w:id="8"/>
      </w:r>
    </w:p>
    <w:p w:rsidR="00000000" w:rsidRDefault="00000000">
      <w:pPr>
        <w:jc w:val="center"/>
        <w:rPr>
          <w:b/>
          <w:bCs/>
        </w:rPr>
      </w:pPr>
    </w:p>
    <w:p w:rsidR="00000000" w:rsidRDefault="00000000">
      <w:pPr>
        <w:rPr>
          <w:b/>
          <w:bCs/>
        </w:rPr>
      </w:pPr>
      <w:r>
        <w:rPr>
          <w:b/>
          <w:bCs/>
        </w:rPr>
        <w:t>1.</w:t>
      </w:r>
      <w:r>
        <w:rPr>
          <w:b/>
          <w:bCs/>
        </w:rPr>
        <w:tab/>
        <w:t>Показатель охвата школьным образованием</w:t>
      </w:r>
    </w:p>
    <w:p w:rsidR="00000000" w:rsidRDefault="00000000">
      <w:pPr>
        <w:rPr>
          <w:b/>
          <w:bCs/>
        </w:rPr>
      </w:pPr>
    </w:p>
    <w:p w:rsidR="00000000" w:rsidRDefault="00000000">
      <w:r>
        <w:t>42.</w:t>
      </w:r>
      <w:r>
        <w:tab/>
        <w:t>Общие показатели охвата начальным и средним образованием (в городских и сельских районах) называются "валовым и чистым коэффициентом охвата школьным образованием".  Соответствующие данные приводятся в таблице ниже.</w:t>
      </w:r>
    </w:p>
    <w:p w:rsidR="00000000" w:rsidRDefault="00000000"/>
    <w:p w:rsidR="00000000" w:rsidRDefault="00000000">
      <w:pPr>
        <w:jc w:val="center"/>
        <w:rPr>
          <w:b/>
          <w:bCs/>
        </w:rPr>
      </w:pPr>
      <w:r>
        <w:rPr>
          <w:b/>
          <w:bCs/>
        </w:rPr>
        <w:t xml:space="preserve">Валовые и чистые коэффициенты охвата школьным образованием </w:t>
      </w:r>
    </w:p>
    <w:p w:rsidR="00000000" w:rsidRDefault="00000000">
      <w:pPr>
        <w:jc w:val="center"/>
        <w:rPr>
          <w:b/>
          <w:bCs/>
        </w:rPr>
      </w:pPr>
      <w:r>
        <w:rPr>
          <w:b/>
          <w:bCs/>
        </w:rPr>
        <w:t>с разбивкой по уровням и районам, 1994</w:t>
      </w:r>
      <w:r>
        <w:rPr>
          <w:b/>
          <w:bCs/>
        </w:rPr>
        <w:noBreakHyphen/>
        <w:t>2000 годы</w:t>
      </w:r>
    </w:p>
    <w:p w:rsidR="00000000" w:rsidRDefault="00000000">
      <w:pPr>
        <w:jc w:val="center"/>
      </w:pPr>
      <w:r>
        <w:t>(в процентах)</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6"/>
        <w:gridCol w:w="1084"/>
        <w:gridCol w:w="1084"/>
        <w:gridCol w:w="1084"/>
        <w:gridCol w:w="1084"/>
        <w:gridCol w:w="1084"/>
        <w:gridCol w:w="1084"/>
        <w:gridCol w:w="1002"/>
        <w:gridCol w:w="1002"/>
      </w:tblGrid>
      <w:tr w:rsidR="00000000">
        <w:tblPrEx>
          <w:tblCellMar>
            <w:top w:w="0" w:type="dxa"/>
            <w:bottom w:w="0" w:type="dxa"/>
          </w:tblCellMar>
        </w:tblPrEx>
        <w:trPr>
          <w:cantSplit/>
        </w:trPr>
        <w:tc>
          <w:tcPr>
            <w:tcW w:w="987" w:type="dxa"/>
            <w:vMerge w:val="restart"/>
            <w:vAlign w:val="center"/>
          </w:tcPr>
          <w:p w:rsidR="00000000" w:rsidRDefault="00000000">
            <w:pPr>
              <w:jc w:val="center"/>
              <w:rPr>
                <w:b/>
                <w:bCs/>
                <w:sz w:val="22"/>
              </w:rPr>
            </w:pPr>
            <w:r>
              <w:rPr>
                <w:b/>
                <w:bCs/>
                <w:sz w:val="22"/>
              </w:rPr>
              <w:t>Год</w:t>
            </w:r>
          </w:p>
        </w:tc>
        <w:tc>
          <w:tcPr>
            <w:tcW w:w="4336" w:type="dxa"/>
            <w:gridSpan w:val="4"/>
            <w:vAlign w:val="center"/>
          </w:tcPr>
          <w:p w:rsidR="00000000" w:rsidRDefault="00000000">
            <w:pPr>
              <w:jc w:val="center"/>
              <w:rPr>
                <w:b/>
                <w:bCs/>
                <w:sz w:val="22"/>
              </w:rPr>
            </w:pPr>
            <w:r>
              <w:rPr>
                <w:b/>
                <w:bCs/>
                <w:sz w:val="22"/>
              </w:rPr>
              <w:t>Начальное школьное образование</w:t>
            </w:r>
          </w:p>
        </w:tc>
        <w:tc>
          <w:tcPr>
            <w:tcW w:w="4172" w:type="dxa"/>
            <w:gridSpan w:val="4"/>
            <w:vAlign w:val="center"/>
          </w:tcPr>
          <w:p w:rsidR="00000000" w:rsidRDefault="00000000">
            <w:pPr>
              <w:jc w:val="center"/>
              <w:rPr>
                <w:b/>
                <w:bCs/>
                <w:sz w:val="22"/>
              </w:rPr>
            </w:pPr>
            <w:r>
              <w:rPr>
                <w:b/>
                <w:bCs/>
                <w:sz w:val="22"/>
              </w:rPr>
              <w:t>Среднее образование</w:t>
            </w:r>
          </w:p>
        </w:tc>
      </w:tr>
      <w:tr w:rsidR="00000000">
        <w:tblPrEx>
          <w:tblCellMar>
            <w:top w:w="0" w:type="dxa"/>
            <w:bottom w:w="0" w:type="dxa"/>
          </w:tblCellMar>
        </w:tblPrEx>
        <w:trPr>
          <w:cantSplit/>
          <w:trHeight w:val="246"/>
        </w:trPr>
        <w:tc>
          <w:tcPr>
            <w:tcW w:w="987" w:type="dxa"/>
            <w:vMerge/>
            <w:vAlign w:val="center"/>
          </w:tcPr>
          <w:p w:rsidR="00000000" w:rsidRDefault="00000000">
            <w:pPr>
              <w:jc w:val="center"/>
              <w:rPr>
                <w:b/>
                <w:bCs/>
                <w:sz w:val="22"/>
              </w:rPr>
            </w:pPr>
          </w:p>
        </w:tc>
        <w:tc>
          <w:tcPr>
            <w:tcW w:w="2168" w:type="dxa"/>
            <w:gridSpan w:val="2"/>
            <w:vAlign w:val="center"/>
          </w:tcPr>
          <w:p w:rsidR="00000000" w:rsidRDefault="00000000">
            <w:pPr>
              <w:jc w:val="center"/>
              <w:rPr>
                <w:b/>
                <w:bCs/>
                <w:sz w:val="22"/>
              </w:rPr>
            </w:pPr>
            <w:r>
              <w:rPr>
                <w:b/>
                <w:bCs/>
                <w:sz w:val="22"/>
              </w:rPr>
              <w:t>Городские районы</w:t>
            </w:r>
          </w:p>
        </w:tc>
        <w:tc>
          <w:tcPr>
            <w:tcW w:w="2168" w:type="dxa"/>
            <w:gridSpan w:val="2"/>
            <w:vAlign w:val="center"/>
          </w:tcPr>
          <w:p w:rsidR="00000000" w:rsidRDefault="00000000">
            <w:pPr>
              <w:jc w:val="center"/>
              <w:rPr>
                <w:b/>
                <w:bCs/>
                <w:sz w:val="22"/>
              </w:rPr>
            </w:pPr>
            <w:r>
              <w:rPr>
                <w:b/>
                <w:bCs/>
                <w:sz w:val="22"/>
              </w:rPr>
              <w:t>Сельские районы</w:t>
            </w:r>
          </w:p>
        </w:tc>
        <w:tc>
          <w:tcPr>
            <w:tcW w:w="2168" w:type="dxa"/>
            <w:gridSpan w:val="2"/>
            <w:vAlign w:val="center"/>
          </w:tcPr>
          <w:p w:rsidR="00000000" w:rsidRDefault="00000000">
            <w:pPr>
              <w:jc w:val="center"/>
              <w:rPr>
                <w:b/>
                <w:bCs/>
                <w:sz w:val="22"/>
              </w:rPr>
            </w:pPr>
            <w:r>
              <w:rPr>
                <w:b/>
                <w:bCs/>
                <w:sz w:val="22"/>
              </w:rPr>
              <w:t>Городские районы</w:t>
            </w:r>
          </w:p>
        </w:tc>
        <w:tc>
          <w:tcPr>
            <w:tcW w:w="2004" w:type="dxa"/>
            <w:gridSpan w:val="2"/>
            <w:vAlign w:val="center"/>
          </w:tcPr>
          <w:p w:rsidR="00000000" w:rsidRDefault="00000000">
            <w:pPr>
              <w:jc w:val="center"/>
              <w:rPr>
                <w:b/>
                <w:bCs/>
                <w:sz w:val="22"/>
              </w:rPr>
            </w:pPr>
            <w:r>
              <w:rPr>
                <w:b/>
                <w:bCs/>
                <w:sz w:val="22"/>
              </w:rPr>
              <w:t>Сельские районы</w:t>
            </w:r>
          </w:p>
        </w:tc>
      </w:tr>
      <w:tr w:rsidR="00000000">
        <w:tblPrEx>
          <w:tblCellMar>
            <w:top w:w="0" w:type="dxa"/>
            <w:bottom w:w="0" w:type="dxa"/>
          </w:tblCellMar>
        </w:tblPrEx>
        <w:trPr>
          <w:cantSplit/>
        </w:trPr>
        <w:tc>
          <w:tcPr>
            <w:tcW w:w="987" w:type="dxa"/>
            <w:vMerge/>
          </w:tcPr>
          <w:p w:rsidR="00000000" w:rsidRDefault="00000000">
            <w:pPr>
              <w:jc w:val="center"/>
              <w:rPr>
                <w:sz w:val="22"/>
              </w:rPr>
            </w:pPr>
          </w:p>
        </w:tc>
        <w:tc>
          <w:tcPr>
            <w:tcW w:w="1084" w:type="dxa"/>
          </w:tcPr>
          <w:p w:rsidR="00000000" w:rsidRDefault="00000000">
            <w:pPr>
              <w:jc w:val="center"/>
              <w:rPr>
                <w:b/>
                <w:bCs/>
                <w:sz w:val="22"/>
              </w:rPr>
            </w:pPr>
            <w:r>
              <w:rPr>
                <w:b/>
                <w:bCs/>
                <w:sz w:val="22"/>
              </w:rPr>
              <w:t>Валовой коэффи-циент</w:t>
            </w:r>
          </w:p>
        </w:tc>
        <w:tc>
          <w:tcPr>
            <w:tcW w:w="1084" w:type="dxa"/>
          </w:tcPr>
          <w:p w:rsidR="00000000" w:rsidRDefault="00000000">
            <w:pPr>
              <w:jc w:val="center"/>
              <w:rPr>
                <w:b/>
                <w:bCs/>
                <w:sz w:val="22"/>
              </w:rPr>
            </w:pPr>
            <w:r>
              <w:rPr>
                <w:b/>
                <w:bCs/>
                <w:sz w:val="22"/>
              </w:rPr>
              <w:t>Чистый коэффи-циент</w:t>
            </w:r>
          </w:p>
        </w:tc>
        <w:tc>
          <w:tcPr>
            <w:tcW w:w="1084" w:type="dxa"/>
          </w:tcPr>
          <w:p w:rsidR="00000000" w:rsidRDefault="00000000">
            <w:pPr>
              <w:jc w:val="center"/>
              <w:rPr>
                <w:b/>
                <w:bCs/>
                <w:sz w:val="22"/>
              </w:rPr>
            </w:pPr>
            <w:r>
              <w:rPr>
                <w:b/>
                <w:bCs/>
                <w:sz w:val="22"/>
              </w:rPr>
              <w:t>Валовой коэффи-циент</w:t>
            </w:r>
          </w:p>
        </w:tc>
        <w:tc>
          <w:tcPr>
            <w:tcW w:w="1084" w:type="dxa"/>
          </w:tcPr>
          <w:p w:rsidR="00000000" w:rsidRDefault="00000000">
            <w:pPr>
              <w:jc w:val="center"/>
              <w:rPr>
                <w:b/>
                <w:bCs/>
                <w:sz w:val="22"/>
              </w:rPr>
            </w:pPr>
            <w:r>
              <w:rPr>
                <w:b/>
                <w:bCs/>
                <w:sz w:val="22"/>
              </w:rPr>
              <w:t>Чистый коэффи-циент</w:t>
            </w:r>
          </w:p>
        </w:tc>
        <w:tc>
          <w:tcPr>
            <w:tcW w:w="1084" w:type="dxa"/>
          </w:tcPr>
          <w:p w:rsidR="00000000" w:rsidRDefault="00000000">
            <w:pPr>
              <w:jc w:val="center"/>
              <w:rPr>
                <w:b/>
                <w:bCs/>
                <w:sz w:val="22"/>
              </w:rPr>
            </w:pPr>
            <w:r>
              <w:rPr>
                <w:b/>
                <w:bCs/>
                <w:sz w:val="22"/>
              </w:rPr>
              <w:t>Валовой коэффи-циент</w:t>
            </w:r>
          </w:p>
        </w:tc>
        <w:tc>
          <w:tcPr>
            <w:tcW w:w="1084" w:type="dxa"/>
          </w:tcPr>
          <w:p w:rsidR="00000000" w:rsidRDefault="00000000">
            <w:pPr>
              <w:jc w:val="center"/>
              <w:rPr>
                <w:b/>
                <w:bCs/>
                <w:sz w:val="22"/>
              </w:rPr>
            </w:pPr>
            <w:r>
              <w:rPr>
                <w:b/>
                <w:bCs/>
                <w:sz w:val="22"/>
              </w:rPr>
              <w:t>Чистый коэффи-циент</w:t>
            </w:r>
          </w:p>
        </w:tc>
        <w:tc>
          <w:tcPr>
            <w:tcW w:w="1002" w:type="dxa"/>
          </w:tcPr>
          <w:p w:rsidR="00000000" w:rsidRDefault="00000000">
            <w:pPr>
              <w:jc w:val="center"/>
              <w:rPr>
                <w:b/>
                <w:bCs/>
                <w:sz w:val="22"/>
              </w:rPr>
            </w:pPr>
            <w:r>
              <w:rPr>
                <w:b/>
                <w:bCs/>
                <w:sz w:val="22"/>
              </w:rPr>
              <w:t>Валовой коэффи-циент</w:t>
            </w:r>
          </w:p>
        </w:tc>
        <w:tc>
          <w:tcPr>
            <w:tcW w:w="1002" w:type="dxa"/>
          </w:tcPr>
          <w:p w:rsidR="00000000" w:rsidRDefault="00000000">
            <w:pPr>
              <w:jc w:val="center"/>
              <w:rPr>
                <w:b/>
                <w:bCs/>
                <w:sz w:val="22"/>
              </w:rPr>
            </w:pPr>
            <w:r>
              <w:rPr>
                <w:b/>
                <w:bCs/>
                <w:sz w:val="22"/>
              </w:rPr>
              <w:t>Чистый коэффи-циент</w:t>
            </w:r>
          </w:p>
        </w:tc>
      </w:tr>
      <w:tr w:rsidR="00000000">
        <w:tblPrEx>
          <w:tblCellMar>
            <w:top w:w="0" w:type="dxa"/>
            <w:bottom w:w="0" w:type="dxa"/>
          </w:tblCellMar>
        </w:tblPrEx>
        <w:tc>
          <w:tcPr>
            <w:tcW w:w="987" w:type="dxa"/>
          </w:tcPr>
          <w:p w:rsidR="00000000" w:rsidRDefault="00000000">
            <w:pPr>
              <w:jc w:val="center"/>
              <w:rPr>
                <w:sz w:val="22"/>
              </w:rPr>
            </w:pPr>
            <w:r>
              <w:rPr>
                <w:sz w:val="22"/>
              </w:rPr>
              <w:t>1994</w:t>
            </w:r>
          </w:p>
        </w:tc>
        <w:tc>
          <w:tcPr>
            <w:tcW w:w="1084" w:type="dxa"/>
          </w:tcPr>
          <w:p w:rsidR="00000000" w:rsidRDefault="00000000">
            <w:pPr>
              <w:jc w:val="center"/>
              <w:rPr>
                <w:sz w:val="22"/>
              </w:rPr>
            </w:pPr>
            <w:r>
              <w:rPr>
                <w:sz w:val="22"/>
              </w:rPr>
              <w:t>133</w:t>
            </w:r>
          </w:p>
        </w:tc>
        <w:tc>
          <w:tcPr>
            <w:tcW w:w="1084" w:type="dxa"/>
          </w:tcPr>
          <w:p w:rsidR="00000000" w:rsidRDefault="00000000">
            <w:pPr>
              <w:jc w:val="center"/>
              <w:rPr>
                <w:sz w:val="22"/>
              </w:rPr>
            </w:pPr>
            <w:r>
              <w:rPr>
                <w:sz w:val="22"/>
              </w:rPr>
              <w:t>69</w:t>
            </w:r>
          </w:p>
        </w:tc>
        <w:tc>
          <w:tcPr>
            <w:tcW w:w="1084" w:type="dxa"/>
          </w:tcPr>
          <w:p w:rsidR="00000000" w:rsidRDefault="00000000">
            <w:pPr>
              <w:jc w:val="center"/>
              <w:rPr>
                <w:sz w:val="22"/>
              </w:rPr>
            </w:pPr>
            <w:r>
              <w:rPr>
                <w:sz w:val="22"/>
              </w:rPr>
              <w:t>127</w:t>
            </w:r>
          </w:p>
        </w:tc>
        <w:tc>
          <w:tcPr>
            <w:tcW w:w="1084" w:type="dxa"/>
          </w:tcPr>
          <w:p w:rsidR="00000000" w:rsidRDefault="00000000">
            <w:pPr>
              <w:jc w:val="center"/>
              <w:rPr>
                <w:sz w:val="22"/>
              </w:rPr>
            </w:pPr>
            <w:r>
              <w:rPr>
                <w:sz w:val="22"/>
              </w:rPr>
              <w:t>56</w:t>
            </w:r>
          </w:p>
        </w:tc>
        <w:tc>
          <w:tcPr>
            <w:tcW w:w="1084" w:type="dxa"/>
          </w:tcPr>
          <w:p w:rsidR="00000000" w:rsidRDefault="00000000">
            <w:pPr>
              <w:jc w:val="center"/>
              <w:rPr>
                <w:sz w:val="22"/>
              </w:rPr>
            </w:pPr>
            <w:r>
              <w:rPr>
                <w:sz w:val="22"/>
              </w:rPr>
              <w:t>45</w:t>
            </w:r>
          </w:p>
        </w:tc>
        <w:tc>
          <w:tcPr>
            <w:tcW w:w="1084" w:type="dxa"/>
          </w:tcPr>
          <w:p w:rsidR="00000000" w:rsidRDefault="00000000">
            <w:pPr>
              <w:jc w:val="center"/>
              <w:rPr>
                <w:sz w:val="22"/>
              </w:rPr>
            </w:pPr>
            <w:r>
              <w:rPr>
                <w:sz w:val="22"/>
              </w:rPr>
              <w:t>33</w:t>
            </w:r>
          </w:p>
        </w:tc>
        <w:tc>
          <w:tcPr>
            <w:tcW w:w="1002" w:type="dxa"/>
          </w:tcPr>
          <w:p w:rsidR="00000000" w:rsidRDefault="00000000">
            <w:pPr>
              <w:jc w:val="right"/>
              <w:rPr>
                <w:sz w:val="22"/>
              </w:rPr>
            </w:pPr>
            <w:r>
              <w:rPr>
                <w:sz w:val="22"/>
              </w:rPr>
              <w:t>6</w:t>
            </w:r>
          </w:p>
        </w:tc>
        <w:tc>
          <w:tcPr>
            <w:tcW w:w="1002" w:type="dxa"/>
          </w:tcPr>
          <w:p w:rsidR="00000000" w:rsidRDefault="00000000">
            <w:pPr>
              <w:jc w:val="right"/>
              <w:rPr>
                <w:sz w:val="22"/>
              </w:rPr>
            </w:pPr>
            <w:r>
              <w:rPr>
                <w:sz w:val="22"/>
              </w:rPr>
              <w:t>4</w:t>
            </w:r>
          </w:p>
        </w:tc>
      </w:tr>
      <w:tr w:rsidR="00000000">
        <w:tblPrEx>
          <w:tblCellMar>
            <w:top w:w="0" w:type="dxa"/>
            <w:bottom w:w="0" w:type="dxa"/>
          </w:tblCellMar>
        </w:tblPrEx>
        <w:tc>
          <w:tcPr>
            <w:tcW w:w="987" w:type="dxa"/>
          </w:tcPr>
          <w:p w:rsidR="00000000" w:rsidRDefault="00000000">
            <w:pPr>
              <w:jc w:val="center"/>
              <w:rPr>
                <w:sz w:val="22"/>
              </w:rPr>
            </w:pPr>
            <w:r>
              <w:rPr>
                <w:sz w:val="22"/>
              </w:rPr>
              <w:t>1995</w:t>
            </w:r>
          </w:p>
        </w:tc>
        <w:tc>
          <w:tcPr>
            <w:tcW w:w="1084" w:type="dxa"/>
          </w:tcPr>
          <w:p w:rsidR="00000000" w:rsidRDefault="00000000">
            <w:pPr>
              <w:jc w:val="center"/>
              <w:rPr>
                <w:sz w:val="22"/>
              </w:rPr>
            </w:pPr>
            <w:r>
              <w:rPr>
                <w:sz w:val="22"/>
              </w:rPr>
              <w:t>125</w:t>
            </w:r>
          </w:p>
        </w:tc>
        <w:tc>
          <w:tcPr>
            <w:tcW w:w="1084" w:type="dxa"/>
          </w:tcPr>
          <w:p w:rsidR="00000000" w:rsidRDefault="00000000">
            <w:pPr>
              <w:jc w:val="center"/>
              <w:rPr>
                <w:sz w:val="22"/>
              </w:rPr>
            </w:pPr>
            <w:r>
              <w:rPr>
                <w:sz w:val="22"/>
              </w:rPr>
              <w:t>76</w:t>
            </w:r>
          </w:p>
        </w:tc>
        <w:tc>
          <w:tcPr>
            <w:tcW w:w="1084" w:type="dxa"/>
          </w:tcPr>
          <w:p w:rsidR="00000000" w:rsidRDefault="00000000">
            <w:pPr>
              <w:jc w:val="center"/>
              <w:rPr>
                <w:sz w:val="22"/>
              </w:rPr>
            </w:pPr>
            <w:r>
              <w:rPr>
                <w:sz w:val="22"/>
              </w:rPr>
              <w:t>122</w:t>
            </w:r>
          </w:p>
        </w:tc>
        <w:tc>
          <w:tcPr>
            <w:tcW w:w="1084" w:type="dxa"/>
          </w:tcPr>
          <w:p w:rsidR="00000000" w:rsidRDefault="00000000">
            <w:pPr>
              <w:jc w:val="center"/>
              <w:rPr>
                <w:sz w:val="22"/>
              </w:rPr>
            </w:pPr>
            <w:r>
              <w:rPr>
                <w:sz w:val="22"/>
              </w:rPr>
              <w:t>61</w:t>
            </w:r>
          </w:p>
        </w:tc>
        <w:tc>
          <w:tcPr>
            <w:tcW w:w="1084" w:type="dxa"/>
          </w:tcPr>
          <w:p w:rsidR="00000000" w:rsidRDefault="00000000">
            <w:pPr>
              <w:jc w:val="center"/>
              <w:rPr>
                <w:sz w:val="22"/>
              </w:rPr>
            </w:pPr>
            <w:r>
              <w:rPr>
                <w:sz w:val="22"/>
              </w:rPr>
              <w:t>49</w:t>
            </w:r>
          </w:p>
        </w:tc>
        <w:tc>
          <w:tcPr>
            <w:tcW w:w="1084" w:type="dxa"/>
          </w:tcPr>
          <w:p w:rsidR="00000000" w:rsidRDefault="00000000">
            <w:pPr>
              <w:jc w:val="center"/>
              <w:rPr>
                <w:sz w:val="22"/>
              </w:rPr>
            </w:pPr>
            <w:r>
              <w:rPr>
                <w:sz w:val="22"/>
              </w:rPr>
              <w:t>36</w:t>
            </w:r>
          </w:p>
        </w:tc>
        <w:tc>
          <w:tcPr>
            <w:tcW w:w="1002" w:type="dxa"/>
          </w:tcPr>
          <w:p w:rsidR="00000000" w:rsidRDefault="00000000">
            <w:pPr>
              <w:jc w:val="right"/>
              <w:rPr>
                <w:sz w:val="22"/>
              </w:rPr>
            </w:pPr>
            <w:r>
              <w:rPr>
                <w:sz w:val="22"/>
              </w:rPr>
              <w:t>7</w:t>
            </w:r>
          </w:p>
        </w:tc>
        <w:tc>
          <w:tcPr>
            <w:tcW w:w="1002" w:type="dxa"/>
          </w:tcPr>
          <w:p w:rsidR="00000000" w:rsidRDefault="00000000">
            <w:pPr>
              <w:jc w:val="right"/>
              <w:rPr>
                <w:sz w:val="22"/>
              </w:rPr>
            </w:pPr>
            <w:r>
              <w:rPr>
                <w:sz w:val="22"/>
              </w:rPr>
              <w:t>5</w:t>
            </w:r>
          </w:p>
        </w:tc>
      </w:tr>
      <w:tr w:rsidR="00000000">
        <w:tblPrEx>
          <w:tblCellMar>
            <w:top w:w="0" w:type="dxa"/>
            <w:bottom w:w="0" w:type="dxa"/>
          </w:tblCellMar>
        </w:tblPrEx>
        <w:tc>
          <w:tcPr>
            <w:tcW w:w="987" w:type="dxa"/>
          </w:tcPr>
          <w:p w:rsidR="00000000" w:rsidRDefault="00000000">
            <w:pPr>
              <w:jc w:val="center"/>
              <w:rPr>
                <w:sz w:val="22"/>
              </w:rPr>
            </w:pPr>
            <w:r>
              <w:rPr>
                <w:sz w:val="22"/>
              </w:rPr>
              <w:t>1996</w:t>
            </w:r>
          </w:p>
        </w:tc>
        <w:tc>
          <w:tcPr>
            <w:tcW w:w="1084" w:type="dxa"/>
          </w:tcPr>
          <w:p w:rsidR="00000000" w:rsidRDefault="00000000">
            <w:pPr>
              <w:jc w:val="center"/>
              <w:rPr>
                <w:sz w:val="22"/>
              </w:rPr>
            </w:pPr>
            <w:r>
              <w:rPr>
                <w:sz w:val="22"/>
              </w:rPr>
              <w:t>120</w:t>
            </w:r>
          </w:p>
        </w:tc>
        <w:tc>
          <w:tcPr>
            <w:tcW w:w="1084" w:type="dxa"/>
          </w:tcPr>
          <w:p w:rsidR="00000000" w:rsidRDefault="00000000">
            <w:pPr>
              <w:jc w:val="center"/>
              <w:rPr>
                <w:sz w:val="22"/>
              </w:rPr>
            </w:pPr>
            <w:r>
              <w:rPr>
                <w:sz w:val="22"/>
              </w:rPr>
              <w:t>78</w:t>
            </w:r>
          </w:p>
        </w:tc>
        <w:tc>
          <w:tcPr>
            <w:tcW w:w="1084" w:type="dxa"/>
          </w:tcPr>
          <w:p w:rsidR="00000000" w:rsidRDefault="00000000">
            <w:pPr>
              <w:jc w:val="center"/>
              <w:rPr>
                <w:sz w:val="22"/>
              </w:rPr>
            </w:pPr>
            <w:r>
              <w:rPr>
                <w:sz w:val="22"/>
              </w:rPr>
              <w:t>123</w:t>
            </w:r>
          </w:p>
        </w:tc>
        <w:tc>
          <w:tcPr>
            <w:tcW w:w="1084" w:type="dxa"/>
          </w:tcPr>
          <w:p w:rsidR="00000000" w:rsidRDefault="00000000">
            <w:pPr>
              <w:jc w:val="center"/>
              <w:rPr>
                <w:sz w:val="22"/>
              </w:rPr>
            </w:pPr>
            <w:r>
              <w:rPr>
                <w:sz w:val="22"/>
              </w:rPr>
              <w:t>66</w:t>
            </w:r>
          </w:p>
        </w:tc>
        <w:tc>
          <w:tcPr>
            <w:tcW w:w="1084" w:type="dxa"/>
          </w:tcPr>
          <w:p w:rsidR="00000000" w:rsidRDefault="00000000">
            <w:pPr>
              <w:jc w:val="center"/>
              <w:rPr>
                <w:sz w:val="22"/>
              </w:rPr>
            </w:pPr>
            <w:r>
              <w:rPr>
                <w:sz w:val="22"/>
              </w:rPr>
              <w:t>54</w:t>
            </w:r>
          </w:p>
        </w:tc>
        <w:tc>
          <w:tcPr>
            <w:tcW w:w="1084" w:type="dxa"/>
          </w:tcPr>
          <w:p w:rsidR="00000000" w:rsidRDefault="00000000">
            <w:pPr>
              <w:jc w:val="center"/>
              <w:rPr>
                <w:sz w:val="22"/>
              </w:rPr>
            </w:pPr>
            <w:r>
              <w:rPr>
                <w:sz w:val="22"/>
              </w:rPr>
              <w:t>40</w:t>
            </w:r>
          </w:p>
        </w:tc>
        <w:tc>
          <w:tcPr>
            <w:tcW w:w="1002" w:type="dxa"/>
          </w:tcPr>
          <w:p w:rsidR="00000000" w:rsidRDefault="00000000">
            <w:pPr>
              <w:jc w:val="right"/>
              <w:rPr>
                <w:sz w:val="22"/>
              </w:rPr>
            </w:pPr>
            <w:r>
              <w:rPr>
                <w:sz w:val="22"/>
              </w:rPr>
              <w:t>9</w:t>
            </w:r>
          </w:p>
        </w:tc>
        <w:tc>
          <w:tcPr>
            <w:tcW w:w="1002" w:type="dxa"/>
          </w:tcPr>
          <w:p w:rsidR="00000000" w:rsidRDefault="00000000">
            <w:pPr>
              <w:jc w:val="right"/>
              <w:rPr>
                <w:sz w:val="22"/>
              </w:rPr>
            </w:pPr>
            <w:r>
              <w:rPr>
                <w:sz w:val="22"/>
              </w:rPr>
              <w:t>6</w:t>
            </w:r>
          </w:p>
        </w:tc>
      </w:tr>
      <w:tr w:rsidR="00000000">
        <w:tblPrEx>
          <w:tblCellMar>
            <w:top w:w="0" w:type="dxa"/>
            <w:bottom w:w="0" w:type="dxa"/>
          </w:tblCellMar>
        </w:tblPrEx>
        <w:tc>
          <w:tcPr>
            <w:tcW w:w="987" w:type="dxa"/>
          </w:tcPr>
          <w:p w:rsidR="00000000" w:rsidRDefault="00000000">
            <w:pPr>
              <w:jc w:val="center"/>
              <w:rPr>
                <w:sz w:val="22"/>
              </w:rPr>
            </w:pPr>
            <w:r>
              <w:rPr>
                <w:sz w:val="22"/>
              </w:rPr>
              <w:t>1997</w:t>
            </w:r>
          </w:p>
        </w:tc>
        <w:tc>
          <w:tcPr>
            <w:tcW w:w="1084" w:type="dxa"/>
          </w:tcPr>
          <w:p w:rsidR="00000000" w:rsidRDefault="00000000">
            <w:pPr>
              <w:jc w:val="center"/>
              <w:rPr>
                <w:sz w:val="22"/>
              </w:rPr>
            </w:pPr>
            <w:r>
              <w:rPr>
                <w:sz w:val="22"/>
              </w:rPr>
              <w:t>124</w:t>
            </w:r>
          </w:p>
        </w:tc>
        <w:tc>
          <w:tcPr>
            <w:tcW w:w="1084" w:type="dxa"/>
          </w:tcPr>
          <w:p w:rsidR="00000000" w:rsidRDefault="00000000">
            <w:pPr>
              <w:jc w:val="center"/>
              <w:rPr>
                <w:sz w:val="22"/>
              </w:rPr>
            </w:pPr>
            <w:r>
              <w:rPr>
                <w:sz w:val="22"/>
              </w:rPr>
              <w:t>77</w:t>
            </w:r>
          </w:p>
        </w:tc>
        <w:tc>
          <w:tcPr>
            <w:tcW w:w="1084" w:type="dxa"/>
          </w:tcPr>
          <w:p w:rsidR="00000000" w:rsidRDefault="00000000">
            <w:pPr>
              <w:jc w:val="center"/>
              <w:rPr>
                <w:sz w:val="22"/>
              </w:rPr>
            </w:pPr>
            <w:r>
              <w:rPr>
                <w:sz w:val="22"/>
              </w:rPr>
              <w:t>122</w:t>
            </w:r>
          </w:p>
        </w:tc>
        <w:tc>
          <w:tcPr>
            <w:tcW w:w="1084" w:type="dxa"/>
          </w:tcPr>
          <w:p w:rsidR="00000000" w:rsidRDefault="00000000">
            <w:pPr>
              <w:jc w:val="center"/>
              <w:rPr>
                <w:sz w:val="22"/>
              </w:rPr>
            </w:pPr>
            <w:r>
              <w:rPr>
                <w:sz w:val="22"/>
              </w:rPr>
              <w:t>65</w:t>
            </w:r>
          </w:p>
        </w:tc>
        <w:tc>
          <w:tcPr>
            <w:tcW w:w="1084" w:type="dxa"/>
          </w:tcPr>
          <w:p w:rsidR="00000000" w:rsidRDefault="00000000">
            <w:pPr>
              <w:jc w:val="center"/>
              <w:rPr>
                <w:sz w:val="22"/>
              </w:rPr>
            </w:pPr>
            <w:r>
              <w:rPr>
                <w:sz w:val="22"/>
              </w:rPr>
              <w:t>57</w:t>
            </w:r>
          </w:p>
        </w:tc>
        <w:tc>
          <w:tcPr>
            <w:tcW w:w="1084" w:type="dxa"/>
          </w:tcPr>
          <w:p w:rsidR="00000000" w:rsidRDefault="00000000">
            <w:pPr>
              <w:jc w:val="center"/>
              <w:rPr>
                <w:sz w:val="22"/>
              </w:rPr>
            </w:pPr>
            <w:r>
              <w:rPr>
                <w:sz w:val="22"/>
              </w:rPr>
              <w:t>44</w:t>
            </w:r>
          </w:p>
        </w:tc>
        <w:tc>
          <w:tcPr>
            <w:tcW w:w="1002" w:type="dxa"/>
          </w:tcPr>
          <w:p w:rsidR="00000000" w:rsidRDefault="00000000">
            <w:pPr>
              <w:jc w:val="right"/>
              <w:rPr>
                <w:sz w:val="22"/>
              </w:rPr>
            </w:pPr>
            <w:r>
              <w:rPr>
                <w:sz w:val="22"/>
              </w:rPr>
              <w:t>9</w:t>
            </w:r>
          </w:p>
        </w:tc>
        <w:tc>
          <w:tcPr>
            <w:tcW w:w="1002" w:type="dxa"/>
          </w:tcPr>
          <w:p w:rsidR="00000000" w:rsidRDefault="00000000">
            <w:pPr>
              <w:jc w:val="right"/>
              <w:rPr>
                <w:sz w:val="22"/>
              </w:rPr>
            </w:pPr>
            <w:r>
              <w:rPr>
                <w:sz w:val="22"/>
              </w:rPr>
              <w:t>6</w:t>
            </w:r>
          </w:p>
        </w:tc>
      </w:tr>
      <w:tr w:rsidR="00000000">
        <w:tblPrEx>
          <w:tblCellMar>
            <w:top w:w="0" w:type="dxa"/>
            <w:bottom w:w="0" w:type="dxa"/>
          </w:tblCellMar>
        </w:tblPrEx>
        <w:tc>
          <w:tcPr>
            <w:tcW w:w="987" w:type="dxa"/>
          </w:tcPr>
          <w:p w:rsidR="00000000" w:rsidRDefault="00000000">
            <w:pPr>
              <w:jc w:val="center"/>
              <w:rPr>
                <w:sz w:val="22"/>
              </w:rPr>
            </w:pPr>
            <w:r>
              <w:rPr>
                <w:sz w:val="22"/>
              </w:rPr>
              <w:t>1998</w:t>
            </w:r>
          </w:p>
        </w:tc>
        <w:tc>
          <w:tcPr>
            <w:tcW w:w="1084" w:type="dxa"/>
          </w:tcPr>
          <w:p w:rsidR="00000000" w:rsidRDefault="00000000">
            <w:pPr>
              <w:jc w:val="center"/>
              <w:rPr>
                <w:sz w:val="22"/>
              </w:rPr>
            </w:pPr>
            <w:r>
              <w:rPr>
                <w:sz w:val="22"/>
              </w:rPr>
              <w:t>124</w:t>
            </w:r>
          </w:p>
        </w:tc>
        <w:tc>
          <w:tcPr>
            <w:tcW w:w="1084" w:type="dxa"/>
          </w:tcPr>
          <w:p w:rsidR="00000000" w:rsidRDefault="00000000">
            <w:pPr>
              <w:jc w:val="center"/>
              <w:rPr>
                <w:sz w:val="22"/>
              </w:rPr>
            </w:pPr>
            <w:r>
              <w:rPr>
                <w:sz w:val="22"/>
              </w:rPr>
              <w:t>77</w:t>
            </w:r>
          </w:p>
        </w:tc>
        <w:tc>
          <w:tcPr>
            <w:tcW w:w="1084" w:type="dxa"/>
          </w:tcPr>
          <w:p w:rsidR="00000000" w:rsidRDefault="00000000">
            <w:pPr>
              <w:jc w:val="center"/>
              <w:rPr>
                <w:sz w:val="22"/>
              </w:rPr>
            </w:pPr>
            <w:r>
              <w:rPr>
                <w:sz w:val="22"/>
              </w:rPr>
              <w:t>121</w:t>
            </w:r>
          </w:p>
        </w:tc>
        <w:tc>
          <w:tcPr>
            <w:tcW w:w="1084" w:type="dxa"/>
          </w:tcPr>
          <w:p w:rsidR="00000000" w:rsidRDefault="00000000">
            <w:pPr>
              <w:jc w:val="center"/>
              <w:rPr>
                <w:sz w:val="22"/>
              </w:rPr>
            </w:pPr>
            <w:r>
              <w:rPr>
                <w:sz w:val="22"/>
              </w:rPr>
              <w:t>65</w:t>
            </w:r>
          </w:p>
        </w:tc>
        <w:tc>
          <w:tcPr>
            <w:tcW w:w="1084" w:type="dxa"/>
          </w:tcPr>
          <w:p w:rsidR="00000000" w:rsidRDefault="00000000">
            <w:pPr>
              <w:jc w:val="center"/>
              <w:rPr>
                <w:sz w:val="22"/>
              </w:rPr>
            </w:pPr>
            <w:r>
              <w:rPr>
                <w:sz w:val="22"/>
              </w:rPr>
              <w:t>60</w:t>
            </w:r>
          </w:p>
        </w:tc>
        <w:tc>
          <w:tcPr>
            <w:tcW w:w="1084" w:type="dxa"/>
          </w:tcPr>
          <w:p w:rsidR="00000000" w:rsidRDefault="00000000">
            <w:pPr>
              <w:jc w:val="center"/>
              <w:rPr>
                <w:sz w:val="22"/>
              </w:rPr>
            </w:pPr>
            <w:r>
              <w:rPr>
                <w:sz w:val="22"/>
              </w:rPr>
              <w:t>45</w:t>
            </w:r>
          </w:p>
        </w:tc>
        <w:tc>
          <w:tcPr>
            <w:tcW w:w="1002" w:type="dxa"/>
          </w:tcPr>
          <w:p w:rsidR="00000000" w:rsidRDefault="00000000">
            <w:pPr>
              <w:jc w:val="right"/>
              <w:rPr>
                <w:sz w:val="22"/>
              </w:rPr>
            </w:pPr>
            <w:r>
              <w:rPr>
                <w:sz w:val="22"/>
              </w:rPr>
              <w:t>12</w:t>
            </w:r>
          </w:p>
        </w:tc>
        <w:tc>
          <w:tcPr>
            <w:tcW w:w="1002" w:type="dxa"/>
          </w:tcPr>
          <w:p w:rsidR="00000000" w:rsidRDefault="00000000">
            <w:pPr>
              <w:jc w:val="right"/>
              <w:rPr>
                <w:sz w:val="22"/>
              </w:rPr>
            </w:pPr>
            <w:r>
              <w:rPr>
                <w:sz w:val="22"/>
              </w:rPr>
              <w:t>8</w:t>
            </w:r>
          </w:p>
        </w:tc>
      </w:tr>
      <w:tr w:rsidR="00000000">
        <w:tblPrEx>
          <w:tblCellMar>
            <w:top w:w="0" w:type="dxa"/>
            <w:bottom w:w="0" w:type="dxa"/>
          </w:tblCellMar>
        </w:tblPrEx>
        <w:tc>
          <w:tcPr>
            <w:tcW w:w="987" w:type="dxa"/>
          </w:tcPr>
          <w:p w:rsidR="00000000" w:rsidRDefault="00000000">
            <w:pPr>
              <w:jc w:val="center"/>
              <w:rPr>
                <w:sz w:val="22"/>
              </w:rPr>
            </w:pPr>
            <w:r>
              <w:rPr>
                <w:sz w:val="22"/>
              </w:rPr>
              <w:t>1999</w:t>
            </w:r>
          </w:p>
        </w:tc>
        <w:tc>
          <w:tcPr>
            <w:tcW w:w="1084" w:type="dxa"/>
          </w:tcPr>
          <w:p w:rsidR="00000000" w:rsidRDefault="00000000">
            <w:pPr>
              <w:jc w:val="center"/>
              <w:rPr>
                <w:sz w:val="22"/>
              </w:rPr>
            </w:pPr>
            <w:r>
              <w:rPr>
                <w:sz w:val="22"/>
              </w:rPr>
              <w:t>118</w:t>
            </w:r>
          </w:p>
        </w:tc>
        <w:tc>
          <w:tcPr>
            <w:tcW w:w="1084" w:type="dxa"/>
          </w:tcPr>
          <w:p w:rsidR="00000000" w:rsidRDefault="00000000">
            <w:pPr>
              <w:jc w:val="center"/>
              <w:rPr>
                <w:sz w:val="22"/>
              </w:rPr>
            </w:pPr>
            <w:r>
              <w:rPr>
                <w:sz w:val="22"/>
              </w:rPr>
              <w:t>73</w:t>
            </w:r>
          </w:p>
        </w:tc>
        <w:tc>
          <w:tcPr>
            <w:tcW w:w="1084" w:type="dxa"/>
          </w:tcPr>
          <w:p w:rsidR="00000000" w:rsidRDefault="00000000">
            <w:pPr>
              <w:jc w:val="center"/>
              <w:rPr>
                <w:sz w:val="22"/>
              </w:rPr>
            </w:pPr>
            <w:r>
              <w:rPr>
                <w:sz w:val="22"/>
              </w:rPr>
              <w:t>119</w:t>
            </w:r>
          </w:p>
        </w:tc>
        <w:tc>
          <w:tcPr>
            <w:tcW w:w="1084" w:type="dxa"/>
          </w:tcPr>
          <w:p w:rsidR="00000000" w:rsidRDefault="00000000">
            <w:pPr>
              <w:jc w:val="center"/>
              <w:rPr>
                <w:sz w:val="22"/>
              </w:rPr>
            </w:pPr>
            <w:r>
              <w:rPr>
                <w:sz w:val="22"/>
              </w:rPr>
              <w:t>63</w:t>
            </w:r>
          </w:p>
        </w:tc>
        <w:tc>
          <w:tcPr>
            <w:tcW w:w="1084" w:type="dxa"/>
          </w:tcPr>
          <w:p w:rsidR="00000000" w:rsidRDefault="00000000">
            <w:pPr>
              <w:jc w:val="center"/>
              <w:rPr>
                <w:sz w:val="22"/>
              </w:rPr>
            </w:pPr>
            <w:r>
              <w:rPr>
                <w:sz w:val="22"/>
              </w:rPr>
              <w:t>63</w:t>
            </w:r>
          </w:p>
        </w:tc>
        <w:tc>
          <w:tcPr>
            <w:tcW w:w="1084" w:type="dxa"/>
          </w:tcPr>
          <w:p w:rsidR="00000000" w:rsidRDefault="00000000">
            <w:pPr>
              <w:jc w:val="center"/>
              <w:rPr>
                <w:sz w:val="22"/>
              </w:rPr>
            </w:pPr>
            <w:r>
              <w:rPr>
                <w:sz w:val="22"/>
              </w:rPr>
              <w:t>48</w:t>
            </w:r>
          </w:p>
        </w:tc>
        <w:tc>
          <w:tcPr>
            <w:tcW w:w="1002" w:type="dxa"/>
          </w:tcPr>
          <w:p w:rsidR="00000000" w:rsidRDefault="00000000">
            <w:pPr>
              <w:jc w:val="right"/>
              <w:rPr>
                <w:sz w:val="22"/>
              </w:rPr>
            </w:pPr>
            <w:r>
              <w:rPr>
                <w:sz w:val="22"/>
              </w:rPr>
              <w:t>14</w:t>
            </w:r>
          </w:p>
        </w:tc>
        <w:tc>
          <w:tcPr>
            <w:tcW w:w="1002" w:type="dxa"/>
          </w:tcPr>
          <w:p w:rsidR="00000000" w:rsidRDefault="00000000">
            <w:pPr>
              <w:jc w:val="right"/>
              <w:rPr>
                <w:sz w:val="22"/>
              </w:rPr>
            </w:pPr>
            <w:r>
              <w:rPr>
                <w:sz w:val="22"/>
              </w:rPr>
              <w:t>10</w:t>
            </w:r>
          </w:p>
        </w:tc>
      </w:tr>
      <w:tr w:rsidR="00000000">
        <w:tblPrEx>
          <w:tblCellMar>
            <w:top w:w="0" w:type="dxa"/>
            <w:bottom w:w="0" w:type="dxa"/>
          </w:tblCellMar>
        </w:tblPrEx>
        <w:tc>
          <w:tcPr>
            <w:tcW w:w="987" w:type="dxa"/>
          </w:tcPr>
          <w:p w:rsidR="00000000" w:rsidRDefault="00000000">
            <w:pPr>
              <w:jc w:val="center"/>
              <w:rPr>
                <w:sz w:val="22"/>
              </w:rPr>
            </w:pPr>
            <w:r>
              <w:rPr>
                <w:sz w:val="22"/>
              </w:rPr>
              <w:t>2000</w:t>
            </w:r>
          </w:p>
        </w:tc>
        <w:tc>
          <w:tcPr>
            <w:tcW w:w="1084" w:type="dxa"/>
          </w:tcPr>
          <w:p w:rsidR="00000000" w:rsidRDefault="00000000">
            <w:pPr>
              <w:jc w:val="center"/>
              <w:rPr>
                <w:sz w:val="22"/>
              </w:rPr>
            </w:pPr>
            <w:r>
              <w:rPr>
                <w:sz w:val="22"/>
              </w:rPr>
              <w:t>108</w:t>
            </w:r>
          </w:p>
        </w:tc>
        <w:tc>
          <w:tcPr>
            <w:tcW w:w="1084" w:type="dxa"/>
          </w:tcPr>
          <w:p w:rsidR="00000000" w:rsidRDefault="00000000">
            <w:pPr>
              <w:jc w:val="center"/>
              <w:rPr>
                <w:sz w:val="22"/>
              </w:rPr>
            </w:pPr>
            <w:r>
              <w:rPr>
                <w:sz w:val="22"/>
              </w:rPr>
              <w:t>70</w:t>
            </w:r>
          </w:p>
        </w:tc>
        <w:tc>
          <w:tcPr>
            <w:tcW w:w="1084" w:type="dxa"/>
          </w:tcPr>
          <w:p w:rsidR="00000000" w:rsidRDefault="00000000">
            <w:pPr>
              <w:jc w:val="center"/>
              <w:rPr>
                <w:sz w:val="22"/>
              </w:rPr>
            </w:pPr>
            <w:r>
              <w:rPr>
                <w:sz w:val="22"/>
              </w:rPr>
              <w:t>123</w:t>
            </w:r>
          </w:p>
        </w:tc>
        <w:tc>
          <w:tcPr>
            <w:tcW w:w="1084" w:type="dxa"/>
          </w:tcPr>
          <w:p w:rsidR="00000000" w:rsidRDefault="00000000">
            <w:pPr>
              <w:jc w:val="center"/>
              <w:rPr>
                <w:sz w:val="22"/>
              </w:rPr>
            </w:pPr>
            <w:r>
              <w:rPr>
                <w:sz w:val="22"/>
              </w:rPr>
              <w:t>68</w:t>
            </w:r>
          </w:p>
        </w:tc>
        <w:tc>
          <w:tcPr>
            <w:tcW w:w="1084" w:type="dxa"/>
          </w:tcPr>
          <w:p w:rsidR="00000000" w:rsidRDefault="00000000">
            <w:pPr>
              <w:jc w:val="center"/>
              <w:rPr>
                <w:sz w:val="22"/>
              </w:rPr>
            </w:pPr>
            <w:r>
              <w:rPr>
                <w:sz w:val="22"/>
              </w:rPr>
              <w:t>63</w:t>
            </w:r>
          </w:p>
        </w:tc>
        <w:tc>
          <w:tcPr>
            <w:tcW w:w="1084" w:type="dxa"/>
          </w:tcPr>
          <w:p w:rsidR="00000000" w:rsidRDefault="00000000">
            <w:pPr>
              <w:jc w:val="center"/>
              <w:rPr>
                <w:sz w:val="22"/>
              </w:rPr>
            </w:pPr>
            <w:r>
              <w:rPr>
                <w:sz w:val="22"/>
              </w:rPr>
              <w:t>49</w:t>
            </w:r>
          </w:p>
        </w:tc>
        <w:tc>
          <w:tcPr>
            <w:tcW w:w="1002" w:type="dxa"/>
          </w:tcPr>
          <w:p w:rsidR="00000000" w:rsidRDefault="00000000">
            <w:pPr>
              <w:jc w:val="right"/>
              <w:rPr>
                <w:sz w:val="22"/>
              </w:rPr>
            </w:pPr>
            <w:r>
              <w:rPr>
                <w:sz w:val="22"/>
              </w:rPr>
              <w:t>18</w:t>
            </w:r>
          </w:p>
        </w:tc>
        <w:tc>
          <w:tcPr>
            <w:tcW w:w="1002" w:type="dxa"/>
          </w:tcPr>
          <w:p w:rsidR="00000000" w:rsidRDefault="00000000">
            <w:pPr>
              <w:jc w:val="right"/>
              <w:rPr>
                <w:sz w:val="22"/>
              </w:rPr>
            </w:pPr>
            <w:r>
              <w:rPr>
                <w:sz w:val="22"/>
              </w:rPr>
              <w:t>12</w:t>
            </w:r>
          </w:p>
        </w:tc>
      </w:tr>
    </w:tbl>
    <w:p w:rsidR="00000000" w:rsidRDefault="00000000"/>
    <w:p w:rsidR="00000000" w:rsidRDefault="00000000">
      <w:r>
        <w:rPr>
          <w:i/>
          <w:iCs/>
        </w:rPr>
        <w:t xml:space="preserve">Источник:  </w:t>
      </w:r>
      <w:r>
        <w:t>Министерство просвещения и культуры (МПК), Главное управление по вопросам планирования в сфере просвещения и культуры (ГУППК).</w:t>
      </w:r>
    </w:p>
    <w:p w:rsidR="00000000" w:rsidRDefault="00000000"/>
    <w:p w:rsidR="00000000" w:rsidRDefault="00000000">
      <w:r>
        <w:rPr>
          <w:i/>
          <w:iCs/>
        </w:rPr>
        <w:t>Примечание</w:t>
      </w:r>
      <w:r>
        <w:t>:  Управление по вопросам планирования в сфере просвещения и культуры министерства просвещения и культуры не смогло подготовить данные по валовому и чистому коэффициенту с разбивкой по районам (за 2001</w:t>
      </w:r>
      <w:r>
        <w:noBreakHyphen/>
        <w:t>2005 годы) из</w:t>
      </w:r>
      <w:r>
        <w:noBreakHyphen/>
        <w:t>за отсутствия оценок численности населения по простым возрастным структурам и географическим районам.  (Упомянутая информация обрабатывается Главным управлением статистики, опросов и переписи населения.)</w:t>
      </w:r>
    </w:p>
    <w:p w:rsidR="00000000" w:rsidRDefault="00000000"/>
    <w:p w:rsidR="00000000" w:rsidRDefault="00000000">
      <w:pPr>
        <w:keepNext/>
        <w:rPr>
          <w:b/>
          <w:bCs/>
        </w:rPr>
      </w:pPr>
      <w:r>
        <w:tab/>
      </w:r>
      <w:r>
        <w:rPr>
          <w:b/>
          <w:bCs/>
        </w:rPr>
        <w:t>1.2</w:t>
      </w:r>
      <w:r>
        <w:rPr>
          <w:b/>
          <w:bCs/>
        </w:rPr>
        <w:tab/>
        <w:t>Начальное школьное образование</w:t>
      </w:r>
    </w:p>
    <w:p w:rsidR="00000000" w:rsidRDefault="00000000">
      <w:pPr>
        <w:keepNext/>
        <w:rPr>
          <w:b/>
          <w:bCs/>
        </w:rPr>
      </w:pPr>
    </w:p>
    <w:p w:rsidR="00000000" w:rsidRDefault="00000000">
      <w:pPr>
        <w:keepNext/>
      </w:pPr>
      <w:r>
        <w:t>43.</w:t>
      </w:r>
      <w:r>
        <w:tab/>
        <w:t>В отношении всего рассматриваемого периода валовой коэффициент превышает 100%, в связи с чем необходимо иметь в виду то обстоятельство, что базовая информация основывается на оценках численности населения, при этом отмечается большое число тех учеников, которые остаются на второй или третий год, это характерно для всей системы.  В отношении чистого коэффициента можно отметить, что в 1994 году он составлял 69%, в то время как в последующие годы этот коэффициент имел тенденцию к увеличению.</w:t>
      </w:r>
    </w:p>
    <w:p w:rsidR="00000000" w:rsidRDefault="00000000"/>
    <w:p w:rsidR="00000000" w:rsidRDefault="00000000">
      <w:pPr>
        <w:rPr>
          <w:b/>
          <w:bCs/>
        </w:rPr>
      </w:pPr>
      <w:r>
        <w:rPr>
          <w:b/>
          <w:bCs/>
        </w:rPr>
        <w:tab/>
        <w:t>1.3</w:t>
      </w:r>
      <w:r>
        <w:rPr>
          <w:b/>
          <w:bCs/>
        </w:rPr>
        <w:tab/>
        <w:t>Среднее образование</w:t>
      </w:r>
    </w:p>
    <w:p w:rsidR="00000000" w:rsidRDefault="00000000">
      <w:pPr>
        <w:rPr>
          <w:b/>
          <w:bCs/>
        </w:rPr>
      </w:pPr>
    </w:p>
    <w:p w:rsidR="00000000" w:rsidRDefault="00000000">
      <w:r>
        <w:t>44.</w:t>
      </w:r>
      <w:r>
        <w:tab/>
        <w:t>В 1994</w:t>
      </w:r>
      <w:r>
        <w:noBreakHyphen/>
        <w:t>2005 годах валовой коэффициент и чистый коэффициент охвата школьным образованием увеличились соответственно на 22 и 18 процентных пунктов, однако на этом уровне охват оставался недостаточным, принимая во внимание то обстоятельство, что эти коэффициенты были по</w:t>
      </w:r>
      <w:r>
        <w:noBreakHyphen/>
        <w:t>прежнему ниже 45% в масштабах всей страны.  Разбивка данных об охвате по районам проживания показывает, что уровень охвата образованием в сельских районах гораздо ниже, чем в городских районах, поэтому валовой коэффициент в городских районах растет быстрее, чем в сельских.  Разница в охвате между районами в пользу городских районов может объясняться, с одной стороны, процессами внутренней миграции и урбанизации, а с другой стороны, наличием в сельских районах менее широких возможностей для получения образования.  Ниже приводится краткое изложение статистических данных.</w:t>
      </w:r>
    </w:p>
    <w:p w:rsidR="00000000" w:rsidRDefault="00000000"/>
    <w:p w:rsidR="00000000" w:rsidRDefault="00000000">
      <w:pPr>
        <w:spacing w:beforeLines="40" w:before="96" w:afterLines="40" w:after="96"/>
        <w:jc w:val="center"/>
        <w:rPr>
          <w:b/>
          <w:bCs/>
          <w:szCs w:val="28"/>
        </w:rPr>
      </w:pPr>
      <w:r>
        <w:rPr>
          <w:b/>
          <w:bCs/>
          <w:szCs w:val="28"/>
        </w:rPr>
        <w:t>Расширение охвата школьным образованием с разбивкой по районам, уровню образования и/или учебному циклу, 1994</w:t>
      </w:r>
      <w:r>
        <w:rPr>
          <w:b/>
          <w:bCs/>
          <w:szCs w:val="28"/>
        </w:rPr>
        <w:noBreakHyphen/>
        <w:t>2006 годы</w:t>
      </w:r>
    </w:p>
    <w:p w:rsidR="00000000" w:rsidRDefault="00000000">
      <w:pPr>
        <w:rPr>
          <w:i/>
          <w:iCs/>
        </w:rPr>
      </w:pP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46"/>
        <w:gridCol w:w="924"/>
        <w:gridCol w:w="1022"/>
        <w:gridCol w:w="1148"/>
        <w:gridCol w:w="1050"/>
        <w:gridCol w:w="909"/>
        <w:gridCol w:w="1022"/>
        <w:gridCol w:w="1122"/>
        <w:gridCol w:w="935"/>
      </w:tblGrid>
      <w:tr w:rsidR="00000000">
        <w:tblPrEx>
          <w:tblCellMar>
            <w:top w:w="0" w:type="dxa"/>
            <w:bottom w:w="0" w:type="dxa"/>
          </w:tblCellMar>
        </w:tblPrEx>
        <w:trPr>
          <w:cantSplit/>
        </w:trPr>
        <w:tc>
          <w:tcPr>
            <w:tcW w:w="1246" w:type="dxa"/>
            <w:vMerge w:val="restart"/>
            <w:vAlign w:val="center"/>
          </w:tcPr>
          <w:p w:rsidR="00000000" w:rsidRDefault="00000000">
            <w:pPr>
              <w:spacing w:line="240" w:lineRule="auto"/>
              <w:jc w:val="center"/>
              <w:rPr>
                <w:b/>
                <w:bCs/>
                <w:spacing w:val="-14"/>
                <w:sz w:val="18"/>
              </w:rPr>
            </w:pPr>
            <w:r>
              <w:rPr>
                <w:b/>
                <w:bCs/>
                <w:spacing w:val="-14"/>
                <w:sz w:val="18"/>
              </w:rPr>
              <w:t>Год</w:t>
            </w:r>
          </w:p>
        </w:tc>
        <w:tc>
          <w:tcPr>
            <w:tcW w:w="4144" w:type="dxa"/>
            <w:gridSpan w:val="4"/>
            <w:vAlign w:val="center"/>
          </w:tcPr>
          <w:p w:rsidR="00000000" w:rsidRDefault="00000000">
            <w:pPr>
              <w:spacing w:line="240" w:lineRule="auto"/>
              <w:jc w:val="center"/>
              <w:rPr>
                <w:b/>
                <w:bCs/>
                <w:spacing w:val="-14"/>
                <w:sz w:val="18"/>
              </w:rPr>
            </w:pPr>
            <w:r>
              <w:rPr>
                <w:b/>
                <w:bCs/>
                <w:spacing w:val="-14"/>
                <w:sz w:val="18"/>
              </w:rPr>
              <w:t>Городские районы</w:t>
            </w:r>
          </w:p>
        </w:tc>
        <w:tc>
          <w:tcPr>
            <w:tcW w:w="3988" w:type="dxa"/>
            <w:gridSpan w:val="4"/>
            <w:vAlign w:val="center"/>
          </w:tcPr>
          <w:p w:rsidR="00000000" w:rsidRDefault="00000000">
            <w:pPr>
              <w:spacing w:line="240" w:lineRule="auto"/>
              <w:jc w:val="center"/>
              <w:rPr>
                <w:b/>
                <w:bCs/>
                <w:spacing w:val="-14"/>
                <w:sz w:val="18"/>
              </w:rPr>
            </w:pPr>
            <w:r>
              <w:rPr>
                <w:b/>
                <w:bCs/>
                <w:spacing w:val="-14"/>
                <w:sz w:val="18"/>
              </w:rPr>
              <w:t>Сельские районы</w:t>
            </w:r>
          </w:p>
        </w:tc>
      </w:tr>
      <w:tr w:rsidR="00000000">
        <w:tblPrEx>
          <w:tblCellMar>
            <w:top w:w="0" w:type="dxa"/>
            <w:bottom w:w="0" w:type="dxa"/>
          </w:tblCellMar>
        </w:tblPrEx>
        <w:trPr>
          <w:cantSplit/>
        </w:trPr>
        <w:tc>
          <w:tcPr>
            <w:tcW w:w="1246" w:type="dxa"/>
            <w:vMerge/>
          </w:tcPr>
          <w:p w:rsidR="00000000" w:rsidRDefault="00000000">
            <w:pPr>
              <w:spacing w:line="240" w:lineRule="auto"/>
              <w:jc w:val="center"/>
              <w:rPr>
                <w:b/>
                <w:bCs/>
                <w:spacing w:val="-14"/>
                <w:sz w:val="18"/>
              </w:rPr>
            </w:pPr>
          </w:p>
        </w:tc>
        <w:tc>
          <w:tcPr>
            <w:tcW w:w="924" w:type="dxa"/>
            <w:vAlign w:val="center"/>
          </w:tcPr>
          <w:p w:rsidR="00000000" w:rsidRDefault="00000000">
            <w:pPr>
              <w:spacing w:line="240" w:lineRule="auto"/>
              <w:jc w:val="center"/>
              <w:rPr>
                <w:b/>
                <w:bCs/>
                <w:spacing w:val="-14"/>
                <w:sz w:val="18"/>
              </w:rPr>
            </w:pPr>
            <w:r>
              <w:rPr>
                <w:b/>
                <w:bCs/>
                <w:spacing w:val="-14"/>
                <w:sz w:val="18"/>
              </w:rPr>
              <w:t>Дошколь-ное образование</w:t>
            </w:r>
          </w:p>
        </w:tc>
        <w:tc>
          <w:tcPr>
            <w:tcW w:w="1022" w:type="dxa"/>
            <w:vAlign w:val="center"/>
          </w:tcPr>
          <w:p w:rsidR="00000000" w:rsidRDefault="00000000">
            <w:pPr>
              <w:spacing w:line="240" w:lineRule="auto"/>
              <w:jc w:val="center"/>
              <w:rPr>
                <w:b/>
                <w:bCs/>
                <w:spacing w:val="-14"/>
                <w:sz w:val="18"/>
              </w:rPr>
            </w:pPr>
            <w:r>
              <w:rPr>
                <w:b/>
                <w:bCs/>
                <w:spacing w:val="-14"/>
                <w:sz w:val="18"/>
              </w:rPr>
              <w:t>Базовое школьное образование</w:t>
            </w:r>
          </w:p>
          <w:p w:rsidR="00000000" w:rsidRDefault="00000000">
            <w:pPr>
              <w:spacing w:line="240" w:lineRule="auto"/>
              <w:jc w:val="center"/>
              <w:rPr>
                <w:b/>
                <w:bCs/>
                <w:spacing w:val="-14"/>
                <w:sz w:val="18"/>
              </w:rPr>
            </w:pPr>
            <w:r>
              <w:rPr>
                <w:b/>
                <w:bCs/>
                <w:spacing w:val="-14"/>
                <w:sz w:val="18"/>
              </w:rPr>
              <w:t>1 и 2 циклов (начальный уровень)</w:t>
            </w:r>
          </w:p>
        </w:tc>
        <w:tc>
          <w:tcPr>
            <w:tcW w:w="1148" w:type="dxa"/>
            <w:vAlign w:val="center"/>
          </w:tcPr>
          <w:p w:rsidR="00000000" w:rsidRDefault="00000000">
            <w:pPr>
              <w:spacing w:line="240" w:lineRule="auto"/>
              <w:jc w:val="center"/>
              <w:rPr>
                <w:b/>
                <w:bCs/>
                <w:spacing w:val="-14"/>
                <w:sz w:val="18"/>
              </w:rPr>
            </w:pPr>
            <w:r>
              <w:rPr>
                <w:b/>
                <w:bCs/>
                <w:spacing w:val="-14"/>
                <w:sz w:val="18"/>
              </w:rPr>
              <w:t xml:space="preserve">Базовое школьное образование </w:t>
            </w:r>
          </w:p>
          <w:p w:rsidR="00000000" w:rsidRDefault="00000000">
            <w:pPr>
              <w:spacing w:line="240" w:lineRule="auto"/>
              <w:jc w:val="center"/>
              <w:rPr>
                <w:b/>
                <w:bCs/>
                <w:spacing w:val="-14"/>
                <w:sz w:val="18"/>
              </w:rPr>
            </w:pPr>
            <w:r>
              <w:rPr>
                <w:b/>
                <w:bCs/>
                <w:spacing w:val="-14"/>
                <w:sz w:val="18"/>
              </w:rPr>
              <w:t>3 цикла (базовый цикл)</w:t>
            </w:r>
          </w:p>
        </w:tc>
        <w:tc>
          <w:tcPr>
            <w:tcW w:w="1050" w:type="dxa"/>
            <w:vAlign w:val="center"/>
          </w:tcPr>
          <w:p w:rsidR="00000000" w:rsidRDefault="00000000">
            <w:pPr>
              <w:spacing w:line="240" w:lineRule="auto"/>
              <w:jc w:val="center"/>
              <w:rPr>
                <w:b/>
                <w:bCs/>
                <w:spacing w:val="-14"/>
                <w:sz w:val="18"/>
              </w:rPr>
            </w:pPr>
            <w:r>
              <w:rPr>
                <w:b/>
                <w:bCs/>
                <w:spacing w:val="-14"/>
                <w:sz w:val="18"/>
              </w:rPr>
              <w:t>Среднее образование</w:t>
            </w:r>
          </w:p>
        </w:tc>
        <w:tc>
          <w:tcPr>
            <w:tcW w:w="909" w:type="dxa"/>
            <w:vAlign w:val="center"/>
          </w:tcPr>
          <w:p w:rsidR="00000000" w:rsidRDefault="00000000">
            <w:pPr>
              <w:spacing w:line="240" w:lineRule="auto"/>
              <w:jc w:val="center"/>
              <w:rPr>
                <w:b/>
                <w:bCs/>
                <w:spacing w:val="-14"/>
                <w:sz w:val="18"/>
              </w:rPr>
            </w:pPr>
            <w:r>
              <w:rPr>
                <w:b/>
                <w:bCs/>
                <w:spacing w:val="-14"/>
                <w:sz w:val="18"/>
              </w:rPr>
              <w:t>Дошколь-</w:t>
            </w:r>
          </w:p>
          <w:p w:rsidR="00000000" w:rsidRDefault="00000000">
            <w:pPr>
              <w:spacing w:line="240" w:lineRule="auto"/>
              <w:jc w:val="center"/>
              <w:rPr>
                <w:b/>
                <w:bCs/>
                <w:spacing w:val="-14"/>
                <w:sz w:val="18"/>
              </w:rPr>
            </w:pPr>
            <w:r>
              <w:rPr>
                <w:b/>
                <w:bCs/>
                <w:spacing w:val="-14"/>
                <w:sz w:val="18"/>
              </w:rPr>
              <w:t>ное образование</w:t>
            </w:r>
          </w:p>
        </w:tc>
        <w:tc>
          <w:tcPr>
            <w:tcW w:w="1022" w:type="dxa"/>
            <w:vAlign w:val="center"/>
          </w:tcPr>
          <w:p w:rsidR="00000000" w:rsidRDefault="00000000">
            <w:pPr>
              <w:spacing w:line="240" w:lineRule="auto"/>
              <w:jc w:val="center"/>
              <w:rPr>
                <w:b/>
                <w:bCs/>
                <w:spacing w:val="-14"/>
                <w:sz w:val="18"/>
              </w:rPr>
            </w:pPr>
            <w:r>
              <w:rPr>
                <w:b/>
                <w:bCs/>
                <w:spacing w:val="-14"/>
                <w:sz w:val="18"/>
              </w:rPr>
              <w:t>Базовое школьное образование</w:t>
            </w:r>
          </w:p>
          <w:p w:rsidR="00000000" w:rsidRDefault="00000000">
            <w:pPr>
              <w:spacing w:line="240" w:lineRule="auto"/>
              <w:jc w:val="center"/>
              <w:rPr>
                <w:b/>
                <w:bCs/>
                <w:spacing w:val="-14"/>
                <w:sz w:val="18"/>
              </w:rPr>
            </w:pPr>
            <w:r>
              <w:rPr>
                <w:b/>
                <w:bCs/>
                <w:spacing w:val="-14"/>
                <w:sz w:val="18"/>
              </w:rPr>
              <w:t>1 и 2 циклов (начальный уровень)</w:t>
            </w:r>
          </w:p>
        </w:tc>
        <w:tc>
          <w:tcPr>
            <w:tcW w:w="1122" w:type="dxa"/>
            <w:vAlign w:val="center"/>
          </w:tcPr>
          <w:p w:rsidR="00000000" w:rsidRDefault="00000000">
            <w:pPr>
              <w:spacing w:line="240" w:lineRule="auto"/>
              <w:jc w:val="center"/>
              <w:rPr>
                <w:b/>
                <w:bCs/>
                <w:spacing w:val="-14"/>
                <w:sz w:val="18"/>
              </w:rPr>
            </w:pPr>
            <w:r>
              <w:rPr>
                <w:b/>
                <w:bCs/>
                <w:spacing w:val="-14"/>
                <w:sz w:val="18"/>
              </w:rPr>
              <w:t>Базовое школьное образование</w:t>
            </w:r>
          </w:p>
          <w:p w:rsidR="00000000" w:rsidRDefault="00000000">
            <w:pPr>
              <w:spacing w:line="240" w:lineRule="auto"/>
              <w:jc w:val="center"/>
              <w:rPr>
                <w:b/>
                <w:bCs/>
                <w:spacing w:val="-14"/>
                <w:sz w:val="18"/>
              </w:rPr>
            </w:pPr>
            <w:r>
              <w:rPr>
                <w:b/>
                <w:bCs/>
                <w:spacing w:val="-14"/>
                <w:sz w:val="18"/>
              </w:rPr>
              <w:t>3 цикла (базовый цикл)</w:t>
            </w:r>
          </w:p>
        </w:tc>
        <w:tc>
          <w:tcPr>
            <w:tcW w:w="935" w:type="dxa"/>
            <w:vAlign w:val="center"/>
          </w:tcPr>
          <w:p w:rsidR="00000000" w:rsidRDefault="00000000">
            <w:pPr>
              <w:spacing w:line="240" w:lineRule="auto"/>
              <w:jc w:val="center"/>
              <w:rPr>
                <w:b/>
                <w:bCs/>
                <w:spacing w:val="-14"/>
                <w:sz w:val="18"/>
              </w:rPr>
            </w:pPr>
            <w:r>
              <w:rPr>
                <w:b/>
                <w:bCs/>
                <w:spacing w:val="-14"/>
                <w:sz w:val="18"/>
              </w:rPr>
              <w:t>Среднее образование</w:t>
            </w:r>
          </w:p>
        </w:tc>
      </w:tr>
      <w:tr w:rsidR="00000000">
        <w:tblPrEx>
          <w:tblCellMar>
            <w:top w:w="0" w:type="dxa"/>
            <w:bottom w:w="0" w:type="dxa"/>
          </w:tblCellMar>
        </w:tblPrEx>
        <w:trPr>
          <w:cantSplit/>
        </w:trPr>
        <w:tc>
          <w:tcPr>
            <w:tcW w:w="1246" w:type="dxa"/>
            <w:tcBorders>
              <w:bottom w:val="nil"/>
            </w:tcBorders>
          </w:tcPr>
          <w:p w:rsidR="00000000" w:rsidRDefault="00000000">
            <w:pPr>
              <w:spacing w:line="240" w:lineRule="auto"/>
              <w:ind w:right="113"/>
              <w:jc w:val="center"/>
              <w:rPr>
                <w:sz w:val="18"/>
              </w:rPr>
            </w:pPr>
            <w:r>
              <w:rPr>
                <w:sz w:val="18"/>
              </w:rPr>
              <w:t>1994</w:t>
            </w:r>
          </w:p>
        </w:tc>
        <w:tc>
          <w:tcPr>
            <w:tcW w:w="924" w:type="dxa"/>
            <w:tcBorders>
              <w:bottom w:val="nil"/>
            </w:tcBorders>
          </w:tcPr>
          <w:p w:rsidR="00000000" w:rsidRDefault="00000000">
            <w:pPr>
              <w:spacing w:line="240" w:lineRule="auto"/>
              <w:ind w:right="113"/>
              <w:jc w:val="center"/>
              <w:rPr>
                <w:sz w:val="18"/>
              </w:rPr>
            </w:pPr>
            <w:r>
              <w:rPr>
                <w:sz w:val="18"/>
              </w:rPr>
              <w:t>39 946</w:t>
            </w:r>
          </w:p>
        </w:tc>
        <w:tc>
          <w:tcPr>
            <w:tcW w:w="1022" w:type="dxa"/>
            <w:tcBorders>
              <w:bottom w:val="nil"/>
            </w:tcBorders>
          </w:tcPr>
          <w:p w:rsidR="00000000" w:rsidRDefault="00000000">
            <w:pPr>
              <w:spacing w:line="240" w:lineRule="auto"/>
              <w:ind w:right="113"/>
              <w:jc w:val="right"/>
              <w:rPr>
                <w:sz w:val="18"/>
              </w:rPr>
            </w:pPr>
            <w:r>
              <w:rPr>
                <w:sz w:val="18"/>
              </w:rPr>
              <w:t>387 682</w:t>
            </w:r>
          </w:p>
        </w:tc>
        <w:tc>
          <w:tcPr>
            <w:tcW w:w="1148" w:type="dxa"/>
            <w:tcBorders>
              <w:bottom w:val="nil"/>
            </w:tcBorders>
          </w:tcPr>
          <w:p w:rsidR="00000000" w:rsidRDefault="00000000">
            <w:pPr>
              <w:spacing w:line="240" w:lineRule="auto"/>
              <w:ind w:right="113"/>
              <w:jc w:val="right"/>
              <w:rPr>
                <w:sz w:val="18"/>
              </w:rPr>
            </w:pPr>
            <w:r>
              <w:rPr>
                <w:sz w:val="18"/>
              </w:rPr>
              <w:t>129 011</w:t>
            </w:r>
          </w:p>
        </w:tc>
        <w:tc>
          <w:tcPr>
            <w:tcW w:w="1050" w:type="dxa"/>
            <w:tcBorders>
              <w:bottom w:val="nil"/>
            </w:tcBorders>
          </w:tcPr>
          <w:p w:rsidR="00000000" w:rsidRDefault="00000000">
            <w:pPr>
              <w:spacing w:line="240" w:lineRule="auto"/>
              <w:ind w:right="113"/>
              <w:jc w:val="right"/>
              <w:rPr>
                <w:sz w:val="18"/>
              </w:rPr>
            </w:pPr>
            <w:r>
              <w:rPr>
                <w:sz w:val="18"/>
              </w:rPr>
              <w:t>68 419</w:t>
            </w:r>
          </w:p>
        </w:tc>
        <w:tc>
          <w:tcPr>
            <w:tcW w:w="909" w:type="dxa"/>
            <w:tcBorders>
              <w:bottom w:val="nil"/>
            </w:tcBorders>
          </w:tcPr>
          <w:p w:rsidR="00000000" w:rsidRDefault="00000000">
            <w:pPr>
              <w:spacing w:line="240" w:lineRule="auto"/>
              <w:ind w:right="113"/>
              <w:jc w:val="center"/>
              <w:rPr>
                <w:sz w:val="18"/>
              </w:rPr>
            </w:pPr>
            <w:r>
              <w:rPr>
                <w:sz w:val="18"/>
              </w:rPr>
              <w:t>10 680</w:t>
            </w:r>
          </w:p>
        </w:tc>
        <w:tc>
          <w:tcPr>
            <w:tcW w:w="1022" w:type="dxa"/>
            <w:tcBorders>
              <w:bottom w:val="nil"/>
            </w:tcBorders>
          </w:tcPr>
          <w:p w:rsidR="00000000" w:rsidRDefault="00000000">
            <w:pPr>
              <w:spacing w:line="240" w:lineRule="auto"/>
              <w:ind w:right="113"/>
              <w:jc w:val="right"/>
              <w:rPr>
                <w:sz w:val="18"/>
              </w:rPr>
            </w:pPr>
            <w:r>
              <w:rPr>
                <w:sz w:val="18"/>
              </w:rPr>
              <w:t>447 407</w:t>
            </w:r>
          </w:p>
        </w:tc>
        <w:tc>
          <w:tcPr>
            <w:tcW w:w="1122" w:type="dxa"/>
            <w:tcBorders>
              <w:bottom w:val="nil"/>
            </w:tcBorders>
          </w:tcPr>
          <w:p w:rsidR="00000000" w:rsidRDefault="00000000">
            <w:pPr>
              <w:spacing w:line="240" w:lineRule="auto"/>
              <w:ind w:right="113"/>
              <w:jc w:val="right"/>
              <w:rPr>
                <w:sz w:val="18"/>
              </w:rPr>
            </w:pPr>
            <w:r>
              <w:rPr>
                <w:sz w:val="18"/>
              </w:rPr>
              <w:t>30 664</w:t>
            </w:r>
          </w:p>
        </w:tc>
        <w:tc>
          <w:tcPr>
            <w:tcW w:w="935" w:type="dxa"/>
            <w:tcBorders>
              <w:bottom w:val="nil"/>
            </w:tcBorders>
          </w:tcPr>
          <w:p w:rsidR="00000000" w:rsidRDefault="00000000">
            <w:pPr>
              <w:spacing w:line="240" w:lineRule="auto"/>
              <w:ind w:right="113"/>
              <w:jc w:val="right"/>
              <w:rPr>
                <w:sz w:val="18"/>
              </w:rPr>
            </w:pPr>
            <w:r>
              <w:rPr>
                <w:sz w:val="18"/>
              </w:rPr>
              <w:t>7 820</w:t>
            </w:r>
          </w:p>
        </w:tc>
      </w:tr>
      <w:tr w:rsidR="00000000">
        <w:tblPrEx>
          <w:tblCellMar>
            <w:top w:w="0" w:type="dxa"/>
            <w:bottom w:w="0" w:type="dxa"/>
          </w:tblCellMar>
        </w:tblPrEx>
        <w:trPr>
          <w:cantSplit/>
        </w:trPr>
        <w:tc>
          <w:tcPr>
            <w:tcW w:w="1246" w:type="dxa"/>
            <w:tcBorders>
              <w:top w:val="nil"/>
              <w:bottom w:val="nil"/>
            </w:tcBorders>
          </w:tcPr>
          <w:p w:rsidR="00000000" w:rsidRDefault="00000000">
            <w:pPr>
              <w:spacing w:line="240" w:lineRule="auto"/>
              <w:ind w:right="113"/>
              <w:jc w:val="center"/>
              <w:rPr>
                <w:sz w:val="18"/>
              </w:rPr>
            </w:pPr>
            <w:r>
              <w:rPr>
                <w:sz w:val="18"/>
              </w:rPr>
              <w:t>2005</w:t>
            </w:r>
          </w:p>
        </w:tc>
        <w:tc>
          <w:tcPr>
            <w:tcW w:w="924" w:type="dxa"/>
            <w:tcBorders>
              <w:top w:val="nil"/>
              <w:bottom w:val="nil"/>
            </w:tcBorders>
          </w:tcPr>
          <w:p w:rsidR="00000000" w:rsidRDefault="00000000">
            <w:pPr>
              <w:spacing w:line="240" w:lineRule="auto"/>
              <w:ind w:right="113"/>
              <w:jc w:val="center"/>
              <w:rPr>
                <w:sz w:val="18"/>
              </w:rPr>
            </w:pPr>
            <w:r>
              <w:rPr>
                <w:sz w:val="18"/>
              </w:rPr>
              <w:t>66 592</w:t>
            </w:r>
          </w:p>
        </w:tc>
        <w:tc>
          <w:tcPr>
            <w:tcW w:w="1022" w:type="dxa"/>
            <w:tcBorders>
              <w:top w:val="nil"/>
              <w:bottom w:val="nil"/>
            </w:tcBorders>
          </w:tcPr>
          <w:p w:rsidR="00000000" w:rsidRDefault="00000000">
            <w:pPr>
              <w:spacing w:line="240" w:lineRule="auto"/>
              <w:ind w:right="113"/>
              <w:jc w:val="right"/>
              <w:rPr>
                <w:sz w:val="18"/>
              </w:rPr>
            </w:pPr>
            <w:r>
              <w:rPr>
                <w:sz w:val="18"/>
              </w:rPr>
              <w:t>454 378</w:t>
            </w:r>
          </w:p>
        </w:tc>
        <w:tc>
          <w:tcPr>
            <w:tcW w:w="1148" w:type="dxa"/>
            <w:tcBorders>
              <w:top w:val="nil"/>
              <w:bottom w:val="nil"/>
            </w:tcBorders>
          </w:tcPr>
          <w:p w:rsidR="00000000" w:rsidRDefault="00000000">
            <w:pPr>
              <w:spacing w:line="240" w:lineRule="auto"/>
              <w:ind w:right="113"/>
              <w:jc w:val="right"/>
              <w:rPr>
                <w:sz w:val="18"/>
              </w:rPr>
            </w:pPr>
            <w:r>
              <w:rPr>
                <w:sz w:val="18"/>
              </w:rPr>
              <w:t>205 918</w:t>
            </w:r>
          </w:p>
        </w:tc>
        <w:tc>
          <w:tcPr>
            <w:tcW w:w="1050" w:type="dxa"/>
            <w:tcBorders>
              <w:top w:val="nil"/>
              <w:bottom w:val="nil"/>
            </w:tcBorders>
          </w:tcPr>
          <w:p w:rsidR="00000000" w:rsidRDefault="00000000">
            <w:pPr>
              <w:spacing w:line="240" w:lineRule="auto"/>
              <w:ind w:right="113"/>
              <w:jc w:val="right"/>
              <w:rPr>
                <w:sz w:val="18"/>
              </w:rPr>
            </w:pPr>
            <w:r>
              <w:rPr>
                <w:sz w:val="18"/>
              </w:rPr>
              <w:t>159 059</w:t>
            </w:r>
          </w:p>
        </w:tc>
        <w:tc>
          <w:tcPr>
            <w:tcW w:w="909" w:type="dxa"/>
            <w:tcBorders>
              <w:top w:val="nil"/>
              <w:bottom w:val="nil"/>
            </w:tcBorders>
          </w:tcPr>
          <w:p w:rsidR="00000000" w:rsidRDefault="00000000">
            <w:pPr>
              <w:spacing w:line="240" w:lineRule="auto"/>
              <w:ind w:right="113"/>
              <w:jc w:val="center"/>
              <w:rPr>
                <w:sz w:val="18"/>
              </w:rPr>
            </w:pPr>
            <w:r>
              <w:rPr>
                <w:sz w:val="18"/>
              </w:rPr>
              <w:t>58 181</w:t>
            </w:r>
          </w:p>
        </w:tc>
        <w:tc>
          <w:tcPr>
            <w:tcW w:w="1022" w:type="dxa"/>
            <w:tcBorders>
              <w:top w:val="nil"/>
              <w:bottom w:val="nil"/>
            </w:tcBorders>
          </w:tcPr>
          <w:p w:rsidR="00000000" w:rsidRDefault="00000000">
            <w:pPr>
              <w:spacing w:line="240" w:lineRule="auto"/>
              <w:ind w:right="113"/>
              <w:jc w:val="right"/>
              <w:rPr>
                <w:sz w:val="18"/>
              </w:rPr>
            </w:pPr>
            <w:r>
              <w:rPr>
                <w:sz w:val="18"/>
              </w:rPr>
              <w:t>479 155</w:t>
            </w:r>
          </w:p>
        </w:tc>
        <w:tc>
          <w:tcPr>
            <w:tcW w:w="1122" w:type="dxa"/>
            <w:tcBorders>
              <w:top w:val="nil"/>
              <w:bottom w:val="nil"/>
            </w:tcBorders>
          </w:tcPr>
          <w:p w:rsidR="00000000" w:rsidRDefault="00000000">
            <w:pPr>
              <w:spacing w:line="240" w:lineRule="auto"/>
              <w:ind w:right="113"/>
              <w:jc w:val="right"/>
              <w:rPr>
                <w:sz w:val="18"/>
              </w:rPr>
            </w:pPr>
            <w:r>
              <w:rPr>
                <w:sz w:val="18"/>
              </w:rPr>
              <w:t>117 845</w:t>
            </w:r>
          </w:p>
        </w:tc>
        <w:tc>
          <w:tcPr>
            <w:tcW w:w="935" w:type="dxa"/>
            <w:tcBorders>
              <w:top w:val="nil"/>
              <w:bottom w:val="nil"/>
            </w:tcBorders>
          </w:tcPr>
          <w:p w:rsidR="00000000" w:rsidRDefault="00000000">
            <w:pPr>
              <w:spacing w:line="240" w:lineRule="auto"/>
              <w:ind w:right="113"/>
              <w:jc w:val="right"/>
              <w:rPr>
                <w:sz w:val="18"/>
              </w:rPr>
            </w:pPr>
            <w:r>
              <w:rPr>
                <w:sz w:val="18"/>
              </w:rPr>
              <w:t>57 272</w:t>
            </w:r>
          </w:p>
        </w:tc>
      </w:tr>
      <w:tr w:rsidR="00000000">
        <w:tblPrEx>
          <w:tblCellMar>
            <w:top w:w="0" w:type="dxa"/>
            <w:bottom w:w="0" w:type="dxa"/>
          </w:tblCellMar>
        </w:tblPrEx>
        <w:trPr>
          <w:cantSplit/>
        </w:trPr>
        <w:tc>
          <w:tcPr>
            <w:tcW w:w="1246" w:type="dxa"/>
            <w:tcBorders>
              <w:top w:val="nil"/>
              <w:bottom w:val="single" w:sz="4" w:space="0" w:color="auto"/>
            </w:tcBorders>
          </w:tcPr>
          <w:p w:rsidR="00000000" w:rsidRDefault="00000000">
            <w:pPr>
              <w:spacing w:line="240" w:lineRule="auto"/>
              <w:ind w:right="113"/>
              <w:jc w:val="center"/>
              <w:rPr>
                <w:sz w:val="18"/>
              </w:rPr>
            </w:pPr>
            <w:r>
              <w:rPr>
                <w:sz w:val="18"/>
              </w:rPr>
              <w:t>2006</w:t>
            </w:r>
          </w:p>
        </w:tc>
        <w:tc>
          <w:tcPr>
            <w:tcW w:w="924" w:type="dxa"/>
            <w:tcBorders>
              <w:top w:val="nil"/>
              <w:bottom w:val="single" w:sz="4" w:space="0" w:color="auto"/>
            </w:tcBorders>
          </w:tcPr>
          <w:p w:rsidR="00000000" w:rsidRDefault="00000000">
            <w:pPr>
              <w:spacing w:line="240" w:lineRule="auto"/>
              <w:ind w:right="113"/>
              <w:jc w:val="center"/>
              <w:rPr>
                <w:sz w:val="18"/>
              </w:rPr>
            </w:pPr>
            <w:r>
              <w:rPr>
                <w:sz w:val="18"/>
              </w:rPr>
              <w:t>68 360</w:t>
            </w:r>
          </w:p>
        </w:tc>
        <w:tc>
          <w:tcPr>
            <w:tcW w:w="1022" w:type="dxa"/>
            <w:tcBorders>
              <w:top w:val="nil"/>
              <w:bottom w:val="single" w:sz="4" w:space="0" w:color="auto"/>
            </w:tcBorders>
          </w:tcPr>
          <w:p w:rsidR="00000000" w:rsidRDefault="00000000">
            <w:pPr>
              <w:spacing w:line="240" w:lineRule="auto"/>
              <w:ind w:right="113"/>
              <w:jc w:val="right"/>
              <w:rPr>
                <w:sz w:val="18"/>
              </w:rPr>
            </w:pPr>
            <w:r>
              <w:rPr>
                <w:sz w:val="18"/>
              </w:rPr>
              <w:t>457 437</w:t>
            </w:r>
          </w:p>
        </w:tc>
        <w:tc>
          <w:tcPr>
            <w:tcW w:w="1148" w:type="dxa"/>
            <w:tcBorders>
              <w:top w:val="nil"/>
              <w:bottom w:val="single" w:sz="4" w:space="0" w:color="auto"/>
            </w:tcBorders>
          </w:tcPr>
          <w:p w:rsidR="00000000" w:rsidRDefault="00000000">
            <w:pPr>
              <w:spacing w:line="240" w:lineRule="auto"/>
              <w:ind w:right="113"/>
              <w:jc w:val="right"/>
              <w:rPr>
                <w:sz w:val="18"/>
              </w:rPr>
            </w:pPr>
            <w:r>
              <w:rPr>
                <w:sz w:val="18"/>
              </w:rPr>
              <w:t>208 923</w:t>
            </w:r>
          </w:p>
        </w:tc>
        <w:tc>
          <w:tcPr>
            <w:tcW w:w="1050" w:type="dxa"/>
            <w:tcBorders>
              <w:top w:val="nil"/>
              <w:bottom w:val="single" w:sz="4" w:space="0" w:color="auto"/>
            </w:tcBorders>
          </w:tcPr>
          <w:p w:rsidR="00000000" w:rsidRDefault="00000000">
            <w:pPr>
              <w:spacing w:line="240" w:lineRule="auto"/>
              <w:ind w:right="113"/>
              <w:jc w:val="right"/>
              <w:rPr>
                <w:sz w:val="18"/>
              </w:rPr>
            </w:pPr>
            <w:r>
              <w:rPr>
                <w:sz w:val="18"/>
              </w:rPr>
              <w:t>164 948</w:t>
            </w:r>
          </w:p>
        </w:tc>
        <w:tc>
          <w:tcPr>
            <w:tcW w:w="909" w:type="dxa"/>
            <w:tcBorders>
              <w:top w:val="nil"/>
              <w:bottom w:val="single" w:sz="4" w:space="0" w:color="auto"/>
            </w:tcBorders>
          </w:tcPr>
          <w:p w:rsidR="00000000" w:rsidRDefault="00000000">
            <w:pPr>
              <w:spacing w:line="240" w:lineRule="auto"/>
              <w:ind w:right="113"/>
              <w:jc w:val="center"/>
              <w:rPr>
                <w:sz w:val="18"/>
              </w:rPr>
            </w:pPr>
            <w:r>
              <w:rPr>
                <w:sz w:val="18"/>
              </w:rPr>
              <w:t>59 726</w:t>
            </w:r>
          </w:p>
        </w:tc>
        <w:tc>
          <w:tcPr>
            <w:tcW w:w="1022" w:type="dxa"/>
            <w:tcBorders>
              <w:top w:val="nil"/>
              <w:bottom w:val="single" w:sz="4" w:space="0" w:color="auto"/>
            </w:tcBorders>
          </w:tcPr>
          <w:p w:rsidR="00000000" w:rsidRDefault="00000000">
            <w:pPr>
              <w:spacing w:line="240" w:lineRule="auto"/>
              <w:ind w:right="113"/>
              <w:jc w:val="right"/>
              <w:rPr>
                <w:sz w:val="18"/>
              </w:rPr>
            </w:pPr>
            <w:r>
              <w:rPr>
                <w:sz w:val="18"/>
              </w:rPr>
              <w:t>482 382</w:t>
            </w:r>
          </w:p>
        </w:tc>
        <w:tc>
          <w:tcPr>
            <w:tcW w:w="1122" w:type="dxa"/>
            <w:tcBorders>
              <w:top w:val="nil"/>
              <w:bottom w:val="single" w:sz="4" w:space="0" w:color="auto"/>
            </w:tcBorders>
          </w:tcPr>
          <w:p w:rsidR="00000000" w:rsidRDefault="00000000">
            <w:pPr>
              <w:spacing w:line="240" w:lineRule="auto"/>
              <w:ind w:right="113"/>
              <w:jc w:val="right"/>
              <w:rPr>
                <w:sz w:val="18"/>
              </w:rPr>
            </w:pPr>
            <w:r>
              <w:rPr>
                <w:sz w:val="18"/>
              </w:rPr>
              <w:t>119 565</w:t>
            </w:r>
          </w:p>
        </w:tc>
        <w:tc>
          <w:tcPr>
            <w:tcW w:w="935" w:type="dxa"/>
            <w:tcBorders>
              <w:top w:val="nil"/>
              <w:bottom w:val="single" w:sz="4" w:space="0" w:color="auto"/>
            </w:tcBorders>
          </w:tcPr>
          <w:p w:rsidR="00000000" w:rsidRDefault="00000000">
            <w:pPr>
              <w:spacing w:line="240" w:lineRule="auto"/>
              <w:ind w:right="113"/>
              <w:jc w:val="right"/>
              <w:rPr>
                <w:sz w:val="18"/>
              </w:rPr>
            </w:pPr>
            <w:r>
              <w:rPr>
                <w:sz w:val="18"/>
              </w:rPr>
              <w:t>59 393</w:t>
            </w:r>
          </w:p>
        </w:tc>
      </w:tr>
      <w:tr w:rsidR="00000000">
        <w:tblPrEx>
          <w:tblCellMar>
            <w:top w:w="0" w:type="dxa"/>
            <w:bottom w:w="0" w:type="dxa"/>
          </w:tblCellMar>
        </w:tblPrEx>
        <w:trPr>
          <w:cantSplit/>
        </w:trPr>
        <w:tc>
          <w:tcPr>
            <w:tcW w:w="1246" w:type="dxa"/>
            <w:tcBorders>
              <w:bottom w:val="nil"/>
            </w:tcBorders>
          </w:tcPr>
          <w:p w:rsidR="00000000" w:rsidRDefault="00000000">
            <w:pPr>
              <w:spacing w:line="240" w:lineRule="auto"/>
              <w:rPr>
                <w:sz w:val="18"/>
              </w:rPr>
            </w:pPr>
            <w:r>
              <w:rPr>
                <w:sz w:val="18"/>
              </w:rPr>
              <w:t>Рост в абсолютных цифрах в 1994</w:t>
            </w:r>
            <w:r>
              <w:rPr>
                <w:sz w:val="18"/>
              </w:rPr>
              <w:noBreakHyphen/>
              <w:t>1999 гг.</w:t>
            </w:r>
          </w:p>
        </w:tc>
        <w:tc>
          <w:tcPr>
            <w:tcW w:w="924" w:type="dxa"/>
            <w:tcBorders>
              <w:bottom w:val="nil"/>
            </w:tcBorders>
          </w:tcPr>
          <w:p w:rsidR="00000000" w:rsidRDefault="00000000">
            <w:pPr>
              <w:spacing w:line="240" w:lineRule="auto"/>
              <w:ind w:right="113"/>
              <w:jc w:val="center"/>
              <w:rPr>
                <w:b/>
                <w:bCs/>
                <w:sz w:val="18"/>
              </w:rPr>
            </w:pPr>
            <w:r>
              <w:rPr>
                <w:b/>
                <w:bCs/>
                <w:sz w:val="18"/>
              </w:rPr>
              <w:t>28 414</w:t>
            </w:r>
          </w:p>
        </w:tc>
        <w:tc>
          <w:tcPr>
            <w:tcW w:w="1022" w:type="dxa"/>
            <w:tcBorders>
              <w:bottom w:val="nil"/>
            </w:tcBorders>
          </w:tcPr>
          <w:p w:rsidR="00000000" w:rsidRDefault="00000000">
            <w:pPr>
              <w:spacing w:line="240" w:lineRule="auto"/>
              <w:ind w:right="113"/>
              <w:jc w:val="right"/>
              <w:rPr>
                <w:b/>
                <w:bCs/>
                <w:sz w:val="18"/>
              </w:rPr>
            </w:pPr>
            <w:r>
              <w:rPr>
                <w:b/>
                <w:bCs/>
                <w:sz w:val="18"/>
              </w:rPr>
              <w:t>69 755</w:t>
            </w:r>
          </w:p>
        </w:tc>
        <w:tc>
          <w:tcPr>
            <w:tcW w:w="1148" w:type="dxa"/>
            <w:tcBorders>
              <w:bottom w:val="nil"/>
            </w:tcBorders>
          </w:tcPr>
          <w:p w:rsidR="00000000" w:rsidRDefault="00000000">
            <w:pPr>
              <w:spacing w:line="240" w:lineRule="auto"/>
              <w:ind w:right="113"/>
              <w:jc w:val="right"/>
              <w:rPr>
                <w:b/>
                <w:bCs/>
                <w:sz w:val="18"/>
              </w:rPr>
            </w:pPr>
            <w:r>
              <w:rPr>
                <w:b/>
                <w:bCs/>
                <w:sz w:val="18"/>
              </w:rPr>
              <w:t>79 912</w:t>
            </w:r>
          </w:p>
        </w:tc>
        <w:tc>
          <w:tcPr>
            <w:tcW w:w="1050" w:type="dxa"/>
            <w:tcBorders>
              <w:bottom w:val="nil"/>
            </w:tcBorders>
          </w:tcPr>
          <w:p w:rsidR="00000000" w:rsidRDefault="00000000">
            <w:pPr>
              <w:spacing w:line="240" w:lineRule="auto"/>
              <w:ind w:right="113"/>
              <w:jc w:val="right"/>
              <w:rPr>
                <w:b/>
                <w:bCs/>
                <w:sz w:val="18"/>
              </w:rPr>
            </w:pPr>
            <w:r>
              <w:rPr>
                <w:b/>
                <w:bCs/>
                <w:sz w:val="18"/>
              </w:rPr>
              <w:t>96 529</w:t>
            </w:r>
          </w:p>
        </w:tc>
        <w:tc>
          <w:tcPr>
            <w:tcW w:w="909" w:type="dxa"/>
            <w:tcBorders>
              <w:bottom w:val="nil"/>
            </w:tcBorders>
          </w:tcPr>
          <w:p w:rsidR="00000000" w:rsidRDefault="00000000">
            <w:pPr>
              <w:spacing w:line="240" w:lineRule="auto"/>
              <w:ind w:right="113"/>
              <w:jc w:val="right"/>
              <w:rPr>
                <w:b/>
                <w:bCs/>
                <w:sz w:val="18"/>
              </w:rPr>
            </w:pPr>
            <w:r>
              <w:rPr>
                <w:b/>
                <w:bCs/>
                <w:sz w:val="18"/>
              </w:rPr>
              <w:t>49 046</w:t>
            </w:r>
          </w:p>
        </w:tc>
        <w:tc>
          <w:tcPr>
            <w:tcW w:w="1022" w:type="dxa"/>
            <w:tcBorders>
              <w:bottom w:val="nil"/>
            </w:tcBorders>
          </w:tcPr>
          <w:p w:rsidR="00000000" w:rsidRDefault="00000000">
            <w:pPr>
              <w:spacing w:line="240" w:lineRule="auto"/>
              <w:ind w:right="113"/>
              <w:jc w:val="right"/>
              <w:rPr>
                <w:b/>
                <w:bCs/>
                <w:sz w:val="18"/>
              </w:rPr>
            </w:pPr>
            <w:r>
              <w:rPr>
                <w:b/>
                <w:bCs/>
                <w:sz w:val="18"/>
              </w:rPr>
              <w:t>34 975</w:t>
            </w:r>
          </w:p>
        </w:tc>
        <w:tc>
          <w:tcPr>
            <w:tcW w:w="1122" w:type="dxa"/>
            <w:tcBorders>
              <w:bottom w:val="nil"/>
            </w:tcBorders>
          </w:tcPr>
          <w:p w:rsidR="00000000" w:rsidRDefault="00000000">
            <w:pPr>
              <w:spacing w:line="240" w:lineRule="auto"/>
              <w:ind w:right="113"/>
              <w:jc w:val="right"/>
              <w:rPr>
                <w:b/>
                <w:bCs/>
                <w:sz w:val="18"/>
              </w:rPr>
            </w:pPr>
            <w:r>
              <w:rPr>
                <w:b/>
                <w:bCs/>
                <w:sz w:val="18"/>
              </w:rPr>
              <w:t>88 901</w:t>
            </w:r>
          </w:p>
        </w:tc>
        <w:tc>
          <w:tcPr>
            <w:tcW w:w="935" w:type="dxa"/>
            <w:tcBorders>
              <w:bottom w:val="nil"/>
            </w:tcBorders>
          </w:tcPr>
          <w:p w:rsidR="00000000" w:rsidRDefault="00000000">
            <w:pPr>
              <w:spacing w:line="240" w:lineRule="auto"/>
              <w:ind w:right="113"/>
              <w:jc w:val="right"/>
              <w:rPr>
                <w:b/>
                <w:bCs/>
                <w:sz w:val="18"/>
              </w:rPr>
            </w:pPr>
            <w:r>
              <w:rPr>
                <w:b/>
                <w:bCs/>
                <w:sz w:val="18"/>
              </w:rPr>
              <w:t>51 573</w:t>
            </w:r>
          </w:p>
        </w:tc>
      </w:tr>
      <w:tr w:rsidR="00000000">
        <w:tblPrEx>
          <w:tblCellMar>
            <w:top w:w="0" w:type="dxa"/>
            <w:bottom w:w="0" w:type="dxa"/>
          </w:tblCellMar>
        </w:tblPrEx>
        <w:trPr>
          <w:cantSplit/>
        </w:trPr>
        <w:tc>
          <w:tcPr>
            <w:tcW w:w="1246" w:type="dxa"/>
            <w:tcBorders>
              <w:top w:val="nil"/>
            </w:tcBorders>
          </w:tcPr>
          <w:p w:rsidR="00000000" w:rsidRDefault="00000000">
            <w:pPr>
              <w:spacing w:line="240" w:lineRule="auto"/>
              <w:rPr>
                <w:sz w:val="18"/>
              </w:rPr>
            </w:pPr>
            <w:r>
              <w:rPr>
                <w:sz w:val="18"/>
              </w:rPr>
              <w:t>Рост в % в 1994</w:t>
            </w:r>
            <w:r>
              <w:rPr>
                <w:sz w:val="18"/>
              </w:rPr>
              <w:noBreakHyphen/>
              <w:t>2006 гг.</w:t>
            </w:r>
          </w:p>
        </w:tc>
        <w:tc>
          <w:tcPr>
            <w:tcW w:w="924" w:type="dxa"/>
            <w:tcBorders>
              <w:top w:val="nil"/>
            </w:tcBorders>
          </w:tcPr>
          <w:p w:rsidR="00000000" w:rsidRDefault="00000000">
            <w:pPr>
              <w:spacing w:line="240" w:lineRule="auto"/>
              <w:ind w:right="113"/>
              <w:jc w:val="right"/>
              <w:rPr>
                <w:b/>
                <w:bCs/>
                <w:sz w:val="18"/>
              </w:rPr>
            </w:pPr>
            <w:r>
              <w:rPr>
                <w:b/>
                <w:bCs/>
                <w:sz w:val="18"/>
              </w:rPr>
              <w:t>71</w:t>
            </w:r>
          </w:p>
        </w:tc>
        <w:tc>
          <w:tcPr>
            <w:tcW w:w="1022" w:type="dxa"/>
            <w:tcBorders>
              <w:top w:val="nil"/>
            </w:tcBorders>
          </w:tcPr>
          <w:p w:rsidR="00000000" w:rsidRDefault="00000000">
            <w:pPr>
              <w:spacing w:line="240" w:lineRule="auto"/>
              <w:ind w:right="113"/>
              <w:jc w:val="right"/>
              <w:rPr>
                <w:b/>
                <w:bCs/>
                <w:sz w:val="18"/>
              </w:rPr>
            </w:pPr>
            <w:r>
              <w:rPr>
                <w:b/>
                <w:bCs/>
                <w:sz w:val="18"/>
              </w:rPr>
              <w:t>18</w:t>
            </w:r>
          </w:p>
        </w:tc>
        <w:tc>
          <w:tcPr>
            <w:tcW w:w="1148" w:type="dxa"/>
            <w:tcBorders>
              <w:top w:val="nil"/>
            </w:tcBorders>
          </w:tcPr>
          <w:p w:rsidR="00000000" w:rsidRDefault="00000000">
            <w:pPr>
              <w:spacing w:line="240" w:lineRule="auto"/>
              <w:ind w:right="113"/>
              <w:jc w:val="right"/>
              <w:rPr>
                <w:b/>
                <w:bCs/>
                <w:sz w:val="18"/>
              </w:rPr>
            </w:pPr>
            <w:r>
              <w:rPr>
                <w:b/>
                <w:bCs/>
                <w:sz w:val="18"/>
              </w:rPr>
              <w:t>62</w:t>
            </w:r>
          </w:p>
        </w:tc>
        <w:tc>
          <w:tcPr>
            <w:tcW w:w="1050" w:type="dxa"/>
            <w:tcBorders>
              <w:top w:val="nil"/>
            </w:tcBorders>
          </w:tcPr>
          <w:p w:rsidR="00000000" w:rsidRDefault="00000000">
            <w:pPr>
              <w:spacing w:line="240" w:lineRule="auto"/>
              <w:ind w:right="113"/>
              <w:jc w:val="right"/>
              <w:rPr>
                <w:b/>
                <w:bCs/>
                <w:sz w:val="18"/>
              </w:rPr>
            </w:pPr>
            <w:r>
              <w:rPr>
                <w:b/>
                <w:bCs/>
                <w:sz w:val="18"/>
              </w:rPr>
              <w:t>141</w:t>
            </w:r>
          </w:p>
        </w:tc>
        <w:tc>
          <w:tcPr>
            <w:tcW w:w="909" w:type="dxa"/>
            <w:tcBorders>
              <w:top w:val="nil"/>
            </w:tcBorders>
          </w:tcPr>
          <w:p w:rsidR="00000000" w:rsidRDefault="00000000">
            <w:pPr>
              <w:spacing w:line="240" w:lineRule="auto"/>
              <w:ind w:right="113"/>
              <w:jc w:val="right"/>
              <w:rPr>
                <w:b/>
                <w:bCs/>
                <w:sz w:val="18"/>
              </w:rPr>
            </w:pPr>
            <w:r>
              <w:rPr>
                <w:b/>
                <w:bCs/>
                <w:sz w:val="18"/>
              </w:rPr>
              <w:t>459</w:t>
            </w:r>
          </w:p>
        </w:tc>
        <w:tc>
          <w:tcPr>
            <w:tcW w:w="1022" w:type="dxa"/>
            <w:tcBorders>
              <w:top w:val="nil"/>
            </w:tcBorders>
          </w:tcPr>
          <w:p w:rsidR="00000000" w:rsidRDefault="00000000">
            <w:pPr>
              <w:spacing w:line="240" w:lineRule="auto"/>
              <w:ind w:right="113"/>
              <w:jc w:val="right"/>
              <w:rPr>
                <w:b/>
                <w:bCs/>
                <w:sz w:val="18"/>
              </w:rPr>
            </w:pPr>
            <w:r>
              <w:rPr>
                <w:b/>
                <w:bCs/>
                <w:sz w:val="18"/>
              </w:rPr>
              <w:t>8</w:t>
            </w:r>
          </w:p>
        </w:tc>
        <w:tc>
          <w:tcPr>
            <w:tcW w:w="1122" w:type="dxa"/>
            <w:tcBorders>
              <w:top w:val="nil"/>
            </w:tcBorders>
          </w:tcPr>
          <w:p w:rsidR="00000000" w:rsidRDefault="00000000">
            <w:pPr>
              <w:spacing w:line="240" w:lineRule="auto"/>
              <w:ind w:right="113"/>
              <w:jc w:val="right"/>
              <w:rPr>
                <w:b/>
                <w:bCs/>
                <w:sz w:val="18"/>
              </w:rPr>
            </w:pPr>
            <w:r>
              <w:rPr>
                <w:b/>
                <w:bCs/>
                <w:sz w:val="18"/>
              </w:rPr>
              <w:t>290</w:t>
            </w:r>
          </w:p>
        </w:tc>
        <w:tc>
          <w:tcPr>
            <w:tcW w:w="935" w:type="dxa"/>
            <w:tcBorders>
              <w:top w:val="nil"/>
            </w:tcBorders>
          </w:tcPr>
          <w:p w:rsidR="00000000" w:rsidRDefault="00000000">
            <w:pPr>
              <w:spacing w:line="240" w:lineRule="auto"/>
              <w:ind w:right="113"/>
              <w:jc w:val="right"/>
              <w:rPr>
                <w:b/>
                <w:bCs/>
                <w:sz w:val="18"/>
              </w:rPr>
            </w:pPr>
            <w:r>
              <w:rPr>
                <w:b/>
                <w:bCs/>
                <w:sz w:val="18"/>
              </w:rPr>
              <w:t>659</w:t>
            </w:r>
          </w:p>
        </w:tc>
      </w:tr>
    </w:tbl>
    <w:p w:rsidR="00000000" w:rsidRDefault="00000000">
      <w:pPr>
        <w:spacing w:before="120"/>
        <w:rPr>
          <w:i/>
          <w:iCs/>
        </w:rPr>
      </w:pPr>
      <w:r>
        <w:rPr>
          <w:i/>
          <w:iCs/>
        </w:rPr>
        <w:t xml:space="preserve">Источник:  </w:t>
      </w:r>
      <w:r>
        <w:t>МПК, ГУППК, Данные основаны на оценках по состоянию на 2005 год</w:t>
      </w:r>
      <w:r>
        <w:rPr>
          <w:i/>
          <w:iCs/>
        </w:rPr>
        <w:t>.</w:t>
      </w:r>
    </w:p>
    <w:p w:rsidR="00000000" w:rsidRDefault="00000000">
      <w:pPr>
        <w:keepNext/>
        <w:spacing w:before="120"/>
        <w:rPr>
          <w:b/>
          <w:bCs/>
        </w:rPr>
      </w:pPr>
      <w:r>
        <w:rPr>
          <w:b/>
          <w:bCs/>
        </w:rPr>
        <w:t>2.</w:t>
      </w:r>
      <w:r>
        <w:rPr>
          <w:b/>
          <w:bCs/>
        </w:rPr>
        <w:tab/>
        <w:t>Образование и ВВП</w:t>
      </w:r>
    </w:p>
    <w:p w:rsidR="00000000" w:rsidRDefault="00000000">
      <w:pPr>
        <w:keepNext/>
        <w:rPr>
          <w:b/>
          <w:bCs/>
        </w:rPr>
      </w:pPr>
    </w:p>
    <w:p w:rsidR="00000000" w:rsidRDefault="00000000">
      <w:pPr>
        <w:keepNext/>
      </w:pPr>
      <w:r>
        <w:t>45.</w:t>
      </w:r>
      <w:r>
        <w:tab/>
        <w:t>Что касается увеличения доли образования в валовом внутреннем продукте (ВВП) и доли расходов страны на образование в общем бюджете, то можно отметить, что в период с 1993 по 2000 годы наблюдался неуклонный рост.  Этот период резко отличается от периода, начавшегося в 2001 году, когда этот показатель стал снижаться, пока в 2004 году не достиг низшей точки, после чего в 2005 году стал несколько расти.  Вместе с этим ассигнования на нужды министерства образования и культуры из общего бюджета государственных расходов за рассматриваемый период существенно не изменились.  Они колебались на уровне 17</w:t>
      </w:r>
      <w:r>
        <w:noBreakHyphen/>
        <w:t>20%.</w:t>
      </w:r>
    </w:p>
    <w:p w:rsidR="00000000" w:rsidRDefault="00000000"/>
    <w:p w:rsidR="00000000" w:rsidRDefault="00000000">
      <w:pPr>
        <w:sectPr w:rsidR="00000000">
          <w:headerReference w:type="even" r:id="rId22"/>
          <w:headerReference w:type="default" r:id="rId23"/>
          <w:headerReference w:type="first" r:id="rId24"/>
          <w:pgSz w:w="11906" w:h="16838" w:code="9"/>
          <w:pgMar w:top="851" w:right="851" w:bottom="1701" w:left="1701" w:header="851" w:footer="851" w:gutter="0"/>
          <w:cols w:space="720"/>
          <w:formProt w:val="0"/>
          <w:noEndnote/>
          <w:titlePg/>
        </w:sectPr>
      </w:pPr>
    </w:p>
    <w:p w:rsidR="00000000" w:rsidRDefault="00000000">
      <w:pPr>
        <w:jc w:val="center"/>
        <w:rPr>
          <w:b/>
          <w:bCs/>
        </w:rPr>
      </w:pPr>
      <w:r>
        <w:rPr>
          <w:b/>
          <w:bCs/>
        </w:rPr>
        <w:t>Министерство образования и культуры, 1993</w:t>
      </w:r>
      <w:r>
        <w:rPr>
          <w:b/>
          <w:bCs/>
        </w:rPr>
        <w:noBreakHyphen/>
        <w:t>2005 годы</w:t>
      </w:r>
    </w:p>
    <w:p w:rsidR="00000000" w:rsidRDefault="00000000">
      <w:pPr>
        <w:jc w:val="center"/>
        <w:rPr>
          <w:b/>
          <w:bCs/>
        </w:rPr>
      </w:pPr>
      <w:r>
        <w:rPr>
          <w:b/>
          <w:bCs/>
        </w:rPr>
        <w:t>Исполнение бюджета (в млн. гуарани)</w:t>
      </w:r>
    </w:p>
    <w:p w:rsidR="00000000" w:rsidRDefault="00000000">
      <w:pPr>
        <w:rPr>
          <w:b/>
          <w:bCs/>
          <w:sz w:val="20"/>
        </w:rPr>
      </w:pPr>
    </w:p>
    <w:tbl>
      <w:tblPr>
        <w:tblW w:w="14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07"/>
        <w:gridCol w:w="1122"/>
        <w:gridCol w:w="935"/>
        <w:gridCol w:w="797"/>
        <w:gridCol w:w="854"/>
        <w:gridCol w:w="882"/>
        <w:gridCol w:w="868"/>
        <w:gridCol w:w="826"/>
        <w:gridCol w:w="798"/>
        <w:gridCol w:w="868"/>
        <w:gridCol w:w="853"/>
        <w:gridCol w:w="826"/>
        <w:gridCol w:w="843"/>
        <w:gridCol w:w="865"/>
      </w:tblGrid>
      <w:tr w:rsidR="00000000">
        <w:trPr>
          <w:cantSplit/>
        </w:trPr>
        <w:tc>
          <w:tcPr>
            <w:tcW w:w="3207" w:type="dxa"/>
            <w:shd w:val="clear" w:color="auto" w:fill="CCFFCC"/>
            <w:noWrap/>
            <w:vAlign w:val="bottom"/>
          </w:tcPr>
          <w:p w:rsidR="00000000" w:rsidRDefault="00000000">
            <w:pPr>
              <w:rPr>
                <w:b/>
                <w:bCs/>
                <w:sz w:val="20"/>
              </w:rPr>
            </w:pPr>
            <w:r>
              <w:rPr>
                <w:b/>
                <w:bCs/>
                <w:sz w:val="20"/>
              </w:rPr>
              <w:t>Статья расходов</w:t>
            </w:r>
          </w:p>
        </w:tc>
        <w:tc>
          <w:tcPr>
            <w:tcW w:w="1122" w:type="dxa"/>
            <w:shd w:val="clear" w:color="auto" w:fill="CCFFCC"/>
            <w:noWrap/>
            <w:vAlign w:val="bottom"/>
          </w:tcPr>
          <w:p w:rsidR="00000000" w:rsidRDefault="00000000">
            <w:pPr>
              <w:jc w:val="center"/>
              <w:rPr>
                <w:b/>
                <w:bCs/>
                <w:sz w:val="20"/>
                <w:lang w:val="en-US"/>
              </w:rPr>
            </w:pPr>
            <w:r>
              <w:rPr>
                <w:b/>
                <w:bCs/>
                <w:sz w:val="20"/>
                <w:lang w:val="en-US"/>
              </w:rPr>
              <w:t>1993</w:t>
            </w:r>
          </w:p>
        </w:tc>
        <w:tc>
          <w:tcPr>
            <w:tcW w:w="935" w:type="dxa"/>
            <w:shd w:val="clear" w:color="auto" w:fill="CCFFCC"/>
            <w:noWrap/>
            <w:vAlign w:val="bottom"/>
          </w:tcPr>
          <w:p w:rsidR="00000000" w:rsidRDefault="00000000">
            <w:pPr>
              <w:jc w:val="center"/>
              <w:rPr>
                <w:b/>
                <w:bCs/>
                <w:sz w:val="20"/>
                <w:lang w:val="en-US"/>
              </w:rPr>
            </w:pPr>
            <w:r>
              <w:rPr>
                <w:b/>
                <w:bCs/>
                <w:sz w:val="20"/>
                <w:lang w:val="en-US"/>
              </w:rPr>
              <w:t>1994</w:t>
            </w:r>
          </w:p>
        </w:tc>
        <w:tc>
          <w:tcPr>
            <w:tcW w:w="797" w:type="dxa"/>
            <w:shd w:val="clear" w:color="auto" w:fill="CCFFCC"/>
            <w:noWrap/>
            <w:vAlign w:val="bottom"/>
          </w:tcPr>
          <w:p w:rsidR="00000000" w:rsidRDefault="00000000">
            <w:pPr>
              <w:jc w:val="center"/>
              <w:rPr>
                <w:b/>
                <w:bCs/>
                <w:sz w:val="20"/>
                <w:lang w:val="en-US"/>
              </w:rPr>
            </w:pPr>
            <w:r>
              <w:rPr>
                <w:b/>
                <w:bCs/>
                <w:sz w:val="20"/>
                <w:lang w:val="en-US"/>
              </w:rPr>
              <w:t>1995</w:t>
            </w:r>
          </w:p>
        </w:tc>
        <w:tc>
          <w:tcPr>
            <w:tcW w:w="854" w:type="dxa"/>
            <w:shd w:val="clear" w:color="auto" w:fill="CCFFCC"/>
            <w:noWrap/>
            <w:vAlign w:val="bottom"/>
          </w:tcPr>
          <w:p w:rsidR="00000000" w:rsidRDefault="00000000">
            <w:pPr>
              <w:jc w:val="center"/>
              <w:rPr>
                <w:b/>
                <w:bCs/>
                <w:sz w:val="20"/>
                <w:lang w:val="en-US"/>
              </w:rPr>
            </w:pPr>
            <w:r>
              <w:rPr>
                <w:b/>
                <w:bCs/>
                <w:sz w:val="20"/>
                <w:lang w:val="en-US"/>
              </w:rPr>
              <w:t>1996</w:t>
            </w:r>
          </w:p>
        </w:tc>
        <w:tc>
          <w:tcPr>
            <w:tcW w:w="882" w:type="dxa"/>
            <w:shd w:val="clear" w:color="auto" w:fill="CCFFCC"/>
            <w:noWrap/>
            <w:vAlign w:val="bottom"/>
          </w:tcPr>
          <w:p w:rsidR="00000000" w:rsidRDefault="00000000">
            <w:pPr>
              <w:jc w:val="center"/>
              <w:rPr>
                <w:b/>
                <w:bCs/>
                <w:sz w:val="20"/>
                <w:lang w:val="en-US"/>
              </w:rPr>
            </w:pPr>
            <w:r>
              <w:rPr>
                <w:b/>
                <w:bCs/>
                <w:sz w:val="20"/>
                <w:lang w:val="en-US"/>
              </w:rPr>
              <w:t>1997</w:t>
            </w:r>
          </w:p>
        </w:tc>
        <w:tc>
          <w:tcPr>
            <w:tcW w:w="868" w:type="dxa"/>
            <w:shd w:val="clear" w:color="auto" w:fill="CCFFCC"/>
            <w:noWrap/>
            <w:vAlign w:val="bottom"/>
          </w:tcPr>
          <w:p w:rsidR="00000000" w:rsidRDefault="00000000">
            <w:pPr>
              <w:jc w:val="center"/>
              <w:rPr>
                <w:b/>
                <w:bCs/>
                <w:sz w:val="20"/>
                <w:lang w:val="en-US"/>
              </w:rPr>
            </w:pPr>
            <w:r>
              <w:rPr>
                <w:b/>
                <w:bCs/>
                <w:sz w:val="20"/>
                <w:lang w:val="en-US"/>
              </w:rPr>
              <w:t>1998</w:t>
            </w:r>
          </w:p>
        </w:tc>
        <w:tc>
          <w:tcPr>
            <w:tcW w:w="826" w:type="dxa"/>
            <w:shd w:val="clear" w:color="auto" w:fill="CCFFCC"/>
            <w:noWrap/>
            <w:vAlign w:val="bottom"/>
          </w:tcPr>
          <w:p w:rsidR="00000000" w:rsidRDefault="00000000">
            <w:pPr>
              <w:jc w:val="center"/>
              <w:rPr>
                <w:b/>
                <w:bCs/>
                <w:sz w:val="20"/>
                <w:lang w:val="en-US"/>
              </w:rPr>
            </w:pPr>
            <w:r>
              <w:rPr>
                <w:b/>
                <w:bCs/>
                <w:sz w:val="20"/>
                <w:lang w:val="en-US"/>
              </w:rPr>
              <w:t>1999</w:t>
            </w:r>
          </w:p>
        </w:tc>
        <w:tc>
          <w:tcPr>
            <w:tcW w:w="798" w:type="dxa"/>
            <w:shd w:val="clear" w:color="auto" w:fill="CCFFCC"/>
            <w:noWrap/>
            <w:vAlign w:val="bottom"/>
          </w:tcPr>
          <w:p w:rsidR="00000000" w:rsidRDefault="00000000">
            <w:pPr>
              <w:jc w:val="center"/>
              <w:rPr>
                <w:b/>
                <w:bCs/>
                <w:sz w:val="20"/>
                <w:lang w:val="en-US"/>
              </w:rPr>
            </w:pPr>
            <w:r>
              <w:rPr>
                <w:b/>
                <w:bCs/>
                <w:sz w:val="20"/>
                <w:lang w:val="en-US"/>
              </w:rPr>
              <w:t>2000</w:t>
            </w:r>
          </w:p>
        </w:tc>
        <w:tc>
          <w:tcPr>
            <w:tcW w:w="868" w:type="dxa"/>
            <w:shd w:val="clear" w:color="auto" w:fill="CCFFCC"/>
            <w:noWrap/>
            <w:vAlign w:val="bottom"/>
          </w:tcPr>
          <w:p w:rsidR="00000000" w:rsidRDefault="00000000">
            <w:pPr>
              <w:jc w:val="center"/>
              <w:rPr>
                <w:b/>
                <w:bCs/>
                <w:sz w:val="20"/>
                <w:lang w:val="en-US"/>
              </w:rPr>
            </w:pPr>
            <w:r>
              <w:rPr>
                <w:b/>
                <w:bCs/>
                <w:sz w:val="20"/>
                <w:lang w:val="en-US"/>
              </w:rPr>
              <w:t>2001</w:t>
            </w:r>
          </w:p>
        </w:tc>
        <w:tc>
          <w:tcPr>
            <w:tcW w:w="853" w:type="dxa"/>
            <w:shd w:val="clear" w:color="auto" w:fill="CCFFCC"/>
            <w:noWrap/>
            <w:vAlign w:val="bottom"/>
          </w:tcPr>
          <w:p w:rsidR="00000000" w:rsidRDefault="00000000">
            <w:pPr>
              <w:jc w:val="center"/>
              <w:rPr>
                <w:b/>
                <w:bCs/>
                <w:sz w:val="20"/>
                <w:lang w:val="en-US"/>
              </w:rPr>
            </w:pPr>
            <w:r>
              <w:rPr>
                <w:b/>
                <w:bCs/>
                <w:sz w:val="20"/>
                <w:lang w:val="en-US"/>
              </w:rPr>
              <w:t>2002</w:t>
            </w:r>
          </w:p>
        </w:tc>
        <w:tc>
          <w:tcPr>
            <w:tcW w:w="826" w:type="dxa"/>
            <w:shd w:val="clear" w:color="auto" w:fill="CCFFCC"/>
            <w:noWrap/>
            <w:vAlign w:val="bottom"/>
          </w:tcPr>
          <w:p w:rsidR="00000000" w:rsidRDefault="00000000">
            <w:pPr>
              <w:jc w:val="center"/>
              <w:rPr>
                <w:b/>
                <w:bCs/>
                <w:sz w:val="20"/>
                <w:lang w:val="en-US"/>
              </w:rPr>
            </w:pPr>
            <w:r>
              <w:rPr>
                <w:b/>
                <w:bCs/>
                <w:sz w:val="20"/>
                <w:lang w:val="en-US"/>
              </w:rPr>
              <w:t>2003</w:t>
            </w:r>
          </w:p>
        </w:tc>
        <w:tc>
          <w:tcPr>
            <w:tcW w:w="843" w:type="dxa"/>
            <w:shd w:val="clear" w:color="auto" w:fill="CCFFCC"/>
            <w:noWrap/>
            <w:vAlign w:val="bottom"/>
          </w:tcPr>
          <w:p w:rsidR="00000000" w:rsidRDefault="00000000">
            <w:pPr>
              <w:jc w:val="center"/>
              <w:rPr>
                <w:b/>
                <w:bCs/>
                <w:sz w:val="20"/>
                <w:lang w:val="en-US"/>
              </w:rPr>
            </w:pPr>
            <w:r>
              <w:rPr>
                <w:b/>
                <w:bCs/>
                <w:sz w:val="20"/>
                <w:lang w:val="en-US"/>
              </w:rPr>
              <w:t>2004</w:t>
            </w:r>
          </w:p>
        </w:tc>
        <w:tc>
          <w:tcPr>
            <w:tcW w:w="865" w:type="dxa"/>
            <w:shd w:val="clear" w:color="auto" w:fill="CCFFCC"/>
            <w:noWrap/>
            <w:vAlign w:val="bottom"/>
          </w:tcPr>
          <w:p w:rsidR="00000000" w:rsidRDefault="00000000">
            <w:pPr>
              <w:jc w:val="center"/>
              <w:rPr>
                <w:b/>
                <w:bCs/>
                <w:sz w:val="20"/>
                <w:lang w:val="en-US"/>
              </w:rPr>
            </w:pPr>
            <w:r>
              <w:rPr>
                <w:b/>
                <w:bCs/>
                <w:sz w:val="20"/>
                <w:lang w:val="en-US"/>
              </w:rPr>
              <w:t>2005</w:t>
            </w:r>
          </w:p>
        </w:tc>
      </w:tr>
      <w:tr w:rsidR="00000000">
        <w:trPr>
          <w:cantSplit/>
        </w:trPr>
        <w:tc>
          <w:tcPr>
            <w:tcW w:w="3207" w:type="dxa"/>
            <w:shd w:val="clear" w:color="FFFFFF" w:fill="FFFFFF"/>
            <w:noWrap/>
            <w:vAlign w:val="center"/>
          </w:tcPr>
          <w:p w:rsidR="00000000" w:rsidRDefault="00000000">
            <w:pPr>
              <w:rPr>
                <w:b/>
                <w:bCs/>
                <w:sz w:val="16"/>
              </w:rPr>
            </w:pPr>
            <w:r>
              <w:rPr>
                <w:b/>
                <w:bCs/>
                <w:sz w:val="16"/>
              </w:rPr>
              <w:t>БЮДЖЕТ</w:t>
            </w:r>
          </w:p>
        </w:tc>
        <w:tc>
          <w:tcPr>
            <w:tcW w:w="1122" w:type="dxa"/>
            <w:noWrap/>
            <w:vAlign w:val="bottom"/>
          </w:tcPr>
          <w:p w:rsidR="00000000" w:rsidRDefault="00000000">
            <w:pPr>
              <w:jc w:val="right"/>
              <w:rPr>
                <w:sz w:val="16"/>
              </w:rPr>
            </w:pPr>
            <w:r>
              <w:rPr>
                <w:sz w:val="16"/>
                <w:lang w:val="en-US"/>
              </w:rPr>
              <w:t> </w:t>
            </w:r>
          </w:p>
        </w:tc>
        <w:tc>
          <w:tcPr>
            <w:tcW w:w="935" w:type="dxa"/>
            <w:noWrap/>
            <w:vAlign w:val="bottom"/>
          </w:tcPr>
          <w:p w:rsidR="00000000" w:rsidRDefault="00000000">
            <w:pPr>
              <w:jc w:val="right"/>
              <w:rPr>
                <w:sz w:val="16"/>
              </w:rPr>
            </w:pPr>
            <w:r>
              <w:rPr>
                <w:sz w:val="16"/>
                <w:lang w:val="en-US"/>
              </w:rPr>
              <w:t> </w:t>
            </w:r>
          </w:p>
        </w:tc>
        <w:tc>
          <w:tcPr>
            <w:tcW w:w="797" w:type="dxa"/>
            <w:noWrap/>
            <w:vAlign w:val="bottom"/>
          </w:tcPr>
          <w:p w:rsidR="00000000" w:rsidRDefault="00000000">
            <w:pPr>
              <w:jc w:val="right"/>
              <w:rPr>
                <w:sz w:val="16"/>
              </w:rPr>
            </w:pPr>
            <w:r>
              <w:rPr>
                <w:sz w:val="16"/>
                <w:lang w:val="en-US"/>
              </w:rPr>
              <w:t> </w:t>
            </w:r>
          </w:p>
        </w:tc>
        <w:tc>
          <w:tcPr>
            <w:tcW w:w="854" w:type="dxa"/>
            <w:noWrap/>
            <w:vAlign w:val="bottom"/>
          </w:tcPr>
          <w:p w:rsidR="00000000" w:rsidRDefault="00000000">
            <w:pPr>
              <w:jc w:val="right"/>
              <w:rPr>
                <w:sz w:val="16"/>
              </w:rPr>
            </w:pPr>
            <w:r>
              <w:rPr>
                <w:sz w:val="16"/>
                <w:lang w:val="en-US"/>
              </w:rPr>
              <w:t> </w:t>
            </w:r>
          </w:p>
        </w:tc>
        <w:tc>
          <w:tcPr>
            <w:tcW w:w="882" w:type="dxa"/>
            <w:noWrap/>
            <w:vAlign w:val="bottom"/>
          </w:tcPr>
          <w:p w:rsidR="00000000" w:rsidRDefault="00000000">
            <w:pPr>
              <w:jc w:val="right"/>
              <w:rPr>
                <w:sz w:val="16"/>
              </w:rPr>
            </w:pPr>
            <w:r>
              <w:rPr>
                <w:sz w:val="16"/>
                <w:lang w:val="en-US"/>
              </w:rPr>
              <w:t> </w:t>
            </w:r>
          </w:p>
        </w:tc>
        <w:tc>
          <w:tcPr>
            <w:tcW w:w="868" w:type="dxa"/>
            <w:noWrap/>
            <w:vAlign w:val="bottom"/>
          </w:tcPr>
          <w:p w:rsidR="00000000" w:rsidRDefault="00000000">
            <w:pPr>
              <w:jc w:val="right"/>
              <w:rPr>
                <w:sz w:val="16"/>
              </w:rPr>
            </w:pPr>
            <w:r>
              <w:rPr>
                <w:sz w:val="16"/>
                <w:lang w:val="en-US"/>
              </w:rPr>
              <w:t> </w:t>
            </w:r>
          </w:p>
        </w:tc>
        <w:tc>
          <w:tcPr>
            <w:tcW w:w="826" w:type="dxa"/>
            <w:noWrap/>
            <w:vAlign w:val="bottom"/>
          </w:tcPr>
          <w:p w:rsidR="00000000" w:rsidRDefault="00000000">
            <w:pPr>
              <w:jc w:val="right"/>
              <w:rPr>
                <w:sz w:val="16"/>
              </w:rPr>
            </w:pPr>
            <w:r>
              <w:rPr>
                <w:sz w:val="16"/>
                <w:lang w:val="en-US"/>
              </w:rPr>
              <w:t> </w:t>
            </w:r>
          </w:p>
        </w:tc>
        <w:tc>
          <w:tcPr>
            <w:tcW w:w="798" w:type="dxa"/>
            <w:noWrap/>
            <w:vAlign w:val="bottom"/>
          </w:tcPr>
          <w:p w:rsidR="00000000" w:rsidRDefault="00000000">
            <w:pPr>
              <w:jc w:val="right"/>
              <w:rPr>
                <w:sz w:val="16"/>
              </w:rPr>
            </w:pPr>
            <w:r>
              <w:rPr>
                <w:sz w:val="16"/>
                <w:lang w:val="en-US"/>
              </w:rPr>
              <w:t> </w:t>
            </w:r>
          </w:p>
        </w:tc>
        <w:tc>
          <w:tcPr>
            <w:tcW w:w="868" w:type="dxa"/>
            <w:noWrap/>
            <w:vAlign w:val="bottom"/>
          </w:tcPr>
          <w:p w:rsidR="00000000" w:rsidRDefault="00000000">
            <w:pPr>
              <w:jc w:val="right"/>
              <w:rPr>
                <w:sz w:val="16"/>
              </w:rPr>
            </w:pPr>
            <w:r>
              <w:rPr>
                <w:sz w:val="16"/>
                <w:lang w:val="en-US"/>
              </w:rPr>
              <w:t> </w:t>
            </w:r>
          </w:p>
        </w:tc>
        <w:tc>
          <w:tcPr>
            <w:tcW w:w="853" w:type="dxa"/>
            <w:noWrap/>
            <w:vAlign w:val="bottom"/>
          </w:tcPr>
          <w:p w:rsidR="00000000" w:rsidRDefault="00000000">
            <w:pPr>
              <w:jc w:val="right"/>
              <w:rPr>
                <w:sz w:val="16"/>
              </w:rPr>
            </w:pPr>
            <w:r>
              <w:rPr>
                <w:sz w:val="16"/>
                <w:lang w:val="en-US"/>
              </w:rPr>
              <w:t> </w:t>
            </w:r>
          </w:p>
        </w:tc>
        <w:tc>
          <w:tcPr>
            <w:tcW w:w="826" w:type="dxa"/>
            <w:noWrap/>
            <w:vAlign w:val="bottom"/>
          </w:tcPr>
          <w:p w:rsidR="00000000" w:rsidRDefault="00000000">
            <w:pPr>
              <w:jc w:val="right"/>
              <w:rPr>
                <w:sz w:val="16"/>
              </w:rPr>
            </w:pPr>
            <w:r>
              <w:rPr>
                <w:sz w:val="16"/>
                <w:lang w:val="en-US"/>
              </w:rPr>
              <w:t> </w:t>
            </w:r>
          </w:p>
        </w:tc>
        <w:tc>
          <w:tcPr>
            <w:tcW w:w="843" w:type="dxa"/>
            <w:noWrap/>
            <w:vAlign w:val="bottom"/>
          </w:tcPr>
          <w:p w:rsidR="00000000" w:rsidRDefault="00000000">
            <w:pPr>
              <w:jc w:val="right"/>
              <w:rPr>
                <w:sz w:val="16"/>
              </w:rPr>
            </w:pPr>
            <w:r>
              <w:rPr>
                <w:sz w:val="16"/>
                <w:lang w:val="en-US"/>
              </w:rPr>
              <w:t> </w:t>
            </w:r>
          </w:p>
        </w:tc>
        <w:tc>
          <w:tcPr>
            <w:tcW w:w="865" w:type="dxa"/>
            <w:noWrap/>
            <w:vAlign w:val="bottom"/>
          </w:tcPr>
          <w:p w:rsidR="00000000" w:rsidRDefault="00000000">
            <w:pPr>
              <w:jc w:val="right"/>
              <w:rPr>
                <w:sz w:val="16"/>
              </w:rPr>
            </w:pPr>
            <w:r>
              <w:rPr>
                <w:sz w:val="16"/>
                <w:lang w:val="en-US"/>
              </w:rPr>
              <w:t> </w:t>
            </w:r>
          </w:p>
        </w:tc>
      </w:tr>
      <w:tr w:rsidR="00000000">
        <w:trPr>
          <w:cantSplit/>
        </w:trPr>
        <w:tc>
          <w:tcPr>
            <w:tcW w:w="3207" w:type="dxa"/>
            <w:noWrap/>
            <w:vAlign w:val="bottom"/>
          </w:tcPr>
          <w:p w:rsidR="00000000" w:rsidRDefault="00000000">
            <w:pPr>
              <w:rPr>
                <w:color w:val="000000"/>
                <w:sz w:val="16"/>
              </w:rPr>
            </w:pPr>
            <w:r>
              <w:rPr>
                <w:color w:val="000000"/>
                <w:sz w:val="16"/>
              </w:rPr>
              <w:t>ЦЕНТРАЛЬНАЯ АДМИНИСТРАЦИЯ</w:t>
            </w:r>
          </w:p>
        </w:tc>
        <w:tc>
          <w:tcPr>
            <w:tcW w:w="1122" w:type="dxa"/>
            <w:noWrap/>
            <w:vAlign w:val="bottom"/>
          </w:tcPr>
          <w:p w:rsidR="00000000" w:rsidRDefault="00000000">
            <w:pPr>
              <w:jc w:val="right"/>
              <w:rPr>
                <w:sz w:val="16"/>
                <w:lang w:val="en-US"/>
              </w:rPr>
            </w:pPr>
            <w:r>
              <w:rPr>
                <w:sz w:val="16"/>
                <w:lang w:val="en-US"/>
              </w:rPr>
              <w:t>2 068 868</w:t>
            </w:r>
          </w:p>
        </w:tc>
        <w:tc>
          <w:tcPr>
            <w:tcW w:w="935" w:type="dxa"/>
            <w:noWrap/>
            <w:vAlign w:val="bottom"/>
          </w:tcPr>
          <w:p w:rsidR="00000000" w:rsidRDefault="00000000">
            <w:pPr>
              <w:jc w:val="right"/>
              <w:rPr>
                <w:sz w:val="16"/>
                <w:lang w:val="en-US"/>
              </w:rPr>
            </w:pPr>
            <w:r>
              <w:rPr>
                <w:sz w:val="16"/>
                <w:lang w:val="en-US"/>
              </w:rPr>
              <w:t>2 568 389</w:t>
            </w:r>
          </w:p>
        </w:tc>
        <w:tc>
          <w:tcPr>
            <w:tcW w:w="797" w:type="dxa"/>
            <w:noWrap/>
            <w:vAlign w:val="bottom"/>
          </w:tcPr>
          <w:p w:rsidR="00000000" w:rsidRDefault="00000000">
            <w:pPr>
              <w:jc w:val="right"/>
              <w:rPr>
                <w:sz w:val="16"/>
                <w:lang w:val="en-US"/>
              </w:rPr>
            </w:pPr>
            <w:r>
              <w:rPr>
                <w:sz w:val="16"/>
                <w:lang w:val="en-US"/>
              </w:rPr>
              <w:t>3 490 367</w:t>
            </w:r>
          </w:p>
        </w:tc>
        <w:tc>
          <w:tcPr>
            <w:tcW w:w="854" w:type="dxa"/>
            <w:noWrap/>
            <w:vAlign w:val="bottom"/>
          </w:tcPr>
          <w:p w:rsidR="00000000" w:rsidRDefault="00000000">
            <w:pPr>
              <w:jc w:val="right"/>
              <w:rPr>
                <w:sz w:val="16"/>
                <w:lang w:val="en-US"/>
              </w:rPr>
            </w:pPr>
            <w:r>
              <w:rPr>
                <w:sz w:val="16"/>
                <w:lang w:val="en-US"/>
              </w:rPr>
              <w:t>4 303 706</w:t>
            </w:r>
          </w:p>
        </w:tc>
        <w:tc>
          <w:tcPr>
            <w:tcW w:w="882" w:type="dxa"/>
            <w:noWrap/>
            <w:vAlign w:val="bottom"/>
          </w:tcPr>
          <w:p w:rsidR="00000000" w:rsidRDefault="00000000">
            <w:pPr>
              <w:jc w:val="right"/>
              <w:rPr>
                <w:sz w:val="16"/>
                <w:lang w:val="en-US"/>
              </w:rPr>
            </w:pPr>
            <w:r>
              <w:rPr>
                <w:sz w:val="16"/>
                <w:lang w:val="en-US"/>
              </w:rPr>
              <w:t>4 528 874</w:t>
            </w:r>
          </w:p>
        </w:tc>
        <w:tc>
          <w:tcPr>
            <w:tcW w:w="868" w:type="dxa"/>
            <w:noWrap/>
            <w:vAlign w:val="bottom"/>
          </w:tcPr>
          <w:p w:rsidR="00000000" w:rsidRDefault="00000000">
            <w:pPr>
              <w:jc w:val="right"/>
              <w:rPr>
                <w:sz w:val="16"/>
                <w:lang w:val="en-US"/>
              </w:rPr>
            </w:pPr>
            <w:r>
              <w:rPr>
                <w:sz w:val="16"/>
                <w:lang w:val="en-US"/>
              </w:rPr>
              <w:t>5 419 007</w:t>
            </w:r>
          </w:p>
        </w:tc>
        <w:tc>
          <w:tcPr>
            <w:tcW w:w="826" w:type="dxa"/>
            <w:noWrap/>
            <w:vAlign w:val="bottom"/>
          </w:tcPr>
          <w:p w:rsidR="00000000" w:rsidRDefault="00000000">
            <w:pPr>
              <w:jc w:val="right"/>
              <w:rPr>
                <w:sz w:val="16"/>
                <w:lang w:val="en-US"/>
              </w:rPr>
            </w:pPr>
            <w:r>
              <w:rPr>
                <w:sz w:val="16"/>
                <w:lang w:val="en-US"/>
              </w:rPr>
              <w:t>7 278 673</w:t>
            </w:r>
          </w:p>
        </w:tc>
        <w:tc>
          <w:tcPr>
            <w:tcW w:w="798" w:type="dxa"/>
            <w:noWrap/>
            <w:vAlign w:val="bottom"/>
          </w:tcPr>
          <w:p w:rsidR="00000000" w:rsidRDefault="00000000">
            <w:pPr>
              <w:jc w:val="right"/>
              <w:rPr>
                <w:sz w:val="16"/>
                <w:lang w:val="en-US"/>
              </w:rPr>
            </w:pPr>
            <w:r>
              <w:rPr>
                <w:sz w:val="16"/>
                <w:lang w:val="en-US"/>
              </w:rPr>
              <w:t>7 604 699</w:t>
            </w:r>
          </w:p>
        </w:tc>
        <w:tc>
          <w:tcPr>
            <w:tcW w:w="868" w:type="dxa"/>
            <w:noWrap/>
            <w:vAlign w:val="bottom"/>
          </w:tcPr>
          <w:p w:rsidR="00000000" w:rsidRDefault="00000000">
            <w:pPr>
              <w:jc w:val="right"/>
              <w:rPr>
                <w:sz w:val="16"/>
                <w:lang w:val="en-US"/>
              </w:rPr>
            </w:pPr>
            <w:r>
              <w:rPr>
                <w:sz w:val="16"/>
                <w:lang w:val="en-US"/>
              </w:rPr>
              <w:t>7 291 523</w:t>
            </w:r>
          </w:p>
        </w:tc>
        <w:tc>
          <w:tcPr>
            <w:tcW w:w="853" w:type="dxa"/>
            <w:noWrap/>
            <w:vAlign w:val="bottom"/>
          </w:tcPr>
          <w:p w:rsidR="00000000" w:rsidRDefault="00000000">
            <w:pPr>
              <w:jc w:val="right"/>
              <w:rPr>
                <w:sz w:val="16"/>
                <w:lang w:val="en-US"/>
              </w:rPr>
            </w:pPr>
            <w:r>
              <w:rPr>
                <w:sz w:val="16"/>
                <w:lang w:val="en-US"/>
              </w:rPr>
              <w:t>7 770 138</w:t>
            </w:r>
          </w:p>
        </w:tc>
        <w:tc>
          <w:tcPr>
            <w:tcW w:w="826" w:type="dxa"/>
            <w:noWrap/>
            <w:vAlign w:val="bottom"/>
          </w:tcPr>
          <w:p w:rsidR="00000000" w:rsidRDefault="00000000">
            <w:pPr>
              <w:jc w:val="right"/>
              <w:rPr>
                <w:sz w:val="16"/>
                <w:lang w:val="en-US"/>
              </w:rPr>
            </w:pPr>
            <w:r>
              <w:rPr>
                <w:sz w:val="16"/>
                <w:lang w:val="en-US"/>
              </w:rPr>
              <w:t>9 994 811</w:t>
            </w:r>
          </w:p>
        </w:tc>
        <w:tc>
          <w:tcPr>
            <w:tcW w:w="843" w:type="dxa"/>
            <w:noWrap/>
            <w:vAlign w:val="bottom"/>
          </w:tcPr>
          <w:p w:rsidR="00000000" w:rsidRDefault="00000000">
            <w:pPr>
              <w:jc w:val="right"/>
              <w:rPr>
                <w:sz w:val="16"/>
                <w:lang w:val="en-US"/>
              </w:rPr>
            </w:pPr>
            <w:r>
              <w:rPr>
                <w:sz w:val="16"/>
                <w:lang w:val="en-US"/>
              </w:rPr>
              <w:t>9 568 415</w:t>
            </w:r>
          </w:p>
        </w:tc>
        <w:tc>
          <w:tcPr>
            <w:tcW w:w="865" w:type="dxa"/>
            <w:noWrap/>
            <w:vAlign w:val="bottom"/>
          </w:tcPr>
          <w:p w:rsidR="00000000" w:rsidRDefault="00000000">
            <w:pPr>
              <w:jc w:val="right"/>
              <w:rPr>
                <w:sz w:val="16"/>
                <w:lang w:val="en-US"/>
              </w:rPr>
            </w:pPr>
            <w:r>
              <w:rPr>
                <w:sz w:val="16"/>
                <w:lang w:val="en-US"/>
              </w:rPr>
              <w:t>10 911 323</w:t>
            </w:r>
          </w:p>
        </w:tc>
      </w:tr>
      <w:tr w:rsidR="00000000">
        <w:trPr>
          <w:cantSplit/>
        </w:trPr>
        <w:tc>
          <w:tcPr>
            <w:tcW w:w="3207" w:type="dxa"/>
            <w:noWrap/>
            <w:vAlign w:val="bottom"/>
          </w:tcPr>
          <w:p w:rsidR="00000000" w:rsidRDefault="00000000">
            <w:pPr>
              <w:rPr>
                <w:color w:val="000000"/>
                <w:sz w:val="16"/>
              </w:rPr>
            </w:pPr>
            <w:r>
              <w:rPr>
                <w:color w:val="000000"/>
                <w:sz w:val="16"/>
              </w:rPr>
              <w:t>МИНИСТЕРСТВО ОБРАЗОВАНИЯ И КУЛЬТУРЫ</w:t>
            </w:r>
          </w:p>
        </w:tc>
        <w:tc>
          <w:tcPr>
            <w:tcW w:w="1122" w:type="dxa"/>
            <w:noWrap/>
            <w:vAlign w:val="bottom"/>
          </w:tcPr>
          <w:p w:rsidR="00000000" w:rsidRDefault="00000000">
            <w:pPr>
              <w:jc w:val="right"/>
              <w:rPr>
                <w:sz w:val="16"/>
                <w:lang w:val="en-US"/>
              </w:rPr>
            </w:pPr>
            <w:r>
              <w:rPr>
                <w:sz w:val="16"/>
                <w:lang w:val="en-US"/>
              </w:rPr>
              <w:t>349 981</w:t>
            </w:r>
          </w:p>
        </w:tc>
        <w:tc>
          <w:tcPr>
            <w:tcW w:w="935" w:type="dxa"/>
            <w:noWrap/>
            <w:vAlign w:val="bottom"/>
          </w:tcPr>
          <w:p w:rsidR="00000000" w:rsidRDefault="00000000">
            <w:pPr>
              <w:jc w:val="right"/>
              <w:rPr>
                <w:sz w:val="16"/>
                <w:lang w:val="en-US"/>
              </w:rPr>
            </w:pPr>
            <w:r>
              <w:rPr>
                <w:sz w:val="16"/>
                <w:lang w:val="en-US"/>
              </w:rPr>
              <w:t>439 233</w:t>
            </w:r>
          </w:p>
        </w:tc>
        <w:tc>
          <w:tcPr>
            <w:tcW w:w="797" w:type="dxa"/>
            <w:noWrap/>
            <w:vAlign w:val="bottom"/>
          </w:tcPr>
          <w:p w:rsidR="00000000" w:rsidRDefault="00000000">
            <w:pPr>
              <w:jc w:val="right"/>
              <w:rPr>
                <w:sz w:val="16"/>
                <w:lang w:val="en-US"/>
              </w:rPr>
            </w:pPr>
            <w:r>
              <w:rPr>
                <w:sz w:val="16"/>
                <w:lang w:val="en-US"/>
              </w:rPr>
              <w:t>610 698</w:t>
            </w:r>
          </w:p>
        </w:tc>
        <w:tc>
          <w:tcPr>
            <w:tcW w:w="854" w:type="dxa"/>
            <w:noWrap/>
            <w:vAlign w:val="bottom"/>
          </w:tcPr>
          <w:p w:rsidR="00000000" w:rsidRDefault="00000000">
            <w:pPr>
              <w:jc w:val="right"/>
              <w:rPr>
                <w:sz w:val="16"/>
                <w:lang w:val="en-US"/>
              </w:rPr>
            </w:pPr>
            <w:r>
              <w:rPr>
                <w:sz w:val="16"/>
                <w:lang w:val="en-US"/>
              </w:rPr>
              <w:t>788 674</w:t>
            </w:r>
          </w:p>
        </w:tc>
        <w:tc>
          <w:tcPr>
            <w:tcW w:w="882" w:type="dxa"/>
            <w:noWrap/>
            <w:vAlign w:val="bottom"/>
          </w:tcPr>
          <w:p w:rsidR="00000000" w:rsidRDefault="00000000">
            <w:pPr>
              <w:jc w:val="right"/>
              <w:rPr>
                <w:sz w:val="16"/>
                <w:lang w:val="en-US"/>
              </w:rPr>
            </w:pPr>
            <w:r>
              <w:rPr>
                <w:sz w:val="16"/>
                <w:lang w:val="en-US"/>
              </w:rPr>
              <w:t>949 009</w:t>
            </w:r>
          </w:p>
        </w:tc>
        <w:tc>
          <w:tcPr>
            <w:tcW w:w="868" w:type="dxa"/>
            <w:noWrap/>
            <w:vAlign w:val="bottom"/>
          </w:tcPr>
          <w:p w:rsidR="00000000" w:rsidRDefault="00000000">
            <w:pPr>
              <w:jc w:val="right"/>
              <w:rPr>
                <w:sz w:val="16"/>
                <w:lang w:val="en-US"/>
              </w:rPr>
            </w:pPr>
            <w:r>
              <w:rPr>
                <w:sz w:val="16"/>
                <w:lang w:val="en-US"/>
              </w:rPr>
              <w:t>1 071 373</w:t>
            </w:r>
          </w:p>
        </w:tc>
        <w:tc>
          <w:tcPr>
            <w:tcW w:w="826" w:type="dxa"/>
            <w:noWrap/>
            <w:vAlign w:val="bottom"/>
          </w:tcPr>
          <w:p w:rsidR="00000000" w:rsidRDefault="00000000">
            <w:pPr>
              <w:jc w:val="right"/>
              <w:rPr>
                <w:sz w:val="16"/>
                <w:lang w:val="en-US"/>
              </w:rPr>
            </w:pPr>
            <w:r>
              <w:rPr>
                <w:sz w:val="16"/>
                <w:lang w:val="en-US"/>
              </w:rPr>
              <w:t>1 122 042</w:t>
            </w:r>
          </w:p>
        </w:tc>
        <w:tc>
          <w:tcPr>
            <w:tcW w:w="798" w:type="dxa"/>
            <w:noWrap/>
            <w:vAlign w:val="bottom"/>
          </w:tcPr>
          <w:p w:rsidR="00000000" w:rsidRDefault="00000000">
            <w:pPr>
              <w:jc w:val="right"/>
              <w:rPr>
                <w:sz w:val="16"/>
                <w:lang w:val="en-US"/>
              </w:rPr>
            </w:pPr>
            <w:r>
              <w:rPr>
                <w:sz w:val="16"/>
                <w:lang w:val="en-US"/>
              </w:rPr>
              <w:t>1 324 198</w:t>
            </w:r>
          </w:p>
        </w:tc>
        <w:tc>
          <w:tcPr>
            <w:tcW w:w="868" w:type="dxa"/>
            <w:noWrap/>
            <w:vAlign w:val="bottom"/>
          </w:tcPr>
          <w:p w:rsidR="00000000" w:rsidRDefault="00000000">
            <w:pPr>
              <w:jc w:val="right"/>
              <w:rPr>
                <w:sz w:val="16"/>
                <w:lang w:val="en-US"/>
              </w:rPr>
            </w:pPr>
            <w:r>
              <w:rPr>
                <w:sz w:val="16"/>
                <w:lang w:val="en-US"/>
              </w:rPr>
              <w:t>1 327 772</w:t>
            </w:r>
          </w:p>
        </w:tc>
        <w:tc>
          <w:tcPr>
            <w:tcW w:w="853" w:type="dxa"/>
            <w:noWrap/>
            <w:vAlign w:val="bottom"/>
          </w:tcPr>
          <w:p w:rsidR="00000000" w:rsidRDefault="00000000">
            <w:pPr>
              <w:jc w:val="right"/>
              <w:rPr>
                <w:sz w:val="16"/>
                <w:lang w:val="en-US"/>
              </w:rPr>
            </w:pPr>
            <w:r>
              <w:rPr>
                <w:sz w:val="16"/>
                <w:lang w:val="en-US"/>
              </w:rPr>
              <w:t>1 394 241</w:t>
            </w:r>
          </w:p>
        </w:tc>
        <w:tc>
          <w:tcPr>
            <w:tcW w:w="826" w:type="dxa"/>
            <w:noWrap/>
            <w:vAlign w:val="bottom"/>
          </w:tcPr>
          <w:p w:rsidR="00000000" w:rsidRDefault="00000000">
            <w:pPr>
              <w:jc w:val="right"/>
              <w:rPr>
                <w:sz w:val="16"/>
                <w:lang w:val="en-US"/>
              </w:rPr>
            </w:pPr>
            <w:r>
              <w:rPr>
                <w:sz w:val="16"/>
                <w:lang w:val="en-US"/>
              </w:rPr>
              <w:t>1 477 347</w:t>
            </w:r>
          </w:p>
        </w:tc>
        <w:tc>
          <w:tcPr>
            <w:tcW w:w="843" w:type="dxa"/>
            <w:noWrap/>
            <w:vAlign w:val="bottom"/>
          </w:tcPr>
          <w:p w:rsidR="00000000" w:rsidRDefault="00000000">
            <w:pPr>
              <w:jc w:val="right"/>
              <w:rPr>
                <w:sz w:val="16"/>
                <w:lang w:val="en-US"/>
              </w:rPr>
            </w:pPr>
            <w:r>
              <w:rPr>
                <w:sz w:val="16"/>
                <w:lang w:val="en-US"/>
              </w:rPr>
              <w:t>1 625 449</w:t>
            </w:r>
          </w:p>
        </w:tc>
        <w:tc>
          <w:tcPr>
            <w:tcW w:w="865" w:type="dxa"/>
            <w:noWrap/>
            <w:vAlign w:val="bottom"/>
          </w:tcPr>
          <w:p w:rsidR="00000000" w:rsidRDefault="00000000">
            <w:pPr>
              <w:jc w:val="right"/>
              <w:rPr>
                <w:sz w:val="16"/>
                <w:lang w:val="en-US"/>
              </w:rPr>
            </w:pPr>
            <w:r>
              <w:rPr>
                <w:sz w:val="16"/>
                <w:lang w:val="en-US"/>
              </w:rPr>
              <w:t>1 964 120</w:t>
            </w:r>
          </w:p>
        </w:tc>
      </w:tr>
      <w:tr w:rsidR="00000000">
        <w:trPr>
          <w:cantSplit/>
        </w:trPr>
        <w:tc>
          <w:tcPr>
            <w:tcW w:w="3207" w:type="dxa"/>
            <w:noWrap/>
            <w:vAlign w:val="bottom"/>
          </w:tcPr>
          <w:p w:rsidR="00000000" w:rsidRDefault="00000000">
            <w:pPr>
              <w:rPr>
                <w:b/>
                <w:bCs/>
                <w:sz w:val="16"/>
                <w:vertAlign w:val="superscript"/>
              </w:rPr>
            </w:pPr>
            <w:r>
              <w:rPr>
                <w:sz w:val="16"/>
              </w:rPr>
              <w:t>Номинальный ВВП (в текущих гуарани)</w:t>
            </w:r>
            <w:r>
              <w:rPr>
                <w:b/>
                <w:bCs/>
                <w:sz w:val="16"/>
              </w:rPr>
              <w:t>*</w:t>
            </w:r>
          </w:p>
        </w:tc>
        <w:tc>
          <w:tcPr>
            <w:tcW w:w="1122" w:type="dxa"/>
            <w:noWrap/>
            <w:vAlign w:val="bottom"/>
          </w:tcPr>
          <w:p w:rsidR="00000000" w:rsidRDefault="00000000">
            <w:pPr>
              <w:jc w:val="right"/>
              <w:rPr>
                <w:sz w:val="16"/>
                <w:lang w:val="en-US"/>
              </w:rPr>
            </w:pPr>
            <w:r>
              <w:rPr>
                <w:sz w:val="16"/>
                <w:lang w:val="en-US"/>
              </w:rPr>
              <w:t>10 963 527</w:t>
            </w:r>
          </w:p>
        </w:tc>
        <w:tc>
          <w:tcPr>
            <w:tcW w:w="935" w:type="dxa"/>
            <w:noWrap/>
            <w:vAlign w:val="bottom"/>
          </w:tcPr>
          <w:p w:rsidR="00000000" w:rsidRDefault="00000000">
            <w:pPr>
              <w:jc w:val="right"/>
              <w:rPr>
                <w:sz w:val="16"/>
                <w:lang w:val="en-US"/>
              </w:rPr>
            </w:pPr>
            <w:r>
              <w:rPr>
                <w:sz w:val="16"/>
                <w:lang w:val="en-US"/>
              </w:rPr>
              <w:t>13 220 624</w:t>
            </w:r>
          </w:p>
        </w:tc>
        <w:tc>
          <w:tcPr>
            <w:tcW w:w="797" w:type="dxa"/>
            <w:noWrap/>
            <w:vAlign w:val="bottom"/>
          </w:tcPr>
          <w:p w:rsidR="00000000" w:rsidRDefault="00000000">
            <w:pPr>
              <w:jc w:val="right"/>
              <w:rPr>
                <w:sz w:val="16"/>
                <w:lang w:val="en-US"/>
              </w:rPr>
            </w:pPr>
            <w:r>
              <w:rPr>
                <w:sz w:val="16"/>
                <w:lang w:val="en-US"/>
              </w:rPr>
              <w:t>15 833 186</w:t>
            </w:r>
          </w:p>
        </w:tc>
        <w:tc>
          <w:tcPr>
            <w:tcW w:w="854" w:type="dxa"/>
            <w:noWrap/>
            <w:vAlign w:val="bottom"/>
          </w:tcPr>
          <w:p w:rsidR="00000000" w:rsidRDefault="00000000">
            <w:pPr>
              <w:jc w:val="right"/>
              <w:rPr>
                <w:sz w:val="16"/>
                <w:lang w:val="en-US"/>
              </w:rPr>
            </w:pPr>
            <w:r>
              <w:rPr>
                <w:sz w:val="16"/>
                <w:lang w:val="en-US"/>
              </w:rPr>
              <w:t>18 004 375</w:t>
            </w:r>
          </w:p>
        </w:tc>
        <w:tc>
          <w:tcPr>
            <w:tcW w:w="882" w:type="dxa"/>
            <w:noWrap/>
            <w:vAlign w:val="bottom"/>
          </w:tcPr>
          <w:p w:rsidR="00000000" w:rsidRDefault="00000000">
            <w:pPr>
              <w:jc w:val="right"/>
              <w:rPr>
                <w:sz w:val="16"/>
                <w:lang w:val="en-US"/>
              </w:rPr>
            </w:pPr>
            <w:r>
              <w:rPr>
                <w:sz w:val="16"/>
                <w:lang w:val="en-US"/>
              </w:rPr>
              <w:t>19 322 537</w:t>
            </w:r>
          </w:p>
        </w:tc>
        <w:tc>
          <w:tcPr>
            <w:tcW w:w="868" w:type="dxa"/>
            <w:noWrap/>
            <w:vAlign w:val="bottom"/>
          </w:tcPr>
          <w:p w:rsidR="00000000" w:rsidRDefault="00000000">
            <w:pPr>
              <w:jc w:val="right"/>
              <w:rPr>
                <w:sz w:val="16"/>
                <w:lang w:val="en-US"/>
              </w:rPr>
            </w:pPr>
            <w:r>
              <w:rPr>
                <w:sz w:val="16"/>
                <w:lang w:val="en-US"/>
              </w:rPr>
              <w:t>21 580 612</w:t>
            </w:r>
          </w:p>
        </w:tc>
        <w:tc>
          <w:tcPr>
            <w:tcW w:w="826" w:type="dxa"/>
            <w:noWrap/>
            <w:vAlign w:val="bottom"/>
          </w:tcPr>
          <w:p w:rsidR="00000000" w:rsidRDefault="00000000">
            <w:pPr>
              <w:jc w:val="right"/>
              <w:rPr>
                <w:sz w:val="16"/>
                <w:lang w:val="en-US"/>
              </w:rPr>
            </w:pPr>
            <w:r>
              <w:rPr>
                <w:sz w:val="16"/>
                <w:lang w:val="en-US"/>
              </w:rPr>
              <w:t>22 771 596</w:t>
            </w:r>
          </w:p>
        </w:tc>
        <w:tc>
          <w:tcPr>
            <w:tcW w:w="798" w:type="dxa"/>
            <w:noWrap/>
            <w:vAlign w:val="bottom"/>
          </w:tcPr>
          <w:p w:rsidR="00000000" w:rsidRDefault="00000000">
            <w:pPr>
              <w:jc w:val="right"/>
              <w:rPr>
                <w:sz w:val="16"/>
                <w:lang w:val="en-US"/>
              </w:rPr>
            </w:pPr>
            <w:r>
              <w:rPr>
                <w:sz w:val="16"/>
                <w:lang w:val="en-US"/>
              </w:rPr>
              <w:t>24 736 526</w:t>
            </w:r>
          </w:p>
        </w:tc>
        <w:tc>
          <w:tcPr>
            <w:tcW w:w="868" w:type="dxa"/>
            <w:noWrap/>
            <w:vAlign w:val="bottom"/>
          </w:tcPr>
          <w:p w:rsidR="00000000" w:rsidRDefault="00000000">
            <w:pPr>
              <w:jc w:val="right"/>
              <w:rPr>
                <w:sz w:val="16"/>
                <w:lang w:val="en-US"/>
              </w:rPr>
            </w:pPr>
            <w:r>
              <w:rPr>
                <w:sz w:val="16"/>
                <w:lang w:val="en-US"/>
              </w:rPr>
              <w:t>26 465 663</w:t>
            </w:r>
          </w:p>
        </w:tc>
        <w:tc>
          <w:tcPr>
            <w:tcW w:w="853" w:type="dxa"/>
            <w:noWrap/>
            <w:vAlign w:val="bottom"/>
          </w:tcPr>
          <w:p w:rsidR="00000000" w:rsidRDefault="00000000">
            <w:pPr>
              <w:jc w:val="right"/>
              <w:rPr>
                <w:sz w:val="16"/>
                <w:lang w:val="en-US"/>
              </w:rPr>
            </w:pPr>
            <w:r>
              <w:rPr>
                <w:sz w:val="16"/>
                <w:lang w:val="en-US"/>
              </w:rPr>
              <w:t>29 104 530</w:t>
            </w:r>
          </w:p>
        </w:tc>
        <w:tc>
          <w:tcPr>
            <w:tcW w:w="826" w:type="dxa"/>
            <w:noWrap/>
            <w:vAlign w:val="bottom"/>
          </w:tcPr>
          <w:p w:rsidR="00000000" w:rsidRDefault="00000000">
            <w:pPr>
              <w:jc w:val="right"/>
              <w:rPr>
                <w:sz w:val="16"/>
                <w:lang w:val="en-US"/>
              </w:rPr>
            </w:pPr>
            <w:r>
              <w:rPr>
                <w:sz w:val="16"/>
                <w:lang w:val="en-US"/>
              </w:rPr>
              <w:t>35 666 425</w:t>
            </w:r>
          </w:p>
        </w:tc>
        <w:tc>
          <w:tcPr>
            <w:tcW w:w="843" w:type="dxa"/>
            <w:noWrap/>
            <w:vAlign w:val="bottom"/>
          </w:tcPr>
          <w:p w:rsidR="00000000" w:rsidRDefault="00000000">
            <w:pPr>
              <w:jc w:val="right"/>
              <w:rPr>
                <w:sz w:val="16"/>
                <w:lang w:val="en-US"/>
              </w:rPr>
            </w:pPr>
            <w:r>
              <w:rPr>
                <w:sz w:val="16"/>
                <w:lang w:val="en-US"/>
              </w:rPr>
              <w:t>41 521 883</w:t>
            </w:r>
          </w:p>
        </w:tc>
        <w:tc>
          <w:tcPr>
            <w:tcW w:w="865" w:type="dxa"/>
            <w:noWrap/>
            <w:vAlign w:val="bottom"/>
          </w:tcPr>
          <w:p w:rsidR="00000000" w:rsidRDefault="00000000">
            <w:pPr>
              <w:jc w:val="right"/>
              <w:rPr>
                <w:sz w:val="16"/>
                <w:lang w:val="en-US"/>
              </w:rPr>
            </w:pPr>
            <w:r>
              <w:rPr>
                <w:sz w:val="16"/>
                <w:lang w:val="en-US"/>
              </w:rPr>
              <w:t>46 134 612</w:t>
            </w:r>
          </w:p>
        </w:tc>
      </w:tr>
      <w:tr w:rsidR="00000000">
        <w:trPr>
          <w:cantSplit/>
        </w:trPr>
        <w:tc>
          <w:tcPr>
            <w:tcW w:w="3207" w:type="dxa"/>
            <w:noWrap/>
            <w:vAlign w:val="bottom"/>
          </w:tcPr>
          <w:p w:rsidR="00000000" w:rsidRDefault="00000000">
            <w:pPr>
              <w:rPr>
                <w:sz w:val="16"/>
              </w:rPr>
            </w:pPr>
            <w:r>
              <w:rPr>
                <w:sz w:val="16"/>
              </w:rPr>
              <w:t>Бюджет министерства образования и культуры/ Общий бюджет (в %)</w:t>
            </w:r>
          </w:p>
        </w:tc>
        <w:tc>
          <w:tcPr>
            <w:tcW w:w="1122" w:type="dxa"/>
            <w:noWrap/>
            <w:vAlign w:val="bottom"/>
          </w:tcPr>
          <w:p w:rsidR="00000000" w:rsidRDefault="00000000">
            <w:pPr>
              <w:jc w:val="right"/>
              <w:rPr>
                <w:sz w:val="16"/>
                <w:lang w:val="en-US"/>
              </w:rPr>
            </w:pPr>
            <w:r>
              <w:rPr>
                <w:sz w:val="16"/>
                <w:lang w:val="en-US"/>
              </w:rPr>
              <w:t>19,1%</w:t>
            </w:r>
          </w:p>
        </w:tc>
        <w:tc>
          <w:tcPr>
            <w:tcW w:w="935" w:type="dxa"/>
            <w:noWrap/>
            <w:vAlign w:val="bottom"/>
          </w:tcPr>
          <w:p w:rsidR="00000000" w:rsidRDefault="00000000">
            <w:pPr>
              <w:jc w:val="right"/>
              <w:rPr>
                <w:sz w:val="16"/>
                <w:lang w:val="en-US"/>
              </w:rPr>
            </w:pPr>
            <w:r>
              <w:rPr>
                <w:sz w:val="16"/>
                <w:lang w:val="en-US"/>
              </w:rPr>
              <w:t>19,0%</w:t>
            </w:r>
          </w:p>
        </w:tc>
        <w:tc>
          <w:tcPr>
            <w:tcW w:w="797" w:type="dxa"/>
            <w:noWrap/>
            <w:vAlign w:val="bottom"/>
          </w:tcPr>
          <w:p w:rsidR="00000000" w:rsidRDefault="00000000">
            <w:pPr>
              <w:jc w:val="right"/>
              <w:rPr>
                <w:sz w:val="16"/>
                <w:lang w:val="en-US"/>
              </w:rPr>
            </w:pPr>
            <w:r>
              <w:rPr>
                <w:sz w:val="16"/>
                <w:lang w:val="en-US"/>
              </w:rPr>
              <w:t>19,1%</w:t>
            </w:r>
          </w:p>
        </w:tc>
        <w:tc>
          <w:tcPr>
            <w:tcW w:w="854" w:type="dxa"/>
            <w:noWrap/>
            <w:vAlign w:val="bottom"/>
          </w:tcPr>
          <w:p w:rsidR="00000000" w:rsidRDefault="00000000">
            <w:pPr>
              <w:jc w:val="right"/>
              <w:rPr>
                <w:sz w:val="16"/>
                <w:lang w:val="en-US"/>
              </w:rPr>
            </w:pPr>
            <w:r>
              <w:rPr>
                <w:sz w:val="16"/>
                <w:lang w:val="en-US"/>
              </w:rPr>
              <w:t>20,8%</w:t>
            </w:r>
          </w:p>
        </w:tc>
        <w:tc>
          <w:tcPr>
            <w:tcW w:w="882" w:type="dxa"/>
            <w:noWrap/>
            <w:vAlign w:val="bottom"/>
          </w:tcPr>
          <w:p w:rsidR="00000000" w:rsidRDefault="00000000">
            <w:pPr>
              <w:jc w:val="right"/>
              <w:rPr>
                <w:sz w:val="16"/>
                <w:lang w:val="en-US"/>
              </w:rPr>
            </w:pPr>
            <w:r>
              <w:rPr>
                <w:sz w:val="16"/>
                <w:lang w:val="en-US"/>
              </w:rPr>
              <w:t>21,6%</w:t>
            </w:r>
          </w:p>
        </w:tc>
        <w:tc>
          <w:tcPr>
            <w:tcW w:w="868" w:type="dxa"/>
            <w:noWrap/>
            <w:vAlign w:val="bottom"/>
          </w:tcPr>
          <w:p w:rsidR="00000000" w:rsidRDefault="00000000">
            <w:pPr>
              <w:jc w:val="right"/>
              <w:rPr>
                <w:sz w:val="16"/>
                <w:lang w:val="en-US"/>
              </w:rPr>
            </w:pPr>
            <w:r>
              <w:rPr>
                <w:sz w:val="16"/>
                <w:lang w:val="en-US"/>
              </w:rPr>
              <w:t>21,3%</w:t>
            </w:r>
          </w:p>
        </w:tc>
        <w:tc>
          <w:tcPr>
            <w:tcW w:w="826" w:type="dxa"/>
            <w:noWrap/>
            <w:vAlign w:val="bottom"/>
          </w:tcPr>
          <w:p w:rsidR="00000000" w:rsidRDefault="00000000">
            <w:pPr>
              <w:jc w:val="right"/>
              <w:rPr>
                <w:sz w:val="16"/>
                <w:lang w:val="en-US"/>
              </w:rPr>
            </w:pPr>
            <w:r>
              <w:rPr>
                <w:sz w:val="16"/>
                <w:lang w:val="en-US"/>
              </w:rPr>
              <w:t>19,5%</w:t>
            </w:r>
          </w:p>
        </w:tc>
        <w:tc>
          <w:tcPr>
            <w:tcW w:w="798" w:type="dxa"/>
            <w:noWrap/>
            <w:vAlign w:val="bottom"/>
          </w:tcPr>
          <w:p w:rsidR="00000000" w:rsidRDefault="00000000">
            <w:pPr>
              <w:jc w:val="right"/>
              <w:rPr>
                <w:sz w:val="16"/>
                <w:lang w:val="en-US"/>
              </w:rPr>
            </w:pPr>
            <w:r>
              <w:rPr>
                <w:sz w:val="16"/>
                <w:lang w:val="en-US"/>
              </w:rPr>
              <w:t>21,1%</w:t>
            </w:r>
          </w:p>
        </w:tc>
        <w:tc>
          <w:tcPr>
            <w:tcW w:w="868" w:type="dxa"/>
            <w:noWrap/>
            <w:vAlign w:val="bottom"/>
          </w:tcPr>
          <w:p w:rsidR="00000000" w:rsidRDefault="00000000">
            <w:pPr>
              <w:jc w:val="right"/>
              <w:rPr>
                <w:sz w:val="16"/>
                <w:lang w:val="en-US"/>
              </w:rPr>
            </w:pPr>
            <w:r>
              <w:rPr>
                <w:sz w:val="16"/>
                <w:lang w:val="en-US"/>
              </w:rPr>
              <w:t>21,8%</w:t>
            </w:r>
          </w:p>
        </w:tc>
        <w:tc>
          <w:tcPr>
            <w:tcW w:w="853" w:type="dxa"/>
            <w:noWrap/>
            <w:vAlign w:val="bottom"/>
          </w:tcPr>
          <w:p w:rsidR="00000000" w:rsidRDefault="00000000">
            <w:pPr>
              <w:jc w:val="right"/>
              <w:rPr>
                <w:sz w:val="16"/>
                <w:lang w:val="en-US"/>
              </w:rPr>
            </w:pPr>
            <w:r>
              <w:rPr>
                <w:sz w:val="16"/>
                <w:lang w:val="en-US"/>
              </w:rPr>
              <w:t>20,0%</w:t>
            </w:r>
          </w:p>
        </w:tc>
        <w:tc>
          <w:tcPr>
            <w:tcW w:w="826" w:type="dxa"/>
            <w:noWrap/>
            <w:vAlign w:val="bottom"/>
          </w:tcPr>
          <w:p w:rsidR="00000000" w:rsidRDefault="00000000">
            <w:pPr>
              <w:jc w:val="right"/>
              <w:rPr>
                <w:sz w:val="16"/>
                <w:lang w:val="en-US"/>
              </w:rPr>
            </w:pPr>
            <w:r>
              <w:rPr>
                <w:sz w:val="16"/>
                <w:lang w:val="en-US"/>
              </w:rPr>
              <w:t>19,7%</w:t>
            </w:r>
          </w:p>
        </w:tc>
        <w:tc>
          <w:tcPr>
            <w:tcW w:w="843" w:type="dxa"/>
            <w:noWrap/>
            <w:vAlign w:val="bottom"/>
          </w:tcPr>
          <w:p w:rsidR="00000000" w:rsidRDefault="00000000">
            <w:pPr>
              <w:jc w:val="right"/>
              <w:rPr>
                <w:sz w:val="16"/>
                <w:lang w:val="en-US"/>
              </w:rPr>
            </w:pPr>
            <w:r>
              <w:rPr>
                <w:sz w:val="16"/>
                <w:lang w:val="en-US"/>
              </w:rPr>
              <w:t>19,3%</w:t>
            </w:r>
          </w:p>
        </w:tc>
        <w:tc>
          <w:tcPr>
            <w:tcW w:w="865" w:type="dxa"/>
            <w:noWrap/>
            <w:vAlign w:val="bottom"/>
          </w:tcPr>
          <w:p w:rsidR="00000000" w:rsidRDefault="00000000">
            <w:pPr>
              <w:jc w:val="right"/>
              <w:rPr>
                <w:sz w:val="16"/>
                <w:lang w:val="en-US"/>
              </w:rPr>
            </w:pPr>
            <w:r>
              <w:rPr>
                <w:sz w:val="16"/>
                <w:lang w:val="en-US"/>
              </w:rPr>
              <w:t>19,7%</w:t>
            </w:r>
          </w:p>
        </w:tc>
      </w:tr>
      <w:tr w:rsidR="00000000">
        <w:trPr>
          <w:cantSplit/>
        </w:trPr>
        <w:tc>
          <w:tcPr>
            <w:tcW w:w="3207" w:type="dxa"/>
            <w:noWrap/>
            <w:vAlign w:val="bottom"/>
          </w:tcPr>
          <w:p w:rsidR="00000000" w:rsidRDefault="00000000">
            <w:pPr>
              <w:rPr>
                <w:sz w:val="16"/>
              </w:rPr>
            </w:pPr>
            <w:r>
              <w:rPr>
                <w:sz w:val="16"/>
              </w:rPr>
              <w:t>Исполнение бюджета министерства образования и культуры/ВВП (в %)</w:t>
            </w:r>
          </w:p>
        </w:tc>
        <w:tc>
          <w:tcPr>
            <w:tcW w:w="1122" w:type="dxa"/>
            <w:noWrap/>
            <w:vAlign w:val="bottom"/>
          </w:tcPr>
          <w:p w:rsidR="00000000" w:rsidRDefault="00000000">
            <w:pPr>
              <w:jc w:val="right"/>
              <w:rPr>
                <w:sz w:val="16"/>
                <w:lang w:val="en-US"/>
              </w:rPr>
            </w:pPr>
            <w:r>
              <w:rPr>
                <w:sz w:val="16"/>
                <w:lang w:val="en-US"/>
              </w:rPr>
              <w:t>3,0%</w:t>
            </w:r>
          </w:p>
        </w:tc>
        <w:tc>
          <w:tcPr>
            <w:tcW w:w="935" w:type="dxa"/>
            <w:noWrap/>
            <w:vAlign w:val="bottom"/>
          </w:tcPr>
          <w:p w:rsidR="00000000" w:rsidRDefault="00000000">
            <w:pPr>
              <w:jc w:val="right"/>
              <w:rPr>
                <w:sz w:val="16"/>
                <w:lang w:val="en-US"/>
              </w:rPr>
            </w:pPr>
            <w:r>
              <w:rPr>
                <w:sz w:val="16"/>
                <w:lang w:val="en-US"/>
              </w:rPr>
              <w:t>3,2%</w:t>
            </w:r>
          </w:p>
        </w:tc>
        <w:tc>
          <w:tcPr>
            <w:tcW w:w="797" w:type="dxa"/>
            <w:noWrap/>
            <w:vAlign w:val="bottom"/>
          </w:tcPr>
          <w:p w:rsidR="00000000" w:rsidRDefault="00000000">
            <w:pPr>
              <w:jc w:val="right"/>
              <w:rPr>
                <w:sz w:val="16"/>
                <w:lang w:val="en-US"/>
              </w:rPr>
            </w:pPr>
            <w:r>
              <w:rPr>
                <w:sz w:val="16"/>
                <w:lang w:val="en-US"/>
              </w:rPr>
              <w:t>3,7%</w:t>
            </w:r>
          </w:p>
        </w:tc>
        <w:tc>
          <w:tcPr>
            <w:tcW w:w="854" w:type="dxa"/>
            <w:noWrap/>
            <w:vAlign w:val="bottom"/>
          </w:tcPr>
          <w:p w:rsidR="00000000" w:rsidRDefault="00000000">
            <w:pPr>
              <w:jc w:val="right"/>
              <w:rPr>
                <w:sz w:val="16"/>
                <w:lang w:val="en-US"/>
              </w:rPr>
            </w:pPr>
            <w:r>
              <w:rPr>
                <w:sz w:val="16"/>
                <w:lang w:val="en-US"/>
              </w:rPr>
              <w:t>4,0%</w:t>
            </w:r>
          </w:p>
        </w:tc>
        <w:tc>
          <w:tcPr>
            <w:tcW w:w="882" w:type="dxa"/>
            <w:noWrap/>
            <w:vAlign w:val="bottom"/>
          </w:tcPr>
          <w:p w:rsidR="00000000" w:rsidRDefault="00000000">
            <w:pPr>
              <w:jc w:val="right"/>
              <w:rPr>
                <w:sz w:val="16"/>
                <w:lang w:val="en-US"/>
              </w:rPr>
            </w:pPr>
            <w:r>
              <w:rPr>
                <w:sz w:val="16"/>
                <w:lang w:val="en-US"/>
              </w:rPr>
              <w:t>4,2%</w:t>
            </w:r>
          </w:p>
        </w:tc>
        <w:tc>
          <w:tcPr>
            <w:tcW w:w="868" w:type="dxa"/>
            <w:noWrap/>
            <w:vAlign w:val="bottom"/>
          </w:tcPr>
          <w:p w:rsidR="00000000" w:rsidRDefault="00000000">
            <w:pPr>
              <w:jc w:val="right"/>
              <w:rPr>
                <w:sz w:val="16"/>
                <w:lang w:val="en-US"/>
              </w:rPr>
            </w:pPr>
            <w:r>
              <w:rPr>
                <w:sz w:val="16"/>
                <w:lang w:val="en-US"/>
              </w:rPr>
              <w:t>4,3%</w:t>
            </w:r>
          </w:p>
        </w:tc>
        <w:tc>
          <w:tcPr>
            <w:tcW w:w="826" w:type="dxa"/>
            <w:noWrap/>
            <w:vAlign w:val="bottom"/>
          </w:tcPr>
          <w:p w:rsidR="00000000" w:rsidRDefault="00000000">
            <w:pPr>
              <w:jc w:val="right"/>
              <w:rPr>
                <w:sz w:val="16"/>
                <w:lang w:val="en-US"/>
              </w:rPr>
            </w:pPr>
            <w:r>
              <w:rPr>
                <w:sz w:val="16"/>
                <w:lang w:val="en-US"/>
              </w:rPr>
              <w:t>4,6%</w:t>
            </w:r>
          </w:p>
        </w:tc>
        <w:tc>
          <w:tcPr>
            <w:tcW w:w="798" w:type="dxa"/>
            <w:noWrap/>
            <w:vAlign w:val="bottom"/>
          </w:tcPr>
          <w:p w:rsidR="00000000" w:rsidRDefault="00000000">
            <w:pPr>
              <w:jc w:val="right"/>
              <w:rPr>
                <w:sz w:val="16"/>
                <w:lang w:val="en-US"/>
              </w:rPr>
            </w:pPr>
            <w:r>
              <w:rPr>
                <w:sz w:val="16"/>
                <w:lang w:val="en-US"/>
              </w:rPr>
              <w:t>5,2%</w:t>
            </w:r>
          </w:p>
        </w:tc>
        <w:tc>
          <w:tcPr>
            <w:tcW w:w="868" w:type="dxa"/>
            <w:noWrap/>
            <w:vAlign w:val="bottom"/>
          </w:tcPr>
          <w:p w:rsidR="00000000" w:rsidRDefault="00000000">
            <w:pPr>
              <w:jc w:val="right"/>
              <w:rPr>
                <w:sz w:val="16"/>
                <w:lang w:val="en-US"/>
              </w:rPr>
            </w:pPr>
            <w:r>
              <w:rPr>
                <w:sz w:val="16"/>
                <w:lang w:val="en-US"/>
              </w:rPr>
              <w:t>4,8%</w:t>
            </w:r>
          </w:p>
        </w:tc>
        <w:tc>
          <w:tcPr>
            <w:tcW w:w="853" w:type="dxa"/>
            <w:noWrap/>
            <w:vAlign w:val="bottom"/>
          </w:tcPr>
          <w:p w:rsidR="00000000" w:rsidRDefault="00000000">
            <w:pPr>
              <w:jc w:val="right"/>
              <w:rPr>
                <w:sz w:val="16"/>
                <w:lang w:val="en-US"/>
              </w:rPr>
            </w:pPr>
            <w:r>
              <w:rPr>
                <w:sz w:val="16"/>
                <w:lang w:val="en-US"/>
              </w:rPr>
              <w:t>4,6%</w:t>
            </w:r>
          </w:p>
        </w:tc>
        <w:tc>
          <w:tcPr>
            <w:tcW w:w="826" w:type="dxa"/>
            <w:noWrap/>
            <w:vAlign w:val="bottom"/>
          </w:tcPr>
          <w:p w:rsidR="00000000" w:rsidRDefault="00000000">
            <w:pPr>
              <w:jc w:val="right"/>
              <w:rPr>
                <w:sz w:val="16"/>
                <w:lang w:val="en-US"/>
              </w:rPr>
            </w:pPr>
            <w:r>
              <w:rPr>
                <w:sz w:val="16"/>
                <w:lang w:val="en-US"/>
              </w:rPr>
              <w:t>4,0%</w:t>
            </w:r>
          </w:p>
        </w:tc>
        <w:tc>
          <w:tcPr>
            <w:tcW w:w="843" w:type="dxa"/>
            <w:noWrap/>
            <w:vAlign w:val="bottom"/>
          </w:tcPr>
          <w:p w:rsidR="00000000" w:rsidRDefault="00000000">
            <w:pPr>
              <w:jc w:val="right"/>
              <w:rPr>
                <w:sz w:val="16"/>
                <w:lang w:val="en-US"/>
              </w:rPr>
            </w:pPr>
            <w:r>
              <w:rPr>
                <w:sz w:val="16"/>
                <w:lang w:val="en-US"/>
              </w:rPr>
              <w:t>3,7%</w:t>
            </w:r>
          </w:p>
        </w:tc>
        <w:tc>
          <w:tcPr>
            <w:tcW w:w="865" w:type="dxa"/>
            <w:noWrap/>
            <w:vAlign w:val="bottom"/>
          </w:tcPr>
          <w:p w:rsidR="00000000" w:rsidRDefault="00000000">
            <w:pPr>
              <w:jc w:val="right"/>
              <w:rPr>
                <w:sz w:val="16"/>
                <w:lang w:val="en-US"/>
              </w:rPr>
            </w:pPr>
            <w:r>
              <w:rPr>
                <w:sz w:val="16"/>
                <w:lang w:val="en-US"/>
              </w:rPr>
              <w:t>3,9%</w:t>
            </w:r>
          </w:p>
        </w:tc>
      </w:tr>
      <w:tr w:rsidR="00000000">
        <w:trPr>
          <w:cantSplit/>
        </w:trPr>
        <w:tc>
          <w:tcPr>
            <w:tcW w:w="3207" w:type="dxa"/>
            <w:noWrap/>
            <w:vAlign w:val="bottom"/>
          </w:tcPr>
          <w:p w:rsidR="00000000" w:rsidRDefault="00000000">
            <w:pPr>
              <w:rPr>
                <w:b/>
                <w:bCs/>
                <w:sz w:val="16"/>
              </w:rPr>
            </w:pPr>
            <w:r>
              <w:rPr>
                <w:b/>
                <w:bCs/>
                <w:sz w:val="16"/>
              </w:rPr>
              <w:t>ИСПОЛНЕНИЕ/</w:t>
            </w:r>
          </w:p>
          <w:p w:rsidR="00000000" w:rsidRDefault="00000000">
            <w:pPr>
              <w:rPr>
                <w:b/>
                <w:bCs/>
                <w:sz w:val="16"/>
              </w:rPr>
            </w:pPr>
            <w:r>
              <w:rPr>
                <w:b/>
                <w:bCs/>
                <w:sz w:val="16"/>
              </w:rPr>
              <w:t xml:space="preserve">ФАКТИЧЕСКИ ВЫДЕЛЕНО </w:t>
            </w:r>
          </w:p>
        </w:tc>
        <w:tc>
          <w:tcPr>
            <w:tcW w:w="1122" w:type="dxa"/>
            <w:noWrap/>
            <w:vAlign w:val="bottom"/>
          </w:tcPr>
          <w:p w:rsidR="00000000" w:rsidRDefault="00000000">
            <w:pPr>
              <w:jc w:val="right"/>
              <w:rPr>
                <w:sz w:val="16"/>
              </w:rPr>
            </w:pPr>
            <w:r>
              <w:rPr>
                <w:sz w:val="16"/>
                <w:lang w:val="en-US"/>
              </w:rPr>
              <w:t> </w:t>
            </w:r>
          </w:p>
        </w:tc>
        <w:tc>
          <w:tcPr>
            <w:tcW w:w="935" w:type="dxa"/>
            <w:noWrap/>
            <w:vAlign w:val="bottom"/>
          </w:tcPr>
          <w:p w:rsidR="00000000" w:rsidRDefault="00000000">
            <w:pPr>
              <w:jc w:val="right"/>
              <w:rPr>
                <w:sz w:val="16"/>
              </w:rPr>
            </w:pPr>
            <w:r>
              <w:rPr>
                <w:sz w:val="16"/>
                <w:lang w:val="en-US"/>
              </w:rPr>
              <w:t> </w:t>
            </w:r>
          </w:p>
        </w:tc>
        <w:tc>
          <w:tcPr>
            <w:tcW w:w="797" w:type="dxa"/>
            <w:noWrap/>
            <w:vAlign w:val="bottom"/>
          </w:tcPr>
          <w:p w:rsidR="00000000" w:rsidRDefault="00000000">
            <w:pPr>
              <w:jc w:val="right"/>
              <w:rPr>
                <w:sz w:val="16"/>
              </w:rPr>
            </w:pPr>
            <w:r>
              <w:rPr>
                <w:sz w:val="16"/>
                <w:lang w:val="en-US"/>
              </w:rPr>
              <w:t> </w:t>
            </w:r>
          </w:p>
        </w:tc>
        <w:tc>
          <w:tcPr>
            <w:tcW w:w="854" w:type="dxa"/>
            <w:noWrap/>
            <w:vAlign w:val="bottom"/>
          </w:tcPr>
          <w:p w:rsidR="00000000" w:rsidRDefault="00000000">
            <w:pPr>
              <w:jc w:val="right"/>
              <w:rPr>
                <w:sz w:val="16"/>
              </w:rPr>
            </w:pPr>
            <w:r>
              <w:rPr>
                <w:sz w:val="16"/>
                <w:lang w:val="en-US"/>
              </w:rPr>
              <w:t> </w:t>
            </w:r>
          </w:p>
        </w:tc>
        <w:tc>
          <w:tcPr>
            <w:tcW w:w="882" w:type="dxa"/>
            <w:noWrap/>
            <w:vAlign w:val="bottom"/>
          </w:tcPr>
          <w:p w:rsidR="00000000" w:rsidRDefault="00000000">
            <w:pPr>
              <w:jc w:val="right"/>
              <w:rPr>
                <w:sz w:val="16"/>
              </w:rPr>
            </w:pPr>
            <w:r>
              <w:rPr>
                <w:sz w:val="16"/>
                <w:lang w:val="en-US"/>
              </w:rPr>
              <w:t> </w:t>
            </w:r>
          </w:p>
        </w:tc>
        <w:tc>
          <w:tcPr>
            <w:tcW w:w="868" w:type="dxa"/>
            <w:noWrap/>
            <w:vAlign w:val="bottom"/>
          </w:tcPr>
          <w:p w:rsidR="00000000" w:rsidRDefault="00000000">
            <w:pPr>
              <w:jc w:val="right"/>
              <w:rPr>
                <w:sz w:val="16"/>
              </w:rPr>
            </w:pPr>
            <w:r>
              <w:rPr>
                <w:sz w:val="16"/>
                <w:lang w:val="en-US"/>
              </w:rPr>
              <w:t> </w:t>
            </w:r>
          </w:p>
        </w:tc>
        <w:tc>
          <w:tcPr>
            <w:tcW w:w="826" w:type="dxa"/>
            <w:noWrap/>
            <w:vAlign w:val="bottom"/>
          </w:tcPr>
          <w:p w:rsidR="00000000" w:rsidRDefault="00000000">
            <w:pPr>
              <w:jc w:val="right"/>
              <w:rPr>
                <w:sz w:val="16"/>
              </w:rPr>
            </w:pPr>
            <w:r>
              <w:rPr>
                <w:sz w:val="16"/>
                <w:lang w:val="en-US"/>
              </w:rPr>
              <w:t> </w:t>
            </w:r>
          </w:p>
        </w:tc>
        <w:tc>
          <w:tcPr>
            <w:tcW w:w="798" w:type="dxa"/>
            <w:noWrap/>
            <w:vAlign w:val="bottom"/>
          </w:tcPr>
          <w:p w:rsidR="00000000" w:rsidRDefault="00000000">
            <w:pPr>
              <w:jc w:val="right"/>
              <w:rPr>
                <w:sz w:val="16"/>
              </w:rPr>
            </w:pPr>
            <w:r>
              <w:rPr>
                <w:sz w:val="16"/>
                <w:lang w:val="en-US"/>
              </w:rPr>
              <w:t> </w:t>
            </w:r>
          </w:p>
        </w:tc>
        <w:tc>
          <w:tcPr>
            <w:tcW w:w="868" w:type="dxa"/>
            <w:noWrap/>
            <w:vAlign w:val="bottom"/>
          </w:tcPr>
          <w:p w:rsidR="00000000" w:rsidRDefault="00000000">
            <w:pPr>
              <w:jc w:val="right"/>
              <w:rPr>
                <w:sz w:val="16"/>
              </w:rPr>
            </w:pPr>
            <w:r>
              <w:rPr>
                <w:sz w:val="16"/>
                <w:lang w:val="en-US"/>
              </w:rPr>
              <w:t> </w:t>
            </w:r>
          </w:p>
        </w:tc>
        <w:tc>
          <w:tcPr>
            <w:tcW w:w="853" w:type="dxa"/>
            <w:noWrap/>
            <w:vAlign w:val="bottom"/>
          </w:tcPr>
          <w:p w:rsidR="00000000" w:rsidRDefault="00000000">
            <w:pPr>
              <w:jc w:val="right"/>
              <w:rPr>
                <w:sz w:val="16"/>
              </w:rPr>
            </w:pPr>
            <w:r>
              <w:rPr>
                <w:sz w:val="16"/>
                <w:lang w:val="en-US"/>
              </w:rPr>
              <w:t> </w:t>
            </w:r>
          </w:p>
        </w:tc>
        <w:tc>
          <w:tcPr>
            <w:tcW w:w="826" w:type="dxa"/>
            <w:noWrap/>
            <w:vAlign w:val="bottom"/>
          </w:tcPr>
          <w:p w:rsidR="00000000" w:rsidRDefault="00000000">
            <w:pPr>
              <w:jc w:val="right"/>
              <w:rPr>
                <w:sz w:val="16"/>
              </w:rPr>
            </w:pPr>
            <w:r>
              <w:rPr>
                <w:sz w:val="16"/>
                <w:lang w:val="en-US"/>
              </w:rPr>
              <w:t> </w:t>
            </w:r>
          </w:p>
        </w:tc>
        <w:tc>
          <w:tcPr>
            <w:tcW w:w="843" w:type="dxa"/>
            <w:noWrap/>
            <w:vAlign w:val="bottom"/>
          </w:tcPr>
          <w:p w:rsidR="00000000" w:rsidRDefault="00000000">
            <w:pPr>
              <w:jc w:val="right"/>
              <w:rPr>
                <w:sz w:val="16"/>
              </w:rPr>
            </w:pPr>
            <w:r>
              <w:rPr>
                <w:sz w:val="16"/>
                <w:lang w:val="en-US"/>
              </w:rPr>
              <w:t> </w:t>
            </w:r>
          </w:p>
        </w:tc>
        <w:tc>
          <w:tcPr>
            <w:tcW w:w="865" w:type="dxa"/>
            <w:noWrap/>
            <w:vAlign w:val="bottom"/>
          </w:tcPr>
          <w:p w:rsidR="00000000" w:rsidRDefault="00000000">
            <w:pPr>
              <w:jc w:val="right"/>
              <w:rPr>
                <w:sz w:val="16"/>
              </w:rPr>
            </w:pPr>
            <w:r>
              <w:rPr>
                <w:sz w:val="16"/>
                <w:lang w:val="en-US"/>
              </w:rPr>
              <w:t> </w:t>
            </w:r>
          </w:p>
        </w:tc>
      </w:tr>
      <w:tr w:rsidR="00000000">
        <w:trPr>
          <w:cantSplit/>
        </w:trPr>
        <w:tc>
          <w:tcPr>
            <w:tcW w:w="3207" w:type="dxa"/>
            <w:noWrap/>
            <w:vAlign w:val="bottom"/>
          </w:tcPr>
          <w:p w:rsidR="00000000" w:rsidRDefault="00000000">
            <w:pPr>
              <w:rPr>
                <w:sz w:val="16"/>
              </w:rPr>
            </w:pPr>
            <w:r>
              <w:rPr>
                <w:sz w:val="16"/>
              </w:rPr>
              <w:t>ЦЕНТРАЛЬНАЯ АДМИНИСТРАЦИЯ</w:t>
            </w:r>
          </w:p>
        </w:tc>
        <w:tc>
          <w:tcPr>
            <w:tcW w:w="1122" w:type="dxa"/>
            <w:noWrap/>
            <w:vAlign w:val="bottom"/>
          </w:tcPr>
          <w:p w:rsidR="00000000" w:rsidRDefault="00000000">
            <w:pPr>
              <w:jc w:val="right"/>
              <w:rPr>
                <w:sz w:val="16"/>
                <w:lang w:val="en-US"/>
              </w:rPr>
            </w:pPr>
            <w:r>
              <w:rPr>
                <w:sz w:val="16"/>
                <w:lang w:val="en-US"/>
              </w:rPr>
              <w:t>1 745 300</w:t>
            </w:r>
          </w:p>
        </w:tc>
        <w:tc>
          <w:tcPr>
            <w:tcW w:w="935" w:type="dxa"/>
            <w:noWrap/>
            <w:vAlign w:val="bottom"/>
          </w:tcPr>
          <w:p w:rsidR="00000000" w:rsidRDefault="00000000">
            <w:pPr>
              <w:jc w:val="right"/>
              <w:rPr>
                <w:sz w:val="16"/>
                <w:lang w:val="en-US"/>
              </w:rPr>
            </w:pPr>
            <w:r>
              <w:rPr>
                <w:sz w:val="16"/>
                <w:lang w:val="en-US"/>
              </w:rPr>
              <w:t>2 253 815</w:t>
            </w:r>
          </w:p>
        </w:tc>
        <w:tc>
          <w:tcPr>
            <w:tcW w:w="797" w:type="dxa"/>
            <w:noWrap/>
            <w:vAlign w:val="bottom"/>
          </w:tcPr>
          <w:p w:rsidR="00000000" w:rsidRDefault="00000000">
            <w:pPr>
              <w:jc w:val="right"/>
              <w:rPr>
                <w:sz w:val="16"/>
                <w:lang w:val="en-US"/>
              </w:rPr>
            </w:pPr>
            <w:r>
              <w:rPr>
                <w:sz w:val="16"/>
                <w:lang w:val="en-US"/>
              </w:rPr>
              <w:t>3 042 601</w:t>
            </w:r>
          </w:p>
        </w:tc>
        <w:tc>
          <w:tcPr>
            <w:tcW w:w="854" w:type="dxa"/>
            <w:noWrap/>
            <w:vAlign w:val="bottom"/>
          </w:tcPr>
          <w:p w:rsidR="00000000" w:rsidRDefault="00000000">
            <w:pPr>
              <w:jc w:val="right"/>
              <w:rPr>
                <w:sz w:val="16"/>
                <w:lang w:val="en-US"/>
              </w:rPr>
            </w:pPr>
            <w:r>
              <w:rPr>
                <w:sz w:val="16"/>
                <w:lang w:val="en-US"/>
              </w:rPr>
              <w:t>3 416 259</w:t>
            </w:r>
          </w:p>
        </w:tc>
        <w:tc>
          <w:tcPr>
            <w:tcW w:w="882" w:type="dxa"/>
            <w:noWrap/>
            <w:vAlign w:val="bottom"/>
          </w:tcPr>
          <w:p w:rsidR="00000000" w:rsidRDefault="00000000">
            <w:pPr>
              <w:jc w:val="right"/>
              <w:rPr>
                <w:sz w:val="16"/>
                <w:lang w:val="en-US"/>
              </w:rPr>
            </w:pPr>
            <w:r>
              <w:rPr>
                <w:sz w:val="16"/>
                <w:lang w:val="en-US"/>
              </w:rPr>
              <w:t>3 750 122</w:t>
            </w:r>
          </w:p>
        </w:tc>
        <w:tc>
          <w:tcPr>
            <w:tcW w:w="868" w:type="dxa"/>
            <w:noWrap/>
            <w:vAlign w:val="bottom"/>
          </w:tcPr>
          <w:p w:rsidR="00000000" w:rsidRDefault="00000000">
            <w:pPr>
              <w:jc w:val="right"/>
              <w:rPr>
                <w:sz w:val="16"/>
                <w:lang w:val="en-US"/>
              </w:rPr>
            </w:pPr>
            <w:r>
              <w:rPr>
                <w:sz w:val="16"/>
                <w:lang w:val="en-US"/>
              </w:rPr>
              <w:t>4 343 994</w:t>
            </w:r>
          </w:p>
        </w:tc>
        <w:tc>
          <w:tcPr>
            <w:tcW w:w="826" w:type="dxa"/>
            <w:noWrap/>
            <w:vAlign w:val="bottom"/>
          </w:tcPr>
          <w:p w:rsidR="00000000" w:rsidRDefault="00000000">
            <w:pPr>
              <w:jc w:val="right"/>
              <w:rPr>
                <w:sz w:val="16"/>
                <w:lang w:val="en-US"/>
              </w:rPr>
            </w:pPr>
            <w:r>
              <w:rPr>
                <w:sz w:val="16"/>
                <w:lang w:val="en-US"/>
              </w:rPr>
              <w:t>5 338 882</w:t>
            </w:r>
          </w:p>
        </w:tc>
        <w:tc>
          <w:tcPr>
            <w:tcW w:w="798" w:type="dxa"/>
            <w:noWrap/>
            <w:vAlign w:val="bottom"/>
          </w:tcPr>
          <w:p w:rsidR="00000000" w:rsidRDefault="00000000">
            <w:pPr>
              <w:jc w:val="right"/>
              <w:rPr>
                <w:sz w:val="16"/>
                <w:lang w:val="en-US"/>
              </w:rPr>
            </w:pPr>
            <w:r>
              <w:rPr>
                <w:sz w:val="16"/>
                <w:lang w:val="en-US"/>
              </w:rPr>
              <w:t>6 112 908</w:t>
            </w:r>
          </w:p>
        </w:tc>
        <w:tc>
          <w:tcPr>
            <w:tcW w:w="868" w:type="dxa"/>
            <w:noWrap/>
            <w:vAlign w:val="bottom"/>
          </w:tcPr>
          <w:p w:rsidR="00000000" w:rsidRDefault="00000000">
            <w:pPr>
              <w:jc w:val="right"/>
              <w:rPr>
                <w:sz w:val="16"/>
                <w:lang w:val="en-US"/>
              </w:rPr>
            </w:pPr>
            <w:r>
              <w:rPr>
                <w:sz w:val="16"/>
                <w:lang w:val="en-US"/>
              </w:rPr>
              <w:t>5 838 915</w:t>
            </w:r>
          </w:p>
        </w:tc>
        <w:tc>
          <w:tcPr>
            <w:tcW w:w="853" w:type="dxa"/>
            <w:noWrap/>
            <w:vAlign w:val="bottom"/>
          </w:tcPr>
          <w:p w:rsidR="00000000" w:rsidRDefault="00000000">
            <w:pPr>
              <w:jc w:val="right"/>
              <w:rPr>
                <w:sz w:val="16"/>
                <w:lang w:val="en-US"/>
              </w:rPr>
            </w:pPr>
            <w:r>
              <w:rPr>
                <w:sz w:val="16"/>
                <w:lang w:val="en-US"/>
              </w:rPr>
              <w:t>6 657 582</w:t>
            </w:r>
          </w:p>
        </w:tc>
        <w:tc>
          <w:tcPr>
            <w:tcW w:w="826" w:type="dxa"/>
            <w:noWrap/>
            <w:vAlign w:val="bottom"/>
          </w:tcPr>
          <w:p w:rsidR="00000000" w:rsidRDefault="00000000">
            <w:pPr>
              <w:jc w:val="right"/>
              <w:rPr>
                <w:sz w:val="16"/>
                <w:lang w:val="en-US"/>
              </w:rPr>
            </w:pPr>
            <w:r>
              <w:rPr>
                <w:sz w:val="16"/>
                <w:lang w:val="en-US"/>
              </w:rPr>
              <w:t>7 209 332</w:t>
            </w:r>
          </w:p>
        </w:tc>
        <w:tc>
          <w:tcPr>
            <w:tcW w:w="843" w:type="dxa"/>
            <w:noWrap/>
            <w:vAlign w:val="bottom"/>
          </w:tcPr>
          <w:p w:rsidR="00000000" w:rsidRDefault="00000000">
            <w:pPr>
              <w:jc w:val="right"/>
              <w:rPr>
                <w:sz w:val="16"/>
                <w:lang w:val="en-US"/>
              </w:rPr>
            </w:pPr>
            <w:r>
              <w:rPr>
                <w:sz w:val="16"/>
                <w:lang w:val="en-US"/>
              </w:rPr>
              <w:t>8 017 808</w:t>
            </w:r>
          </w:p>
        </w:tc>
        <w:tc>
          <w:tcPr>
            <w:tcW w:w="865" w:type="dxa"/>
            <w:noWrap/>
            <w:vAlign w:val="bottom"/>
          </w:tcPr>
          <w:p w:rsidR="00000000" w:rsidRDefault="00000000">
            <w:pPr>
              <w:jc w:val="right"/>
              <w:rPr>
                <w:sz w:val="16"/>
                <w:lang w:val="en-US"/>
              </w:rPr>
            </w:pPr>
            <w:r>
              <w:rPr>
                <w:sz w:val="16"/>
                <w:lang w:val="en-US"/>
              </w:rPr>
              <w:t>9 224 171</w:t>
            </w:r>
          </w:p>
        </w:tc>
      </w:tr>
      <w:tr w:rsidR="00000000">
        <w:trPr>
          <w:cantSplit/>
        </w:trPr>
        <w:tc>
          <w:tcPr>
            <w:tcW w:w="3207" w:type="dxa"/>
            <w:noWrap/>
            <w:vAlign w:val="bottom"/>
          </w:tcPr>
          <w:p w:rsidR="00000000" w:rsidRDefault="00000000">
            <w:pPr>
              <w:rPr>
                <w:color w:val="000000"/>
                <w:sz w:val="16"/>
              </w:rPr>
            </w:pPr>
            <w:r>
              <w:rPr>
                <w:color w:val="000000"/>
                <w:sz w:val="16"/>
              </w:rPr>
              <w:t>МИНИСТЕРСТВО ОБРАЗОВАНИЯ И КУЛЬТУРЫ</w:t>
            </w:r>
          </w:p>
        </w:tc>
        <w:tc>
          <w:tcPr>
            <w:tcW w:w="1122" w:type="dxa"/>
            <w:noWrap/>
            <w:vAlign w:val="bottom"/>
          </w:tcPr>
          <w:p w:rsidR="00000000" w:rsidRDefault="00000000">
            <w:pPr>
              <w:jc w:val="right"/>
              <w:rPr>
                <w:sz w:val="16"/>
                <w:lang w:val="en-US"/>
              </w:rPr>
            </w:pPr>
            <w:r>
              <w:rPr>
                <w:sz w:val="16"/>
                <w:lang w:val="en-US"/>
              </w:rPr>
              <w:t>333 755</w:t>
            </w:r>
          </w:p>
        </w:tc>
        <w:tc>
          <w:tcPr>
            <w:tcW w:w="935" w:type="dxa"/>
            <w:noWrap/>
            <w:vAlign w:val="bottom"/>
          </w:tcPr>
          <w:p w:rsidR="00000000" w:rsidRDefault="00000000">
            <w:pPr>
              <w:jc w:val="right"/>
              <w:rPr>
                <w:sz w:val="16"/>
                <w:lang w:val="en-US"/>
              </w:rPr>
            </w:pPr>
            <w:r>
              <w:rPr>
                <w:sz w:val="16"/>
                <w:lang w:val="en-US"/>
              </w:rPr>
              <w:t>428 461</w:t>
            </w:r>
          </w:p>
        </w:tc>
        <w:tc>
          <w:tcPr>
            <w:tcW w:w="797" w:type="dxa"/>
            <w:noWrap/>
            <w:vAlign w:val="bottom"/>
          </w:tcPr>
          <w:p w:rsidR="00000000" w:rsidRDefault="00000000">
            <w:pPr>
              <w:jc w:val="right"/>
              <w:rPr>
                <w:sz w:val="16"/>
                <w:lang w:val="en-US"/>
              </w:rPr>
            </w:pPr>
            <w:r>
              <w:rPr>
                <w:sz w:val="16"/>
                <w:lang w:val="en-US"/>
              </w:rPr>
              <w:t>579 754</w:t>
            </w:r>
          </w:p>
        </w:tc>
        <w:tc>
          <w:tcPr>
            <w:tcW w:w="854" w:type="dxa"/>
            <w:noWrap/>
            <w:vAlign w:val="bottom"/>
          </w:tcPr>
          <w:p w:rsidR="00000000" w:rsidRDefault="00000000">
            <w:pPr>
              <w:jc w:val="right"/>
              <w:rPr>
                <w:sz w:val="16"/>
                <w:lang w:val="en-US"/>
              </w:rPr>
            </w:pPr>
            <w:r>
              <w:rPr>
                <w:sz w:val="16"/>
                <w:lang w:val="en-US"/>
              </w:rPr>
              <w:t>712 280</w:t>
            </w:r>
          </w:p>
        </w:tc>
        <w:tc>
          <w:tcPr>
            <w:tcW w:w="882" w:type="dxa"/>
            <w:noWrap/>
            <w:vAlign w:val="bottom"/>
          </w:tcPr>
          <w:p w:rsidR="00000000" w:rsidRDefault="00000000">
            <w:pPr>
              <w:jc w:val="right"/>
              <w:rPr>
                <w:sz w:val="16"/>
                <w:lang w:val="en-US"/>
              </w:rPr>
            </w:pPr>
            <w:r>
              <w:rPr>
                <w:sz w:val="16"/>
                <w:lang w:val="en-US"/>
              </w:rPr>
              <w:t>810 298</w:t>
            </w:r>
          </w:p>
        </w:tc>
        <w:tc>
          <w:tcPr>
            <w:tcW w:w="868" w:type="dxa"/>
            <w:noWrap/>
            <w:vAlign w:val="bottom"/>
          </w:tcPr>
          <w:p w:rsidR="00000000" w:rsidRDefault="00000000">
            <w:pPr>
              <w:jc w:val="right"/>
              <w:rPr>
                <w:sz w:val="16"/>
                <w:lang w:val="en-US"/>
              </w:rPr>
            </w:pPr>
            <w:r>
              <w:rPr>
                <w:sz w:val="16"/>
                <w:lang w:val="en-US"/>
              </w:rPr>
              <w:t>926 371</w:t>
            </w:r>
          </w:p>
        </w:tc>
        <w:tc>
          <w:tcPr>
            <w:tcW w:w="826" w:type="dxa"/>
            <w:noWrap/>
            <w:vAlign w:val="bottom"/>
          </w:tcPr>
          <w:p w:rsidR="00000000" w:rsidRDefault="00000000">
            <w:pPr>
              <w:jc w:val="right"/>
              <w:rPr>
                <w:sz w:val="16"/>
                <w:lang w:val="en-US"/>
              </w:rPr>
            </w:pPr>
            <w:r>
              <w:rPr>
                <w:sz w:val="16"/>
                <w:lang w:val="en-US"/>
              </w:rPr>
              <w:t>1 040 180</w:t>
            </w:r>
          </w:p>
        </w:tc>
        <w:tc>
          <w:tcPr>
            <w:tcW w:w="798" w:type="dxa"/>
            <w:noWrap/>
            <w:vAlign w:val="bottom"/>
          </w:tcPr>
          <w:p w:rsidR="00000000" w:rsidRDefault="00000000">
            <w:pPr>
              <w:jc w:val="right"/>
              <w:rPr>
                <w:sz w:val="16"/>
                <w:lang w:val="en-US"/>
              </w:rPr>
            </w:pPr>
            <w:r>
              <w:rPr>
                <w:sz w:val="16"/>
                <w:lang w:val="en-US"/>
              </w:rPr>
              <w:t>1 288 579</w:t>
            </w:r>
          </w:p>
        </w:tc>
        <w:tc>
          <w:tcPr>
            <w:tcW w:w="868" w:type="dxa"/>
            <w:noWrap/>
            <w:vAlign w:val="bottom"/>
          </w:tcPr>
          <w:p w:rsidR="00000000" w:rsidRDefault="00000000">
            <w:pPr>
              <w:jc w:val="right"/>
              <w:rPr>
                <w:sz w:val="16"/>
                <w:lang w:val="en-US"/>
              </w:rPr>
            </w:pPr>
            <w:r>
              <w:rPr>
                <w:sz w:val="16"/>
                <w:lang w:val="en-US"/>
              </w:rPr>
              <w:t>1 272 627</w:t>
            </w:r>
          </w:p>
        </w:tc>
        <w:tc>
          <w:tcPr>
            <w:tcW w:w="853" w:type="dxa"/>
            <w:noWrap/>
            <w:vAlign w:val="bottom"/>
          </w:tcPr>
          <w:p w:rsidR="00000000" w:rsidRDefault="00000000">
            <w:pPr>
              <w:jc w:val="right"/>
              <w:rPr>
                <w:sz w:val="16"/>
                <w:lang w:val="en-US"/>
              </w:rPr>
            </w:pPr>
            <w:r>
              <w:rPr>
                <w:sz w:val="16"/>
                <w:lang w:val="en-US"/>
              </w:rPr>
              <w:t>1 332 560</w:t>
            </w:r>
          </w:p>
        </w:tc>
        <w:tc>
          <w:tcPr>
            <w:tcW w:w="826" w:type="dxa"/>
            <w:noWrap/>
            <w:vAlign w:val="bottom"/>
          </w:tcPr>
          <w:p w:rsidR="00000000" w:rsidRDefault="00000000">
            <w:pPr>
              <w:jc w:val="right"/>
              <w:rPr>
                <w:sz w:val="16"/>
                <w:lang w:val="en-US"/>
              </w:rPr>
            </w:pPr>
            <w:r>
              <w:rPr>
                <w:sz w:val="16"/>
                <w:lang w:val="en-US"/>
              </w:rPr>
              <w:t>1 422 641</w:t>
            </w:r>
          </w:p>
        </w:tc>
        <w:tc>
          <w:tcPr>
            <w:tcW w:w="843" w:type="dxa"/>
            <w:noWrap/>
            <w:vAlign w:val="bottom"/>
          </w:tcPr>
          <w:p w:rsidR="00000000" w:rsidRDefault="00000000">
            <w:pPr>
              <w:jc w:val="right"/>
              <w:rPr>
                <w:sz w:val="16"/>
                <w:lang w:val="en-US"/>
              </w:rPr>
            </w:pPr>
            <w:r>
              <w:rPr>
                <w:sz w:val="16"/>
                <w:lang w:val="en-US"/>
              </w:rPr>
              <w:t>1 545 407</w:t>
            </w:r>
          </w:p>
        </w:tc>
        <w:tc>
          <w:tcPr>
            <w:tcW w:w="865" w:type="dxa"/>
            <w:noWrap/>
            <w:vAlign w:val="bottom"/>
          </w:tcPr>
          <w:p w:rsidR="00000000" w:rsidRDefault="00000000">
            <w:pPr>
              <w:jc w:val="right"/>
              <w:rPr>
                <w:sz w:val="16"/>
                <w:lang w:val="en-US"/>
              </w:rPr>
            </w:pPr>
            <w:r>
              <w:rPr>
                <w:sz w:val="16"/>
                <w:lang w:val="en-US"/>
              </w:rPr>
              <w:t>1 819 423</w:t>
            </w:r>
          </w:p>
        </w:tc>
      </w:tr>
    </w:tbl>
    <w:p w:rsidR="00000000" w:rsidRDefault="00000000">
      <w:pPr>
        <w:rPr>
          <w:sz w:val="16"/>
          <w:lang w:val="en-US"/>
        </w:rPr>
      </w:pPr>
    </w:p>
    <w:p w:rsidR="00000000" w:rsidRDefault="00000000">
      <w:pPr>
        <w:rPr>
          <w:sz w:val="20"/>
        </w:rPr>
      </w:pPr>
      <w:r>
        <w:rPr>
          <w:sz w:val="20"/>
        </w:rPr>
        <w:t>Источник:  Система учета (СИКО), Министерство финансов.</w:t>
      </w:r>
    </w:p>
    <w:p w:rsidR="00000000" w:rsidRDefault="00000000">
      <w:pPr>
        <w:rPr>
          <w:sz w:val="20"/>
        </w:rPr>
      </w:pPr>
    </w:p>
    <w:p w:rsidR="00000000" w:rsidRDefault="00000000">
      <w:pPr>
        <w:rPr>
          <w:sz w:val="20"/>
        </w:rPr>
      </w:pPr>
      <w:r>
        <w:rPr>
          <w:b/>
          <w:bCs/>
          <w:sz w:val="20"/>
          <w:vertAlign w:val="superscript"/>
        </w:rPr>
        <w:t>*</w:t>
      </w:r>
      <w:r>
        <w:rPr>
          <w:sz w:val="20"/>
        </w:rPr>
        <w:t xml:space="preserve"> </w:t>
      </w:r>
      <w:r>
        <w:rPr>
          <w:sz w:val="20"/>
        </w:rPr>
        <w:tab/>
        <w:t>Центральный банк Парагвая.</w:t>
      </w:r>
    </w:p>
    <w:p w:rsidR="00000000" w:rsidRDefault="00000000">
      <w:pPr>
        <w:rPr>
          <w:sz w:val="20"/>
        </w:rPr>
      </w:pPr>
    </w:p>
    <w:p w:rsidR="00000000" w:rsidRDefault="00000000">
      <w:pPr>
        <w:sectPr w:rsidR="00000000">
          <w:headerReference w:type="even" r:id="rId25"/>
          <w:headerReference w:type="default" r:id="rId26"/>
          <w:headerReference w:type="first" r:id="rId27"/>
          <w:pgSz w:w="16838" w:h="11906" w:orient="landscape" w:code="9"/>
          <w:pgMar w:top="1701" w:right="851" w:bottom="851" w:left="1701" w:header="851" w:footer="851" w:gutter="0"/>
          <w:cols w:space="720"/>
          <w:formProt w:val="0"/>
          <w:noEndnote/>
          <w:titlePg/>
        </w:sectPr>
      </w:pPr>
    </w:p>
    <w:p w:rsidR="00000000" w:rsidRDefault="00000000">
      <w:pPr>
        <w:jc w:val="center"/>
        <w:rPr>
          <w:b/>
          <w:bCs/>
        </w:rPr>
      </w:pPr>
      <w:r>
        <w:rPr>
          <w:b/>
          <w:bCs/>
        </w:rPr>
        <w:t>Доля ассигнований на нужды министерства образования и культуры в общем бюджете государственных расходов в валовом внутреннем продукте</w:t>
      </w:r>
    </w:p>
    <w:p w:rsidR="00000000" w:rsidRDefault="00000000">
      <w:pPr>
        <w:jc w:val="center"/>
      </w:pPr>
      <w:r>
        <w:t>(в млн. гуарани по текущим ценам)</w:t>
      </w:r>
    </w:p>
    <w:p w:rsidR="00000000" w:rsidRDefault="00000000">
      <w:pPr>
        <w:jc w:val="center"/>
      </w:pPr>
    </w:p>
    <w:tbl>
      <w:tblPr>
        <w:tblW w:w="0" w:type="auto"/>
        <w:tblLayout w:type="fixed"/>
        <w:tblCellMar>
          <w:left w:w="28" w:type="dxa"/>
          <w:right w:w="28" w:type="dxa"/>
        </w:tblCellMar>
        <w:tblLook w:val="0000" w:firstRow="0" w:lastRow="0" w:firstColumn="0" w:lastColumn="0" w:noHBand="0" w:noVBand="0"/>
      </w:tblPr>
      <w:tblGrid>
        <w:gridCol w:w="630"/>
        <w:gridCol w:w="966"/>
        <w:gridCol w:w="742"/>
        <w:gridCol w:w="1302"/>
        <w:gridCol w:w="770"/>
        <w:gridCol w:w="1679"/>
        <w:gridCol w:w="756"/>
        <w:gridCol w:w="1283"/>
        <w:gridCol w:w="1283"/>
      </w:tblGrid>
      <w:tr w:rsidR="00000000">
        <w:trPr>
          <w:cantSplit/>
        </w:trPr>
        <w:tc>
          <w:tcPr>
            <w:tcW w:w="63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000000" w:rsidRDefault="00000000">
            <w:pPr>
              <w:jc w:val="center"/>
              <w:rPr>
                <w:b/>
                <w:bCs/>
                <w:sz w:val="18"/>
              </w:rPr>
            </w:pPr>
          </w:p>
        </w:tc>
        <w:tc>
          <w:tcPr>
            <w:tcW w:w="966" w:type="dxa"/>
            <w:tcBorders>
              <w:top w:val="single" w:sz="4" w:space="0" w:color="auto"/>
              <w:left w:val="nil"/>
              <w:bottom w:val="single" w:sz="4" w:space="0" w:color="auto"/>
              <w:right w:val="single" w:sz="4" w:space="0" w:color="auto"/>
            </w:tcBorders>
            <w:shd w:val="clear" w:color="auto" w:fill="CCFFCC"/>
            <w:noWrap/>
            <w:vAlign w:val="bottom"/>
          </w:tcPr>
          <w:p w:rsidR="00000000" w:rsidRDefault="00000000">
            <w:pPr>
              <w:jc w:val="center"/>
              <w:rPr>
                <w:b/>
                <w:bCs/>
                <w:sz w:val="18"/>
              </w:rPr>
            </w:pPr>
            <w:r>
              <w:rPr>
                <w:b/>
                <w:bCs/>
                <w:sz w:val="18"/>
              </w:rPr>
              <w:t>ВВП</w:t>
            </w:r>
          </w:p>
        </w:tc>
        <w:tc>
          <w:tcPr>
            <w:tcW w:w="742" w:type="dxa"/>
            <w:tcBorders>
              <w:top w:val="single" w:sz="4" w:space="0" w:color="auto"/>
              <w:left w:val="nil"/>
              <w:bottom w:val="single" w:sz="4" w:space="0" w:color="auto"/>
              <w:right w:val="single" w:sz="4" w:space="0" w:color="auto"/>
            </w:tcBorders>
            <w:shd w:val="clear" w:color="auto" w:fill="CCFFCC"/>
            <w:noWrap/>
            <w:vAlign w:val="bottom"/>
          </w:tcPr>
          <w:p w:rsidR="00000000" w:rsidRDefault="00000000">
            <w:pPr>
              <w:jc w:val="center"/>
              <w:rPr>
                <w:b/>
                <w:bCs/>
                <w:sz w:val="18"/>
              </w:rPr>
            </w:pPr>
            <w:r>
              <w:rPr>
                <w:b/>
                <w:bCs/>
                <w:sz w:val="18"/>
              </w:rPr>
              <w:t>Измене-ние в %</w:t>
            </w:r>
          </w:p>
        </w:tc>
        <w:tc>
          <w:tcPr>
            <w:tcW w:w="1302" w:type="dxa"/>
            <w:tcBorders>
              <w:top w:val="single" w:sz="4" w:space="0" w:color="auto"/>
              <w:left w:val="nil"/>
              <w:bottom w:val="single" w:sz="4" w:space="0" w:color="auto"/>
              <w:right w:val="single" w:sz="4" w:space="0" w:color="auto"/>
            </w:tcBorders>
            <w:shd w:val="clear" w:color="auto" w:fill="CCFFCC"/>
            <w:noWrap/>
            <w:vAlign w:val="bottom"/>
          </w:tcPr>
          <w:p w:rsidR="00000000" w:rsidRDefault="00000000">
            <w:pPr>
              <w:jc w:val="center"/>
              <w:rPr>
                <w:b/>
                <w:bCs/>
                <w:sz w:val="18"/>
              </w:rPr>
            </w:pPr>
            <w:r>
              <w:rPr>
                <w:b/>
                <w:bCs/>
                <w:sz w:val="18"/>
              </w:rPr>
              <w:t>Размер общего бюджета государствен-ных расходов</w:t>
            </w:r>
          </w:p>
        </w:tc>
        <w:tc>
          <w:tcPr>
            <w:tcW w:w="770" w:type="dxa"/>
            <w:tcBorders>
              <w:top w:val="single" w:sz="4" w:space="0" w:color="auto"/>
              <w:left w:val="nil"/>
              <w:bottom w:val="single" w:sz="4" w:space="0" w:color="auto"/>
              <w:right w:val="single" w:sz="4" w:space="0" w:color="auto"/>
            </w:tcBorders>
            <w:shd w:val="clear" w:color="auto" w:fill="CCFFCC"/>
            <w:noWrap/>
            <w:vAlign w:val="bottom"/>
          </w:tcPr>
          <w:p w:rsidR="00000000" w:rsidRDefault="00000000">
            <w:pPr>
              <w:jc w:val="center"/>
              <w:rPr>
                <w:b/>
                <w:bCs/>
                <w:sz w:val="18"/>
              </w:rPr>
            </w:pPr>
            <w:r>
              <w:rPr>
                <w:b/>
                <w:bCs/>
                <w:sz w:val="18"/>
              </w:rPr>
              <w:t>Измене-ние в %</w:t>
            </w:r>
          </w:p>
        </w:tc>
        <w:tc>
          <w:tcPr>
            <w:tcW w:w="1679" w:type="dxa"/>
            <w:tcBorders>
              <w:top w:val="single" w:sz="4" w:space="0" w:color="auto"/>
              <w:left w:val="nil"/>
              <w:bottom w:val="single" w:sz="4" w:space="0" w:color="auto"/>
              <w:right w:val="single" w:sz="4" w:space="0" w:color="auto"/>
            </w:tcBorders>
            <w:shd w:val="clear" w:color="auto" w:fill="CCFFCC"/>
            <w:noWrap/>
            <w:vAlign w:val="bottom"/>
          </w:tcPr>
          <w:p w:rsidR="00000000" w:rsidRDefault="00000000">
            <w:pPr>
              <w:jc w:val="center"/>
              <w:rPr>
                <w:b/>
                <w:bCs/>
                <w:sz w:val="18"/>
              </w:rPr>
            </w:pPr>
            <w:r>
              <w:rPr>
                <w:b/>
                <w:bCs/>
                <w:sz w:val="18"/>
              </w:rPr>
              <w:t>Доля ассигнований на нужды министерства образования и культуры в общем бюджете государственных расходов</w:t>
            </w:r>
          </w:p>
        </w:tc>
        <w:tc>
          <w:tcPr>
            <w:tcW w:w="756" w:type="dxa"/>
            <w:tcBorders>
              <w:top w:val="single" w:sz="4" w:space="0" w:color="auto"/>
              <w:left w:val="nil"/>
              <w:bottom w:val="single" w:sz="4" w:space="0" w:color="auto"/>
              <w:right w:val="single" w:sz="4" w:space="0" w:color="auto"/>
            </w:tcBorders>
            <w:shd w:val="clear" w:color="auto" w:fill="CCFFCC"/>
            <w:noWrap/>
            <w:vAlign w:val="bottom"/>
          </w:tcPr>
          <w:p w:rsidR="00000000" w:rsidRDefault="00000000">
            <w:pPr>
              <w:jc w:val="center"/>
              <w:rPr>
                <w:b/>
                <w:bCs/>
                <w:sz w:val="18"/>
              </w:rPr>
            </w:pPr>
            <w:r>
              <w:rPr>
                <w:b/>
                <w:bCs/>
                <w:sz w:val="18"/>
              </w:rPr>
              <w:t>Измене-ние в %</w:t>
            </w:r>
          </w:p>
        </w:tc>
        <w:tc>
          <w:tcPr>
            <w:tcW w:w="1283" w:type="dxa"/>
            <w:tcBorders>
              <w:top w:val="single" w:sz="4" w:space="0" w:color="auto"/>
              <w:left w:val="nil"/>
              <w:bottom w:val="single" w:sz="4" w:space="0" w:color="auto"/>
              <w:right w:val="single" w:sz="4" w:space="0" w:color="auto"/>
            </w:tcBorders>
            <w:shd w:val="clear" w:color="auto" w:fill="CCFFCC"/>
            <w:noWrap/>
            <w:vAlign w:val="bottom"/>
          </w:tcPr>
          <w:p w:rsidR="00000000" w:rsidRDefault="00000000">
            <w:pPr>
              <w:jc w:val="center"/>
              <w:rPr>
                <w:b/>
                <w:bCs/>
                <w:sz w:val="18"/>
              </w:rPr>
            </w:pPr>
            <w:r>
              <w:rPr>
                <w:b/>
                <w:bCs/>
                <w:sz w:val="18"/>
              </w:rPr>
              <w:t>Министерство образования и культуры/ ВВП</w:t>
            </w:r>
          </w:p>
        </w:tc>
        <w:tc>
          <w:tcPr>
            <w:tcW w:w="1283" w:type="dxa"/>
            <w:tcBorders>
              <w:top w:val="single" w:sz="4" w:space="0" w:color="auto"/>
              <w:left w:val="nil"/>
              <w:bottom w:val="single" w:sz="4" w:space="0" w:color="auto"/>
              <w:right w:val="single" w:sz="4" w:space="0" w:color="auto"/>
            </w:tcBorders>
            <w:shd w:val="clear" w:color="auto" w:fill="CCFFCC"/>
            <w:noWrap/>
            <w:vAlign w:val="bottom"/>
          </w:tcPr>
          <w:p w:rsidR="00000000" w:rsidRDefault="00000000">
            <w:pPr>
              <w:jc w:val="center"/>
              <w:rPr>
                <w:b/>
                <w:bCs/>
                <w:sz w:val="18"/>
              </w:rPr>
            </w:pPr>
            <w:r>
              <w:rPr>
                <w:b/>
                <w:bCs/>
                <w:sz w:val="18"/>
              </w:rPr>
              <w:t>Министерство образования и культуры/ Общий бюджет государствен-ных расходов</w:t>
            </w:r>
          </w:p>
        </w:tc>
      </w:tr>
      <w:tr w:rsidR="00000000">
        <w:trPr>
          <w:cantSplit/>
        </w:trPr>
        <w:tc>
          <w:tcPr>
            <w:tcW w:w="630" w:type="dxa"/>
            <w:tcBorders>
              <w:top w:val="nil"/>
              <w:left w:val="single" w:sz="4" w:space="0" w:color="auto"/>
              <w:bottom w:val="nil"/>
              <w:right w:val="single" w:sz="4" w:space="0" w:color="auto"/>
            </w:tcBorders>
            <w:shd w:val="clear" w:color="auto" w:fill="FFFFFF"/>
            <w:noWrap/>
            <w:vAlign w:val="bottom"/>
          </w:tcPr>
          <w:p w:rsidR="00000000" w:rsidRDefault="00000000">
            <w:pPr>
              <w:rPr>
                <w:sz w:val="20"/>
              </w:rPr>
            </w:pPr>
            <w:r>
              <w:rPr>
                <w:sz w:val="20"/>
              </w:rPr>
              <w:t>1993</w:t>
            </w:r>
          </w:p>
        </w:tc>
        <w:tc>
          <w:tcPr>
            <w:tcW w:w="966"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10 963 527</w:t>
            </w:r>
          </w:p>
        </w:tc>
        <w:tc>
          <w:tcPr>
            <w:tcW w:w="742"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 </w:t>
            </w:r>
          </w:p>
        </w:tc>
        <w:tc>
          <w:tcPr>
            <w:tcW w:w="1302"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s>
              <w:ind w:right="182"/>
              <w:jc w:val="right"/>
              <w:rPr>
                <w:sz w:val="20"/>
              </w:rPr>
            </w:pPr>
            <w:r>
              <w:rPr>
                <w:sz w:val="20"/>
              </w:rPr>
              <w:t>2 068 868</w:t>
            </w:r>
          </w:p>
        </w:tc>
        <w:tc>
          <w:tcPr>
            <w:tcW w:w="770"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 </w:t>
            </w:r>
          </w:p>
        </w:tc>
        <w:tc>
          <w:tcPr>
            <w:tcW w:w="1679"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s>
              <w:ind w:right="363"/>
              <w:jc w:val="right"/>
              <w:rPr>
                <w:sz w:val="20"/>
              </w:rPr>
            </w:pPr>
            <w:r>
              <w:rPr>
                <w:sz w:val="20"/>
              </w:rPr>
              <w:t>349 981</w:t>
            </w:r>
          </w:p>
        </w:tc>
        <w:tc>
          <w:tcPr>
            <w:tcW w:w="756"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 </w:t>
            </w:r>
          </w:p>
        </w:tc>
        <w:tc>
          <w:tcPr>
            <w:tcW w:w="1283"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3,2%</w:t>
            </w:r>
          </w:p>
        </w:tc>
        <w:tc>
          <w:tcPr>
            <w:tcW w:w="1283"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16,9%</w:t>
            </w:r>
          </w:p>
        </w:tc>
      </w:tr>
      <w:tr w:rsidR="00000000">
        <w:trPr>
          <w:cantSplit/>
        </w:trPr>
        <w:tc>
          <w:tcPr>
            <w:tcW w:w="630" w:type="dxa"/>
            <w:tcBorders>
              <w:top w:val="nil"/>
              <w:left w:val="single" w:sz="4" w:space="0" w:color="auto"/>
              <w:bottom w:val="nil"/>
              <w:right w:val="single" w:sz="4" w:space="0" w:color="auto"/>
            </w:tcBorders>
            <w:shd w:val="clear" w:color="auto" w:fill="FFFFFF"/>
            <w:noWrap/>
            <w:vAlign w:val="bottom"/>
          </w:tcPr>
          <w:p w:rsidR="00000000" w:rsidRDefault="00000000">
            <w:pPr>
              <w:rPr>
                <w:sz w:val="20"/>
              </w:rPr>
            </w:pPr>
            <w:r>
              <w:rPr>
                <w:sz w:val="20"/>
              </w:rPr>
              <w:t>1994</w:t>
            </w:r>
          </w:p>
        </w:tc>
        <w:tc>
          <w:tcPr>
            <w:tcW w:w="966"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13 220 624</w:t>
            </w:r>
          </w:p>
        </w:tc>
        <w:tc>
          <w:tcPr>
            <w:tcW w:w="742"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20,6%</w:t>
            </w:r>
          </w:p>
        </w:tc>
        <w:tc>
          <w:tcPr>
            <w:tcW w:w="1302"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s>
              <w:ind w:right="182"/>
              <w:jc w:val="right"/>
              <w:rPr>
                <w:sz w:val="20"/>
              </w:rPr>
            </w:pPr>
            <w:r>
              <w:rPr>
                <w:sz w:val="20"/>
              </w:rPr>
              <w:t>2 568 389</w:t>
            </w:r>
          </w:p>
        </w:tc>
        <w:tc>
          <w:tcPr>
            <w:tcW w:w="770"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24,1%</w:t>
            </w:r>
          </w:p>
        </w:tc>
        <w:tc>
          <w:tcPr>
            <w:tcW w:w="1679"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s>
              <w:ind w:right="363"/>
              <w:jc w:val="right"/>
              <w:rPr>
                <w:sz w:val="20"/>
              </w:rPr>
            </w:pPr>
            <w:r>
              <w:rPr>
                <w:sz w:val="20"/>
              </w:rPr>
              <w:t>439 233</w:t>
            </w:r>
          </w:p>
        </w:tc>
        <w:tc>
          <w:tcPr>
            <w:tcW w:w="756"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25,5%</w:t>
            </w:r>
          </w:p>
        </w:tc>
        <w:tc>
          <w:tcPr>
            <w:tcW w:w="1283"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3,3%</w:t>
            </w:r>
          </w:p>
        </w:tc>
        <w:tc>
          <w:tcPr>
            <w:tcW w:w="1283"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17,1%</w:t>
            </w:r>
          </w:p>
        </w:tc>
      </w:tr>
      <w:tr w:rsidR="00000000">
        <w:trPr>
          <w:cantSplit/>
        </w:trPr>
        <w:tc>
          <w:tcPr>
            <w:tcW w:w="630" w:type="dxa"/>
            <w:tcBorders>
              <w:top w:val="nil"/>
              <w:left w:val="single" w:sz="4" w:space="0" w:color="auto"/>
              <w:bottom w:val="nil"/>
              <w:right w:val="single" w:sz="4" w:space="0" w:color="auto"/>
            </w:tcBorders>
            <w:shd w:val="clear" w:color="auto" w:fill="FFFFFF"/>
            <w:noWrap/>
            <w:vAlign w:val="bottom"/>
          </w:tcPr>
          <w:p w:rsidR="00000000" w:rsidRDefault="00000000">
            <w:pPr>
              <w:rPr>
                <w:sz w:val="20"/>
              </w:rPr>
            </w:pPr>
            <w:r>
              <w:rPr>
                <w:sz w:val="20"/>
              </w:rPr>
              <w:t>1995</w:t>
            </w:r>
          </w:p>
        </w:tc>
        <w:tc>
          <w:tcPr>
            <w:tcW w:w="966"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15 833 186</w:t>
            </w:r>
          </w:p>
        </w:tc>
        <w:tc>
          <w:tcPr>
            <w:tcW w:w="742"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19,8%</w:t>
            </w:r>
          </w:p>
        </w:tc>
        <w:tc>
          <w:tcPr>
            <w:tcW w:w="1302"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s>
              <w:ind w:right="182"/>
              <w:jc w:val="right"/>
              <w:rPr>
                <w:sz w:val="20"/>
              </w:rPr>
            </w:pPr>
            <w:r>
              <w:rPr>
                <w:sz w:val="20"/>
              </w:rPr>
              <w:t>3 490 367</w:t>
            </w:r>
          </w:p>
        </w:tc>
        <w:tc>
          <w:tcPr>
            <w:tcW w:w="770"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35,9%</w:t>
            </w:r>
          </w:p>
        </w:tc>
        <w:tc>
          <w:tcPr>
            <w:tcW w:w="1679"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s>
              <w:ind w:right="363"/>
              <w:jc w:val="right"/>
              <w:rPr>
                <w:sz w:val="20"/>
              </w:rPr>
            </w:pPr>
            <w:r>
              <w:rPr>
                <w:sz w:val="20"/>
              </w:rPr>
              <w:t>610 698</w:t>
            </w:r>
          </w:p>
        </w:tc>
        <w:tc>
          <w:tcPr>
            <w:tcW w:w="756"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39,0%</w:t>
            </w:r>
          </w:p>
        </w:tc>
        <w:tc>
          <w:tcPr>
            <w:tcW w:w="1283"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3,9%</w:t>
            </w:r>
          </w:p>
        </w:tc>
        <w:tc>
          <w:tcPr>
            <w:tcW w:w="1283"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17,5%</w:t>
            </w:r>
          </w:p>
        </w:tc>
      </w:tr>
      <w:tr w:rsidR="00000000">
        <w:trPr>
          <w:cantSplit/>
        </w:trPr>
        <w:tc>
          <w:tcPr>
            <w:tcW w:w="630" w:type="dxa"/>
            <w:tcBorders>
              <w:top w:val="nil"/>
              <w:left w:val="single" w:sz="4" w:space="0" w:color="auto"/>
              <w:bottom w:val="nil"/>
              <w:right w:val="single" w:sz="4" w:space="0" w:color="auto"/>
            </w:tcBorders>
            <w:shd w:val="clear" w:color="auto" w:fill="FFFFFF"/>
            <w:noWrap/>
            <w:vAlign w:val="bottom"/>
          </w:tcPr>
          <w:p w:rsidR="00000000" w:rsidRDefault="00000000">
            <w:pPr>
              <w:rPr>
                <w:sz w:val="20"/>
              </w:rPr>
            </w:pPr>
            <w:r>
              <w:rPr>
                <w:sz w:val="20"/>
              </w:rPr>
              <w:t>1996</w:t>
            </w:r>
          </w:p>
        </w:tc>
        <w:tc>
          <w:tcPr>
            <w:tcW w:w="966"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18 004 375</w:t>
            </w:r>
          </w:p>
        </w:tc>
        <w:tc>
          <w:tcPr>
            <w:tcW w:w="742"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13,7%</w:t>
            </w:r>
          </w:p>
        </w:tc>
        <w:tc>
          <w:tcPr>
            <w:tcW w:w="1302"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s>
              <w:ind w:right="182"/>
              <w:jc w:val="right"/>
              <w:rPr>
                <w:sz w:val="20"/>
              </w:rPr>
            </w:pPr>
            <w:r>
              <w:rPr>
                <w:sz w:val="20"/>
              </w:rPr>
              <w:t>4 303 706</w:t>
            </w:r>
          </w:p>
        </w:tc>
        <w:tc>
          <w:tcPr>
            <w:tcW w:w="770"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23,3%</w:t>
            </w:r>
          </w:p>
        </w:tc>
        <w:tc>
          <w:tcPr>
            <w:tcW w:w="1679"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s>
              <w:ind w:right="363"/>
              <w:jc w:val="right"/>
              <w:rPr>
                <w:sz w:val="20"/>
              </w:rPr>
            </w:pPr>
            <w:r>
              <w:rPr>
                <w:sz w:val="20"/>
              </w:rPr>
              <w:t>788 674</w:t>
            </w:r>
          </w:p>
        </w:tc>
        <w:tc>
          <w:tcPr>
            <w:tcW w:w="756"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29,1%</w:t>
            </w:r>
          </w:p>
        </w:tc>
        <w:tc>
          <w:tcPr>
            <w:tcW w:w="1283"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4,4%</w:t>
            </w:r>
          </w:p>
        </w:tc>
        <w:tc>
          <w:tcPr>
            <w:tcW w:w="1283"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18,3%</w:t>
            </w:r>
          </w:p>
        </w:tc>
      </w:tr>
      <w:tr w:rsidR="00000000">
        <w:trPr>
          <w:cantSplit/>
        </w:trPr>
        <w:tc>
          <w:tcPr>
            <w:tcW w:w="630" w:type="dxa"/>
            <w:tcBorders>
              <w:top w:val="nil"/>
              <w:left w:val="single" w:sz="4" w:space="0" w:color="auto"/>
              <w:bottom w:val="nil"/>
              <w:right w:val="single" w:sz="4" w:space="0" w:color="auto"/>
            </w:tcBorders>
            <w:shd w:val="clear" w:color="auto" w:fill="FFFFFF"/>
            <w:noWrap/>
            <w:vAlign w:val="bottom"/>
          </w:tcPr>
          <w:p w:rsidR="00000000" w:rsidRDefault="00000000">
            <w:pPr>
              <w:rPr>
                <w:sz w:val="20"/>
              </w:rPr>
            </w:pPr>
            <w:r>
              <w:rPr>
                <w:sz w:val="20"/>
              </w:rPr>
              <w:t>1997</w:t>
            </w:r>
          </w:p>
        </w:tc>
        <w:tc>
          <w:tcPr>
            <w:tcW w:w="966"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19 322 537</w:t>
            </w:r>
          </w:p>
        </w:tc>
        <w:tc>
          <w:tcPr>
            <w:tcW w:w="742"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7,3%</w:t>
            </w:r>
          </w:p>
        </w:tc>
        <w:tc>
          <w:tcPr>
            <w:tcW w:w="1302"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s>
              <w:ind w:right="182"/>
              <w:jc w:val="right"/>
              <w:rPr>
                <w:sz w:val="20"/>
              </w:rPr>
            </w:pPr>
            <w:r>
              <w:rPr>
                <w:sz w:val="20"/>
              </w:rPr>
              <w:t>4 528 874</w:t>
            </w:r>
          </w:p>
        </w:tc>
        <w:tc>
          <w:tcPr>
            <w:tcW w:w="770"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5,2%</w:t>
            </w:r>
          </w:p>
        </w:tc>
        <w:tc>
          <w:tcPr>
            <w:tcW w:w="1679"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s>
              <w:ind w:right="363"/>
              <w:jc w:val="right"/>
              <w:rPr>
                <w:sz w:val="20"/>
              </w:rPr>
            </w:pPr>
            <w:r>
              <w:rPr>
                <w:sz w:val="20"/>
              </w:rPr>
              <w:t>949 009</w:t>
            </w:r>
          </w:p>
        </w:tc>
        <w:tc>
          <w:tcPr>
            <w:tcW w:w="756"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20,3%</w:t>
            </w:r>
          </w:p>
        </w:tc>
        <w:tc>
          <w:tcPr>
            <w:tcW w:w="1283"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4,9%</w:t>
            </w:r>
          </w:p>
        </w:tc>
        <w:tc>
          <w:tcPr>
            <w:tcW w:w="1283"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21,0%</w:t>
            </w:r>
          </w:p>
        </w:tc>
      </w:tr>
      <w:tr w:rsidR="00000000">
        <w:trPr>
          <w:cantSplit/>
        </w:trPr>
        <w:tc>
          <w:tcPr>
            <w:tcW w:w="630" w:type="dxa"/>
            <w:tcBorders>
              <w:top w:val="nil"/>
              <w:left w:val="single" w:sz="4" w:space="0" w:color="auto"/>
              <w:bottom w:val="nil"/>
              <w:right w:val="single" w:sz="4" w:space="0" w:color="auto"/>
            </w:tcBorders>
            <w:shd w:val="clear" w:color="auto" w:fill="FFFFFF"/>
            <w:noWrap/>
            <w:vAlign w:val="bottom"/>
          </w:tcPr>
          <w:p w:rsidR="00000000" w:rsidRDefault="00000000">
            <w:pPr>
              <w:rPr>
                <w:sz w:val="20"/>
              </w:rPr>
            </w:pPr>
            <w:r>
              <w:rPr>
                <w:sz w:val="20"/>
              </w:rPr>
              <w:t>1998</w:t>
            </w:r>
          </w:p>
        </w:tc>
        <w:tc>
          <w:tcPr>
            <w:tcW w:w="966"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21 580 612</w:t>
            </w:r>
          </w:p>
        </w:tc>
        <w:tc>
          <w:tcPr>
            <w:tcW w:w="742"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11,7%</w:t>
            </w:r>
          </w:p>
        </w:tc>
        <w:tc>
          <w:tcPr>
            <w:tcW w:w="1302"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s>
              <w:ind w:right="182"/>
              <w:jc w:val="right"/>
              <w:rPr>
                <w:sz w:val="20"/>
              </w:rPr>
            </w:pPr>
            <w:r>
              <w:rPr>
                <w:sz w:val="20"/>
              </w:rPr>
              <w:t>5 419 007</w:t>
            </w:r>
          </w:p>
        </w:tc>
        <w:tc>
          <w:tcPr>
            <w:tcW w:w="770"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19,7%</w:t>
            </w:r>
          </w:p>
        </w:tc>
        <w:tc>
          <w:tcPr>
            <w:tcW w:w="1679"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s>
              <w:ind w:right="363"/>
              <w:jc w:val="right"/>
              <w:rPr>
                <w:sz w:val="20"/>
              </w:rPr>
            </w:pPr>
            <w:r>
              <w:rPr>
                <w:sz w:val="20"/>
              </w:rPr>
              <w:t>1 071 373</w:t>
            </w:r>
          </w:p>
        </w:tc>
        <w:tc>
          <w:tcPr>
            <w:tcW w:w="756"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12,9%</w:t>
            </w:r>
          </w:p>
        </w:tc>
        <w:tc>
          <w:tcPr>
            <w:tcW w:w="1283"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5,0%</w:t>
            </w:r>
          </w:p>
        </w:tc>
        <w:tc>
          <w:tcPr>
            <w:tcW w:w="1283"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19,8%</w:t>
            </w:r>
          </w:p>
        </w:tc>
      </w:tr>
      <w:tr w:rsidR="00000000">
        <w:trPr>
          <w:cantSplit/>
        </w:trPr>
        <w:tc>
          <w:tcPr>
            <w:tcW w:w="630" w:type="dxa"/>
            <w:tcBorders>
              <w:top w:val="nil"/>
              <w:left w:val="single" w:sz="4" w:space="0" w:color="auto"/>
              <w:bottom w:val="nil"/>
              <w:right w:val="single" w:sz="4" w:space="0" w:color="auto"/>
            </w:tcBorders>
            <w:shd w:val="clear" w:color="auto" w:fill="FFFFFF"/>
            <w:noWrap/>
            <w:vAlign w:val="bottom"/>
          </w:tcPr>
          <w:p w:rsidR="00000000" w:rsidRDefault="00000000">
            <w:pPr>
              <w:rPr>
                <w:sz w:val="20"/>
              </w:rPr>
            </w:pPr>
            <w:r>
              <w:rPr>
                <w:sz w:val="20"/>
              </w:rPr>
              <w:t>1999</w:t>
            </w:r>
          </w:p>
        </w:tc>
        <w:tc>
          <w:tcPr>
            <w:tcW w:w="966"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22 771 596</w:t>
            </w:r>
          </w:p>
        </w:tc>
        <w:tc>
          <w:tcPr>
            <w:tcW w:w="742"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5,5%</w:t>
            </w:r>
          </w:p>
        </w:tc>
        <w:tc>
          <w:tcPr>
            <w:tcW w:w="1302"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s>
              <w:ind w:right="182"/>
              <w:jc w:val="right"/>
              <w:rPr>
                <w:sz w:val="20"/>
              </w:rPr>
            </w:pPr>
            <w:r>
              <w:rPr>
                <w:sz w:val="20"/>
              </w:rPr>
              <w:t>7 278 673</w:t>
            </w:r>
          </w:p>
        </w:tc>
        <w:tc>
          <w:tcPr>
            <w:tcW w:w="770"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34,3%</w:t>
            </w:r>
          </w:p>
        </w:tc>
        <w:tc>
          <w:tcPr>
            <w:tcW w:w="1679"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s>
              <w:ind w:right="363"/>
              <w:jc w:val="right"/>
              <w:rPr>
                <w:sz w:val="20"/>
              </w:rPr>
            </w:pPr>
            <w:r>
              <w:rPr>
                <w:sz w:val="20"/>
              </w:rPr>
              <w:t>1 122 042</w:t>
            </w:r>
          </w:p>
        </w:tc>
        <w:tc>
          <w:tcPr>
            <w:tcW w:w="756"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4,7%</w:t>
            </w:r>
          </w:p>
        </w:tc>
        <w:tc>
          <w:tcPr>
            <w:tcW w:w="1283"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4,9%</w:t>
            </w:r>
          </w:p>
        </w:tc>
        <w:tc>
          <w:tcPr>
            <w:tcW w:w="1283"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15,4%</w:t>
            </w:r>
          </w:p>
        </w:tc>
      </w:tr>
      <w:tr w:rsidR="00000000">
        <w:trPr>
          <w:cantSplit/>
        </w:trPr>
        <w:tc>
          <w:tcPr>
            <w:tcW w:w="630" w:type="dxa"/>
            <w:tcBorders>
              <w:top w:val="nil"/>
              <w:left w:val="single" w:sz="4" w:space="0" w:color="auto"/>
              <w:bottom w:val="nil"/>
              <w:right w:val="single" w:sz="4" w:space="0" w:color="auto"/>
            </w:tcBorders>
            <w:shd w:val="clear" w:color="auto" w:fill="FFFFFF"/>
            <w:noWrap/>
            <w:vAlign w:val="bottom"/>
          </w:tcPr>
          <w:p w:rsidR="00000000" w:rsidRDefault="00000000">
            <w:pPr>
              <w:rPr>
                <w:sz w:val="20"/>
              </w:rPr>
            </w:pPr>
            <w:r>
              <w:rPr>
                <w:sz w:val="20"/>
              </w:rPr>
              <w:t>2000</w:t>
            </w:r>
          </w:p>
        </w:tc>
        <w:tc>
          <w:tcPr>
            <w:tcW w:w="966"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24 736 526</w:t>
            </w:r>
          </w:p>
        </w:tc>
        <w:tc>
          <w:tcPr>
            <w:tcW w:w="742"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8,6%</w:t>
            </w:r>
          </w:p>
        </w:tc>
        <w:tc>
          <w:tcPr>
            <w:tcW w:w="1302"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s>
              <w:ind w:right="182"/>
              <w:jc w:val="right"/>
              <w:rPr>
                <w:sz w:val="20"/>
              </w:rPr>
            </w:pPr>
            <w:r>
              <w:rPr>
                <w:sz w:val="20"/>
              </w:rPr>
              <w:t>7 604 699</w:t>
            </w:r>
          </w:p>
        </w:tc>
        <w:tc>
          <w:tcPr>
            <w:tcW w:w="770"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4,5%</w:t>
            </w:r>
          </w:p>
        </w:tc>
        <w:tc>
          <w:tcPr>
            <w:tcW w:w="1679"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s>
              <w:ind w:right="363"/>
              <w:jc w:val="right"/>
              <w:rPr>
                <w:sz w:val="20"/>
              </w:rPr>
            </w:pPr>
            <w:r>
              <w:rPr>
                <w:sz w:val="20"/>
              </w:rPr>
              <w:t>1 324 198</w:t>
            </w:r>
          </w:p>
        </w:tc>
        <w:tc>
          <w:tcPr>
            <w:tcW w:w="756"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18,0%</w:t>
            </w:r>
          </w:p>
        </w:tc>
        <w:tc>
          <w:tcPr>
            <w:tcW w:w="1283"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5,4%</w:t>
            </w:r>
          </w:p>
        </w:tc>
        <w:tc>
          <w:tcPr>
            <w:tcW w:w="1283"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17,4%</w:t>
            </w:r>
          </w:p>
        </w:tc>
      </w:tr>
      <w:tr w:rsidR="00000000">
        <w:trPr>
          <w:cantSplit/>
        </w:trPr>
        <w:tc>
          <w:tcPr>
            <w:tcW w:w="630" w:type="dxa"/>
            <w:tcBorders>
              <w:top w:val="nil"/>
              <w:left w:val="single" w:sz="4" w:space="0" w:color="auto"/>
              <w:bottom w:val="nil"/>
              <w:right w:val="single" w:sz="4" w:space="0" w:color="auto"/>
            </w:tcBorders>
            <w:shd w:val="clear" w:color="auto" w:fill="FFFFFF"/>
            <w:noWrap/>
            <w:vAlign w:val="bottom"/>
          </w:tcPr>
          <w:p w:rsidR="00000000" w:rsidRDefault="00000000">
            <w:pPr>
              <w:rPr>
                <w:sz w:val="20"/>
              </w:rPr>
            </w:pPr>
            <w:r>
              <w:rPr>
                <w:sz w:val="20"/>
              </w:rPr>
              <w:t>2001</w:t>
            </w:r>
          </w:p>
        </w:tc>
        <w:tc>
          <w:tcPr>
            <w:tcW w:w="966"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26 465 663</w:t>
            </w:r>
          </w:p>
        </w:tc>
        <w:tc>
          <w:tcPr>
            <w:tcW w:w="742"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7,0%</w:t>
            </w:r>
          </w:p>
        </w:tc>
        <w:tc>
          <w:tcPr>
            <w:tcW w:w="1302"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s>
              <w:ind w:right="182"/>
              <w:jc w:val="right"/>
              <w:rPr>
                <w:sz w:val="20"/>
              </w:rPr>
            </w:pPr>
            <w:r>
              <w:rPr>
                <w:sz w:val="20"/>
              </w:rPr>
              <w:t>7 291 523</w:t>
            </w:r>
          </w:p>
        </w:tc>
        <w:tc>
          <w:tcPr>
            <w:tcW w:w="770"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-4,1%</w:t>
            </w:r>
          </w:p>
        </w:tc>
        <w:tc>
          <w:tcPr>
            <w:tcW w:w="1679"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s>
              <w:ind w:right="363"/>
              <w:jc w:val="right"/>
              <w:rPr>
                <w:sz w:val="20"/>
              </w:rPr>
            </w:pPr>
            <w:r>
              <w:rPr>
                <w:sz w:val="20"/>
              </w:rPr>
              <w:t>1 327 772</w:t>
            </w:r>
          </w:p>
        </w:tc>
        <w:tc>
          <w:tcPr>
            <w:tcW w:w="756"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0,3%</w:t>
            </w:r>
          </w:p>
        </w:tc>
        <w:tc>
          <w:tcPr>
            <w:tcW w:w="1283"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5,0%</w:t>
            </w:r>
          </w:p>
        </w:tc>
        <w:tc>
          <w:tcPr>
            <w:tcW w:w="1283"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18,2%</w:t>
            </w:r>
          </w:p>
        </w:tc>
      </w:tr>
      <w:tr w:rsidR="00000000">
        <w:trPr>
          <w:cantSplit/>
        </w:trPr>
        <w:tc>
          <w:tcPr>
            <w:tcW w:w="630" w:type="dxa"/>
            <w:tcBorders>
              <w:top w:val="nil"/>
              <w:left w:val="single" w:sz="4" w:space="0" w:color="auto"/>
              <w:bottom w:val="nil"/>
              <w:right w:val="single" w:sz="4" w:space="0" w:color="auto"/>
            </w:tcBorders>
            <w:shd w:val="clear" w:color="auto" w:fill="FFFFFF"/>
            <w:noWrap/>
            <w:vAlign w:val="bottom"/>
          </w:tcPr>
          <w:p w:rsidR="00000000" w:rsidRDefault="00000000">
            <w:pPr>
              <w:rPr>
                <w:sz w:val="20"/>
              </w:rPr>
            </w:pPr>
            <w:r>
              <w:rPr>
                <w:sz w:val="20"/>
              </w:rPr>
              <w:t>2002</w:t>
            </w:r>
          </w:p>
        </w:tc>
        <w:tc>
          <w:tcPr>
            <w:tcW w:w="966"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29 104 530</w:t>
            </w:r>
          </w:p>
        </w:tc>
        <w:tc>
          <w:tcPr>
            <w:tcW w:w="742"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10,0%</w:t>
            </w:r>
          </w:p>
        </w:tc>
        <w:tc>
          <w:tcPr>
            <w:tcW w:w="1302"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s>
              <w:ind w:right="182"/>
              <w:jc w:val="right"/>
              <w:rPr>
                <w:sz w:val="20"/>
              </w:rPr>
            </w:pPr>
            <w:r>
              <w:rPr>
                <w:sz w:val="20"/>
              </w:rPr>
              <w:t>7 770 138</w:t>
            </w:r>
          </w:p>
        </w:tc>
        <w:tc>
          <w:tcPr>
            <w:tcW w:w="770"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6,6%</w:t>
            </w:r>
          </w:p>
        </w:tc>
        <w:tc>
          <w:tcPr>
            <w:tcW w:w="1679"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s>
              <w:ind w:right="363"/>
              <w:jc w:val="right"/>
              <w:rPr>
                <w:sz w:val="20"/>
              </w:rPr>
            </w:pPr>
            <w:r>
              <w:rPr>
                <w:sz w:val="20"/>
              </w:rPr>
              <w:t>1 394 241</w:t>
            </w:r>
          </w:p>
        </w:tc>
        <w:tc>
          <w:tcPr>
            <w:tcW w:w="756"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5,0%</w:t>
            </w:r>
          </w:p>
        </w:tc>
        <w:tc>
          <w:tcPr>
            <w:tcW w:w="1283"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4,8%</w:t>
            </w:r>
          </w:p>
        </w:tc>
        <w:tc>
          <w:tcPr>
            <w:tcW w:w="1283"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17,9%</w:t>
            </w:r>
          </w:p>
        </w:tc>
      </w:tr>
      <w:tr w:rsidR="00000000">
        <w:trPr>
          <w:cantSplit/>
        </w:trPr>
        <w:tc>
          <w:tcPr>
            <w:tcW w:w="630" w:type="dxa"/>
            <w:tcBorders>
              <w:top w:val="nil"/>
              <w:left w:val="single" w:sz="4" w:space="0" w:color="auto"/>
              <w:bottom w:val="nil"/>
              <w:right w:val="single" w:sz="4" w:space="0" w:color="auto"/>
            </w:tcBorders>
            <w:shd w:val="clear" w:color="auto" w:fill="FFFFFF"/>
            <w:noWrap/>
            <w:vAlign w:val="bottom"/>
          </w:tcPr>
          <w:p w:rsidR="00000000" w:rsidRDefault="00000000">
            <w:pPr>
              <w:rPr>
                <w:sz w:val="20"/>
              </w:rPr>
            </w:pPr>
            <w:r>
              <w:rPr>
                <w:sz w:val="20"/>
              </w:rPr>
              <w:t>2003</w:t>
            </w:r>
          </w:p>
        </w:tc>
        <w:tc>
          <w:tcPr>
            <w:tcW w:w="966"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35 666 425</w:t>
            </w:r>
          </w:p>
        </w:tc>
        <w:tc>
          <w:tcPr>
            <w:tcW w:w="742"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22,5%</w:t>
            </w:r>
          </w:p>
        </w:tc>
        <w:tc>
          <w:tcPr>
            <w:tcW w:w="1302"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s>
              <w:ind w:right="182"/>
              <w:jc w:val="right"/>
              <w:rPr>
                <w:sz w:val="20"/>
              </w:rPr>
            </w:pPr>
            <w:r>
              <w:rPr>
                <w:sz w:val="20"/>
              </w:rPr>
              <w:t>9 994 811</w:t>
            </w:r>
          </w:p>
        </w:tc>
        <w:tc>
          <w:tcPr>
            <w:tcW w:w="770"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28,6%</w:t>
            </w:r>
          </w:p>
        </w:tc>
        <w:tc>
          <w:tcPr>
            <w:tcW w:w="1679"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s>
              <w:ind w:right="363"/>
              <w:jc w:val="right"/>
              <w:rPr>
                <w:sz w:val="20"/>
              </w:rPr>
            </w:pPr>
            <w:r>
              <w:rPr>
                <w:sz w:val="20"/>
              </w:rPr>
              <w:t>1 477 347</w:t>
            </w:r>
          </w:p>
        </w:tc>
        <w:tc>
          <w:tcPr>
            <w:tcW w:w="756" w:type="dxa"/>
            <w:tcBorders>
              <w:top w:val="nil"/>
              <w:left w:val="nil"/>
              <w:bottom w:val="nil"/>
              <w:right w:val="single" w:sz="4" w:space="0" w:color="auto"/>
            </w:tcBorders>
            <w:shd w:val="clear" w:color="auto" w:fill="FFFFFF"/>
            <w:noWrap/>
            <w:vAlign w:val="bottom"/>
          </w:tcPr>
          <w:p w:rsidR="00000000" w:rsidRDefault="00000000">
            <w:pPr>
              <w:jc w:val="right"/>
              <w:rPr>
                <w:sz w:val="20"/>
              </w:rPr>
            </w:pPr>
            <w:r>
              <w:rPr>
                <w:sz w:val="20"/>
              </w:rPr>
              <w:t>6,0%</w:t>
            </w:r>
          </w:p>
        </w:tc>
        <w:tc>
          <w:tcPr>
            <w:tcW w:w="1283"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4,1%</w:t>
            </w:r>
          </w:p>
        </w:tc>
        <w:tc>
          <w:tcPr>
            <w:tcW w:w="1283" w:type="dxa"/>
            <w:tcBorders>
              <w:top w:val="nil"/>
              <w:left w:val="nil"/>
              <w:bottom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14,8%</w:t>
            </w:r>
          </w:p>
        </w:tc>
      </w:tr>
      <w:tr w:rsidR="00000000">
        <w:trPr>
          <w:cantSplit/>
        </w:trPr>
        <w:tc>
          <w:tcPr>
            <w:tcW w:w="630" w:type="dxa"/>
            <w:tcBorders>
              <w:top w:val="nil"/>
              <w:left w:val="single" w:sz="4" w:space="0" w:color="auto"/>
              <w:right w:val="single" w:sz="4" w:space="0" w:color="auto"/>
            </w:tcBorders>
            <w:shd w:val="clear" w:color="auto" w:fill="FFFFFF"/>
            <w:noWrap/>
            <w:vAlign w:val="bottom"/>
          </w:tcPr>
          <w:p w:rsidR="00000000" w:rsidRDefault="00000000">
            <w:pPr>
              <w:rPr>
                <w:sz w:val="20"/>
              </w:rPr>
            </w:pPr>
            <w:r>
              <w:rPr>
                <w:sz w:val="20"/>
              </w:rPr>
              <w:t>2004</w:t>
            </w:r>
          </w:p>
        </w:tc>
        <w:tc>
          <w:tcPr>
            <w:tcW w:w="966" w:type="dxa"/>
            <w:tcBorders>
              <w:top w:val="nil"/>
              <w:left w:val="nil"/>
              <w:right w:val="single" w:sz="4" w:space="0" w:color="auto"/>
            </w:tcBorders>
            <w:shd w:val="clear" w:color="auto" w:fill="FFFFFF"/>
            <w:noWrap/>
            <w:vAlign w:val="bottom"/>
          </w:tcPr>
          <w:p w:rsidR="00000000" w:rsidRDefault="00000000">
            <w:pPr>
              <w:jc w:val="right"/>
              <w:rPr>
                <w:sz w:val="20"/>
              </w:rPr>
            </w:pPr>
            <w:r>
              <w:rPr>
                <w:sz w:val="20"/>
              </w:rPr>
              <w:t>41 521 883</w:t>
            </w:r>
          </w:p>
        </w:tc>
        <w:tc>
          <w:tcPr>
            <w:tcW w:w="742" w:type="dxa"/>
            <w:tcBorders>
              <w:top w:val="nil"/>
              <w:left w:val="nil"/>
              <w:right w:val="single" w:sz="4" w:space="0" w:color="auto"/>
            </w:tcBorders>
            <w:shd w:val="clear" w:color="auto" w:fill="FFFFFF"/>
            <w:noWrap/>
            <w:vAlign w:val="bottom"/>
          </w:tcPr>
          <w:p w:rsidR="00000000" w:rsidRDefault="00000000">
            <w:pPr>
              <w:jc w:val="right"/>
              <w:rPr>
                <w:sz w:val="20"/>
              </w:rPr>
            </w:pPr>
            <w:r>
              <w:rPr>
                <w:sz w:val="20"/>
              </w:rPr>
              <w:t>16,4%</w:t>
            </w:r>
          </w:p>
        </w:tc>
        <w:tc>
          <w:tcPr>
            <w:tcW w:w="1302" w:type="dxa"/>
            <w:tcBorders>
              <w:top w:val="nil"/>
              <w:left w:val="nil"/>
              <w:right w:val="single" w:sz="4" w:space="0" w:color="auto"/>
            </w:tcBorders>
            <w:shd w:val="clear" w:color="auto" w:fill="FFFFFF"/>
            <w:noWrap/>
            <w:vAlign w:val="bottom"/>
          </w:tcPr>
          <w:p w:rsidR="00000000" w:rsidRDefault="00000000">
            <w:pPr>
              <w:tabs>
                <w:tab w:val="clear" w:pos="567"/>
                <w:tab w:val="clear" w:pos="1134"/>
              </w:tabs>
              <w:ind w:right="182"/>
              <w:jc w:val="right"/>
              <w:rPr>
                <w:sz w:val="20"/>
              </w:rPr>
            </w:pPr>
            <w:r>
              <w:rPr>
                <w:sz w:val="20"/>
              </w:rPr>
              <w:t>9 568 415</w:t>
            </w:r>
          </w:p>
        </w:tc>
        <w:tc>
          <w:tcPr>
            <w:tcW w:w="770" w:type="dxa"/>
            <w:tcBorders>
              <w:top w:val="nil"/>
              <w:left w:val="nil"/>
              <w:right w:val="single" w:sz="4" w:space="0" w:color="auto"/>
            </w:tcBorders>
            <w:shd w:val="clear" w:color="auto" w:fill="FFFFFF"/>
            <w:noWrap/>
            <w:vAlign w:val="bottom"/>
          </w:tcPr>
          <w:p w:rsidR="00000000" w:rsidRDefault="00000000">
            <w:pPr>
              <w:jc w:val="right"/>
              <w:rPr>
                <w:sz w:val="20"/>
              </w:rPr>
            </w:pPr>
            <w:r>
              <w:rPr>
                <w:sz w:val="20"/>
              </w:rPr>
              <w:t>-4,3%</w:t>
            </w:r>
          </w:p>
        </w:tc>
        <w:tc>
          <w:tcPr>
            <w:tcW w:w="1679" w:type="dxa"/>
            <w:tcBorders>
              <w:top w:val="nil"/>
              <w:left w:val="nil"/>
              <w:right w:val="single" w:sz="4" w:space="0" w:color="auto"/>
            </w:tcBorders>
            <w:shd w:val="clear" w:color="auto" w:fill="FFFFFF"/>
            <w:noWrap/>
            <w:vAlign w:val="bottom"/>
          </w:tcPr>
          <w:p w:rsidR="00000000" w:rsidRDefault="00000000">
            <w:pPr>
              <w:tabs>
                <w:tab w:val="clear" w:pos="567"/>
                <w:tab w:val="clear" w:pos="1134"/>
                <w:tab w:val="clear" w:pos="1701"/>
              </w:tabs>
              <w:ind w:right="363"/>
              <w:jc w:val="right"/>
              <w:rPr>
                <w:sz w:val="20"/>
              </w:rPr>
            </w:pPr>
            <w:r>
              <w:rPr>
                <w:sz w:val="20"/>
              </w:rPr>
              <w:t>1 625 449</w:t>
            </w:r>
          </w:p>
        </w:tc>
        <w:tc>
          <w:tcPr>
            <w:tcW w:w="756" w:type="dxa"/>
            <w:tcBorders>
              <w:top w:val="nil"/>
              <w:left w:val="nil"/>
              <w:right w:val="single" w:sz="4" w:space="0" w:color="auto"/>
            </w:tcBorders>
            <w:shd w:val="clear" w:color="auto" w:fill="FFFFFF"/>
            <w:noWrap/>
            <w:vAlign w:val="bottom"/>
          </w:tcPr>
          <w:p w:rsidR="00000000" w:rsidRDefault="00000000">
            <w:pPr>
              <w:jc w:val="right"/>
              <w:rPr>
                <w:sz w:val="20"/>
              </w:rPr>
            </w:pPr>
            <w:r>
              <w:rPr>
                <w:sz w:val="20"/>
              </w:rPr>
              <w:t>10,0%</w:t>
            </w:r>
          </w:p>
        </w:tc>
        <w:tc>
          <w:tcPr>
            <w:tcW w:w="1283" w:type="dxa"/>
            <w:tcBorders>
              <w:top w:val="nil"/>
              <w:left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3,9%</w:t>
            </w:r>
          </w:p>
        </w:tc>
        <w:tc>
          <w:tcPr>
            <w:tcW w:w="1283" w:type="dxa"/>
            <w:tcBorders>
              <w:top w:val="nil"/>
              <w:left w:val="nil"/>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17,0%</w:t>
            </w:r>
          </w:p>
        </w:tc>
      </w:tr>
      <w:tr w:rsidR="00000000">
        <w:trPr>
          <w:cantSplit/>
        </w:trPr>
        <w:tc>
          <w:tcPr>
            <w:tcW w:w="630" w:type="dxa"/>
            <w:tcBorders>
              <w:top w:val="nil"/>
              <w:left w:val="single" w:sz="4" w:space="0" w:color="auto"/>
              <w:bottom w:val="single" w:sz="4" w:space="0" w:color="auto"/>
              <w:right w:val="single" w:sz="4" w:space="0" w:color="auto"/>
            </w:tcBorders>
            <w:shd w:val="clear" w:color="auto" w:fill="FFFFFF"/>
            <w:noWrap/>
            <w:vAlign w:val="bottom"/>
          </w:tcPr>
          <w:p w:rsidR="00000000" w:rsidRDefault="00000000">
            <w:pPr>
              <w:rPr>
                <w:sz w:val="20"/>
              </w:rPr>
            </w:pPr>
            <w:r>
              <w:rPr>
                <w:sz w:val="20"/>
              </w:rPr>
              <w:t>2005</w:t>
            </w:r>
          </w:p>
        </w:tc>
        <w:tc>
          <w:tcPr>
            <w:tcW w:w="966" w:type="dxa"/>
            <w:tcBorders>
              <w:top w:val="nil"/>
              <w:left w:val="nil"/>
              <w:bottom w:val="single" w:sz="4" w:space="0" w:color="auto"/>
              <w:right w:val="single" w:sz="4" w:space="0" w:color="auto"/>
            </w:tcBorders>
            <w:shd w:val="clear" w:color="auto" w:fill="FFFFFF"/>
            <w:noWrap/>
            <w:vAlign w:val="bottom"/>
          </w:tcPr>
          <w:p w:rsidR="00000000" w:rsidRDefault="00000000">
            <w:pPr>
              <w:jc w:val="right"/>
              <w:rPr>
                <w:sz w:val="20"/>
              </w:rPr>
            </w:pPr>
            <w:r>
              <w:rPr>
                <w:sz w:val="20"/>
              </w:rPr>
              <w:t>46 134 612</w:t>
            </w:r>
          </w:p>
        </w:tc>
        <w:tc>
          <w:tcPr>
            <w:tcW w:w="742" w:type="dxa"/>
            <w:tcBorders>
              <w:top w:val="nil"/>
              <w:left w:val="nil"/>
              <w:bottom w:val="single" w:sz="4" w:space="0" w:color="auto"/>
              <w:right w:val="single" w:sz="4" w:space="0" w:color="auto"/>
            </w:tcBorders>
            <w:shd w:val="clear" w:color="auto" w:fill="FFFFFF"/>
            <w:noWrap/>
            <w:vAlign w:val="bottom"/>
          </w:tcPr>
          <w:p w:rsidR="00000000" w:rsidRDefault="00000000">
            <w:pPr>
              <w:jc w:val="right"/>
              <w:rPr>
                <w:sz w:val="20"/>
              </w:rPr>
            </w:pPr>
            <w:r>
              <w:rPr>
                <w:sz w:val="20"/>
              </w:rPr>
              <w:t>11,1%</w:t>
            </w:r>
          </w:p>
        </w:tc>
        <w:tc>
          <w:tcPr>
            <w:tcW w:w="1302" w:type="dxa"/>
            <w:tcBorders>
              <w:top w:val="nil"/>
              <w:left w:val="nil"/>
              <w:bottom w:val="single" w:sz="4" w:space="0" w:color="auto"/>
              <w:right w:val="single" w:sz="4" w:space="0" w:color="auto"/>
            </w:tcBorders>
            <w:shd w:val="clear" w:color="auto" w:fill="FFFFFF"/>
            <w:noWrap/>
            <w:vAlign w:val="bottom"/>
          </w:tcPr>
          <w:p w:rsidR="00000000" w:rsidRDefault="00000000">
            <w:pPr>
              <w:tabs>
                <w:tab w:val="clear" w:pos="567"/>
                <w:tab w:val="clear" w:pos="1134"/>
              </w:tabs>
              <w:ind w:right="182"/>
              <w:jc w:val="right"/>
              <w:rPr>
                <w:sz w:val="20"/>
              </w:rPr>
            </w:pPr>
            <w:r>
              <w:rPr>
                <w:sz w:val="20"/>
              </w:rPr>
              <w:t>10 911 323</w:t>
            </w:r>
          </w:p>
        </w:tc>
        <w:tc>
          <w:tcPr>
            <w:tcW w:w="770" w:type="dxa"/>
            <w:tcBorders>
              <w:top w:val="nil"/>
              <w:left w:val="nil"/>
              <w:bottom w:val="single" w:sz="4" w:space="0" w:color="auto"/>
              <w:right w:val="single" w:sz="4" w:space="0" w:color="auto"/>
            </w:tcBorders>
            <w:shd w:val="clear" w:color="auto" w:fill="FFFFFF"/>
            <w:noWrap/>
            <w:vAlign w:val="bottom"/>
          </w:tcPr>
          <w:p w:rsidR="00000000" w:rsidRDefault="00000000">
            <w:pPr>
              <w:jc w:val="right"/>
              <w:rPr>
                <w:sz w:val="20"/>
              </w:rPr>
            </w:pPr>
            <w:r>
              <w:rPr>
                <w:sz w:val="20"/>
              </w:rPr>
              <w:t>14,0%</w:t>
            </w:r>
          </w:p>
        </w:tc>
        <w:tc>
          <w:tcPr>
            <w:tcW w:w="1679" w:type="dxa"/>
            <w:tcBorders>
              <w:top w:val="nil"/>
              <w:left w:val="nil"/>
              <w:bottom w:val="single" w:sz="4" w:space="0" w:color="auto"/>
              <w:right w:val="single" w:sz="4" w:space="0" w:color="auto"/>
            </w:tcBorders>
            <w:shd w:val="clear" w:color="auto" w:fill="FFFFFF"/>
            <w:noWrap/>
            <w:vAlign w:val="bottom"/>
          </w:tcPr>
          <w:p w:rsidR="00000000" w:rsidRDefault="00000000">
            <w:pPr>
              <w:tabs>
                <w:tab w:val="clear" w:pos="567"/>
                <w:tab w:val="clear" w:pos="1134"/>
                <w:tab w:val="clear" w:pos="1701"/>
              </w:tabs>
              <w:ind w:right="363"/>
              <w:jc w:val="right"/>
              <w:rPr>
                <w:sz w:val="20"/>
              </w:rPr>
            </w:pPr>
            <w:r>
              <w:rPr>
                <w:sz w:val="20"/>
              </w:rPr>
              <w:t>1 964 120</w:t>
            </w:r>
          </w:p>
        </w:tc>
        <w:tc>
          <w:tcPr>
            <w:tcW w:w="756" w:type="dxa"/>
            <w:tcBorders>
              <w:top w:val="nil"/>
              <w:left w:val="nil"/>
              <w:bottom w:val="single" w:sz="4" w:space="0" w:color="auto"/>
              <w:right w:val="single" w:sz="4" w:space="0" w:color="auto"/>
            </w:tcBorders>
            <w:shd w:val="clear" w:color="auto" w:fill="FFFFFF"/>
            <w:noWrap/>
            <w:vAlign w:val="bottom"/>
          </w:tcPr>
          <w:p w:rsidR="00000000" w:rsidRDefault="00000000">
            <w:pPr>
              <w:jc w:val="right"/>
              <w:rPr>
                <w:sz w:val="20"/>
              </w:rPr>
            </w:pPr>
            <w:r>
              <w:rPr>
                <w:sz w:val="20"/>
              </w:rPr>
              <w:t>20,8%</w:t>
            </w:r>
          </w:p>
        </w:tc>
        <w:tc>
          <w:tcPr>
            <w:tcW w:w="1283" w:type="dxa"/>
            <w:tcBorders>
              <w:top w:val="nil"/>
              <w:left w:val="nil"/>
              <w:bottom w:val="single" w:sz="4" w:space="0" w:color="auto"/>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4,3%</w:t>
            </w:r>
          </w:p>
        </w:tc>
        <w:tc>
          <w:tcPr>
            <w:tcW w:w="1283" w:type="dxa"/>
            <w:tcBorders>
              <w:top w:val="nil"/>
              <w:left w:val="nil"/>
              <w:bottom w:val="single" w:sz="4" w:space="0" w:color="auto"/>
              <w:right w:val="single" w:sz="4" w:space="0" w:color="auto"/>
            </w:tcBorders>
            <w:shd w:val="clear" w:color="auto" w:fill="FFFFFF"/>
            <w:noWrap/>
            <w:vAlign w:val="bottom"/>
          </w:tcPr>
          <w:p w:rsidR="00000000" w:rsidRDefault="00000000">
            <w:pPr>
              <w:tabs>
                <w:tab w:val="clear" w:pos="567"/>
                <w:tab w:val="clear" w:pos="1134"/>
                <w:tab w:val="clear" w:pos="1701"/>
                <w:tab w:val="clear" w:pos="2268"/>
              </w:tabs>
              <w:ind w:right="407"/>
              <w:jc w:val="right"/>
              <w:rPr>
                <w:sz w:val="20"/>
              </w:rPr>
            </w:pPr>
            <w:r>
              <w:rPr>
                <w:sz w:val="20"/>
              </w:rPr>
              <w:t>18,0%</w:t>
            </w:r>
          </w:p>
        </w:tc>
      </w:tr>
    </w:tbl>
    <w:p w:rsidR="00000000" w:rsidRDefault="00000000"/>
    <w:p w:rsidR="00000000" w:rsidRDefault="00000000">
      <w:r>
        <w:rPr>
          <w:i/>
          <w:iCs/>
        </w:rPr>
        <w:t>Примечание:</w:t>
      </w:r>
      <w:r>
        <w:t xml:space="preserve">  Проценты, приведенные в колонках, против сумм в млн. гуарани, отражают рост бюджетных ассигнований по сравнению с предыдущим годом.</w:t>
      </w:r>
    </w:p>
    <w:p w:rsidR="00000000" w:rsidRDefault="00000000"/>
    <w:p w:rsidR="00000000" w:rsidRDefault="00000000">
      <w:pPr>
        <w:rPr>
          <w:b/>
          <w:bCs/>
        </w:rPr>
      </w:pPr>
      <w:r>
        <w:rPr>
          <w:b/>
          <w:bCs/>
        </w:rPr>
        <w:t>3.</w:t>
      </w:r>
      <w:r>
        <w:rPr>
          <w:b/>
          <w:bCs/>
        </w:rPr>
        <w:tab/>
        <w:t>Религия</w:t>
      </w:r>
    </w:p>
    <w:p w:rsidR="00000000" w:rsidRDefault="00000000">
      <w:pPr>
        <w:rPr>
          <w:b/>
          <w:bCs/>
        </w:rPr>
      </w:pPr>
    </w:p>
    <w:p w:rsidR="00000000" w:rsidRDefault="00000000">
      <w:r>
        <w:t>46.</w:t>
      </w:r>
      <w:r>
        <w:tab/>
        <w:t>В статье 24 Конституции Парагвая закреплено положение о том, что "отношения государства с католической церковью строятся на основе независимости, сотрудничества и автономии".  Аналогичным образом положение о защите идеологической и религиозной свободы и свободы отправления культов закреплены на самом высоком уровне в правовой системе государства.  В Парагвае не было серьезных случаев, свидетельствующих о ненависти или вражде между различными религиозными деноминациями, которые сосуществуют в стране.</w:t>
      </w:r>
    </w:p>
    <w:p w:rsidR="00000000" w:rsidRDefault="00000000"/>
    <w:p w:rsidR="00000000" w:rsidRDefault="00000000">
      <w:r>
        <w:t>47.</w:t>
      </w:r>
      <w:r>
        <w:tab/>
        <w:t>По результатам переписи населения, проведенной в стране в 2002 году, 89,6% населения являются католиками, 6,2% </w:t>
      </w:r>
      <w:r>
        <w:noBreakHyphen/>
        <w:t xml:space="preserve"> христианами-евангелистами, 1,1% </w:t>
      </w:r>
      <w:r>
        <w:noBreakHyphen/>
        <w:t xml:space="preserve"> лицами, исповедующими иные христианские религии, 0,6% </w:t>
      </w:r>
      <w:r>
        <w:noBreakHyphen/>
        <w:t xml:space="preserve"> лицами, исповедующими коренные религии, 0,3% </w:t>
      </w:r>
      <w:r>
        <w:noBreakHyphen/>
        <w:t xml:space="preserve"> лицами, которые исповедуют нехристианские религии.  1,1% опрошенных жителей заявили, что они не исповедуют никакую религию, а 1% жителей не предоставили информацию, касающуюся религиозных преференций.  </w:t>
      </w:r>
    </w:p>
    <w:p w:rsidR="00000000" w:rsidRDefault="00000000"/>
    <w:p w:rsidR="00000000" w:rsidRDefault="00000000">
      <w:r>
        <w:t>48.</w:t>
      </w:r>
      <w:r>
        <w:tab/>
        <w:t>Среди различных религиозных деноминаций можно особо отметить общины активных католиков, христиан</w:t>
      </w:r>
      <w:r>
        <w:noBreakHyphen/>
        <w:t>евангелистов, протестантов, иудеев (включая ортодоксов, консерваторов и реформистов), мормонов (последователей церкви Иисуса Христа Святых последних дней) и бахаистов.  В стране есть также исламская община, которая проживает в основном в департаменте Альто-Парана, куда прибыло значительное число иммигрантов с Ближнего Востока, главным образом из Ливана.  Существует также значительная община менонитов, которая сконцентрирована главным образом в западном департаменте Бокерон.</w:t>
      </w:r>
    </w:p>
    <w:p w:rsidR="00000000" w:rsidRDefault="00000000"/>
    <w:p w:rsidR="00000000" w:rsidRDefault="00000000">
      <w:pPr>
        <w:rPr>
          <w:b/>
          <w:bCs/>
        </w:rPr>
      </w:pPr>
      <w:r>
        <w:rPr>
          <w:b/>
          <w:bCs/>
        </w:rPr>
        <w:t>4.</w:t>
      </w:r>
      <w:r>
        <w:rPr>
          <w:b/>
          <w:bCs/>
        </w:rPr>
        <w:tab/>
        <w:t>Родной язык</w:t>
      </w:r>
    </w:p>
    <w:p w:rsidR="00000000" w:rsidRDefault="00000000">
      <w:pPr>
        <w:rPr>
          <w:b/>
          <w:bCs/>
        </w:rPr>
      </w:pPr>
    </w:p>
    <w:p w:rsidR="00000000" w:rsidRDefault="00000000">
      <w:r>
        <w:t>49.</w:t>
      </w:r>
      <w:r>
        <w:tab/>
        <w:t>Испанский язык и язык гуарани являются двумя официальными языками Парагвая.  Следует отметить факт широкого использования обоих языков на всей территории страны, при этом доля лиц, говорящих исключительно на языке гуарани, в городских районах составляет 31,6%, доля тех, кто говорит на испанском языке и языке гуарани, составляет 36,8%, доля тех, кто говорит исключительно на испанском языке, составляет 29,4%, а доля тех, кто говорит на ином языке, составляет 2%.  Что касается сельских районов, то доля тех, кто говорит только на языке гуарани, составляет 78,6%, доля тех, кто говорит на испанском языке и языке гуарани </w:t>
      </w:r>
      <w:r>
        <w:noBreakHyphen/>
        <w:t xml:space="preserve"> 11,4%, доля тех, кто говорит только на испанском языке </w:t>
      </w:r>
      <w:r>
        <w:noBreakHyphen/>
        <w:t xml:space="preserve"> 4,5%, а доля тех, кто говорит на ином языке </w:t>
      </w:r>
      <w:r>
        <w:noBreakHyphen/>
        <w:t xml:space="preserve"> 5,3%.  Тем не менее, если говорить в целом, то большинство жителей страны считаются двуязычными.  Как видно из приведенных выше данных, степень использования того или иного языка резко варьируется между городскими и сельскими районами, при этом в сельских районах говорят преимущественно на языке гуарани.  Вместе с тем испанский язык сохраняется в качестве главного языка, на котором ведется преподавание, и языка, на котором ведется делопроизводство, при том, что принимаются серьезные меры по сохранению, распространению и использованию языка гуарани.</w:t>
      </w:r>
    </w:p>
    <w:p w:rsidR="00000000" w:rsidRDefault="00000000"/>
    <w:p w:rsidR="00000000" w:rsidRDefault="00000000">
      <w:pPr>
        <w:keepNext/>
        <w:ind w:left="567" w:hanging="567"/>
        <w:jc w:val="center"/>
        <w:rPr>
          <w:b/>
          <w:bCs/>
        </w:rPr>
      </w:pPr>
      <w:r>
        <w:rPr>
          <w:b/>
          <w:bCs/>
        </w:rPr>
        <w:t>II.</w:t>
      </w:r>
      <w:r>
        <w:rPr>
          <w:b/>
          <w:bCs/>
        </w:rPr>
        <w:tab/>
        <w:t>КРАТКИЙ АНАЛИЗ СОЦИАЛЬНО-ПОЛИТИЧЕСКОЙ СИТУАЦИИ В ПАРАГВАЕ</w:t>
      </w:r>
    </w:p>
    <w:p w:rsidR="00000000" w:rsidRDefault="00000000">
      <w:pPr>
        <w:keepNext/>
        <w:ind w:left="567" w:hanging="567"/>
        <w:rPr>
          <w:b/>
          <w:bCs/>
        </w:rPr>
      </w:pPr>
    </w:p>
    <w:p w:rsidR="00000000" w:rsidRDefault="00000000">
      <w:pPr>
        <w:keepNext/>
        <w:jc w:val="center"/>
        <w:rPr>
          <w:b/>
          <w:bCs/>
        </w:rPr>
      </w:pPr>
      <w:r>
        <w:rPr>
          <w:b/>
          <w:bCs/>
        </w:rPr>
        <w:t>А.</w:t>
      </w:r>
      <w:r>
        <w:rPr>
          <w:b/>
          <w:bCs/>
        </w:rPr>
        <w:tab/>
        <w:t>Развитие политической ситуации</w:t>
      </w:r>
      <w:r>
        <w:rPr>
          <w:b/>
          <w:bCs/>
          <w:vertAlign w:val="superscript"/>
        </w:rPr>
        <w:footnoteReference w:id="9"/>
      </w:r>
    </w:p>
    <w:p w:rsidR="00000000" w:rsidRDefault="00000000">
      <w:pPr>
        <w:keepNext/>
        <w:rPr>
          <w:b/>
          <w:bCs/>
        </w:rPr>
      </w:pPr>
    </w:p>
    <w:p w:rsidR="00000000" w:rsidRDefault="00000000">
      <w:pPr>
        <w:keepNext/>
      </w:pPr>
      <w:r>
        <w:t>50.</w:t>
      </w:r>
      <w:r>
        <w:tab/>
        <w:t xml:space="preserve">После нескольких лет политической нестабильности, отмеченных убийством в 1999 году вице-президента, отказом от власти действовавшего президента и четырехлетним правлением временного президента, в августе 2003 года к власти пришла новая администрация, которая обладала прочной легитимностью и до сих пор опирается на поддержку большинства.  </w:t>
      </w:r>
    </w:p>
    <w:p w:rsidR="00000000" w:rsidRDefault="00000000"/>
    <w:p w:rsidR="00000000" w:rsidRDefault="00000000">
      <w:r>
        <w:t>51.</w:t>
      </w:r>
      <w:r>
        <w:tab/>
        <w:t xml:space="preserve">Никанор Дуарте Фрутос стал первым президентом, который был избран без каких-либо сомнений в отношении его легитимности.  Кроме того, президент впервые смог выбрать себе вице-президента, вместо того чтобы как ранее соглашаться на кандидатуру внутреннего конкурента из партии Колорадо, которая долгое время находится у власти.  Благодаря этому была выстроена исполнительная власть, которая имеет более сбалансированные отношения, прежде всего с конгрессом, что положительно сказывается на эффективности государственного управления.  </w:t>
      </w:r>
    </w:p>
    <w:p w:rsidR="00000000" w:rsidRDefault="00000000"/>
    <w:p w:rsidR="00000000" w:rsidRDefault="00000000">
      <w:r>
        <w:t>52.</w:t>
      </w:r>
      <w:r>
        <w:tab/>
        <w:t xml:space="preserve">Все это было хорошо воспринято населением, а также оппозиционными партиями.  Проведенные в 2003 году выборы изменили и соотношение сил.  Оппозиционные партии впервые сумели получить явное большинство в сенате, а партия Колорадо больше не обладает абсолютной властью.  </w:t>
      </w:r>
    </w:p>
    <w:p w:rsidR="00000000" w:rsidRDefault="00000000"/>
    <w:p w:rsidR="00000000" w:rsidRDefault="00000000">
      <w:r>
        <w:t>53.</w:t>
      </w:r>
      <w:r>
        <w:tab/>
        <w:t>Президент Дуарте Фрутос смог также наладить конструктивное взаимодействие с оппозицией, что выразилось в подписании в начале октября 2003 года политического соглашения, в соответствии с которым все партии, представленные в парламенте, договорились принять шесть важнейших законов, касавшихся составления ответственного в финансовом отношении бюджета, изменения налогового кодекса и положений о государственных пенсиях, обновления таможенного кодекса, реформы финансового сектора, включая государственные банки, и реорганизации в конечном счете государственных предприятий и центральной администрации.  В этом смысле оппозиция подтвердила свою волю к сотрудничеству в деле утверждения этих законов, которые, по общему мнению, необходимы для восстановления финансовой жизнеспособности и оживления экономики.</w:t>
      </w:r>
    </w:p>
    <w:p w:rsidR="00000000" w:rsidRDefault="00000000"/>
    <w:p w:rsidR="00000000" w:rsidRDefault="00000000">
      <w:r>
        <w:t>54.</w:t>
      </w:r>
      <w:r>
        <w:tab/>
        <w:t>В ноябре 2003 года трое из девяти членов Верховного суда подали в отставку, а все представленные в парламенте партии выдвинули против трех других членов политические обвинения.  В результате этого процесса произошла замена шести из девяти судей высшей судебной инстанции.  Изменения в составе Верховного суда получили широкую поддержку со стороны населения и считались условием, необходимым для восстановления правовой безопасности, а также для привлечения инвестиций и искоренения коррупции.</w:t>
      </w:r>
    </w:p>
    <w:p w:rsidR="00000000" w:rsidRDefault="00000000"/>
    <w:p w:rsidR="00000000" w:rsidRDefault="00000000">
      <w:r>
        <w:t>55.</w:t>
      </w:r>
      <w:r>
        <w:tab/>
        <w:t>В последние пять лет все более активно действует гражданское общество, которое выступает за совершенствование государственного управления и улучшение управляемости.  Весьма критично настроена, в частности, пресса, которая вскрывает факты коррупции в правительстве и в судебной власти.</w:t>
      </w:r>
    </w:p>
    <w:p w:rsidR="00000000" w:rsidRDefault="00000000"/>
    <w:p w:rsidR="00000000" w:rsidRDefault="00000000">
      <w:r>
        <w:t>56.</w:t>
      </w:r>
      <w:r>
        <w:tab/>
        <w:t>Состояние экономики в последнее десятилетие был предметом крайнего недовольства и сказалось на репутации правительства и государственных институтов в целом, в связи с чем среди определенных слоев населения усиливается ностальгия по авторитарному правительству, которое согласно бытующим представлениям менее подвержено коррупции и при котором менее очевидной является нищета, поскольку подавляющее большинство населения до сих пор проживает в сельских районах.  Тем не менее в последние пять лет Парагвай стал выходить из затянувшегося периода экономического застоя, в течение которого произошло обнищание населения.</w:t>
      </w:r>
    </w:p>
    <w:p w:rsidR="00000000" w:rsidRDefault="00000000"/>
    <w:p w:rsidR="00000000" w:rsidRDefault="00000000">
      <w:r>
        <w:t>57.</w:t>
      </w:r>
      <w:r>
        <w:tab/>
        <w:t>В 2001 году уровень бедности составлял 34% от общей численности населения страны, а по данным 2005 года, он составил 39,2%.  Снижение показателя дохода на душу населения во многом объясняется экономическими трудностями в странах Южного конуса, все из которых были вынуждены пойти на существенную девальвацию своих валют.  Однако рост уровня бедности в Парагвае является и следствием политической нестабильности и неэффективности системы, которая является крайне неформальной.  Эти факторы сказались также на том, что за нынешний период правления произошло существенное ослабление системы государственных финансов.  С приходом в правительство новой экономической команды удается вовремя выплачивать заплату и пенсии и обслуживать долг.  За счет борьбы с коррупцией и повышения эффективности управления экономикой с уделением особого внимания повышению уровня социальной и финансовой ответственности политическую ситуацию в стране удалось существенным образом стабилизировать.</w:t>
      </w:r>
    </w:p>
    <w:p w:rsidR="00000000" w:rsidRDefault="00000000"/>
    <w:p w:rsidR="00000000" w:rsidRDefault="00000000">
      <w:r>
        <w:t>58.</w:t>
      </w:r>
      <w:r>
        <w:tab/>
        <w:t xml:space="preserve">Цель стратегии развития, которую осуществляет новая администрация, заключается в том, чтобы:  </w:t>
      </w:r>
      <w:r>
        <w:rPr>
          <w:lang w:val="en-US"/>
        </w:rPr>
        <w:t>i</w:t>
      </w:r>
      <w:r>
        <w:t>)</w:t>
      </w:r>
      <w:r>
        <w:rPr>
          <w:lang w:val="en-US"/>
        </w:rPr>
        <w:t>  </w:t>
      </w:r>
      <w:r>
        <w:t xml:space="preserve">восстановить доверие к государственным институтам за счет постоянной борьбы с коррупцией и модернизации системы государственного управления;  </w:t>
      </w:r>
      <w:r>
        <w:rPr>
          <w:lang w:val="en-US"/>
        </w:rPr>
        <w:t>ii</w:t>
      </w:r>
      <w:r>
        <w:t xml:space="preserve">)  обеспечить неуклонный рост за счет отхода от экономической модели, основанной на торговле "в формате треугольника" и занятости в государственном секторе, к модели, основанной на агропромышленности и диверсификации экспорта;  и  </w:t>
      </w:r>
      <w:r>
        <w:rPr>
          <w:lang w:val="en-US"/>
        </w:rPr>
        <w:t>iii</w:t>
      </w:r>
      <w:r>
        <w:t>)  укреплять человеческий капитал путем увеличения объема инвестиций в здравоохранение и образование и проведения политики обеспечения справедливости и расширения доступа к услугам в этих сферах.</w:t>
      </w:r>
    </w:p>
    <w:p w:rsidR="00000000" w:rsidRDefault="00000000"/>
    <w:p w:rsidR="00000000" w:rsidRDefault="00000000">
      <w:r>
        <w:t>59.</w:t>
      </w:r>
      <w:r>
        <w:tab/>
        <w:t>С другой стороны, в условиях, когда политическая оппозиция контролирует одну из палат в конгрессе, все партии придерживаются единого мнения о том, что экономика дошла до точки и что необходимы радикальные перемены.  Президент Республики использовал эту ситуацию для выработки договоренности со всеми политическими партиями в целях принятия в приоритетном порядке пакета мер по радикальной экономической реформе.</w:t>
      </w:r>
    </w:p>
    <w:p w:rsidR="00000000" w:rsidRDefault="00000000"/>
    <w:p w:rsidR="00000000" w:rsidRDefault="00000000">
      <w:r>
        <w:t>60.</w:t>
      </w:r>
      <w:r>
        <w:tab/>
        <w:t>Речь, в частности, идет о принципиальной реформе налоговой системы, рационализации системы государственного социального страхования и реформе финансового сектора в целях укрепления банковской системы.</w:t>
      </w:r>
    </w:p>
    <w:p w:rsidR="00000000" w:rsidRDefault="00000000"/>
    <w:p w:rsidR="00000000" w:rsidRDefault="00000000">
      <w:r>
        <w:t>61.</w:t>
      </w:r>
      <w:r>
        <w:tab/>
        <w:t>Опираясь на эти реформы, администрация обратилась за поддержкой к национальным и многосторонним кредиторам.  Были достигнуты исторические договоренности с держателями государственных облигаций о пересмотре сроков погашения казначейских облигаций, а также с Международным валютным фондом в отношении договоренности о кредите "стэнд-бай", что в практике Совета управляющих Фонда произошло впервые за последние 46 лет.</w:t>
      </w:r>
    </w:p>
    <w:p w:rsidR="00000000" w:rsidRDefault="00000000"/>
    <w:p w:rsidR="00000000" w:rsidRDefault="00000000">
      <w:pPr>
        <w:keepNext/>
        <w:jc w:val="center"/>
        <w:rPr>
          <w:b/>
          <w:bCs/>
        </w:rPr>
      </w:pPr>
      <w:r>
        <w:rPr>
          <w:b/>
          <w:bCs/>
        </w:rPr>
        <w:t>В.</w:t>
      </w:r>
      <w:r>
        <w:rPr>
          <w:b/>
          <w:bCs/>
        </w:rPr>
        <w:tab/>
        <w:t>Управляемость и недостатки институциональной системы</w:t>
      </w:r>
      <w:r>
        <w:rPr>
          <w:rStyle w:val="FootnoteReference"/>
        </w:rPr>
        <w:footnoteReference w:id="10"/>
      </w:r>
    </w:p>
    <w:p w:rsidR="00000000" w:rsidRDefault="00000000">
      <w:pPr>
        <w:keepNext/>
        <w:rPr>
          <w:u w:val="single"/>
        </w:rPr>
      </w:pPr>
    </w:p>
    <w:p w:rsidR="00000000" w:rsidRDefault="00000000">
      <w:r>
        <w:t>62.</w:t>
      </w:r>
      <w:r>
        <w:tab/>
        <w:t>Предприняты первые шаги в рамках борьбы с укоренившейся культурой, характеризующейся коррупцией в органах государственного управления, а также контрабандой, уклонением от уплаты налогов и бюрократизацией экономики.  В 1999 году при техническом содействии со стороны Института Всемирного банка была учреждена Антикоррупционная комиссия.  В составе этой Комиссии в равной степени представлены правительство и гражданское общество.  Опираясь на результаты опроса общественного мнения, который был проведен Институтом Всемирного банка, Комиссия приняла решение сосредоточиться на трех направлениях </w:t>
      </w:r>
      <w:r>
        <w:noBreakHyphen/>
        <w:t xml:space="preserve"> таможня, судебная власть и государственные подряды </w:t>
      </w:r>
      <w:r>
        <w:noBreakHyphen/>
        <w:t xml:space="preserve"> и разработала в 2000 году программу институциональной реформы в каждой из этих областей.  С тех пор после проведения консультаций с представителями общественности принимаются активные меры по осуществлению этих реформ.  На сегодняшний момент самым главным достижением Комиссии стало содействие принятию Национальным конгрессом закона о подрядах и доведение до сознания правительства и населения того факта, что конкретные шаги в направлении сокращения институциональных возможностей для коррупции возможны.  Таким образом, Комиссия, которая сейчас переименована в Национальный совет по обеспечению добросовестности, превратилась в серьезную движущую силу перемен, которая осуществляет мониторинг и выступает за совершенствование практики и политики государства в интересах сокращения масштабов коррупции.</w:t>
      </w:r>
    </w:p>
    <w:p w:rsidR="00000000" w:rsidRDefault="00000000"/>
    <w:p w:rsidR="00000000" w:rsidRDefault="00000000">
      <w:r>
        <w:t>63.</w:t>
      </w:r>
      <w:r>
        <w:tab/>
        <w:t>Система управления кадрами в рамках центральной администрации находится в стадии формирования.  К настоящему моменту составлен список всех государственных служащих.  Гораздо более серьезной является задача обеспечения профессионализма гражданской службы, которая предусматривает введение практики конкурсных экзаменов, создание условий для развития карьеры и повышение квалификации.</w:t>
      </w:r>
    </w:p>
    <w:p w:rsidR="00000000" w:rsidRDefault="00000000"/>
    <w:p w:rsidR="00000000" w:rsidRDefault="00000000">
      <w:r>
        <w:t>64.</w:t>
      </w:r>
      <w:r>
        <w:tab/>
        <w:t>Другим препятствием на пути к обеспечению управляемости стало появление большого количества преследующих свои интересы групп, которые небезуспешно оказывают влияние на правительство, а во многих случаях способствовали нарушению закона и порядка.  Среди них можно, к примеру, назвать группы "безземельных крестьян", которые вторгаются в сельскохозяйственные владения и требуют землю.  В ответ на это правительство скупает земли, однако крестьяне нередко бросают их после того, как вырубят на них деревья.  Кроме того, группы крестьян блокируют дороги и требуют бесплатного выделения семян или списания задолженности по кредитам, что представляет собой давно сложившуюся практику, которая стала причиной возникновения неблагоприятных условий для кредитования и отчасти служит объяснением того, почему мелкие сельскохозяйственные производители лишены доступа к частному кредиту.</w:t>
      </w:r>
    </w:p>
    <w:p w:rsidR="00000000" w:rsidRDefault="00000000"/>
    <w:p w:rsidR="00000000" w:rsidRDefault="00000000">
      <w:r>
        <w:t>65.</w:t>
      </w:r>
      <w:r>
        <w:tab/>
        <w:t>Однако, по мнению многих наблюдателей и общественности в целом, основным препятствием на пути экономического развития Парагвая является ослабление принципа верховенства права.  На осуществление процессуальных действий, касающихся исполнение контрактов и осуществления прав на частную собственность, уходит много времени.  По данным, приведенным в недавнем докладе Программы развития Организации Объединенных Наций (ПРООН) за 2003 год, треть сотрудников Национальной полиции составляют новобранцы, не имеющие подготовки;  унтер-офицеры должны сами приобретать оружие, а полицейские службы имеют структуру, которая больше напоминает систему командования и управления в вооруженных силах, которые призваны обеспечивать физическую безопасность населения.  В результате на фоне наблюдавшегося на протяжении последних пяти лет экономического застоя это привело к росту преступности с применением насилия и беззаконию.  В глазах общественности правительство каждый раз выглядит менее способным обеспечить своим гражданам самые элементарные услуги:  физическую неприкосновенность и правовую безопасность.</w:t>
      </w:r>
    </w:p>
    <w:p w:rsidR="00000000" w:rsidRDefault="00000000"/>
    <w:p w:rsidR="00000000" w:rsidRDefault="00000000">
      <w:pPr>
        <w:jc w:val="center"/>
      </w:pPr>
      <w:r>
        <w:rPr>
          <w:b/>
          <w:bCs/>
        </w:rPr>
        <w:t>С.</w:t>
      </w:r>
      <w:r>
        <w:rPr>
          <w:b/>
          <w:bCs/>
        </w:rPr>
        <w:tab/>
        <w:t>Показатели экономической деятельности</w:t>
      </w:r>
      <w:r>
        <w:rPr>
          <w:rStyle w:val="FootnoteReference"/>
        </w:rPr>
        <w:footnoteReference w:id="11"/>
      </w:r>
    </w:p>
    <w:p w:rsidR="00000000" w:rsidRDefault="00000000"/>
    <w:p w:rsidR="00000000" w:rsidRDefault="00000000">
      <w:r>
        <w:t>66.</w:t>
      </w:r>
      <w:r>
        <w:tab/>
        <w:t>Парагвай - это небольшая страна с открытой экономикой, которая в значительной мере зависит от основной сельскохозяйственной продукции и от условий, существующих в регионе, в частности в крупных соседних странах - Бразилии и Аргентине.  По этой причине экономика Парагвая зависит от факторов, на которые страна мало может влиять, таких, как мировые цены на сельскохозяйственную продукцию и политические и экономические события в соседних странах.  Хотя в первые годы после ликвидации в 1989 году военной диктатуры управление экономикой осуществлялось на основе постепенного подхода и достаточно разумно, счета были сбалансированными, дефицит по текущим операциям сокращался, а темпы инфляции снижались, темпы роста безработицы вызывали серьезную озабоченность.</w:t>
      </w:r>
    </w:p>
    <w:p w:rsidR="00000000" w:rsidRDefault="00000000"/>
    <w:p w:rsidR="00000000" w:rsidRDefault="00000000">
      <w:r>
        <w:t>67.</w:t>
      </w:r>
      <w:r>
        <w:tab/>
        <w:t>Недостаточные темпы роста в середине 90-х годов свидетельствовали о медленных темпах структурной реформы, укоренившейся коррупции и снижении общей производительности в связи с сокращением объема инвестиций.</w:t>
      </w:r>
    </w:p>
    <w:p w:rsidR="00000000" w:rsidRDefault="00000000"/>
    <w:p w:rsidR="00000000" w:rsidRDefault="00000000">
      <w:r>
        <w:t>68.</w:t>
      </w:r>
      <w:r>
        <w:tab/>
        <w:t>Вместо того, чтобы продвигать реформы, которые могли бы помочь экономике преодолеть шоковое воздействие внешних факторов, сменявшие друг друга правительства демонстрировали неготовность принимать меры по обеспечению сопротивляемости, необходимые для противодействия шокам, модернизации производства страны или решению серьезных проблем управления, которые препятствовали инвестициям и сковывали частную инициативу.  Сочетание этих факторов привело в последние годы к тому, что страна испытала на себе воздействие ряда внутренних и внешних потрясений.  В 1995 году и в 1997-1998 годах страна пережила серьезный кризис банковской системы, в результате которого многие местные банки были закрыты, снизился объем кредитования частного сектора, а объем частных инвестиций резко сократился.</w:t>
      </w:r>
    </w:p>
    <w:p w:rsidR="00000000" w:rsidRDefault="00000000"/>
    <w:p w:rsidR="00000000" w:rsidRDefault="00000000">
      <w:r>
        <w:t>69.</w:t>
      </w:r>
      <w:r>
        <w:tab/>
        <w:t>На более фундаментальном уровне проявились структурные проблемы, из-за которых исчерпала себя сложившаяся в Парагвае экономическая модель, основывавшаяся на импортно-экспортных операциях с соседними странами (так называемая торговля "в формате треугольника), выращивании хлопка мелкими производителями в качестве монокультуры и занятости в государственном секторе.  Объем торговли "в формате треугольника", на долю которой обычно приходилось до 20% ВВП, существенным образом сократился в результате снижения и/или отмены тарифов в отношениях между странами - членами МЕРКОСУР и ужесточения пограничного контроля за контрабандой.</w:t>
      </w:r>
    </w:p>
    <w:p w:rsidR="00000000" w:rsidRDefault="00000000"/>
    <w:p w:rsidR="00000000" w:rsidRDefault="00000000">
      <w:r>
        <w:t>70.</w:t>
      </w:r>
      <w:r>
        <w:tab/>
        <w:t>В числе других характерных особенностей изжившей себя экономической модели можно назвать распространенную практику использования государства для получения должностей по знакомству, сохранявшуюся поддержку государством малорентабельного производства хлопка и в целом низкую долю производительных расходов в государственном бюджете (который в настоящее время складывается в основном из средств, которые идут на выплату жалования и пенсий и в котором мало остается средств для осуществления текущих операций и инвестиций).  В 2001-2002 годах были намерения приватизировать компании, занимающиеся водоснабжением и телефонной связью, однако конгресс их не поддержал, столкнувшись с обвинениями в коррупции и протестами крестьян, которые возражали против распродажи национального достояния.</w:t>
      </w:r>
    </w:p>
    <w:p w:rsidR="00000000" w:rsidRDefault="00000000"/>
    <w:p w:rsidR="00000000" w:rsidRDefault="00000000">
      <w:r>
        <w:t>71.</w:t>
      </w:r>
      <w:r>
        <w:tab/>
        <w:t>Несмотря на то, что экономика в целом находится в состоянии застоя, есть некоторые сектора, в которых в последние годы отмечался бурный рост.  Речь идет о секторах сельского хозяйства, которые продолжают оставаться конкурентоспособными на мировых рынках (в частности, экспорт мяса и сои), а также о мобильной телефонной связи, в которую были вложены крупные средства из-за рубежа.  Быстрыми темпами развивался также агробизнес, производящий продукцию на экспорт, однако у Парагвая самые высокие в регионе транспортные издержки (соотношение цен сиф/фоб составляет 13% против 7% в целом по региону), что препятствует росту.  Благодаря энергичному развитию этих секторов экономическое положение в Парагвае в 2003 году, как представляется, стало несколько улучшаться.  За счет повышения цен на сою и хлопок выручка от экспорта значительно возросла с профицитом баланса по текущим счетам.</w:t>
      </w:r>
    </w:p>
    <w:p w:rsidR="00000000" w:rsidRDefault="00000000"/>
    <w:p w:rsidR="00000000" w:rsidRDefault="00000000">
      <w:r>
        <w:t>72.</w:t>
      </w:r>
      <w:r>
        <w:tab/>
        <w:t>Из-за сочетания таких факторов, как подверженность внешнему воздействию, слабость институциональной структуры и проводимая политика, экономические показатели были исключительно неблагоприятными:  темпы роста с середины 90-х годов замедлились, при этом темпы роста ВВП составили в среднем 1% в год, в то время как годовые темпы роста численности населения составили 2,6%.</w:t>
      </w:r>
    </w:p>
    <w:p w:rsidR="00000000" w:rsidRDefault="00000000"/>
    <w:p w:rsidR="00000000" w:rsidRDefault="00000000">
      <w:r>
        <w:t>73.</w:t>
      </w:r>
      <w:r>
        <w:tab/>
        <w:t>В результате показатель ВВП на душу населения снизился до уровня, который был зарегистрирован до 90-х годов, при этом проблема растущей нищеты усугубилась поляризацией в распределении доходов и земель</w:t>
      </w:r>
      <w:r>
        <w:rPr>
          <w:rStyle w:val="FootnoteReference"/>
        </w:rPr>
        <w:footnoteReference w:id="12"/>
      </w:r>
      <w:r>
        <w:t>.</w:t>
      </w:r>
    </w:p>
    <w:p w:rsidR="00000000" w:rsidRDefault="00000000"/>
    <w:p w:rsidR="00000000" w:rsidRDefault="00000000">
      <w:r>
        <w:t>74.</w:t>
      </w:r>
      <w:r>
        <w:tab/>
        <w:t>Обеспечение роста экономики является наиболее оптимальной общей стратегией сокращения числа бедных, поскольку именно бедные слои населения в наибольшей степени выигрывают от расширения основных государственных услуг в результате увеличения государственных расходов, что становится возможным благодаря более динамичному экономическому росту и улучшению положения с собираемостью налогов.</w:t>
      </w:r>
    </w:p>
    <w:p w:rsidR="00000000" w:rsidRDefault="00000000"/>
    <w:p w:rsidR="00000000" w:rsidRDefault="00000000">
      <w:r>
        <w:t>75.</w:t>
      </w:r>
      <w:r>
        <w:tab/>
        <w:t xml:space="preserve">Это предполагает продолжение относительного роста расходов на социальные нужды, который наблюдался в течение последнего десятилетия. </w:t>
      </w:r>
    </w:p>
    <w:p w:rsidR="00000000" w:rsidRDefault="00000000"/>
    <w:p w:rsidR="00000000" w:rsidRDefault="00000000">
      <w:r>
        <w:t>76.</w:t>
      </w:r>
      <w:r>
        <w:tab/>
        <w:t>Усилия по сокращению масштабов бедности следует сосредоточить на сельских районах в качестве главного объекта внимания.  Они должны предусматривать выработку соответствующей политики налогообложения землевладельцев в целях стимулирования продажи неиспользуемых земель, составление продуманных планов расселения (в</w:t>
      </w:r>
      <w:r>
        <w:rPr>
          <w:lang w:val="en-US"/>
        </w:rPr>
        <w:t> </w:t>
      </w:r>
      <w:r>
        <w:t>отличие от расселений вдоль дорог) в целях улучшения положения с оказанием коммунальных услуг сельским жителям и оказания технической помощи в сельском хозяйстве.  Необходимо продолжать расширять спектр этих услуг в той мере, в какой это позволяет финансовое положение.</w:t>
      </w:r>
    </w:p>
    <w:p w:rsidR="00000000" w:rsidRDefault="00000000"/>
    <w:p w:rsidR="00000000" w:rsidRDefault="00000000">
      <w:r>
        <w:t>77.</w:t>
      </w:r>
      <w:r>
        <w:tab/>
        <w:t>Как уже отмечалось, Парагвай является страной с открытой экономикой, которая в значительной мере зависит от основной сельскохозяйственной продукции и от условий, существующих в регионе, в частности в крупных соседних странах - Бразилии и Аргентине.  По этой причине экономика Парагвая зависит от факторов, на которые страна может мало влиять, таких, как мировые цены на сельскохозяйственную продукцию и политические и экономические события в соседних странах.</w:t>
      </w:r>
    </w:p>
    <w:p w:rsidR="00000000" w:rsidRDefault="00000000"/>
    <w:p w:rsidR="00000000" w:rsidRDefault="00000000">
      <w:r>
        <w:t>78.</w:t>
      </w:r>
      <w:r>
        <w:tab/>
        <w:t>В 1995 году и в 1997-1998 годах страна пережила серьезный кризис банковской системы, в результате которого многие местные банки были закрыты, снизился объем кредитования частного сектора, а объем частных инвестиций резко сократился.</w:t>
      </w:r>
    </w:p>
    <w:p w:rsidR="00000000" w:rsidRDefault="00000000"/>
    <w:p w:rsidR="00000000" w:rsidRDefault="00000000">
      <w:r>
        <w:t>79.</w:t>
      </w:r>
      <w:r>
        <w:tab/>
        <w:t>Тем не менее есть некоторые сектора, в которых в последние годы отмечался бурный рост.  Речь идет о секторах сельского хозяйства, которые продолжают оставаться конкурентоспособным на мировых рынках (в частности, экспорт мяса и сои), а также о мобильной телефонной связи, в которую были вложены крупные средства из-за рубежа.  Быстрыми темпами развивался также агробизнес, производящий продукцию на экспорт, однако у Парагвая самые высокие в регионе транспортные издержки (соотношение цен СИФ/ФОБ составляет 13% против 7% по региону в целом), что препятствует росту.  Благодаря энергичному развитию этих секторов экономическое положение в Парагвае в 2003 году, как представляется, стало несколько улучаться.  За счет повышения цен на сою и хлопок выручка от экспорта значительно выросла с профицитом баланса по текущим счетам.</w:t>
      </w:r>
    </w:p>
    <w:p w:rsidR="00000000" w:rsidRDefault="00000000"/>
    <w:p w:rsidR="00000000" w:rsidRDefault="00000000">
      <w:r>
        <w:t>80.</w:t>
      </w:r>
      <w:r>
        <w:tab/>
        <w:t>Из-за сочетания таких факторов, как подверженность внешнему воздействию, слабость институциональной структуры и проводимая политика, экономические показатели были неблагоприятными:  темы роста с середины 1990</w:t>
      </w:r>
      <w:r>
        <w:noBreakHyphen/>
        <w:t>х годов замедлились, при этом темы роста ВВП составили в среднем 1% в год, в то время как темпы роста численности населения составили 2,6%.</w:t>
      </w:r>
    </w:p>
    <w:p w:rsidR="00000000" w:rsidRDefault="00000000"/>
    <w:p w:rsidR="00000000" w:rsidRDefault="00000000">
      <w:r>
        <w:t>81.</w:t>
      </w:r>
      <w:r>
        <w:tab/>
        <w:t>В результате показатель ВВП на душу населения снизился до уровня, который был зарегистрирован до 1990-х годов, при этом проблема растущей нищеты усугубилась поляризацией в распределении доходов и земель</w:t>
      </w:r>
      <w:r>
        <w:rPr>
          <w:rStyle w:val="FootnoteReference"/>
        </w:rPr>
        <w:footnoteReference w:id="13"/>
      </w:r>
      <w:r>
        <w:t>.</w:t>
      </w:r>
    </w:p>
    <w:p w:rsidR="00000000" w:rsidRDefault="00000000"/>
    <w:p w:rsidR="00000000" w:rsidRDefault="00000000">
      <w:r>
        <w:t>82.</w:t>
      </w:r>
      <w:r>
        <w:tab/>
        <w:t>Обеспечение экономического роста является наиболее оптимальной общей стратегией сокращения числа бедных, поскольку именно бедные слои населения в наибольшей степени выигрывают от расширения основных государственных услуг в результате увеличения государственных расходов, что становится возможным благодаря более динамичному экономическому росту и улучшению положения с собираемостью налогов.</w:t>
      </w:r>
    </w:p>
    <w:p w:rsidR="00000000" w:rsidRDefault="00000000"/>
    <w:p w:rsidR="00000000" w:rsidRDefault="00000000">
      <w:r>
        <w:t>83.</w:t>
      </w:r>
      <w:r>
        <w:tab/>
        <w:t>Это предполагает продолжение относительного роста расходов на социальные нужды, который наблюдался в течение последнего десятилетия.</w:t>
      </w:r>
    </w:p>
    <w:p w:rsidR="00000000" w:rsidRDefault="00000000"/>
    <w:p w:rsidR="00000000" w:rsidRDefault="00000000">
      <w:r>
        <w:t>84.</w:t>
      </w:r>
      <w:r>
        <w:tab/>
        <w:t xml:space="preserve">Усилия по сокращению масштабов бедности сосредоточены на сельских районах в качестве главного объекта внимания.  Речь идет о соответствующей политике налогообложения землевладельцев для стимулирования продажи неиспользуемых земель, составлении продуманных планов расселения (в отличие от расселения вдоль дорог) в целях улучшения положения с оказанием коммунальных услуг сельским жителям и технической помощи в сельском хозяйстве.  Объем услуг продолжает расширяться в той мере, в какой это позволяет финансовое положение.  </w:t>
      </w:r>
    </w:p>
    <w:p w:rsidR="00000000" w:rsidRDefault="00000000"/>
    <w:p w:rsidR="00000000" w:rsidRDefault="00000000">
      <w:pPr>
        <w:jc w:val="center"/>
        <w:rPr>
          <w:b/>
          <w:bCs/>
        </w:rPr>
      </w:pPr>
      <w:r>
        <w:rPr>
          <w:b/>
          <w:bCs/>
          <w:lang w:val="en-US"/>
        </w:rPr>
        <w:t>D</w:t>
      </w:r>
      <w:r>
        <w:rPr>
          <w:b/>
          <w:bCs/>
        </w:rPr>
        <w:t>.</w:t>
      </w:r>
      <w:r>
        <w:rPr>
          <w:b/>
          <w:bCs/>
        </w:rPr>
        <w:tab/>
        <w:t>Задачи, возникающие в процессе развития Парагвая</w:t>
      </w:r>
      <w:r>
        <w:rPr>
          <w:rStyle w:val="FootnoteReference"/>
        </w:rPr>
        <w:footnoteReference w:id="14"/>
      </w:r>
    </w:p>
    <w:p w:rsidR="00000000" w:rsidRDefault="00000000"/>
    <w:p w:rsidR="00000000" w:rsidRDefault="00000000">
      <w:r>
        <w:t>85.</w:t>
      </w:r>
      <w:r>
        <w:tab/>
        <w:t>Показатели нищеты в Парагвае и сложные перспективы достижения целей в области развития, сформулированных в Декларации тысячелетия, свидетельствуют о наличии многих задач в области долгосрочного развития, решение которых потребует последовательных усилий.</w:t>
      </w:r>
    </w:p>
    <w:p w:rsidR="00000000" w:rsidRDefault="00000000"/>
    <w:p w:rsidR="00000000" w:rsidRDefault="00000000">
      <w:r>
        <w:t>86.</w:t>
      </w:r>
      <w:r>
        <w:tab/>
        <w:t>Одна из главных проблем заключается в том, что в большинстве своем рабочая сила является функционально неграмотной.  Должно пройти какое-то время до того, как нынешнее поколение учащихся вольется в состав рабочей силы и общая производительность в стране достигнет более высокого уровня, что будет способствовать снятию остроты других проблем.  С другой стороны, низкая эффективность расходов на социальные нужды в Парагвае ограничивает охват населения и доступ.  В 1990-е годы расходы на социальные нужды, особенно на образование, существенно увеличились, однако эти расходы составляют всего лишь 6% от ВВП (исключая пенсионеров).  Например, по сравнению с другими странами, имеющими аналогичный уровень развития, программы в области здравоохранения и социальной помощи финансируются недостаточно.  Основные услуги в сфере государственного здравоохранения сосредоточены в городских районах, и они, как правило, сводятся к оказанию более сложных услуг всего лишь для 20% населения, которое охвачено каким-то видом медицинского обслуживания.  Для того чтобы переориентировать эти службы на нужды базового здравоохранения и профилактику, потребуются дополнительные ресурсы или существенное повышение эффективности всей системы, для чего понадобится продолжать осуществляющийся сейчас процесс реформы систем здравоохранения и социального обеспечения.</w:t>
      </w:r>
    </w:p>
    <w:p w:rsidR="00000000" w:rsidRDefault="00000000"/>
    <w:p w:rsidR="00000000" w:rsidRDefault="00000000">
      <w:r>
        <w:t>87.</w:t>
      </w:r>
      <w:r>
        <w:tab/>
        <w:t>Аналогичную картину можно наблюдать в сфере образования, где высокими являются показатели охвата начальным образованием и очень низкими </w:t>
      </w:r>
      <w:r>
        <w:noBreakHyphen/>
        <w:t xml:space="preserve"> показатели охвата средним образованием (31%), при этом существует большая разница в показателях охвата городского населения (83%) и сельского населения (17%).  Существует много небольших программ оказания социальной помощи, которые в совокупности не без труда позволяют создать систему социальной защиты наиболее бедных и уязвимых, при этом отдача этих программ является значительной.  Наконец, бедные лишены доступа к социальному страхованию, хотя расходы на эти цели сейчас являются значительными (3,5% от ВВП) и социальным страхованием охвачено лишь 10% населения, занятого в формальном секторе.  Кроме того, еще одной задачей, требующей к себе особого внимания, является оказание основных социальных услуг растущему коренному населению.  Что касается инфраструктуры, то доступ населения к основным инфраструктурным услугам является, вероятно, наиболее затрудненным в регионе.  Из общего количества дорог лишь 23% дорог являются дорогами с покрытием, и менее 43% дорог с покрытием находится в нормальном состоянии.  </w:t>
      </w:r>
    </w:p>
    <w:p w:rsidR="00000000" w:rsidRDefault="00000000"/>
    <w:p w:rsidR="00000000" w:rsidRDefault="00000000">
      <w:r>
        <w:t>88.</w:t>
      </w:r>
      <w:r>
        <w:tab/>
        <w:t>Ежегодные потребности в средствах на финансирование скромной программы развития инфраструктуры, которая охватывает дороги, водоснабжение, канализацию и телефонную связь, составляют 150</w:t>
      </w:r>
      <w:r>
        <w:noBreakHyphen/>
        <w:t xml:space="preserve">200 млн. долл. США (по сравнению с ежегодным объемом инвестиций в размере 40 млн. долл. США).  </w:t>
      </w:r>
    </w:p>
    <w:p w:rsidR="00000000" w:rsidRDefault="00000000"/>
    <w:p w:rsidR="00000000" w:rsidRDefault="00000000">
      <w:r>
        <w:t>89.</w:t>
      </w:r>
      <w:r>
        <w:tab/>
        <w:t>Что касается сельскохозяйственного сектора, то в Восточном районе леса практически исчезают, поскольку расширение объемов производства сои привело почти к полной вырубке лесов (их осталось менее 5%).  Вместе с тем расширение современных сельскохозяйственных производств привело к ухудшению положения порядка 300 000</w:t>
      </w:r>
      <w:r>
        <w:rPr>
          <w:lang w:val="en-US"/>
        </w:rPr>
        <w:t> </w:t>
      </w:r>
      <w:r>
        <w:t xml:space="preserve">мелких сельскохозяйственных производителей (в большинстве своем бедных), которые продолжают вести натуральное хозяйство, выращивая главным образом хлопок.  В этом случае речь идет также о задаче повышения производительности их труда.  Кроме того, в результате обезлесения возникла немыслимая ситуация, при которой Парагвай превратился в чистого импортера древесины, что приводит к ненужному оттоку бюджетных средств, не говоря уже о потерянных рабочих местах в тех краях, где активно занимались заготовкой леса.  </w:t>
      </w:r>
    </w:p>
    <w:p w:rsidR="00000000" w:rsidRDefault="00000000"/>
    <w:p w:rsidR="00000000" w:rsidRDefault="00000000">
      <w:r>
        <w:t>90.</w:t>
      </w:r>
      <w:r>
        <w:tab/>
        <w:t>Способность парагвайской экономики мобилизовывать внутренние сбережения сильно ограничена из</w:t>
      </w:r>
      <w:r>
        <w:noBreakHyphen/>
        <w:t>за низкого уровня доверия к финансовой системе после восьми лет непрерывных банковских кризисов, что привело к потерям, составившим порядка 11% от ВВП.  Регулирование и надзор в банковском секторе поставлены плохо, и поэтому объем посреднической деятельности является небольшим, а издержки и разница в процентных ставках</w:t>
      </w:r>
      <w:r>
        <w:rPr>
          <w:lang w:val="en-US"/>
        </w:rPr>
        <w:t> </w:t>
      </w:r>
      <w:r>
        <w:noBreakHyphen/>
        <w:t xml:space="preserve"> очень большими.  Отсутствие надежных механизмов долгосрочного накопления также ограничивает возможности населения откладывать деньги на старость и в какой-то мере защитить себя от бедности в преклонном возрасте.  У основного уцелевшего государственного банка (Национальный банк развития) структура такова, что делает его нежизнеспособным и неплатежеспособным, поскольку порядка 50% его портфеля составляют кредиты, вернуть которые будет проблематично.  </w:t>
      </w:r>
    </w:p>
    <w:p w:rsidR="00000000" w:rsidRDefault="00000000"/>
    <w:p w:rsidR="00000000" w:rsidRDefault="00000000">
      <w:r>
        <w:t>91.</w:t>
      </w:r>
      <w:r>
        <w:tab/>
        <w:t>В государственном секторе наиболее укоренившейся чертой системы государственных финансов является структурный дефицит бюджета государственных расходов на социальное страхование (Пенсионный фонд).  Эта ситуация довлела над системой государственных финансов в течение многих лет прошлого десятилетия.  Однако бюджет 2005 года был закрыт с профицитом в размере 0,5% от ВВП, что составляет порядка 250 млрд. гуарани.  Таким образом, впервые за десять лет в стране два года подряд отмечался профицит бюджета, что объясняется увеличением объема собираемых налогов, а это в свою очередь означает, что экономика встает на официальные рельсы и в стране наблюдается экономический рост.</w:t>
      </w:r>
    </w:p>
    <w:p w:rsidR="00000000" w:rsidRDefault="00000000"/>
    <w:p w:rsidR="00000000" w:rsidRDefault="00000000">
      <w:r>
        <w:t>92.</w:t>
      </w:r>
      <w:r>
        <w:tab/>
        <w:t xml:space="preserve">В 2004 году профицит составил 1,61% от ВВП, что составляет чуть более 650 млрд. гуарани.  Первоначально предполагалось, что будет дефицит бюджета в размере 0,5%, что было согласовано с МВФ в рамках договоренностей "стэнд бай".  Была достигнута договоренность не выходить за рамки этой суммы.  Однако удалось вернуться к осуществлению финансового плана, который ограничил исполнение бюджета.  </w:t>
      </w:r>
    </w:p>
    <w:p w:rsidR="00000000" w:rsidRDefault="00000000"/>
    <w:p w:rsidR="00000000" w:rsidRDefault="00000000">
      <w:pPr>
        <w:rPr>
          <w:b/>
          <w:bCs/>
        </w:rPr>
      </w:pPr>
      <w:r>
        <w:rPr>
          <w:b/>
          <w:bCs/>
        </w:rPr>
        <w:t>1.</w:t>
      </w:r>
      <w:r>
        <w:rPr>
          <w:b/>
          <w:bCs/>
        </w:rPr>
        <w:tab/>
        <w:t>Рост</w:t>
      </w:r>
    </w:p>
    <w:p w:rsidR="00000000" w:rsidRDefault="00000000">
      <w:pPr>
        <w:rPr>
          <w:b/>
          <w:bCs/>
        </w:rPr>
      </w:pPr>
    </w:p>
    <w:p w:rsidR="00000000" w:rsidRDefault="00000000">
      <w:r>
        <w:t>93.</w:t>
      </w:r>
      <w:r>
        <w:tab/>
        <w:t>В стране необходимо провести реформы для достижения более высоких темпов роста, поскольку темпы роста менее 5% являются недостаточными.  В 2005 году темпы роста составили 2,7% от ВВП, что соответствовало темпам роста численности населения, после того, как в 2004 году темпы роста составили 4,1%.  По оценкам на основе данных за истекший период, темпы роста в 2006 году достигнут уровня в 3,5%.  Был разработан закон о государственной банковской ассоциации, в соответствии с которым будут приниматься меры по предоставлению долгосрочных кредитов производительному сектору, и закон о корректировке налоговой системы, положения которого в настоящее время изучаются.  По мнению международных финансовых учреждений, если страна не хочет оказаться маргинализированной в современном мире, темпы роста ее экономики должны составлять порядка 7</w:t>
      </w:r>
      <w:r>
        <w:noBreakHyphen/>
        <w:t xml:space="preserve">8% в год.  </w:t>
      </w:r>
    </w:p>
    <w:p w:rsidR="00000000" w:rsidRDefault="00000000">
      <w:pPr>
        <w:spacing w:line="240" w:lineRule="auto"/>
      </w:pPr>
    </w:p>
    <w:p w:rsidR="00000000" w:rsidRDefault="00000000">
      <w:pPr>
        <w:spacing w:line="240" w:lineRule="auto"/>
        <w:jc w:val="center"/>
        <w:rPr>
          <w:b/>
          <w:bCs/>
        </w:rPr>
      </w:pPr>
      <w:r>
        <w:rPr>
          <w:b/>
          <w:bCs/>
        </w:rPr>
        <w:t>ДИНАМИКА ДЕФИЦИТА И ПРОФИЦИТА БЮДЖЕТА</w:t>
      </w:r>
      <w:r>
        <w:rPr>
          <w:b/>
          <w:bCs/>
        </w:rPr>
        <w:br/>
        <w:t>(в % от ВВП)</w:t>
      </w:r>
    </w:p>
    <w:p w:rsidR="00000000" w:rsidRDefault="00000000">
      <w:pPr>
        <w:spacing w:line="240" w:lineRule="auto"/>
        <w:jc w:val="center"/>
        <w:rPr>
          <w:b/>
          <w:bCs/>
        </w:rPr>
      </w:pPr>
    </w:p>
    <w:tbl>
      <w:tblPr>
        <w:tblW w:w="0" w:type="auto"/>
        <w:jc w:val="center"/>
        <w:tblInd w:w="2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4"/>
        <w:gridCol w:w="2386"/>
      </w:tblGrid>
      <w:tr w:rsidR="00000000">
        <w:trPr>
          <w:jc w:val="center"/>
        </w:trPr>
        <w:tc>
          <w:tcPr>
            <w:tcW w:w="2294" w:type="dxa"/>
          </w:tcPr>
          <w:p w:rsidR="00000000" w:rsidRDefault="00000000">
            <w:pPr>
              <w:keepNext/>
              <w:jc w:val="center"/>
            </w:pPr>
            <w:r>
              <w:t>2000 год</w:t>
            </w:r>
          </w:p>
        </w:tc>
        <w:tc>
          <w:tcPr>
            <w:tcW w:w="2386" w:type="dxa"/>
          </w:tcPr>
          <w:p w:rsidR="00000000" w:rsidRDefault="00000000">
            <w:pPr>
              <w:tabs>
                <w:tab w:val="clear" w:pos="1134"/>
                <w:tab w:val="decimal" w:pos="1141"/>
              </w:tabs>
              <w:jc w:val="center"/>
            </w:pPr>
            <w:r>
              <w:t>-4,64</w:t>
            </w:r>
          </w:p>
        </w:tc>
      </w:tr>
      <w:tr w:rsidR="00000000">
        <w:trPr>
          <w:jc w:val="center"/>
        </w:trPr>
        <w:tc>
          <w:tcPr>
            <w:tcW w:w="2294" w:type="dxa"/>
          </w:tcPr>
          <w:p w:rsidR="00000000" w:rsidRDefault="00000000">
            <w:pPr>
              <w:keepNext/>
              <w:jc w:val="center"/>
            </w:pPr>
            <w:r>
              <w:t>2001 год</w:t>
            </w:r>
          </w:p>
        </w:tc>
        <w:tc>
          <w:tcPr>
            <w:tcW w:w="2386" w:type="dxa"/>
          </w:tcPr>
          <w:p w:rsidR="00000000" w:rsidRDefault="00000000">
            <w:pPr>
              <w:tabs>
                <w:tab w:val="clear" w:pos="1134"/>
                <w:tab w:val="decimal" w:pos="1141"/>
              </w:tabs>
              <w:jc w:val="center"/>
            </w:pPr>
            <w:r>
              <w:t>-1,20</w:t>
            </w:r>
          </w:p>
        </w:tc>
      </w:tr>
      <w:tr w:rsidR="00000000">
        <w:trPr>
          <w:jc w:val="center"/>
        </w:trPr>
        <w:tc>
          <w:tcPr>
            <w:tcW w:w="2294" w:type="dxa"/>
          </w:tcPr>
          <w:p w:rsidR="00000000" w:rsidRDefault="00000000">
            <w:pPr>
              <w:keepNext/>
              <w:jc w:val="center"/>
            </w:pPr>
            <w:r>
              <w:t>2002 год</w:t>
            </w:r>
          </w:p>
        </w:tc>
        <w:tc>
          <w:tcPr>
            <w:tcW w:w="2386" w:type="dxa"/>
          </w:tcPr>
          <w:p w:rsidR="00000000" w:rsidRDefault="00000000">
            <w:pPr>
              <w:tabs>
                <w:tab w:val="clear" w:pos="1134"/>
                <w:tab w:val="decimal" w:pos="1141"/>
              </w:tabs>
              <w:jc w:val="center"/>
            </w:pPr>
            <w:r>
              <w:t>-3,24</w:t>
            </w:r>
          </w:p>
        </w:tc>
      </w:tr>
      <w:tr w:rsidR="00000000">
        <w:trPr>
          <w:jc w:val="center"/>
        </w:trPr>
        <w:tc>
          <w:tcPr>
            <w:tcW w:w="2294" w:type="dxa"/>
          </w:tcPr>
          <w:p w:rsidR="00000000" w:rsidRDefault="00000000">
            <w:pPr>
              <w:keepNext/>
              <w:jc w:val="center"/>
            </w:pPr>
            <w:r>
              <w:t>2003 год</w:t>
            </w:r>
          </w:p>
        </w:tc>
        <w:tc>
          <w:tcPr>
            <w:tcW w:w="2386" w:type="dxa"/>
          </w:tcPr>
          <w:p w:rsidR="00000000" w:rsidRDefault="00000000">
            <w:pPr>
              <w:keepNext/>
              <w:tabs>
                <w:tab w:val="clear" w:pos="1134"/>
                <w:tab w:val="decimal" w:pos="1141"/>
              </w:tabs>
              <w:jc w:val="center"/>
            </w:pPr>
            <w:r>
              <w:t>-0,40</w:t>
            </w:r>
          </w:p>
        </w:tc>
      </w:tr>
      <w:tr w:rsidR="00000000">
        <w:trPr>
          <w:jc w:val="center"/>
        </w:trPr>
        <w:tc>
          <w:tcPr>
            <w:tcW w:w="2294" w:type="dxa"/>
          </w:tcPr>
          <w:p w:rsidR="00000000" w:rsidRDefault="00000000">
            <w:pPr>
              <w:jc w:val="center"/>
            </w:pPr>
            <w:r>
              <w:t>2004 год</w:t>
            </w:r>
          </w:p>
        </w:tc>
        <w:tc>
          <w:tcPr>
            <w:tcW w:w="2386" w:type="dxa"/>
          </w:tcPr>
          <w:p w:rsidR="00000000" w:rsidRDefault="00000000">
            <w:pPr>
              <w:tabs>
                <w:tab w:val="clear" w:pos="1134"/>
                <w:tab w:val="decimal" w:pos="1141"/>
              </w:tabs>
              <w:jc w:val="center"/>
            </w:pPr>
            <w:r>
              <w:t>1,61</w:t>
            </w:r>
          </w:p>
        </w:tc>
      </w:tr>
      <w:tr w:rsidR="00000000">
        <w:trPr>
          <w:jc w:val="center"/>
        </w:trPr>
        <w:tc>
          <w:tcPr>
            <w:tcW w:w="2294" w:type="dxa"/>
          </w:tcPr>
          <w:p w:rsidR="00000000" w:rsidRDefault="00000000">
            <w:pPr>
              <w:jc w:val="center"/>
            </w:pPr>
            <w:r>
              <w:t>2005 год</w:t>
            </w:r>
          </w:p>
        </w:tc>
        <w:tc>
          <w:tcPr>
            <w:tcW w:w="2386" w:type="dxa"/>
          </w:tcPr>
          <w:p w:rsidR="00000000" w:rsidRDefault="00000000">
            <w:pPr>
              <w:tabs>
                <w:tab w:val="clear" w:pos="1134"/>
                <w:tab w:val="decimal" w:pos="1141"/>
              </w:tabs>
              <w:jc w:val="center"/>
            </w:pPr>
            <w:r>
              <w:t>0,5</w:t>
            </w:r>
          </w:p>
        </w:tc>
      </w:tr>
    </w:tbl>
    <w:p w:rsidR="00000000" w:rsidRDefault="00000000"/>
    <w:p w:rsidR="00000000" w:rsidRDefault="00000000">
      <w:r>
        <w:t>94.</w:t>
      </w:r>
      <w:r>
        <w:tab/>
        <w:t>На обслуживание долга в настоящее время уходит 20% государственных поступлений, что определенным образом ограничивает возможности правительства увеличивать объем государственных инвестиций за счет кредитов.  Кроме того, различные государственные предприятия сталкиваются с проблемами неплатежеспособности или чрезмерной задолженности и не могут привлекать инвестиции, необходимые для расширения производства и повышения качества услуг.</w:t>
      </w:r>
    </w:p>
    <w:p w:rsidR="00000000" w:rsidRDefault="00000000"/>
    <w:p w:rsidR="00000000" w:rsidRDefault="00000000">
      <w:r>
        <w:t>95.</w:t>
      </w:r>
      <w:r>
        <w:tab/>
        <w:t>Внушительный неформальный сектор экономики, который отчасти складывается из торговли контрабандными товарами и в значительной мере связан с нормальной коммерческой деятельностью, по</w:t>
      </w:r>
      <w:r>
        <w:noBreakHyphen/>
        <w:t>прежнему функционирует "в тени", главным образом из</w:t>
      </w:r>
      <w:r>
        <w:noBreakHyphen/>
        <w:t>за стремления уклониться от налогов и значительных отчислений на нужды недостаточно развитой системы социального обеспечения и сложных бюрократических процедур, порождаемых административными нормами.</w:t>
      </w:r>
    </w:p>
    <w:p w:rsidR="00000000" w:rsidRDefault="00000000"/>
    <w:p w:rsidR="00000000" w:rsidRDefault="00000000">
      <w:r>
        <w:t>96.</w:t>
      </w:r>
      <w:r>
        <w:tab/>
        <w:t>В позитивном плане следует отметить, что Парагвай располагает целым рядом факторов развития, которые он мог бы использовать в свою пользу, включая то обстоятельство, что население страны является относительно молодым, а это позволит за счет темпов роста решить проблему системы социального обеспечения, если в формальную экономику удастся привлечь новые силы.  Во</w:t>
      </w:r>
      <w:r>
        <w:noBreakHyphen/>
        <w:t>вторых, участие Парагвая в МЕРКОСУР обеспечивает стране выход на важный региональный рынок.  В</w:t>
      </w:r>
      <w:r>
        <w:noBreakHyphen/>
        <w:t>третьих, активно развивающийся агроживотноводческий сектор ориентирован на экспорт и будет и впредь оставаться жизнеспособным, несмотря на возникшие в последние годы трудности.  В</w:t>
      </w:r>
      <w:r>
        <w:noBreakHyphen/>
        <w:t>четвертых, страна в избытке располагает электроэнергией, хотя издержки, связанные с транспортировкой и распределением, являются значительными из</w:t>
      </w:r>
      <w:r>
        <w:noBreakHyphen/>
        <w:t>за государственной монополии в энергетическом секторе.</w:t>
      </w:r>
    </w:p>
    <w:p w:rsidR="00000000" w:rsidRDefault="00000000"/>
    <w:p w:rsidR="00000000" w:rsidRDefault="00000000">
      <w:pPr>
        <w:jc w:val="center"/>
        <w:rPr>
          <w:b/>
          <w:bCs/>
        </w:rPr>
      </w:pPr>
      <w:r>
        <w:rPr>
          <w:b/>
          <w:bCs/>
        </w:rPr>
        <w:t>Е.</w:t>
      </w:r>
      <w:r>
        <w:rPr>
          <w:b/>
          <w:bCs/>
        </w:rPr>
        <w:tab/>
        <w:t>Стратегия развития правительства</w:t>
      </w:r>
    </w:p>
    <w:p w:rsidR="00000000" w:rsidRDefault="00000000">
      <w:pPr>
        <w:jc w:val="center"/>
        <w:rPr>
          <w:b/>
          <w:bCs/>
        </w:rPr>
      </w:pPr>
    </w:p>
    <w:p w:rsidR="00000000" w:rsidRDefault="00000000">
      <w:r>
        <w:t>97.</w:t>
      </w:r>
      <w:r>
        <w:tab/>
        <w:t>Цели проводимой в настоящее время стратегии развития заключаются в следующем:</w:t>
      </w:r>
    </w:p>
    <w:p w:rsidR="00000000" w:rsidRDefault="00000000"/>
    <w:p w:rsidR="00000000" w:rsidRDefault="00000000">
      <w:pPr>
        <w:tabs>
          <w:tab w:val="clear" w:pos="567"/>
          <w:tab w:val="right" w:pos="748"/>
        </w:tabs>
        <w:ind w:left="1134" w:hanging="1134"/>
      </w:pPr>
      <w:r>
        <w:tab/>
      </w:r>
      <w:r>
        <w:rPr>
          <w:lang w:val="en-US"/>
        </w:rPr>
        <w:t>i</w:t>
      </w:r>
      <w:r>
        <w:t>)</w:t>
      </w:r>
      <w:r>
        <w:tab/>
        <w:t xml:space="preserve">восстановить </w:t>
      </w:r>
      <w:r>
        <w:rPr>
          <w:b/>
          <w:bCs/>
        </w:rPr>
        <w:t>доверие к государственным институтам</w:t>
      </w:r>
      <w:r>
        <w:t xml:space="preserve"> посредством борьбы с коррупцией и модернизации системы государственного управления.  За счет уделения особого внимания улучшению управляемости администрация рассчитывает увеличить долю формального сектора экономики и усилить международную легитимность Парагвая;</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r>
      <w:r>
        <w:rPr>
          <w:lang w:val="en-US"/>
        </w:rPr>
        <w:t>ii</w:t>
      </w:r>
      <w:r>
        <w:t>)</w:t>
      </w:r>
      <w:r>
        <w:tab/>
        <w:t>содействие более широкому участию гражданского общества в процессе разработки государственной политики и в осуществлении контроля за государственными расходами;</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r>
      <w:r>
        <w:rPr>
          <w:lang w:val="en-US"/>
        </w:rPr>
        <w:t>iii</w:t>
      </w:r>
      <w:r>
        <w:t>)</w:t>
      </w:r>
      <w:r>
        <w:tab/>
      </w:r>
      <w:r>
        <w:rPr>
          <w:b/>
          <w:bCs/>
        </w:rPr>
        <w:t>обеспечение устойчивого развития</w:t>
      </w:r>
      <w:r>
        <w:t xml:space="preserve"> путем перехода от сложившейся в прошлом экономической модели, основанной на торговле "в формате треугольника" и занятости в государственном секторе, к экономической модели, основанной на агробизнесе и диверсификации экспорта.  Хотя эту цель можно достичь за счет повышения эффективности услуг государственного сектора и государственных инвестиций, правительство страны признает, что для повышения конкурентоспособности частного сектора необходимо разработать четкие и предсказуемые нормы, обеспечить правовую безопасность и равенство возможностей;</w:t>
      </w:r>
    </w:p>
    <w:p w:rsidR="00000000" w:rsidRDefault="00000000">
      <w:pPr>
        <w:tabs>
          <w:tab w:val="clear" w:pos="567"/>
          <w:tab w:val="right" w:pos="748"/>
        </w:tabs>
        <w:ind w:left="1134" w:hanging="1134"/>
      </w:pPr>
    </w:p>
    <w:p w:rsidR="00000000" w:rsidRDefault="00000000">
      <w:pPr>
        <w:tabs>
          <w:tab w:val="clear" w:pos="567"/>
          <w:tab w:val="right" w:pos="748"/>
        </w:tabs>
        <w:ind w:left="1134" w:hanging="1134"/>
      </w:pPr>
      <w:r>
        <w:tab/>
      </w:r>
      <w:r>
        <w:rPr>
          <w:lang w:val="en-US"/>
        </w:rPr>
        <w:t>iv</w:t>
      </w:r>
      <w:r>
        <w:t>)</w:t>
      </w:r>
      <w:r>
        <w:tab/>
      </w:r>
      <w:r>
        <w:rPr>
          <w:b/>
          <w:bCs/>
        </w:rPr>
        <w:t>обеспечить развитие человеческого потенциала</w:t>
      </w:r>
      <w:r>
        <w:t xml:space="preserve"> посредством увеличения объема инвестиций в здравоохранение и образование и на цели программ, направленных на обеспечение справедливости и расширение доступа к этим услугам в дополнение к более скоординированным программам сокращения масштабов бедности, предназначенных для наиболее уязвимых слоев населения.</w:t>
      </w:r>
    </w:p>
    <w:p w:rsidR="00000000" w:rsidRDefault="00000000">
      <w:pPr>
        <w:ind w:left="1134" w:hanging="1134"/>
      </w:pPr>
    </w:p>
    <w:p w:rsidR="00000000" w:rsidRDefault="00000000">
      <w:r>
        <w:t>98.</w:t>
      </w:r>
      <w:r>
        <w:tab/>
        <w:t>Не упуская из виду изложенные выше цели, администрация также исходит из настоятельной необходимости восстановить контроль за государственными финансами и поставить их на устойчивую долгосрочную основу.  Приоритетность этой задачи объясняется тем, что рост расходов превышает рост доходов, доля периодических расходов является ненормально высокой (оклады и пенсии составляют 90% текущих расходов), дефицит государственного бюджета в части выплаты пенсий (2% от ВВП) отвлекает на себя ресурсы, необходимые для инвестирования в развитие, на обслуживание задолженности уходит слишком значительная доля общих расходов (20%), а налоговая система страдает существенными изъянами, поскольку допускает многочисленные освобождения от уплаты налогов (на этот счет имеется 42 различных закона), что не только приводит к потере поступлений, но и открывает бесчисленные возможности для коррупции и уклонения от уплаты налогов.  Вся тяжесть сложившейся ситуации стала очевидной после прихода нового состава правительства (в 2003 году), который столкнулся с краткосрочным дефицитом в размере 175 млн. долл. США (3,5% от ВВП) из</w:t>
      </w:r>
      <w:r>
        <w:noBreakHyphen/>
        <w:t>за просроченных платежей и обязательств по погашению задолженности на конец этого периода.  Из этого объема сумма в 65 млн. долл. США представляла собой просроченные платежи в счет обслуживания задолженности, а сумма в 115 млн. долл. США представляла собой обязательства по обслуживанию задолженности, которые истекали в четвертом квартале.  Из этих сумм около 90 млн. долл. США составляли облигации внутреннего займа с отсроченным платежом или с платежом, приходящимся на декабрь 2003 года.</w:t>
      </w:r>
    </w:p>
    <w:p w:rsidR="00000000" w:rsidRDefault="00000000"/>
    <w:p w:rsidR="00000000" w:rsidRDefault="00000000">
      <w:r>
        <w:t>99.</w:t>
      </w:r>
      <w:r>
        <w:tab/>
        <w:t>В этой ситуации правительство приняло различные меры, направленные на то, чтобы поставить расходы под контроль и повысить доходы.  Что касается расходов, то оно сократило на 30 млн. долл. США направленную предыдущим правительством в конгресс заявку на увеличение бюджетных расходов и приостановило все переговоры об увеличении окладов государственных служащих.  Кроме того, оно провело перепись всех государственных служащих и лиц, получающих государственные пенсии, отчасти для того, чтобы получить соответствующие данные о кадровом составе, но также и для того, чтобы выявить тех, кто получает двойную зарплату.  Таких оказалось 1 650 человек, которые были исключены из двойных списков.</w:t>
      </w:r>
    </w:p>
    <w:p w:rsidR="00000000" w:rsidRDefault="00000000"/>
    <w:p w:rsidR="00000000" w:rsidRDefault="00000000">
      <w:r>
        <w:t>100.</w:t>
      </w:r>
      <w:r>
        <w:tab/>
        <w:t>Что касается налогов, то администрацией был принят ряд таких мер, как проверка соответствующих списков и правильности ведения отчетности, поощрение имеющих задолженность налогоплательщиков к уплате налогов путем списания штрафов, ликвидация должностей 300 контролеров крупных налогоплательщиков (которые были серьезным источником коррупции) и увольнение всех сотрудников, которые не относились к таможне в местах поступления таможенных сборов (что было еще одним источником коррупции).  Эти простые меры по повышению эффективности налоговой системы позволили добиться серьезных сдвигов, что привело к существенному увеличению объема собираемых налогов.  В связи с бюджетом на 2004 год администрация направила в конгресс предложение, которое было сформулировано в контексте программ с указанием целей и результатов по каждой программе.  В том бюджете были увеличены статьи расходов лишь на образование и здравоохранение и в какой</w:t>
      </w:r>
      <w:r>
        <w:noBreakHyphen/>
        <w:t>то мере на сельское хозяйство.  В целом бюджет удалось "сбалансировать" с дефицитом на уровне 1% и нулевым разрывом между платежами и поступлениями.</w:t>
      </w:r>
    </w:p>
    <w:p w:rsidR="00000000" w:rsidRDefault="00000000"/>
    <w:p w:rsidR="00000000" w:rsidRDefault="00000000">
      <w:r>
        <w:t>101.</w:t>
      </w:r>
      <w:r>
        <w:tab/>
        <w:t>Администрация осуществила также различные меры по внутренней реорганизации в целях объединения кадровых служб и служб планирования в министерстве финансов (которые раньше были отдельными секретариатами, подчинявшимися непосредственно президенту), что должно улучшить контроль за наиболее важными статьями расходов.  В министерстве финансов было также создано центральное подразделение, занимающееся вопросами внешней помощи.  Был оптимизирован состав экономического кабинета, который вновь состоит из пяти министров (финансов, по делам центрального банка, сельского хозяйства, общественных работ и промышленности).</w:t>
      </w:r>
    </w:p>
    <w:p w:rsidR="00000000" w:rsidRDefault="00000000"/>
    <w:p w:rsidR="00000000" w:rsidRDefault="00000000">
      <w:r>
        <w:t>102.</w:t>
      </w:r>
      <w:r>
        <w:tab/>
        <w:t>Кроме того, министерство финансов получило от Всемирного банка помощь в осуществлении проекта по созданию "образцового министерства" в рамках финансирования реорганизации министерства в целях совершенствования внутреннего и аудиторского контроля и повышения профессионального уровня гражданской службы.  Что касается обеспечения устойчивости государственной финансовой сферы в долгосрочной перспективе, то правительство заключило со всеми партиями политическое соглашение в отношении необходимости ключевых экономических реформ.  Это политическое соглашение было подписано 6 октября 2003 года со всеми руководителями политических фракций в законодательном органе и предусматривает принятие в приоритетном порядке следующих законов:</w:t>
      </w:r>
    </w:p>
    <w:p w:rsidR="00000000" w:rsidRDefault="00000000"/>
    <w:p w:rsidR="00000000" w:rsidRDefault="00000000">
      <w:pPr>
        <w:numPr>
          <w:ilvl w:val="0"/>
          <w:numId w:val="83"/>
        </w:numPr>
      </w:pPr>
      <w:r>
        <w:t>об утверждении обоснованного с финансовой точки зрения бюджета на 2004 год (согласно уже приведенной информации);</w:t>
      </w:r>
    </w:p>
    <w:p w:rsidR="00000000" w:rsidRDefault="00000000">
      <w:pPr>
        <w:tabs>
          <w:tab w:val="clear" w:pos="1134"/>
        </w:tabs>
      </w:pPr>
    </w:p>
    <w:p w:rsidR="00000000" w:rsidRDefault="00000000">
      <w:pPr>
        <w:numPr>
          <w:ilvl w:val="0"/>
          <w:numId w:val="83"/>
        </w:numPr>
      </w:pPr>
      <w:r>
        <w:t>о налоговой реформе, в рамках которой будут отменены освобождения от уплаты налогов и распространен НДС на секторы, фактически не охваченные налогообложением (например, сельское хозяйство и услуги специалистов), а также будет введен налог на личную ренту;</w:t>
      </w:r>
    </w:p>
    <w:p w:rsidR="00000000" w:rsidRDefault="00000000">
      <w:pPr>
        <w:tabs>
          <w:tab w:val="clear" w:pos="1134"/>
        </w:tabs>
      </w:pPr>
    </w:p>
    <w:p w:rsidR="00000000" w:rsidRDefault="00000000">
      <w:pPr>
        <w:numPr>
          <w:ilvl w:val="0"/>
          <w:numId w:val="83"/>
        </w:numPr>
      </w:pPr>
      <w:r>
        <w:t>о реформах в государственной пенсионной системе в целях упорядочения расчета пособий для лиц, выходящих на пенсию, уравнивания условий, в которых находятся различные категории государственных служащих (преподавателей, военнослужащих, государственных служащих и т.п.), и отмены выплаты пенсионерам годовой надбавки;</w:t>
      </w:r>
    </w:p>
    <w:p w:rsidR="00000000" w:rsidRDefault="00000000">
      <w:pPr>
        <w:tabs>
          <w:tab w:val="clear" w:pos="1134"/>
        </w:tabs>
      </w:pPr>
    </w:p>
    <w:p w:rsidR="00000000" w:rsidRDefault="00000000">
      <w:pPr>
        <w:numPr>
          <w:ilvl w:val="0"/>
          <w:numId w:val="83"/>
        </w:numPr>
      </w:pPr>
      <w:r>
        <w:t>современного Таможенного кодекса для обеспечения финансовой самостоятельности Таможенного управления, рационализации процедур и более четкого распределения полномочий;</w:t>
      </w:r>
    </w:p>
    <w:p w:rsidR="00000000" w:rsidRDefault="00000000">
      <w:pPr>
        <w:tabs>
          <w:tab w:val="clear" w:pos="1134"/>
        </w:tabs>
      </w:pPr>
    </w:p>
    <w:p w:rsidR="00000000" w:rsidRDefault="00000000">
      <w:pPr>
        <w:numPr>
          <w:ilvl w:val="0"/>
          <w:numId w:val="83"/>
        </w:numPr>
      </w:pPr>
      <w:r>
        <w:t>о реструктуризации государственной задолженности, в частности о новом планировании поступлений по линии местных бюджетов, сроки которых истекали к концу 2003 года (как было описано выше);</w:t>
      </w:r>
    </w:p>
    <w:p w:rsidR="00000000" w:rsidRDefault="00000000">
      <w:pPr>
        <w:tabs>
          <w:tab w:val="clear" w:pos="1134"/>
        </w:tabs>
      </w:pPr>
    </w:p>
    <w:p w:rsidR="00000000" w:rsidRDefault="00000000">
      <w:pPr>
        <w:numPr>
          <w:ilvl w:val="0"/>
          <w:numId w:val="83"/>
        </w:numPr>
      </w:pPr>
      <w:r>
        <w:t>о реорганизации государственных банков в целях создания единой системы микрокредитования для мелких сельскохозяйственных производителей и единой системы по предоставлению крупных займов для распределения через сеть коммерческих банков внешних средств в виде кредитов, направляемых на долгосрочное развитие;  и</w:t>
      </w:r>
    </w:p>
    <w:p w:rsidR="00000000" w:rsidRDefault="00000000">
      <w:pPr>
        <w:tabs>
          <w:tab w:val="clear" w:pos="1134"/>
        </w:tabs>
      </w:pPr>
    </w:p>
    <w:p w:rsidR="00000000" w:rsidRDefault="00000000">
      <w:pPr>
        <w:numPr>
          <w:ilvl w:val="0"/>
          <w:numId w:val="83"/>
        </w:numPr>
      </w:pPr>
      <w:r>
        <w:t>о реорганизации государственной администрации и государственных предприятий в целях повышения их эффективности, строгого соблюдения финансовой дисциплины и привлечения частных капиталов для содействия усилиям по обеспечению капиталовложений в инфраструктуру.</w:t>
      </w:r>
    </w:p>
    <w:p w:rsidR="00000000" w:rsidRDefault="00000000">
      <w:pPr>
        <w:tabs>
          <w:tab w:val="clear" w:pos="1134"/>
        </w:tabs>
      </w:pPr>
    </w:p>
    <w:p w:rsidR="00000000" w:rsidRDefault="00000000">
      <w:pPr>
        <w:tabs>
          <w:tab w:val="clear" w:pos="1134"/>
        </w:tabs>
      </w:pPr>
      <w:r>
        <w:t>103.</w:t>
      </w:r>
      <w:r>
        <w:tab/>
        <w:t xml:space="preserve">К настоящему времени из пяти направленных в Конгресс законопроектов (по бюджету, налогам, пенсиям, таможне и государственной задолженности) приняты и обнародованы следующие законодательные акты:  Новый таможенный кодекс, Закон об обеспечении адекватности фискальной системы, вводящий налог на личный доход, и Закон о реорганизации Государственного банка.  </w:t>
      </w:r>
    </w:p>
    <w:p w:rsidR="00000000" w:rsidRDefault="00000000">
      <w:pPr>
        <w:tabs>
          <w:tab w:val="clear" w:pos="1134"/>
        </w:tabs>
      </w:pPr>
    </w:p>
    <w:p w:rsidR="00000000" w:rsidRDefault="00000000">
      <w:pPr>
        <w:tabs>
          <w:tab w:val="clear" w:pos="1134"/>
        </w:tabs>
        <w:jc w:val="center"/>
        <w:rPr>
          <w:b/>
          <w:bCs/>
        </w:rPr>
      </w:pPr>
      <w:r>
        <w:rPr>
          <w:b/>
          <w:bCs/>
          <w:lang w:val="en-US"/>
        </w:rPr>
        <w:t>III</w:t>
      </w:r>
      <w:r>
        <w:rPr>
          <w:b/>
          <w:bCs/>
        </w:rPr>
        <w:t>.</w:t>
      </w:r>
      <w:r>
        <w:rPr>
          <w:b/>
          <w:bCs/>
        </w:rPr>
        <w:tab/>
        <w:t>ДОКЛАД УПРАВЛЕНИЯ ЗАЩИТНИКА НАРОДА</w:t>
      </w:r>
    </w:p>
    <w:p w:rsidR="00000000" w:rsidRDefault="00000000">
      <w:pPr>
        <w:tabs>
          <w:tab w:val="clear" w:pos="1134"/>
        </w:tabs>
        <w:jc w:val="center"/>
        <w:rPr>
          <w:b/>
          <w:bCs/>
        </w:rPr>
      </w:pPr>
    </w:p>
    <w:p w:rsidR="00000000" w:rsidRDefault="00000000">
      <w:pPr>
        <w:tabs>
          <w:tab w:val="clear" w:pos="1134"/>
        </w:tabs>
      </w:pPr>
      <w:r>
        <w:t>104.</w:t>
      </w:r>
      <w:r>
        <w:tab/>
        <w:t>Сотрудники Управления Защитника народа, которые входят в состав Межучрежденческой комиссии по инспектированию мест лишения свободы, часто посещают пенитенциарные учреждения, где были выявлены проблемные ситуации различного рода, из которых наиболее тревожной по</w:t>
      </w:r>
      <w:r>
        <w:noBreakHyphen/>
        <w:t>прежнему является переполненность мест заключения.  Так, Национальный пенитенциарный центр Такумбу рассчитан на размещение в нормальных условиях примерно 600-700 заключенных, однако фактически количество находящихся в нем лиц, лишенных свободы, составляет 1 810 человек.  Несмотря на некоторые успехи в этой области, связанные с открытием уголовной тюрьмы "Нуэва Эсперанса", эта серьезная ситуация отражает экономические трудности страны и региона, не позволяющие осуществлять качественный контроль за соблюдением значительной части экономических, социальных и культурных прав.  Вместе с тем благодаря сотрудничеству со стороны Национальной службы повышения профессиональной квалификации проводятся курсы трудовой подготовки, а в исправительной тюрьме для женщин "Буэн Пастор", вместимость которой составляет свыше 200 человек, размещаются 308 женщин в помещениях, где царят чистота и порядок, при этом тюрьма разделена на секторы, в частности для рожениц и женщин с годовалыми детьми, получающих профессиональную медицинскую помощь, и имеются мастерские для ручного труда и организуются мероприятия по профессиональной подготовке, в результате чего в этой тюрьме отмечается значительно меньше случаев насилия, чем в остальных местах лишения свободы в стране.  Что касается воспитательного центра Итаугуа для несовершеннолетних правонарушителей, в котором содержатся юноши в возрасте 14-20 лет, то его вместимость составляет 250 человек, тогда как в нем содержится приблизительно 176 человек, и в нем имеется школа для получения базового образования, огород, пекарня и ферма.</w:t>
      </w:r>
    </w:p>
    <w:p w:rsidR="00000000" w:rsidRDefault="00000000">
      <w:pPr>
        <w:tabs>
          <w:tab w:val="clear" w:pos="1134"/>
        </w:tabs>
      </w:pPr>
    </w:p>
    <w:p w:rsidR="00000000" w:rsidRDefault="00000000">
      <w:pPr>
        <w:keepNext/>
        <w:tabs>
          <w:tab w:val="clear" w:pos="1134"/>
        </w:tabs>
        <w:ind w:left="567" w:hanging="567"/>
        <w:jc w:val="center"/>
        <w:rPr>
          <w:b/>
          <w:bCs/>
        </w:rPr>
      </w:pPr>
      <w:r>
        <w:rPr>
          <w:b/>
          <w:bCs/>
        </w:rPr>
        <w:t>А.</w:t>
      </w:r>
      <w:r>
        <w:rPr>
          <w:b/>
          <w:bCs/>
        </w:rPr>
        <w:tab/>
      </w:r>
      <w:r>
        <w:rPr>
          <w:b/>
          <w:bCs/>
          <w:lang w:val="en-US"/>
        </w:rPr>
        <w:t>C</w:t>
      </w:r>
      <w:r>
        <w:rPr>
          <w:b/>
          <w:bCs/>
        </w:rPr>
        <w:t>овершенствование государственной гендерной политики</w:t>
      </w:r>
    </w:p>
    <w:p w:rsidR="00000000" w:rsidRDefault="00000000">
      <w:pPr>
        <w:keepNext/>
        <w:tabs>
          <w:tab w:val="clear" w:pos="1134"/>
        </w:tabs>
        <w:ind w:left="567" w:hanging="567"/>
      </w:pPr>
    </w:p>
    <w:p w:rsidR="00000000" w:rsidRDefault="00000000">
      <w:pPr>
        <w:keepNext/>
        <w:tabs>
          <w:tab w:val="clear" w:pos="1134"/>
        </w:tabs>
      </w:pPr>
      <w:r>
        <w:t>105.</w:t>
      </w:r>
      <w:r>
        <w:tab/>
        <w:t>В рамках программы правительства, направленной на совершенствование государственной гендерной политики, которая осуществляется в государственном и частном секторах под контролем Секретариата по делам женщин при президенте Республики, было принято твердое обязательство в отношении осуществления Национального плана по обеспечению равенства возможностей для женщин на 1997</w:t>
      </w:r>
      <w:r>
        <w:noBreakHyphen/>
        <w:t>2001 годы, а также были разработаны механизмы межучрежденческого сотрудничества, децентрализации и участия гражданского общества.</w:t>
      </w:r>
    </w:p>
    <w:p w:rsidR="00000000" w:rsidRDefault="00000000">
      <w:pPr>
        <w:tabs>
          <w:tab w:val="clear" w:pos="1134"/>
        </w:tabs>
      </w:pPr>
    </w:p>
    <w:p w:rsidR="00000000" w:rsidRDefault="00000000">
      <w:pPr>
        <w:tabs>
          <w:tab w:val="clear" w:pos="1134"/>
        </w:tabs>
      </w:pPr>
      <w:r>
        <w:t>106.</w:t>
      </w:r>
      <w:r>
        <w:tab/>
        <w:t>Инициативы Секретариата по делам женщин при президенте Республики, который существует с 1993 года, реализуются при поддержке организаций женщин, сетей гражданского общества, международных организаций и учреждений по укреплению сотрудничества, что позволяет учитывать гендерный фактор в государственной политике и осуществлять программы и проекты, направленные на достижение целей, поставленных  в Законе № 34/92.  С 1994 года осуществляются различные общенациональные планы по искоренению насилия в отношении женщин и обеспечению их равенства.  За этот период в законодательство были внесены изменения, способствующие обеспечению равенства между женщинами и мужчинами и недискриминации в отношении женщин, среди которых можно упомянуть изменения в Уголовном, Трудовом и Избирательном кодексах, Закон о борьбе с бытовым насилием, ратификацию таких международных договоров, как конвенция, подписанная в Белен-ду-Пара, Факультативный протокол к КЛДОЖ, Протокол по борьбе с транснациональной преступностью, Римский статут, а также обязательства, принятые в рамках Пекинской и Каирской платформ, и цели развития, сформулированные в Декларации тысячелетия, что способствовало принятию мер в области гендерного равенства и улучшения положения женщин, конкретно освещаемых в настоящей части доклада.</w:t>
      </w:r>
    </w:p>
    <w:p w:rsidR="00000000" w:rsidRDefault="00000000">
      <w:pPr>
        <w:tabs>
          <w:tab w:val="clear" w:pos="1134"/>
        </w:tabs>
      </w:pPr>
    </w:p>
    <w:p w:rsidR="00000000" w:rsidRDefault="00000000">
      <w:pPr>
        <w:tabs>
          <w:tab w:val="clear" w:pos="1134"/>
        </w:tabs>
      </w:pPr>
      <w:r>
        <w:t>107.</w:t>
      </w:r>
      <w:r>
        <w:tab/>
        <w:t>Помимо этого, создание в этот период учреждений по поощрению гендерной политики в ряде случаев позволило добиться прогресса и укрепления этой деятельности, в частности в парламентских комиссиях обеих палат, в Отделе по правам человека Верховного суда, в Управлении Защитника народа и Государственной прокуратуре.  В таких министерствах, как министерство образования, здравоохранения, юстиции и труда, сельского хозяйства и животноводства, а также в органах местного самоуправления департаментов и муниципий были созданы соответствующие структуры и смешанные комиссии и было налажено важное взаимодействие с международными организациями и международное сотрудничество, в частности с системой Организации Объединенных Наций, ОАГ, Межамериканским банком развития, Германским агентством по техническому сотрудничеству (ГТС), Канадским агентством по международному развитию, Шведским агентством международного развития и многими другими организациями, равно как и обеспечивался доступ женщин к постам в органах власти:  в нынешнем правительстве, в министерстве иностранных дел, в различных министерствах и отраслевых секретариатах, Правлении Центрального банка, Национальном таможенном управлении и Верховном суде.</w:t>
      </w:r>
    </w:p>
    <w:p w:rsidR="00000000" w:rsidRDefault="00000000"/>
    <w:p w:rsidR="00000000" w:rsidRDefault="00000000">
      <w:r>
        <w:t>108.</w:t>
      </w:r>
      <w:r>
        <w:tab/>
        <w:t>Несмотря на то, что можно отметить позитивные сдвиги в плане осознания необходимости обеспечения равенства полов, следует признать также наличие дискриминации и культурных факторов, норм и подходов, все еще способствующих ее сохранению, вследствие чего Секретариат по делам женщин принимает меры в следующих девяти областях:  обеспечение равноправия между мужчинами и женщинами, поощрение культуры равенства, обеспечение доступа к экономическим ресурсам и рабочим местам, обеспечение равенства в сфере образования, оказание комплексной медицинской помощи, создание условий для жизни, свободной от насилия, обеспечение здоровой и устойчивой окружающей среды, обеспечение социального и политического участия в условиях равенства возможностей и эффективная децентрализация.  При этом создаются механизмы межучрежденческого управления с участием гражданского общества.</w:t>
      </w:r>
    </w:p>
    <w:p w:rsidR="00000000" w:rsidRDefault="00000000"/>
    <w:p w:rsidR="00000000" w:rsidRDefault="00000000">
      <w:r>
        <w:t>109.</w:t>
      </w:r>
      <w:r>
        <w:tab/>
        <w:t>Основные направления деятельности связаны с внесением все еще необходимых изменений в такие акты, как Уголовный кодекс и Избирательный кодекс и особенно в части, касающейся участия женщин, установление родства и обеспечения выплат на содержание, затрагивающих интересы детей и, более непосредственно, женщин.  С тем чтобы добиться культурных изменений в отношении общества к женщине организуются кампании по разъяснению прав женщин, повышению уровня осведомленности и информированности населения и проводятся другие мероприятия, стимулирующие дискуссии и обсуждения.  Совершенствуются программы по обеспечению доступа женщин к экономическим ресурсам и рабочим местам, образованию и здравоохранению, борьбе с насилием в отношении женщин и борьбе с торговлей людьми.  В стране создаются механизмы, позволяющие гарантировать децентрализованное проведение гендерной политики и участие граждан в процессе управления и принятия решений, устойчивое развитие с учетом гендерного и экологического факторов, а также поощрять участие женщин в общественной и политической жизни.</w:t>
      </w:r>
    </w:p>
    <w:p w:rsidR="00000000" w:rsidRDefault="00000000"/>
    <w:p w:rsidR="00000000" w:rsidRDefault="00000000">
      <w:pPr>
        <w:tabs>
          <w:tab w:val="clear" w:pos="567"/>
          <w:tab w:val="left" w:pos="561"/>
        </w:tabs>
        <w:jc w:val="center"/>
        <w:rPr>
          <w:b/>
          <w:bCs/>
          <w:u w:val="single"/>
        </w:rPr>
      </w:pPr>
      <w:r>
        <w:rPr>
          <w:b/>
          <w:bCs/>
        </w:rPr>
        <w:t>В.</w:t>
      </w:r>
      <w:r>
        <w:rPr>
          <w:b/>
          <w:bCs/>
        </w:rPr>
        <w:tab/>
        <w:t>Разработка государственной политики в отношении разных поколений:</w:t>
      </w:r>
      <w:r>
        <w:rPr>
          <w:b/>
          <w:bCs/>
        </w:rPr>
        <w:br/>
        <w:t>детей, молодежи и лиц пожилого возраста</w:t>
      </w:r>
    </w:p>
    <w:p w:rsidR="00000000" w:rsidRDefault="00000000">
      <w:pPr>
        <w:ind w:left="561" w:hanging="561"/>
        <w:rPr>
          <w:u w:val="single"/>
        </w:rPr>
      </w:pPr>
    </w:p>
    <w:p w:rsidR="00000000" w:rsidRDefault="00000000">
      <w:r>
        <w:t>110.</w:t>
      </w:r>
      <w:r>
        <w:tab/>
        <w:t>Среди серьезных недостатков, присущих государственной политике в Парагвае, особую озабоченность вызывает проблема эффективного осуществления комплексной и всеобъемлющей политики, которая учитывала бы конкретные потребности, интересы и возможности детей, молодежи и лиц пожилого возраста, наряду с гендерной перспективой.  Как правило, меры и программы, предназначенные для этих групп, предусматривают уделение внимания проблемным группам, вследствие чего широкое распространение получило отношение к ним исключительно как к группам риска и объектам благотворительности без учета их прав и возможностей в плане полноценного и равноправного участия в жизни общества, а также их фактического вклада в общественную деятельность.</w:t>
      </w:r>
    </w:p>
    <w:p w:rsidR="00000000" w:rsidRDefault="00000000"/>
    <w:p w:rsidR="00000000" w:rsidRDefault="00000000">
      <w:pPr>
        <w:jc w:val="center"/>
        <w:rPr>
          <w:b/>
          <w:bCs/>
        </w:rPr>
      </w:pPr>
      <w:r>
        <w:rPr>
          <w:b/>
          <w:bCs/>
        </w:rPr>
        <w:t>С.</w:t>
      </w:r>
      <w:r>
        <w:rPr>
          <w:b/>
          <w:bCs/>
        </w:rPr>
        <w:tab/>
        <w:t>Политика обеспечения равенства в сфере труда и занятости</w:t>
      </w:r>
    </w:p>
    <w:p w:rsidR="00000000" w:rsidRDefault="00000000">
      <w:pPr>
        <w:jc w:val="center"/>
        <w:rPr>
          <w:b/>
          <w:bCs/>
        </w:rPr>
      </w:pPr>
    </w:p>
    <w:p w:rsidR="00000000" w:rsidRDefault="00000000">
      <w:r>
        <w:t>111.</w:t>
      </w:r>
      <w:r>
        <w:tab/>
        <w:t>Вследствие значительного расширения участия женщин в экономической деятельности среди них увеличивается их доля в экономически активном населении.  Вознаграждаемый труд женщин действительно имеет чрезвычайно важное значение для выхода семей из нищеты.  Вместе с тем они по</w:t>
      </w:r>
      <w:r>
        <w:noBreakHyphen/>
        <w:t>прежнему одни отвечают за работу по дому.  Невозможно отрицать их участие в сельскохозяйственном производстве, однако их трудовой вклад не находит признания и отражения в национальной статистике, в государственной политике и в других сферах.</w:t>
      </w:r>
    </w:p>
    <w:p w:rsidR="00000000" w:rsidRDefault="00000000"/>
    <w:p w:rsidR="00000000" w:rsidRDefault="00000000">
      <w:pPr>
        <w:tabs>
          <w:tab w:val="clear" w:pos="567"/>
          <w:tab w:val="left" w:pos="561"/>
        </w:tabs>
        <w:jc w:val="center"/>
        <w:rPr>
          <w:b/>
          <w:bCs/>
        </w:rPr>
      </w:pPr>
      <w:r>
        <w:rPr>
          <w:b/>
          <w:bCs/>
          <w:lang w:val="en-US"/>
        </w:rPr>
        <w:t>D</w:t>
      </w:r>
      <w:r>
        <w:rPr>
          <w:b/>
          <w:bCs/>
        </w:rPr>
        <w:t>.</w:t>
      </w:r>
      <w:r>
        <w:rPr>
          <w:b/>
          <w:bCs/>
        </w:rPr>
        <w:tab/>
        <w:t>Переориентация и оживление экономики, преодоление нищеты,</w:t>
      </w:r>
      <w:r>
        <w:rPr>
          <w:b/>
          <w:bCs/>
        </w:rPr>
        <w:br/>
        <w:t>интеграция и устойчивое развитие людских ресурсов</w:t>
      </w:r>
      <w:r>
        <w:rPr>
          <w:b/>
          <w:bCs/>
        </w:rPr>
        <w:br/>
        <w:t>с полномасштабным охватом женщин</w:t>
      </w:r>
    </w:p>
    <w:p w:rsidR="00000000" w:rsidRDefault="00000000">
      <w:pPr>
        <w:ind w:left="561" w:hanging="561"/>
        <w:rPr>
          <w:u w:val="single"/>
        </w:rPr>
      </w:pPr>
    </w:p>
    <w:p w:rsidR="00000000" w:rsidRDefault="00000000">
      <w:r>
        <w:t>112.</w:t>
      </w:r>
      <w:r>
        <w:tab/>
        <w:t>Министерство юстиции и труда и Секретариат по делам женщин подписали между собой соглашение о сотрудничестве в деле осуществления Программы действий, различные компоненты которой будут способствовать совершенствованию государственной политики, направленной на расширение доступа парагвайских женщин к экономическим ресурсам и рабочим местам.  Это соглашение о сотрудничестве, предусмотренное вторым Национальным планом по обеспечению равенства возможностей женщин и мужчин на 2003-2007 годы, включает в себя организацию мероприятий по профессиональной подготовке трудящихся-женщин.  По мнению специалистов, оно также обеспечивает соблюдение в полном объеме прав человека женщин, которые находятся в пенитенциарных центрах по всей стране.  Реализация этого соглашения предусматривала создание группы экспертов для разработки оперативного плана с подробным определением задач, возлагаемых на структуры обоих ведомств в рамках имеющихся бюджетных средств.  По мнению министра по делам женщин г</w:t>
      </w:r>
      <w:r>
        <w:noBreakHyphen/>
        <w:t>жи Марии Хосе Арганья, "парагвайские женщины, по сравнению с мужчинами, сталкиваются с неравными условиями во всех сферах, и особенно в экономической".</w:t>
      </w:r>
    </w:p>
    <w:p w:rsidR="00000000" w:rsidRDefault="00000000"/>
    <w:p w:rsidR="00000000" w:rsidRDefault="00000000">
      <w:r>
        <w:t>113.</w:t>
      </w:r>
      <w:r>
        <w:tab/>
        <w:t>Цифры показывают, что уровень безработицы среди женщин достигает 18%, тогда когда среди мужчин он наполовину ниже, а по сведениям государственного секретариата зарплата женщин составляет 73,1% от ежемесячной зарплаты мужчин.  На своих предыдущих совещаниях с представителями предпринимательских и промышленных кругов г-жа Арганья подчеркивала, что для успешной борьбы с нищетой необходимо обеспечить выход женщин на рынок труда.  Новое соглашение, которое вступит в силу сразу же после подписания и будет действовать в течение трех лет, с возможностью его продления, стало результатом инициативы Секретариата по делам женщин в целях оказания поддержки в деле обеспечения прав женщин.  В начале текущего месяца это государственное ведомство инициировало кампанию по борьбе с сексуальными домогательствами.  На церемонии по случаю начала этой кампании отмечалось, что упомянутое преступление затрагивает также мужчин, однако данные свидетельствуют о том, что от него гораздо чаще страдают женщины.</w:t>
      </w:r>
    </w:p>
    <w:p w:rsidR="00000000" w:rsidRDefault="00000000"/>
    <w:p w:rsidR="00000000" w:rsidRDefault="00000000">
      <w:pPr>
        <w:jc w:val="center"/>
        <w:rPr>
          <w:b/>
          <w:bCs/>
        </w:rPr>
      </w:pPr>
      <w:r>
        <w:rPr>
          <w:b/>
          <w:bCs/>
        </w:rPr>
        <w:t>Е.</w:t>
      </w:r>
      <w:r>
        <w:rPr>
          <w:b/>
          <w:bCs/>
        </w:rPr>
        <w:tab/>
        <w:t>Стимулирование доступа женщин к руководящим постам</w:t>
      </w:r>
      <w:r>
        <w:rPr>
          <w:b/>
          <w:bCs/>
        </w:rPr>
        <w:br/>
        <w:t>в целях обеспечения равенства в сфере труда</w:t>
      </w:r>
    </w:p>
    <w:p w:rsidR="00000000" w:rsidRDefault="00000000">
      <w:pPr>
        <w:rPr>
          <w:u w:val="single"/>
        </w:rPr>
      </w:pPr>
    </w:p>
    <w:p w:rsidR="00000000" w:rsidRDefault="00000000">
      <w:r>
        <w:t>114.</w:t>
      </w:r>
      <w:r>
        <w:tab/>
        <w:t>В 2005 году Секретариат по делам женщин Парагвая при поддержке Высшего суда по избирательным делам (ВСИД) выступил с инициативой создания Центра по продвижению женщин на руководящие посты, который является учреждением, содействующим доступу женщин к властным структурам страны.  Этот Центр призван обеспечить дифференцированную подготовку девушек и женщин и стать каналом для их выдвижения в органы власти в целях устранения препятствий, мешающих их доступу к директивным органам.  Он также призван прививать им ценности и развивать их способности, благоприятствующие построению более справедливого общества.  За первый год предполагается подготовить 1 000 женщин, а к 2008 году </w:t>
      </w:r>
      <w:r>
        <w:noBreakHyphen/>
        <w:t xml:space="preserve"> 100 000 женщин.  Начало работы Центра совпадает с весьма знаменательным периодом в истории Парагвая, поскольку "мы находимся в процессе перехода к созданию большего количества выборных постов для женщин, в преддверии новых выборов, в которых будут участвовать партии и кандидаты на руководящие должности, а также очередных всеобщих выборов, которые состоятся через три года, в силу чего должна быть поставлена задача расширения доступа женщин к властным структурам".  Открытые Центра соответствует положениям второго Плана по обеспечению равенства возможностей, восьмой Программы обеспечения участия женщин в общественной и политической жизни страны, а также рекомендациям, содержащимся в Конвенции о ликвидации всех форм дискриминации в отношении женщин.  Кроме того, важно отметить, что в январе 2005 года Парагвай отчитался по своему докладу в Комитете по ликвидации дискриминации в отношении женщин, чьи замечания были не только освещены в стране и учтены в планах действий, но и использованы в качестве ориентира при подготовке настоящего доклада с целью отразить успехи и основные проблемы на национальном уровне.</w:t>
      </w:r>
    </w:p>
    <w:p w:rsidR="00000000" w:rsidRDefault="00000000"/>
    <w:p w:rsidR="00000000" w:rsidRDefault="00000000">
      <w:pPr>
        <w:ind w:left="567" w:hanging="567"/>
        <w:jc w:val="center"/>
        <w:rPr>
          <w:b/>
          <w:bCs/>
        </w:rPr>
      </w:pPr>
      <w:r>
        <w:rPr>
          <w:b/>
          <w:bCs/>
          <w:lang w:val="en-US"/>
        </w:rPr>
        <w:t>IV</w:t>
      </w:r>
      <w:r>
        <w:rPr>
          <w:b/>
          <w:bCs/>
        </w:rPr>
        <w:t>.</w:t>
      </w:r>
      <w:r>
        <w:rPr>
          <w:b/>
          <w:bCs/>
        </w:rPr>
        <w:tab/>
        <w:t>НОРМАТИВНЫЕ РАМКИ ЗАЩИТЫ ПРАВ ЧЕЛОВЕКА</w:t>
      </w:r>
      <w:r>
        <w:rPr>
          <w:rStyle w:val="FootnoteReference"/>
        </w:rPr>
        <w:footnoteReference w:id="15"/>
      </w:r>
    </w:p>
    <w:p w:rsidR="00000000" w:rsidRDefault="00000000">
      <w:pPr>
        <w:ind w:left="567" w:hanging="567"/>
        <w:rPr>
          <w:b/>
          <w:bCs/>
        </w:rPr>
      </w:pPr>
    </w:p>
    <w:p w:rsidR="00000000" w:rsidRDefault="00000000">
      <w:r>
        <w:t>115.</w:t>
      </w:r>
      <w:r>
        <w:tab/>
        <w:t>12 июля 2004 года Республика Парагвай представила Комитету по гражданским и политическим правам свой периодический доклад, рассмотрение которого состоялось 19 и 20 октября 2005 года и дало возможность препроводить Комитету обновленную информацию относительно положения в области прав человека, а также осветить все вопросы, касающиеся нормативных рамок защиты прав человека.  После представления упомянутого доклада, в котором подробно описаны механизмы существующих в Парагвае правовых рамок поощрения и защиты прав человека, в правозащитной системе не произошло каких-либо изменений, кроме представления законопроекта о новом статуте общин коренного населения, которым предполагается отменить Закон № 904 и внести изменения в действующее законодательство.  Вместе с тем после опубликования этого законопроекта законодательным органом он до сих пор изучается главой исполнительной власти на предмет его последующего обнародования или, в случае выявления недостатков, его ветирования и возвращения в конгресс страны.  Задержка с осуществлением данной процедуры обусловлена несогласием некоторых групп коренных общин с этим законопроектом.</w:t>
      </w:r>
    </w:p>
    <w:p w:rsidR="00000000" w:rsidRDefault="00000000"/>
    <w:p w:rsidR="00000000" w:rsidRDefault="00000000">
      <w:pPr>
        <w:keepNext/>
        <w:ind w:left="567" w:hanging="567"/>
        <w:jc w:val="center"/>
        <w:rPr>
          <w:b/>
          <w:bCs/>
        </w:rPr>
      </w:pPr>
      <w:r>
        <w:rPr>
          <w:b/>
          <w:bCs/>
          <w:lang w:val="en-US"/>
        </w:rPr>
        <w:t>V</w:t>
      </w:r>
      <w:r>
        <w:rPr>
          <w:b/>
          <w:bCs/>
        </w:rPr>
        <w:t>.</w:t>
      </w:r>
      <w:r>
        <w:rPr>
          <w:b/>
          <w:bCs/>
        </w:rPr>
        <w:tab/>
        <w:t>ВТОРАЯ ЧАСТЬ:  ОТВЕТЫ НА ВОПРОСНИК В ОТНОШЕНИИ</w:t>
      </w:r>
      <w:r>
        <w:rPr>
          <w:b/>
          <w:bCs/>
        </w:rPr>
        <w:br/>
        <w:t xml:space="preserve">  ЭКОНОМИЧЕСКИХ, СОЦИАЛЬНЫХ И КУЛЬТУРНЫХ ПРАВ</w:t>
      </w:r>
      <w:r>
        <w:rPr>
          <w:rStyle w:val="FootnoteReference"/>
        </w:rPr>
        <w:footnoteReference w:id="16"/>
      </w:r>
    </w:p>
    <w:p w:rsidR="00000000" w:rsidRDefault="00000000">
      <w:pPr>
        <w:keepNext/>
        <w:ind w:left="567" w:hanging="567"/>
        <w:jc w:val="center"/>
        <w:rPr>
          <w:b/>
          <w:bCs/>
        </w:rPr>
      </w:pPr>
    </w:p>
    <w:p w:rsidR="00000000" w:rsidRDefault="00000000">
      <w:pPr>
        <w:keepNext/>
        <w:rPr>
          <w:b/>
          <w:bCs/>
        </w:rPr>
      </w:pPr>
      <w:r>
        <w:rPr>
          <w:b/>
          <w:bCs/>
        </w:rPr>
        <w:t>Статья 1</w:t>
      </w:r>
    </w:p>
    <w:p w:rsidR="00000000" w:rsidRDefault="00000000">
      <w:pPr>
        <w:keepNext/>
        <w:rPr>
          <w:b/>
          <w:bCs/>
        </w:rPr>
      </w:pPr>
    </w:p>
    <w:p w:rsidR="00000000" w:rsidRDefault="00000000">
      <w:r>
        <w:t>116.</w:t>
      </w:r>
      <w:r>
        <w:tab/>
        <w:t xml:space="preserve">В Парагвае реализация права на свободное самоопределение, в частности в связи с самоопределением коренных народов, весьма четко предусмотрена в Национальной конституции от 1992 года в главе </w:t>
      </w:r>
      <w:r>
        <w:rPr>
          <w:lang w:val="en-US"/>
        </w:rPr>
        <w:t>V</w:t>
      </w:r>
      <w:r>
        <w:t xml:space="preserve"> "О коренных народах", в которой статья 62 ("О коренных народах и этнических группах") гласит следующее:  "В Конституции признается существование коренных народов, определяемых как группы, принадлежащие к культурам, которые предшествовали образованию и созданию парагвайского государства".  В статье 63 ("Об этнической самобытности") содержится еще более четкое положение:  "Признается и гарантируется право коренных народов на сохранение и развитие собственной этнической самобытности в соответствующей среде обитания.  Кроме того, они имеют право свободно применять собственные системы политической, общественной и экономической, культурной и религиозной организации, равно как и добровольно применять нормы собственного обычного права для регламентации своей жизни, если они не противоречат основным правам, закрепленным в настоящей Конституции.  При решении юрисдикционных коллизий необходимо принимать во внимание обычное право коренных народов".  Заключительное положение статьи 64 ("Об общинной собственности") гласит следующее:  "Запрещается их перемещение или переселение из их среды обитания без их явно выраженного согласия".</w:t>
      </w:r>
    </w:p>
    <w:p w:rsidR="00000000" w:rsidRDefault="00000000"/>
    <w:p w:rsidR="00000000" w:rsidRDefault="00000000">
      <w:r>
        <w:t>117.</w:t>
      </w:r>
      <w:r>
        <w:tab/>
        <w:t>Кроме того, в том же духе, как и в Основном законе, эти права признаются в Законе № 904/81 "Статут общин коренного населения", а также в Законе № 234/93, которым была принята Конвенция № 169 МОТ "О коренных народах и народах, ведущих племенной образ жизни в независимых странах".</w:t>
      </w:r>
    </w:p>
    <w:p w:rsidR="00000000" w:rsidRDefault="00000000"/>
    <w:p w:rsidR="00000000" w:rsidRDefault="00000000">
      <w:r>
        <w:t>118.</w:t>
      </w:r>
      <w:r>
        <w:tab/>
        <w:t>Что касается законодательных и иных мер, принятых государством-участником для осуществления в полном объеме права на культурное наследие национальных этнических групп, меньшинств и коренных народов, то можно сослаться на статью 65 Национальной конституции "Право на участие", которая гласит следующее:  "Коренным народам гарантируется право участвовать в культурной жизни страны в соответствии с нормами их обычного права, Конституции и национальных законов";  и на статью 66 "Образование и помощь", в которой говорится следующее:  "Государство с уважением относится к культурным особенностям коренных народов, особенно в том что касается формального образования.  Оно также в порядке принятия мер против ухудшения демографической ситуации противодействует деградации среды их обитания, загрязнению окружающей среды, экономической эксплуатации и культурному отчуждению";  а также на статью 67 "Обучение на родном языке", в которой предусматривается следующее:  "Подготовка на начальных этапах школьного обучения ведется на официальном языке, являющимся родным для обучающегося.  Преподаются также оба официальных языка Республики, и учащихся учат владеть ими.  Представителям национальных меньшинств, чьим родным языком не является гуарани, предоставляется возможность выбирать один из двух официальных языков".</w:t>
      </w:r>
    </w:p>
    <w:p w:rsidR="00000000" w:rsidRDefault="00000000"/>
    <w:p w:rsidR="00000000" w:rsidRDefault="00000000">
      <w:r>
        <w:t>119.</w:t>
      </w:r>
      <w:r>
        <w:tab/>
        <w:t>Что касается антидискриминационных аспектов действующих законов, предусматривающих меры по особой защите коренных общин и других уже упоминавшихся наиболее уязвимых групп, то в действующем Уголовно-процессуальном кодексе, в частности, предусмотрено дифференцированное отношение к представителям коренного населения.  С другой стороны, приобретаются земли для коренного населения, а Парагвайский институт по делам коренных народов (ИНДИ) по мере возможности оказывает им правовую помощь через свой юридический департамент, особенно в гражданском судопроизводстве, например по делам о восстановлении нарушенных прав, переселениях и т.п.  В этом упомянутое учреждение также сталкивается с негативными аспектами, в частности связанными с непониманием некоторыми судьями вопросов коренных народов, равно как и с подобными ситуациями в национальном парламенте, в частности в связи с экспроприациями, и особенно в силу нехватки экономических и финансовых ресурсов для возмещения владельцам стоимости экспроприированных земель.</w:t>
      </w:r>
    </w:p>
    <w:p w:rsidR="00000000" w:rsidRDefault="00000000"/>
    <w:p w:rsidR="00000000" w:rsidRDefault="00000000">
      <w:r>
        <w:t>120.</w:t>
      </w:r>
      <w:r>
        <w:tab/>
        <w:t>Согласно данным второй Национальной переписи коренного населения и жилого фонда 2002 года, коренные народы страны проживают преимущественно в сельских районах (91,5%).  Остальные 8,5% коренного населения проживают в городских районах, где имеется значительное число представителей следующих пяти этнических групп:  мака (77,4%);  маскои (32,7%); гуарани западные (29,4%);  нивакле (25,2%);  энчеты (24,4%).</w:t>
      </w:r>
    </w:p>
    <w:p w:rsidR="00000000" w:rsidRDefault="00000000"/>
    <w:p w:rsidR="00000000" w:rsidRDefault="00000000">
      <w:pPr>
        <w:jc w:val="center"/>
        <w:rPr>
          <w:b/>
          <w:bCs/>
        </w:rPr>
      </w:pPr>
      <w:r>
        <w:rPr>
          <w:b/>
          <w:bCs/>
        </w:rPr>
        <w:t>А.</w:t>
      </w:r>
      <w:r>
        <w:rPr>
          <w:b/>
          <w:bCs/>
        </w:rPr>
        <w:tab/>
        <w:t>Общий доклад о положении коренных народов</w:t>
      </w:r>
    </w:p>
    <w:p w:rsidR="00000000" w:rsidRDefault="00000000">
      <w:pPr>
        <w:rPr>
          <w:b/>
          <w:bCs/>
        </w:rPr>
      </w:pPr>
    </w:p>
    <w:p w:rsidR="00000000" w:rsidRDefault="00000000">
      <w:r>
        <w:t>121.</w:t>
      </w:r>
      <w:r>
        <w:tab/>
        <w:t>В своем стремлении урегулировать проблемы коренного населения, проживающего в городских районах, в частности в департаменте Сентраль, ИНДИ инициировал процесс межучрежденческого сотрудничества с министерством здравоохранения и социального обеспечения, Секретариатом по социальным действиям, Секретариатом по чрезвычайным ситуациям и Национальным секретариатом по делам детей и подростков.  Совместно с последним учреждением были приняты меры для облегчения участие бездомных детей из числа представителей коренного населения, что является одним из наиболее проблематичных аспектов городской жизни коренных народов.  Эта работа позволила оказать помощь детям из числа представителей коренного населения, которые оказались в опасном положении и брошены своими семьями.  В результате сейчас большинство таких детей живут в своих общинах, не подвергаясь угрозе алкогольной или наркотической зависимости.</w:t>
      </w:r>
    </w:p>
    <w:p w:rsidR="00000000" w:rsidRDefault="00000000"/>
    <w:p w:rsidR="00000000" w:rsidRDefault="00000000">
      <w:r>
        <w:t>122.</w:t>
      </w:r>
      <w:r>
        <w:tab/>
        <w:t>В то же время параллельно с мерами, направленными на оказание поддержки и экстренной помощи этим семьям, данное учреждение приступило к процессу, в рамках которого оно намеревается устранить коренную причину этой проблемы, заключающейся в безнадзорности и утрате связей со своей общиной.  С этой целью разработан новый подход к социальной деятельности, состоящий в оказании помощи представителям коренного населения в их собственных общинах, с тем чтобы более эффективно удовлетворять существующие потребности и одновременно поощрять развитие этих общин.</w:t>
      </w:r>
    </w:p>
    <w:p w:rsidR="00000000" w:rsidRDefault="00000000"/>
    <w:p w:rsidR="00000000" w:rsidRDefault="00000000">
      <w:r>
        <w:t>123.</w:t>
      </w:r>
      <w:r>
        <w:tab/>
        <w:t>Основным способом удовлетворения возникающих потребностей является регулярное предоставление членам общин продуктов питания (риса, макаронных изделий, фасоли, круп, сахара, мате, галет, масел и мясных консервов).  При снабжении общин продовольствием учреждение удостоверяется в том, что семьи действительно получают продукты питания, с тем чтобы ими не распоряжались по своему усмотрению руководители общин.  Это вызвано тем, что отмечались некоторые случаи, когда руководители общин наживались на сбыте полученных продуктов питания, которые так и не доходили до действительно нуждающихся семей.  Как правило, продукты предоставляются в виде дневного пайка либо в качестве добавки к питанию во время уборочных работ, либо в качестве поддержки для питания больных лиц.  Помимо продуктов питания семьи получают орудия труда и посевной материал, что позволяет им самим заниматься производством продуктов питания для своего обеспечения.</w:t>
      </w:r>
    </w:p>
    <w:p w:rsidR="00000000" w:rsidRDefault="00000000"/>
    <w:p w:rsidR="00000000" w:rsidRDefault="00000000">
      <w:r>
        <w:t>124.</w:t>
      </w:r>
      <w:r>
        <w:tab/>
        <w:t>В связи с этим необходимо, отметить факт предоставления продуктов питания и палаток и оказания медицинской помощи представителям коренных народов, которые в течение одного месяца находились на площади Италии (в столице страны) в ожидании принятия нового статута коренных народов.  Эта деятельность осуществлялась при поддержке Национального управления благотворительности (ДИБЕН) и Секретариата по чрезвычайным ситуациям (СЕН).  Такие же меры принимались в отношении коренных лиц, которые расположились в "Семинарио метрополитано" в знак несогласия с законом, принятым конгрессом.  В настоящее время этот законопроект частично заблокирован в результате вето президента.</w:t>
      </w:r>
    </w:p>
    <w:p w:rsidR="00000000" w:rsidRDefault="00000000"/>
    <w:p w:rsidR="00000000" w:rsidRDefault="00000000">
      <w:r>
        <w:t>125.</w:t>
      </w:r>
      <w:r>
        <w:tab/>
        <w:t>В сфере здравоохранения учреждение в координации с министерством здравоохранения и социального обеспечения проводит работу в различных центрах по оказанию медицинской помощи, больницах, Институте имени Хуана Макса Бетнера, Институте матери и ребенка, пунктах неотложной медицинской помощи, клинической больнице и военном госпитале, в частности для обеспечения необходимой медицинской помощи этим общинам.  Результаты общей оценки положения в области здравоохранения коренного населения, на обычной основе получающего помощь от ИНДИ, позволяют утверждать, что это население страдает в основном следующими заболеваниями:  острыми респираторными и диарейными заболеваниями, паразитозом, анемией, истощением, туберкулезом и другими болезнями.</w:t>
      </w:r>
    </w:p>
    <w:p w:rsidR="00000000" w:rsidRDefault="00000000"/>
    <w:p w:rsidR="00000000" w:rsidRDefault="00000000">
      <w:r>
        <w:t>126.</w:t>
      </w:r>
      <w:r>
        <w:tab/>
        <w:t>Учреждения располагают бюджетом в размере 6 млрд. гуарани, позволяющим обслуживать 22 из 412 имеющихся общин.  Тем не менее в рамках усилий по оптимизации своих ресурсов ИНДИ в настоящее время обслуживает 60 общин, в которых проживает 1 200 семей.  Важно уточнить, что лица коренной национальности, временно проживающие в столице, регулярно обращаются в ИНДИ, чьи помещения не являются достаточно просторными для приема такого числа лиц и не могут обеспечить условия для предоставления временного приюта, хотя во многих случаях именно так и происходит.</w:t>
      </w:r>
    </w:p>
    <w:p w:rsidR="00000000" w:rsidRDefault="00000000"/>
    <w:p w:rsidR="00000000" w:rsidRDefault="00000000">
      <w:r>
        <w:t>127.</w:t>
      </w:r>
      <w:r>
        <w:tab/>
        <w:t>В порядке оказания временной помощи этим лицам, которые обращаются в Институт, в частности за медицинской помощью, его сотрудники сами или в сотрудничестве с другими учреждениями занимаются организацией содействия этим лицам, как это происходило в отношении манифестантов, занимавших ряд площадей, которые ежедневно получали трехразовое питание.  Как правило, этих манифестантов приводят лидеры их общин или другие лица и организации в стремлении отстоять их права, однако во многих случаях ими бессовестно манипулируют ради достижения личной выгоды.  Вследствие этого повышается степень их уязвимости</w:t>
      </w:r>
      <w:r>
        <w:rPr>
          <w:rStyle w:val="FootnoteReference"/>
        </w:rPr>
        <w:footnoteReference w:id="17"/>
      </w:r>
      <w:r>
        <w:t>.</w:t>
      </w:r>
    </w:p>
    <w:p w:rsidR="00000000" w:rsidRDefault="00000000"/>
    <w:p w:rsidR="00000000" w:rsidRDefault="00000000">
      <w:pPr>
        <w:jc w:val="center"/>
        <w:rPr>
          <w:b/>
          <w:bCs/>
        </w:rPr>
      </w:pPr>
      <w:r>
        <w:rPr>
          <w:b/>
          <w:bCs/>
        </w:rPr>
        <w:t>В.</w:t>
      </w:r>
      <w:r>
        <w:rPr>
          <w:b/>
          <w:bCs/>
        </w:rPr>
        <w:tab/>
        <w:t>Программы и проекты в процессе осуществления:</w:t>
      </w:r>
    </w:p>
    <w:p w:rsidR="00000000" w:rsidRDefault="00000000">
      <w:pPr>
        <w:rPr>
          <w:b/>
          <w:bCs/>
        </w:rPr>
      </w:pPr>
    </w:p>
    <w:p w:rsidR="00000000" w:rsidRDefault="00000000">
      <w:pPr>
        <w:ind w:left="1134" w:hanging="1134"/>
      </w:pPr>
      <w:r>
        <w:tab/>
        <w:t>-</w:t>
      </w:r>
      <w:r>
        <w:tab/>
        <w:t>Проект по укреплению институционального потенциала коренного населения Парагвая, осуществляемый при поддержке Межамериканского банка развития (МБР);</w:t>
      </w:r>
    </w:p>
    <w:p w:rsidR="00000000" w:rsidRDefault="00000000">
      <w:pPr>
        <w:ind w:left="1134" w:hanging="1134"/>
      </w:pPr>
    </w:p>
    <w:p w:rsidR="00000000" w:rsidRDefault="00000000">
      <w:pPr>
        <w:ind w:left="1134" w:hanging="1134"/>
      </w:pPr>
      <w:r>
        <w:tab/>
        <w:t>-</w:t>
      </w:r>
      <w:r>
        <w:tab/>
        <w:t>Проект по совершенствованию системы обеспечения медицинской помощи и продовольственной безопасности коренных общин в департаментах Каагуасу, Пресиденте-Айес и Бокерон, осуществляемый при поддержке Агентства по международному сотрудничеству Кореи (в английской аббревиатуре - KOICA);</w:t>
      </w:r>
    </w:p>
    <w:p w:rsidR="00000000" w:rsidRDefault="00000000">
      <w:pPr>
        <w:ind w:left="1134" w:hanging="1134"/>
      </w:pPr>
    </w:p>
    <w:p w:rsidR="00000000" w:rsidRDefault="00000000">
      <w:pPr>
        <w:ind w:left="1134" w:hanging="1134"/>
      </w:pPr>
      <w:r>
        <w:tab/>
        <w:t>-</w:t>
      </w:r>
      <w:r>
        <w:tab/>
        <w:t>Программа социальной реинтеграции бездомных семей из числа коренных жителей:  укрепление организационных и производственных возможностей их общин в сотрудничестве с Национальным секретариатом по делам детей и подростков.</w:t>
      </w:r>
    </w:p>
    <w:p w:rsidR="00000000" w:rsidRDefault="00000000">
      <w:pPr>
        <w:ind w:left="1134" w:hanging="1134"/>
      </w:pPr>
    </w:p>
    <w:p w:rsidR="00000000" w:rsidRDefault="00000000">
      <w:pPr>
        <w:rPr>
          <w:b/>
          <w:bCs/>
        </w:rPr>
      </w:pPr>
      <w:r>
        <w:rPr>
          <w:b/>
          <w:bCs/>
        </w:rPr>
        <w:t>Статья 2</w:t>
      </w:r>
    </w:p>
    <w:p w:rsidR="00000000" w:rsidRDefault="00000000">
      <w:pPr>
        <w:rPr>
          <w:b/>
          <w:bCs/>
        </w:rPr>
      </w:pPr>
    </w:p>
    <w:p w:rsidR="00000000" w:rsidRDefault="00000000">
      <w:r>
        <w:t>128.</w:t>
      </w:r>
      <w:r>
        <w:tab/>
        <w:t>Статья 46 Национальной конституции представляет собой нормообразующие рамки для обеспечения равенства всех лиц, поскольку в ней устанавливается, что "все жители Республики равны в своем достоинстве и правах.  Какая-либо дискриминация не допускается.  Государство устраняет препятствия и факторы, которые способствуют ее сохранению или благоприятствуют ей".  Помимо этого, "меры защиты, применяемые в ситуациях несправедливого неравенства, считаются не дискриминационными, а уравнивающими факторами".</w:t>
      </w:r>
    </w:p>
    <w:p w:rsidR="00000000" w:rsidRDefault="00000000"/>
    <w:p w:rsidR="00000000" w:rsidRDefault="00000000">
      <w:r>
        <w:t>129.</w:t>
      </w:r>
      <w:r>
        <w:tab/>
        <w:t>Хотя в парагвайском законодательстве не существует дискриминационных ограничений, которые препятствуют осуществлению закрепленных в Пакте прав, и в частности по отношению к какой-либо уязвимой группе, основной целью Закона № 2532 является создание зоны безопасности в пограничных районах, ограждающей приграничную полосу от приватизации парагвайской территории иностранцами.</w:t>
      </w:r>
    </w:p>
    <w:p w:rsidR="00000000" w:rsidRDefault="00000000"/>
    <w:p w:rsidR="00000000" w:rsidRDefault="00000000">
      <w:r>
        <w:t>130.</w:t>
      </w:r>
      <w:r>
        <w:tab/>
        <w:t xml:space="preserve">Так, Закон № 2532 гласит следующее:  "Статья 1 - Устанавливается </w:t>
      </w:r>
      <w:r>
        <w:rPr>
          <w:b/>
          <w:bCs/>
        </w:rPr>
        <w:t>приграничная зона безопасности</w:t>
      </w:r>
      <w:r>
        <w:t xml:space="preserve"> полосой в 50 км вдоль линий наземной и водной границы вглубь национальной территории.  Статья 2 - За исключением разрешения, данного президентским указом на основании соображений общественной пользы, например, в отношении деятельности, обеспечивающей занятость в приграничной зоне безопасности, иностранцы из числа жителей из сопредельных с Республикой стран или юридические лица, принадлежащие преимущественно иностранцам из числа жителей какой-либо из сопредельных с Республикой стран, не могут становиться владельцами или совместными владельцами недвижимости в сельской местности или лицами, извлекающими доходы от такого имущества".</w:t>
      </w:r>
    </w:p>
    <w:p w:rsidR="00000000" w:rsidRDefault="00000000"/>
    <w:p w:rsidR="00000000" w:rsidRDefault="00000000">
      <w:r>
        <w:t>131.</w:t>
      </w:r>
      <w:r>
        <w:tab/>
        <w:t xml:space="preserve">Статья 45 Закона № 1863, озаглавленная </w:t>
      </w:r>
      <w:r>
        <w:rPr>
          <w:b/>
          <w:bCs/>
          <w:i/>
          <w:iCs/>
        </w:rPr>
        <w:t>"Ограничение присуждения имущества на приграничных землях"</w:t>
      </w:r>
      <w:r>
        <w:t>, гласит следующее:  "Устанавливается, что в официально созданных поселениях земли присуждаются исключительно парагвайским гражданам, за исключением случаев, оговоренных в настоящем законе.  В частных владениях, создаваемых после провозглашения настоящего закона на приграничных землях, каковыми считаются земли в полосе национальной территории шириной в 50 км от границы, соответствующие земельные участки присуждаются парагвайским гражданам в доле не менее 50% (пятьдесят процентов)".</w:t>
      </w:r>
    </w:p>
    <w:p w:rsidR="00000000" w:rsidRDefault="00000000"/>
    <w:p w:rsidR="00000000" w:rsidRDefault="00000000">
      <w:r>
        <w:t>132.</w:t>
      </w:r>
      <w:r>
        <w:tab/>
        <w:t>Что касается трудового законодательства для иностранцев, и в частности в отношении разрешения на работу или проживания в стране, то Закон о миграции устанавливает следующее:</w:t>
      </w:r>
    </w:p>
    <w:p w:rsidR="00000000" w:rsidRDefault="00000000"/>
    <w:p w:rsidR="00000000" w:rsidRDefault="00000000">
      <w:pPr>
        <w:numPr>
          <w:ilvl w:val="0"/>
          <w:numId w:val="84"/>
        </w:numPr>
        <w:tabs>
          <w:tab w:val="clear" w:pos="1134"/>
        </w:tabs>
      </w:pPr>
      <w:r>
        <w:rPr>
          <w:b/>
          <w:bCs/>
        </w:rPr>
        <w:t>Статья 62</w:t>
      </w:r>
      <w:r>
        <w:t>.  Иностранцам, нелегально проживающим в стране, запрещается работать за вознаграждение или заниматься доходной деятельностью, будь то самостоятельно или по найму, в чьем-либо подчинении или без такового;</w:t>
      </w:r>
    </w:p>
    <w:p w:rsidR="00000000" w:rsidRDefault="00000000">
      <w:pPr>
        <w:tabs>
          <w:tab w:val="clear" w:pos="1134"/>
        </w:tabs>
      </w:pPr>
    </w:p>
    <w:p w:rsidR="00000000" w:rsidRDefault="00000000">
      <w:pPr>
        <w:numPr>
          <w:ilvl w:val="0"/>
          <w:numId w:val="84"/>
        </w:numPr>
        <w:tabs>
          <w:tab w:val="clear" w:pos="1134"/>
        </w:tabs>
      </w:pPr>
      <w:r>
        <w:rPr>
          <w:b/>
          <w:bCs/>
        </w:rPr>
        <w:t>Статья 63</w:t>
      </w:r>
      <w:r>
        <w:t>.  Ни одно физическое или юридическое государственное или частное лицо не может предоставлять вознаграждаемую работу или занятие иностранцам, нелегально проживающим в стране, или, в случае их легального проживания, неправомочным осуществлять такую деятельность;</w:t>
      </w:r>
    </w:p>
    <w:p w:rsidR="00000000" w:rsidRDefault="00000000">
      <w:pPr>
        <w:tabs>
          <w:tab w:val="clear" w:pos="1134"/>
        </w:tabs>
      </w:pPr>
    </w:p>
    <w:p w:rsidR="00000000" w:rsidRDefault="00000000">
      <w:pPr>
        <w:numPr>
          <w:ilvl w:val="0"/>
          <w:numId w:val="84"/>
        </w:numPr>
        <w:tabs>
          <w:tab w:val="clear" w:pos="1134"/>
        </w:tabs>
      </w:pPr>
      <w:r>
        <w:rPr>
          <w:b/>
          <w:bCs/>
        </w:rPr>
        <w:t>Статья 68</w:t>
      </w:r>
      <w:r>
        <w:t>.  Любой работодатель, предоставляющий работу или занятие иностранцам или заключающий с ними трудовой договор, будь то в целях осуществления ими самостоятельной деятельности или под чьим-либо руководством, обязан без каких-либо исключений истребовать у иностранца парагвайский документ, удостоверяющий личность, в котором указывается, что иностранец является постоянным или временным резидентом и что, в последнем случае, срок его пребывания не истек, а также что он имеет разрешение на работу;</w:t>
      </w:r>
    </w:p>
    <w:p w:rsidR="00000000" w:rsidRDefault="00000000">
      <w:pPr>
        <w:tabs>
          <w:tab w:val="clear" w:pos="1134"/>
        </w:tabs>
      </w:pPr>
    </w:p>
    <w:p w:rsidR="00000000" w:rsidRDefault="00000000">
      <w:pPr>
        <w:numPr>
          <w:ilvl w:val="0"/>
          <w:numId w:val="84"/>
        </w:numPr>
        <w:tabs>
          <w:tab w:val="clear" w:pos="1134"/>
        </w:tabs>
      </w:pPr>
      <w:r>
        <w:rPr>
          <w:b/>
          <w:bCs/>
        </w:rPr>
        <w:t>Статья 69</w:t>
      </w:r>
      <w:r>
        <w:t>.  Владельцам, администраторам или управляющим гостиниц, пансионов или аналогичных заведений запрещается предоставлять кров иностранцам, нелегально находящимся в стране;</w:t>
      </w:r>
    </w:p>
    <w:p w:rsidR="00000000" w:rsidRDefault="00000000">
      <w:pPr>
        <w:tabs>
          <w:tab w:val="clear" w:pos="1134"/>
        </w:tabs>
      </w:pPr>
    </w:p>
    <w:p w:rsidR="00000000" w:rsidRDefault="00000000">
      <w:pPr>
        <w:numPr>
          <w:ilvl w:val="0"/>
          <w:numId w:val="84"/>
        </w:numPr>
        <w:tabs>
          <w:tab w:val="clear" w:pos="1134"/>
        </w:tabs>
      </w:pPr>
      <w:r>
        <w:rPr>
          <w:b/>
          <w:bCs/>
        </w:rPr>
        <w:t>Статья 70</w:t>
      </w:r>
      <w:r>
        <w:t>.  Любое выявленное нарушение миграционного режима в отношении предоставления работы или крова иностранцам должно доводиться до сведения миграционного органа в течение 48 часов, с тем чтобы он мог выполнить свои функции, установленные в законе;</w:t>
      </w:r>
    </w:p>
    <w:p w:rsidR="00000000" w:rsidRDefault="00000000">
      <w:pPr>
        <w:tabs>
          <w:tab w:val="clear" w:pos="1134"/>
        </w:tabs>
      </w:pPr>
    </w:p>
    <w:p w:rsidR="00000000" w:rsidRDefault="00000000">
      <w:pPr>
        <w:numPr>
          <w:ilvl w:val="0"/>
          <w:numId w:val="84"/>
        </w:numPr>
        <w:tabs>
          <w:tab w:val="clear" w:pos="1134"/>
        </w:tabs>
      </w:pPr>
      <w:r>
        <w:rPr>
          <w:b/>
          <w:bCs/>
        </w:rPr>
        <w:t>Статья 71</w:t>
      </w:r>
      <w:r>
        <w:t>.  В целях проверки выполнения предыдущего положения Главное управление по миграции может осуществлять проверки в местах работы и проживания и, в случае выявления нарушений миграционного законодательства, издавать соответствующие постановления;</w:t>
      </w:r>
    </w:p>
    <w:p w:rsidR="00000000" w:rsidRDefault="00000000">
      <w:pPr>
        <w:tabs>
          <w:tab w:val="clear" w:pos="1134"/>
        </w:tabs>
      </w:pPr>
    </w:p>
    <w:p w:rsidR="00000000" w:rsidRDefault="00000000">
      <w:pPr>
        <w:numPr>
          <w:ilvl w:val="0"/>
          <w:numId w:val="84"/>
        </w:numPr>
        <w:tabs>
          <w:tab w:val="clear" w:pos="1134"/>
        </w:tabs>
      </w:pPr>
      <w:r>
        <w:rPr>
          <w:b/>
          <w:bCs/>
        </w:rPr>
        <w:t>Статья 72</w:t>
      </w:r>
      <w:r>
        <w:t>.  Выявляемые в ходе проверки нарушения не освобождают работодателей от выплаты лицам, которым были предоставлены работа или занятие в нарушение положений закона, соответствующих окладов, заработной платы или вознаграждения иного рода.</w:t>
      </w:r>
    </w:p>
    <w:p w:rsidR="00000000" w:rsidRDefault="00000000">
      <w:pPr>
        <w:tabs>
          <w:tab w:val="clear" w:pos="1134"/>
        </w:tabs>
      </w:pPr>
    </w:p>
    <w:p w:rsidR="00000000" w:rsidRDefault="00000000">
      <w:r>
        <w:t>133.</w:t>
      </w:r>
      <w:r>
        <w:tab/>
        <w:t>С другой стороны, Парагвай почти во всех случаях является получателем помощи по линии международного сотрудничества, несмотря на то, что за последнее десятилетие военнослужащие вооруженных сил страны участвовали в миротворческих миссиях в рамках усилий, предпринимаемых Организацией Объединенных Наций и Организацией американских государств.  В этой связи, хотя такие миссии и носят военный характер, предпринимаются все усилия для того, чтобы парагвайский контингент был надлежащим образом проинструктирован по вопросам прав человека и в отношении норм, направленных на безусловное уважение человеческого достоинства.  Это способствует также обеспечению прав человека в ходе выполнения таких миссий по поддержанию мира</w:t>
      </w:r>
      <w:r>
        <w:rPr>
          <w:rStyle w:val="FootnoteReference"/>
        </w:rPr>
        <w:footnoteReference w:id="18"/>
      </w:r>
      <w:r>
        <w:t>.</w:t>
      </w:r>
    </w:p>
    <w:p w:rsidR="00000000" w:rsidRDefault="00000000"/>
    <w:p w:rsidR="00000000" w:rsidRDefault="00000000">
      <w:pPr>
        <w:rPr>
          <w:b/>
          <w:bCs/>
        </w:rPr>
      </w:pPr>
      <w:r>
        <w:rPr>
          <w:b/>
          <w:bCs/>
        </w:rPr>
        <w:t>Статья 3</w:t>
      </w:r>
    </w:p>
    <w:p w:rsidR="00000000" w:rsidRDefault="00000000">
      <w:pPr>
        <w:rPr>
          <w:b/>
          <w:bCs/>
        </w:rPr>
      </w:pPr>
    </w:p>
    <w:p w:rsidR="00000000" w:rsidRDefault="00000000">
      <w:r>
        <w:t>134.</w:t>
      </w:r>
      <w:r>
        <w:tab/>
        <w:t>В целях поощрения гендерного равенства, искоренения дискриминации и насилия в отношении женщин Секретариат по делам женщин при Президенте Республики, учрежденный в соответствии с Законом № 34/92, в качестве своей основной задачи обеспечивает учет гендерной перспективы в государственной деятельности посредством осуществления планов, программ, проектов и законодательных положений.  С 1994 года Секретариат по делам женщин в рамках своего межучрежденческого сотрудничества разработал следующие планы:  Национальный план по предупреждению насилия в отношении женщин и наказанию за него, первый Национальный план по обеспечению равенства возможностей в интересах женщин на 1997-2001 годы, второй Национальный план по обеспечению равенства возможностей между женщинами и мужчинами на 2003</w:t>
      </w:r>
      <w:r>
        <w:noBreakHyphen/>
        <w:t>2007 годы, который был утвержден президентским указом № 1958/04, а также первый и второй Национальные планы по охране сексуального и репродуктивного здоровья в соответствии с КЛДРЖ, Пекинской платформой и семью основными международными договорами по правам человека, ратифицированными Парагваем в 1994-2005 годах.</w:t>
      </w:r>
    </w:p>
    <w:p w:rsidR="00000000" w:rsidRDefault="00000000"/>
    <w:p w:rsidR="00000000" w:rsidRDefault="00000000">
      <w:r>
        <w:t>135.</w:t>
      </w:r>
      <w:r>
        <w:tab/>
        <w:t>В 1995 году совместно с министерством просвещения и культуры было начато осуществление Национальной программы по обеспечению равенства возможностей женщин в области образования (ПРИОМЕ), основная цель которой состоит в учете гендерной перспективы в сфере образования.  Она предусматривает такие основные направления деятельности:</w:t>
      </w:r>
    </w:p>
    <w:p w:rsidR="00000000" w:rsidRDefault="00000000"/>
    <w:p w:rsidR="00000000" w:rsidRDefault="00000000">
      <w:pPr>
        <w:ind w:left="1134" w:hanging="567"/>
      </w:pPr>
      <w:r>
        <w:t>1.</w:t>
      </w:r>
      <w:r>
        <w:tab/>
        <w:t>Подготовка и повышение уровня информированности руководящих работников, преподавателей, воспитателей, административных сотрудников и общинных лидеров;  что предусматривает охват значительной части работников сферы образования в рамках осуществления Плана в области образования ("План Ньяндути" на 2004</w:t>
      </w:r>
      <w:r>
        <w:noBreakHyphen/>
        <w:t xml:space="preserve">2015 годы) и реализацию этой политики по ведомственным планам и планам в сфере образования.  </w:t>
      </w:r>
    </w:p>
    <w:p w:rsidR="00000000" w:rsidRDefault="00000000">
      <w:pPr>
        <w:ind w:left="1134" w:hanging="567"/>
      </w:pPr>
    </w:p>
    <w:p w:rsidR="00000000" w:rsidRDefault="00000000">
      <w:pPr>
        <w:ind w:left="1134" w:hanging="567"/>
      </w:pPr>
      <w:r>
        <w:t>2.</w:t>
      </w:r>
      <w:r>
        <w:tab/>
        <w:t xml:space="preserve">Пропаганда и информирование о важности гендерного фактора через средства массовой информации.  </w:t>
      </w:r>
    </w:p>
    <w:p w:rsidR="00000000" w:rsidRDefault="00000000">
      <w:pPr>
        <w:ind w:left="1134" w:hanging="567"/>
      </w:pPr>
    </w:p>
    <w:p w:rsidR="00000000" w:rsidRDefault="00000000">
      <w:pPr>
        <w:ind w:left="1134" w:hanging="567"/>
      </w:pPr>
      <w:r>
        <w:t>3.</w:t>
      </w:r>
      <w:r>
        <w:tab/>
        <w:t>Подготовка образовательных рекламных роликов, афиш, плакатов и листовок для их распространения в сфере образования.</w:t>
      </w:r>
    </w:p>
    <w:p w:rsidR="00000000" w:rsidRDefault="00000000">
      <w:pPr>
        <w:ind w:left="1134" w:hanging="567"/>
      </w:pPr>
    </w:p>
    <w:p w:rsidR="00000000" w:rsidRDefault="00000000">
      <w:pPr>
        <w:ind w:left="1134" w:hanging="567"/>
      </w:pPr>
      <w:r>
        <w:t>4.</w:t>
      </w:r>
      <w:r>
        <w:tab/>
        <w:t>Инициативная деятельность:  программа предусматривает сотрудничество с организациями гражданского общества, государственными учреждениями и международными организациями в целях поддержки стратегий по созданию потенциала в области формального образования.</w:t>
      </w:r>
    </w:p>
    <w:p w:rsidR="00000000" w:rsidRDefault="00000000">
      <w:pPr>
        <w:ind w:left="1134" w:hanging="567"/>
      </w:pPr>
    </w:p>
    <w:p w:rsidR="00000000" w:rsidRDefault="00000000">
      <w:pPr>
        <w:ind w:left="1134" w:hanging="567"/>
      </w:pPr>
      <w:r>
        <w:t>5.</w:t>
      </w:r>
      <w:r>
        <w:tab/>
        <w:t xml:space="preserve">Проведение среди работников сферы образования постоянных дискуссий и обменов мнениями путем организации форумов, тематических диспутов и семинаров с широким кругом участников, включая учеников начальных классов и представителей молодежи и престарелых.  </w:t>
      </w:r>
    </w:p>
    <w:p w:rsidR="00000000" w:rsidRDefault="00000000">
      <w:pPr>
        <w:ind w:left="1134" w:hanging="567"/>
      </w:pPr>
    </w:p>
    <w:p w:rsidR="00000000" w:rsidRDefault="00000000">
      <w:pPr>
        <w:ind w:left="1134" w:hanging="567"/>
      </w:pPr>
      <w:r>
        <w:t>6.</w:t>
      </w:r>
      <w:r>
        <w:tab/>
        <w:t xml:space="preserve">Разработка МПК различных методов межучрежденческого информирования относительно гендерного подхода.  </w:t>
      </w:r>
    </w:p>
    <w:p w:rsidR="00000000" w:rsidRDefault="00000000">
      <w:pPr>
        <w:ind w:left="1134" w:hanging="567"/>
      </w:pPr>
    </w:p>
    <w:p w:rsidR="00000000" w:rsidRDefault="00000000">
      <w:pPr>
        <w:ind w:left="1134" w:hanging="567"/>
      </w:pPr>
      <w:r>
        <w:t>7.</w:t>
      </w:r>
      <w:r>
        <w:tab/>
        <w:t>Анализ и пересмотр учебных пособий и материалов, подлежащих включению в учебные программы.</w:t>
      </w:r>
    </w:p>
    <w:p w:rsidR="00000000" w:rsidRDefault="00000000">
      <w:pPr>
        <w:ind w:left="1134" w:hanging="567"/>
      </w:pPr>
    </w:p>
    <w:p w:rsidR="00000000" w:rsidRDefault="00000000">
      <w:r>
        <w:t>136.</w:t>
      </w:r>
      <w:r>
        <w:tab/>
        <w:t>Среди других видов деятельности следует отметить публикацию исследования по теме "Сексистская практика в школах" в рамках мероприятий ЮНИСЕФ, разработанных на основе результатов, которые получены в ходе исследования по теме "Совершенствование системы образования детей в Парагвае".  Помимо возобновления действия договоренности с Секретариатом по делам женщин при Президенте Республики, министерство просвещения и культуры подписало с Детским фондом Организации Объединенных Наций (ЮНИСЕФ) Рамочное соглашение по достижению целей в области развития, сформулированных в Декларации тысячелетия.  Оно осуществляется по линии Программы по обеспечению равенства возможностей и результатов для женщин в сфере образования (ПРИОМЕ).</w:t>
      </w:r>
    </w:p>
    <w:p w:rsidR="00000000" w:rsidRDefault="00000000"/>
    <w:p w:rsidR="00000000" w:rsidRDefault="00000000">
      <w:r>
        <w:t>137.</w:t>
      </w:r>
      <w:r>
        <w:tab/>
        <w:t xml:space="preserve">В дополнение к мерам поддержки и консультированию, при координации Управления непрерывного образования МПК осуществлялась программа двуязычного просвещения на гуарани и испанском языке по гендерной проблеме и организации в общинах производства, охраны здоровья и обучения.  Деятельность Секретариата по делам женщин в сфере образования, осуществляемая совместно с координационным органом ПРИОМЕ, направлена на содействие учету гендерного фактора.  Программа осуществляется в шести департаментах страны:  Гуайре, Каагуасу, Сан-Педро, Итапуа, Парагуари и Каасапа.  </w:t>
      </w:r>
    </w:p>
    <w:p w:rsidR="00000000" w:rsidRDefault="00000000"/>
    <w:p w:rsidR="00000000" w:rsidRDefault="00000000">
      <w:r>
        <w:t>138.</w:t>
      </w:r>
      <w:r>
        <w:tab/>
        <w:t>Представители Секретариата по делам женщин входят в состав Национальной трехсторонней комиссии по изучению и поощрению участия женщин в трудовой деятельности, созданной в соответствии с президентским указом в 1998 году.  Ее работа способствует проведению в обществе трехстороннего диалога между органами государственной власти, профсоюзами и предпринимателями.  Комиссия при поддержке МОТ провела исследования по следующим темам:  анализ гендерного фактора, нищета и занятость и работа по дому в Парагвае, а также действует в качестве консультативного органа Программы по гендерному равенству, борьбе с нищетой и обеспечению занятости в Парагвае.  Одновременно на протяжении шести месяцев в столичном регионе проводилась национальная кампания по борьбе с сексуальными домогательствами на рабочем месте.  Национальная трехсторонняя комиссия разработала план действий под названием "Программа действий по обеспечению достойных условий труда для парагвайских женщин на 2005 и 2006 годы", который предусматривает деятельность по следующим направлениям:</w:t>
      </w:r>
    </w:p>
    <w:p w:rsidR="00000000" w:rsidRDefault="00000000"/>
    <w:p w:rsidR="00000000" w:rsidRDefault="00000000">
      <w:pPr>
        <w:numPr>
          <w:ilvl w:val="0"/>
          <w:numId w:val="93"/>
        </w:numPr>
      </w:pPr>
      <w:r>
        <w:t>соблюдение основных прав в сфере труда в целях содействия присоединению к Конвенции МОТ № 156 (Трудящиеся с семейными обязанностями);</w:t>
      </w:r>
    </w:p>
    <w:p w:rsidR="00000000" w:rsidRDefault="00000000">
      <w:pPr>
        <w:tabs>
          <w:tab w:val="clear" w:pos="1134"/>
        </w:tabs>
      </w:pPr>
    </w:p>
    <w:p w:rsidR="00000000" w:rsidRDefault="00000000">
      <w:pPr>
        <w:numPr>
          <w:ilvl w:val="0"/>
          <w:numId w:val="93"/>
        </w:numPr>
      </w:pPr>
      <w:r>
        <w:t>поощрение занятости и расширение возможностей занятия доходоприносящей деятельностью в рамках усилий ассоциаций предпринимателей, входящих в трехстороннюю комиссию;</w:t>
      </w:r>
    </w:p>
    <w:p w:rsidR="00000000" w:rsidRDefault="00000000">
      <w:pPr>
        <w:tabs>
          <w:tab w:val="clear" w:pos="1134"/>
        </w:tabs>
      </w:pPr>
    </w:p>
    <w:p w:rsidR="00000000" w:rsidRDefault="00000000">
      <w:pPr>
        <w:numPr>
          <w:ilvl w:val="0"/>
          <w:numId w:val="93"/>
        </w:numPr>
      </w:pPr>
      <w:r>
        <w:t>расширение охвата трудящихся системой социального страхования путем внесения изменений в регламент Института социального обеспечения;</w:t>
      </w:r>
    </w:p>
    <w:p w:rsidR="00000000" w:rsidRDefault="00000000">
      <w:pPr>
        <w:tabs>
          <w:tab w:val="clear" w:pos="1134"/>
        </w:tabs>
      </w:pPr>
    </w:p>
    <w:p w:rsidR="00000000" w:rsidRDefault="00000000">
      <w:pPr>
        <w:numPr>
          <w:ilvl w:val="0"/>
          <w:numId w:val="93"/>
        </w:numPr>
      </w:pPr>
      <w:r>
        <w:t xml:space="preserve">поощрение диалога в обществе в целях повышения уровня информированности государственных служащих, трудящихся и предпринимателей по вопросам трудовых отношений с учетом гендерной перспективы.  </w:t>
      </w:r>
    </w:p>
    <w:p w:rsidR="00000000" w:rsidRDefault="00000000">
      <w:pPr>
        <w:tabs>
          <w:tab w:val="clear" w:pos="1134"/>
        </w:tabs>
      </w:pPr>
    </w:p>
    <w:p w:rsidR="00000000" w:rsidRDefault="00000000">
      <w:r>
        <w:t>139.</w:t>
      </w:r>
      <w:r>
        <w:tab/>
        <w:t xml:space="preserve">В 2001 году Секретариат по делам женщин создал Сеть по содействию в трудоустройстве и предпринимательской деятельности молодежи (сеть "ЙЕС"), которая занимается организацией форумов молодежи на национальном и международном уровнях.  Сеть "ЙЕС" координирует свою деятельность с межучрежденческой деятельностью на местном, региональном и международном уровнях, укрепляя взаимодействие между общественными и частными молодежными организациями в масштабах страны в целях согласования и разработки совместных мер, а также вынесения конкретных рекомендаций в отношении политики и стратегий обеспечения занятости и развития предпринимательства и предприимчивости молодежи с упором на учет гендерного фактора.  </w:t>
      </w:r>
    </w:p>
    <w:p w:rsidR="00000000" w:rsidRDefault="00000000">
      <w:pPr>
        <w:rPr>
          <w:lang w:val="en-US"/>
        </w:rPr>
      </w:pPr>
    </w:p>
    <w:p w:rsidR="00000000" w:rsidRDefault="00000000">
      <w:r>
        <w:t>140.</w:t>
      </w:r>
      <w:r>
        <w:tab/>
        <w:t>В 2002 году осуществлялись мероприятия по оценке прогресса в выполнении планов Секретариата по делам женщин и его взаимодействия с координаторами усилий по реализации повестки дня в интересах женщин в Парагвае.  В 2003 году на основе внутренних и внешних оценок деятельности был начат процесс модернизации институциональной системы для укрепления стратегий взаимодействия Секретариата по делам женщин с государственными институтами, и было положено начало процессам сотрудничества с организациями гражданского общества, особенно с теми из них, которые занимаются поощрением прав человека женщин.  В этой связи создается Управление по децентрализации, на которое возлагается задача поддержки процесса децентрализации с обеспечением учета гендерного фактора во всех частях страны.</w:t>
      </w:r>
    </w:p>
    <w:p w:rsidR="00000000" w:rsidRDefault="00000000"/>
    <w:p w:rsidR="00000000" w:rsidRDefault="00000000">
      <w:r>
        <w:t>141.</w:t>
      </w:r>
      <w:r>
        <w:tab/>
        <w:t>В разделе III упомянутого Плана поставлена следующая общая задача:  "Обеспечить равенство женщин и мужчин в вопросах трудового стажа, условий труда, доступа к экономическим ресурсам и рабочим местам и контроля над ними".  В этой связи были предприняты усилия по разработке межучрежденческих мероприятий в интересах обеспечения доступа женщин к земле, кредитованию и рабочим местам в форме осуществления производственных проектов и разработки оперативных программ и планов.  Для этого между Секретариатом по делам женщин при Президенте Республики и министерством земледелия и животноводства было заключено соглашение на 2001</w:t>
      </w:r>
      <w:r>
        <w:noBreakHyphen/>
        <w:t>2006 годы.</w:t>
      </w:r>
    </w:p>
    <w:p w:rsidR="00000000" w:rsidRDefault="00000000"/>
    <w:p w:rsidR="00000000" w:rsidRDefault="00000000">
      <w:r>
        <w:t>142.</w:t>
      </w:r>
      <w:r>
        <w:tab/>
        <w:t xml:space="preserve">Цель этого соглашения заключается в координации и осуществлении совместных мер в области сельского хозяйства с учетом гендерной перспективы в политике, планах, программах и проектах учреждений агроживотноводческого сектора, которые разрабатываются в рамках секторальной государственной политики, а также в реализации  Плана по обеспечению равенства возможностей женщин при координации со стороны Управления по гендерным вопросам и делам сельской молодежи, созданного для этой цели министерством земледелия и животноводства.  Помимо этого, соглашение с ДЕВНЕТ, подписанное в целях осуществления Программы "Виннер", на период с апреля 2005 года по апрель 2006 года предусматривает создание виртуального портала для женщин-предпринимателей, работающих на официально зарегистрированных микро-, малых и средних предприятиях, через который обеспечивается доступ к новым информационно-коммуникационным и учебным технологиям, а также даются объявления о предложении и спросе на их продукцию.  Этот вебсайт размещен по адресу:  </w:t>
      </w:r>
      <w:hyperlink r:id="rId28" w:history="1">
        <w:r>
          <w:rPr>
            <w:rStyle w:val="Hyperlink"/>
            <w:lang w:val="en-US"/>
          </w:rPr>
          <w:t>www</w:t>
        </w:r>
        <w:r>
          <w:rPr>
            <w:rStyle w:val="Hyperlink"/>
          </w:rPr>
          <w:t>.</w:t>
        </w:r>
        <w:r>
          <w:rPr>
            <w:rStyle w:val="Hyperlink"/>
            <w:lang w:val="en-US"/>
          </w:rPr>
          <w:t>winnernet</w:t>
        </w:r>
        <w:r>
          <w:rPr>
            <w:rStyle w:val="Hyperlink"/>
          </w:rPr>
          <w:t>.</w:t>
        </w:r>
        <w:r>
          <w:rPr>
            <w:rStyle w:val="Hyperlink"/>
            <w:lang w:val="en-US"/>
          </w:rPr>
          <w:t>org</w:t>
        </w:r>
      </w:hyperlink>
      <w:r>
        <w:t>.  Кроме того, в целях облегчения и обеспечения гибкости доступа женщин к кредитованию было заключено соглашение между Секретариатом по делам женщин и Промышленным союзом Парагвая, а также налажено взаимодействие между Секретариатом по делам женщин и Национальным банком развития.  Секретариат осуществляет совместный план действий в сотрудничестве с Национальным комитетом женщин - членов кооперативов в составе Парагвайской конфедерации кооперативов.  В рамках этого учреждения было подготовлено свыше 170 женщин - членов кооперативов и были организованы национальные и международные совещания, на которых проводились встречи на национальном уровне, и различные учебные мероприятия на темы:  "Гендерное измерение в кредитной политике и секторе микропредпринимательства и борьба с нищетой", "Создание рамок деятельности для учета интересов женщин в политике в сфере занятости и на рынке труда в Парагвае" и "Роль кооперативов в государственной политике на местном уровне и в условиях международной интеграции".  Осуществляется опытный проект "Ликвидация сексистских парадигм" и первый этап учебного семинара для женщин - глав домохозяйств из "зоны бедности" города Асунсьон.  Женщины - главы домохозяйств участвовали в осуществлении производственных инициатив при поддержке организации "Бнай Брит", которая предоставила оборудование для швейных ателье в 17 департаментах страны.  В сотрудничестве с КОНАМУРИ осуществлялось 76 проектов, включавших создание молочных ферм, развитие свиноводства, производства яиц и бройлеров, а также другую деятельность, в рамках которых в настоящее время идет подготовка кадров и принимаются последующие меры.</w:t>
      </w:r>
    </w:p>
    <w:p w:rsidR="00000000" w:rsidRDefault="00000000"/>
    <w:p w:rsidR="00000000" w:rsidRDefault="00000000">
      <w:r>
        <w:t>143.</w:t>
      </w:r>
      <w:r>
        <w:tab/>
        <w:t>Следует отметить, что по соглашению, подписанному с ДЕВНЕТ, осуществляется программа Организации Объединенных Наций "Виннер" при финансовой поддержке со стороны министерства иностранных дел Италии.  Секретариат по делам женщин выступает в роли национального отделения и создал пять бюро поддержки.  К настоящему времени были подготовлены 306 женщин-предпринимателей, и еще такое же количество женщин зарегистрировано в системе, что свидетельствует о превышении целевого показателя охвата проекта в сроки, предусмотренные для его осуществления.  Виртуальный портал позволяет им получать доступ к новым информационно-коммуникационным и учебным технологиям и дает им возможность для обмена мнениями организовывать деловые форумы и давать объявления о предложении и спросе на продукты и услуги.</w:t>
      </w:r>
    </w:p>
    <w:p w:rsidR="00000000" w:rsidRDefault="00000000"/>
    <w:p w:rsidR="00000000" w:rsidRDefault="00000000">
      <w:r>
        <w:t>144.</w:t>
      </w:r>
      <w:r>
        <w:tab/>
        <w:t>Секретариат по делам женщин поддержал проведение Латиноамериканского совещания по вопросам занятости молодежи в процессе достижения целей в области развития, сформулированных в Декларации тысячелетия, на тему "Молодежь - стратегический капитал для сокращения масштабов нищеты и укрепления демократического государственного строя", в работе которого приняли участие 300 представителей молодежи из 17 стран Латинской Америки и Карибского бассейна, а также из Японии и Тайваня.</w:t>
      </w:r>
    </w:p>
    <w:p w:rsidR="00000000" w:rsidRDefault="00000000"/>
    <w:p w:rsidR="00000000" w:rsidRDefault="00000000">
      <w:r>
        <w:t>145.</w:t>
      </w:r>
      <w:r>
        <w:tab/>
        <w:t>Другими вопросами, стоящими в повестке дня, являются вопросы обеспечения достойных условий труда для парагвайских женщин на основе Конвенции МОТ № 156 "Трудящиеся с семейными обязанностями" и социального обеспечения.  В целях повышения уровня информированности субъектов, занимающихся этими вопросами, при поддержке МОТ и трехсторонней комиссии среди организаций государственного и частного секторов был распространен текст Конвенции.</w:t>
      </w:r>
    </w:p>
    <w:p w:rsidR="00000000" w:rsidRDefault="00000000"/>
    <w:p w:rsidR="00000000" w:rsidRDefault="00000000">
      <w:r>
        <w:t>146.</w:t>
      </w:r>
      <w:r>
        <w:tab/>
        <w:t>Секретариат подписал с министерством юстиции и труда соглашение о координации функций в целях гарантирования осуществления этих принципов и основных прав женщин в сфере труда и обеспечить защиту прав человека женщин, лишенных свободы, с тем чтобы не допускать по отношению к ним какой-либо дискриминации и эффективно обеспечивать их равенство де-юро и де-факто.  МОТ и ЮНФПА оказывают поддержку в разработке, соответственно, программы и бюджета, которые позволят обеспечить достижение этих целей для координации с обоими учреждениями.</w:t>
      </w:r>
    </w:p>
    <w:p w:rsidR="00000000" w:rsidRDefault="00000000"/>
    <w:p w:rsidR="00000000" w:rsidRDefault="00000000">
      <w:r>
        <w:t>147.</w:t>
      </w:r>
      <w:r>
        <w:tab/>
        <w:t>Секретариат по делам женщин открыл Детский центр для детей сотрудников как самого учреждения, так и Национального конгресса и министерства общественных работ и связи, с тем чтобы обеспечить выполнение положений Трудового кодекса и более высокую степень совместимости между служебными и семейными обязанностями сотрудников.  Им были поддержаны также инициативы Центра документации и исследований (ЦДИ), направленные на включение в общественную повестку дня анализа законов и государственной политики, имеющих отношение к вознаграждаемой работе по дому в Парагвае.</w:t>
      </w:r>
    </w:p>
    <w:p w:rsidR="00000000" w:rsidRDefault="00000000"/>
    <w:p w:rsidR="00000000" w:rsidRDefault="00000000">
      <w:r>
        <w:t>148.</w:t>
      </w:r>
      <w:r>
        <w:tab/>
        <w:t>Секретариат по делам женщин входит в двухпалатную Национальную комиссию по охране природных ресурсов (КОНАДЕРНА) и намерен принимать эффективные и действенные меры для охраны экосистемы.  В этой связи Секретариат по делам женщин представил ряд замечаний к законопроектам, рассмотренным этой комиссией.  Некоторые из предложений включали в себя:</w:t>
      </w:r>
    </w:p>
    <w:p w:rsidR="00000000" w:rsidRDefault="00000000"/>
    <w:p w:rsidR="00000000" w:rsidRDefault="00000000">
      <w:pPr>
        <w:numPr>
          <w:ilvl w:val="0"/>
          <w:numId w:val="86"/>
        </w:numPr>
        <w:spacing w:before="120"/>
      </w:pPr>
      <w:r>
        <w:t>организацию семинара по ознакомлению кандидатов в сенаторы и депутаты с экологическим законодательством в Парагвае (2003 год);</w:t>
      </w:r>
    </w:p>
    <w:p w:rsidR="00000000" w:rsidRDefault="00000000">
      <w:pPr>
        <w:numPr>
          <w:ilvl w:val="0"/>
          <w:numId w:val="86"/>
        </w:numPr>
        <w:spacing w:before="120"/>
      </w:pPr>
      <w:r>
        <w:t>организацию форума по вопросам использования агрохимии и связанным с этим последствиям для здоровья человека;</w:t>
      </w:r>
    </w:p>
    <w:p w:rsidR="00000000" w:rsidRDefault="00000000">
      <w:pPr>
        <w:numPr>
          <w:ilvl w:val="0"/>
          <w:numId w:val="86"/>
        </w:numPr>
        <w:spacing w:before="120"/>
      </w:pPr>
      <w:r>
        <w:t>проведение общественных слушаний законопроекта о водных ресурсах;</w:t>
      </w:r>
    </w:p>
    <w:p w:rsidR="00000000" w:rsidRDefault="00000000">
      <w:pPr>
        <w:numPr>
          <w:ilvl w:val="0"/>
          <w:numId w:val="86"/>
        </w:numPr>
        <w:spacing w:before="120"/>
      </w:pPr>
      <w:r>
        <w:t>участие в составлении странового документа в рамках национального доклада ("Рио + 10"), который был представлен на Всемирной встрече на высшем уровне Организации Объединенных Наций по устойчивому развитию, Южная Африка, август 2002 года;</w:t>
      </w:r>
    </w:p>
    <w:p w:rsidR="00000000" w:rsidRDefault="00000000">
      <w:pPr>
        <w:numPr>
          <w:ilvl w:val="0"/>
          <w:numId w:val="86"/>
        </w:numPr>
        <w:spacing w:before="120"/>
      </w:pPr>
      <w:r>
        <w:t>осуществление процесса обновления соглашения о взаимном сотрудничестве между министерством земледелия и животноводства и Секретариатом по делам женщин, в котором предусматривается всеобъемлющий учет гендерного и экологического факторов;</w:t>
      </w:r>
    </w:p>
    <w:p w:rsidR="00000000" w:rsidRDefault="00000000">
      <w:pPr>
        <w:numPr>
          <w:ilvl w:val="0"/>
          <w:numId w:val="86"/>
        </w:numPr>
        <w:spacing w:before="120"/>
      </w:pPr>
      <w:r>
        <w:t>участие в период 2001-2004 годов представителя Секретариата по делам женщин в работе Национального совета по охране окружающей среды (КОНАМ);</w:t>
      </w:r>
    </w:p>
    <w:p w:rsidR="00000000" w:rsidRDefault="00000000">
      <w:pPr>
        <w:numPr>
          <w:ilvl w:val="0"/>
          <w:numId w:val="86"/>
        </w:numPr>
        <w:spacing w:before="120"/>
      </w:pPr>
      <w:r>
        <w:t>участие и поддержку Секретариата по делам женщин в осуществлении "Руководящих принципов разработки национальной экологической политики", которые в настоящее время отражают национальную политику в области охраны окружающей среды Парагвая;</w:t>
      </w:r>
    </w:p>
    <w:p w:rsidR="00000000" w:rsidRDefault="00000000">
      <w:pPr>
        <w:numPr>
          <w:ilvl w:val="0"/>
          <w:numId w:val="86"/>
        </w:numPr>
        <w:tabs>
          <w:tab w:val="clear" w:pos="567"/>
        </w:tabs>
        <w:spacing w:before="120"/>
      </w:pPr>
      <w:r>
        <w:t>подписание в 2003 году между Секретариатом по охране окружающей среды и Секретариатом по делам женщин соглашения в целях координации и осуществления совместных мер по охране окружающей среды с учетом гендерной перспективы в политике, планах, программах и проектах учреждений, образующих экологический сектор в рамках государственной секторальной политики и Второго национального плана по обеспечению равенства возможностей женщин и мужчин.</w:t>
      </w:r>
    </w:p>
    <w:p w:rsidR="00000000" w:rsidRDefault="00000000">
      <w:pPr>
        <w:tabs>
          <w:tab w:val="clear" w:pos="567"/>
        </w:tabs>
        <w:ind w:left="567"/>
      </w:pPr>
    </w:p>
    <w:p w:rsidR="00000000" w:rsidRDefault="00000000">
      <w:r>
        <w:t>149.</w:t>
      </w:r>
      <w:r>
        <w:tab/>
        <w:t>В своем постановлении № 02/2002 Рабочая подгруппа № 6 МЕРКОСУР, занимающаяся вопросами охраны окружающей среды, отметила, что "при рассмотрении программы работы будет принята во внимание резолюция № 84/00 Группы Общего рынка, в которой говорится о необходимости учета гендерной перспективы в основной деятельности в этой сфере.  Секретариат по делам женщин вошел в состав консультативного комитета Национальной стратегии и плана действий в области биологического разнообразия (НСПБ), в котором он стремится обеспечить учет гердерной перспективы в работе 12 секторальных групп (на 2002-2004 годы).  В заключительном докладе по осуществлению этой стратегии были отражены гендерные соображения.</w:t>
      </w:r>
    </w:p>
    <w:p w:rsidR="00000000" w:rsidRDefault="00000000"/>
    <w:p w:rsidR="00000000" w:rsidRDefault="00000000">
      <w:r>
        <w:t>150.</w:t>
      </w:r>
      <w:r>
        <w:tab/>
        <w:t xml:space="preserve">В 2005 году Парагвай ликвидировал отставание в представлении докладов Комитету по ликвидации дискриминации в отношении женщин (КЛДОЖ), и в качестве одной из основных мер по выполнению обязательств, связанных с осуществлением Конвенции, Секретариат по делам женщин распространил среди более чем 140 государственных ведомств и свыше 60 неправительственных организаций тексты Конвенции, замечаний и рекомендаций Комитета, международных платформ, а также целей, сформулированных в Декларации тысячелетия.  Кроме того, в рамках согласованного на межучрежденческом уровне всеобъемлющего оперативного плана была сформирована межучрежденческая рабочая группа по контролю за осуществлением КЛДОЖ, к участию в работе которой были привлечены организации гражданского общества.  В настоящее время создаются тематические рабочие группы по замечаниям и рекомендациям КЛДОЖ.  </w:t>
      </w:r>
    </w:p>
    <w:p w:rsidR="00000000" w:rsidRDefault="00000000"/>
    <w:p w:rsidR="00000000" w:rsidRDefault="00000000">
      <w:r>
        <w:t>151.</w:t>
      </w:r>
      <w:r>
        <w:tab/>
        <w:t>В 1999 и 2000 годах Секретариатом по делам женщин при поддержке министерства здравоохранения и социального обеспечения и при техническом содействии со стороны Межамериканского банка развития (МБР) на региональном уровне осуществлялась экспериментальная региональная программа по предупреждению бытового насилия в отношении женщин и оказанию помощи потерпевшим.  В том же 2000 году были созданы подведомственные Секретариату по делам женщин центры по оказанию помощи женщинам (СЕНАМ) (в настоящее время - СЕДАМУР), которые занимаются консультированием женщин с привлечением юристов, психологов и социальных работников и доводят информацию о случаях насилия до сведения других инстанций и компетентных учреждений.  Помимо этого, при Центре неотложной медицинской помощи был открыт Центр по оказанию помощи жертвам насилия, а также была создана национальная сеть по борьбе с бытовым насилием и открыта телефонная линия коммутатора 911 Национальной полиции в соответствии с Законом № 1600.</w:t>
      </w:r>
    </w:p>
    <w:p w:rsidR="00000000" w:rsidRDefault="00000000"/>
    <w:p w:rsidR="00000000" w:rsidRDefault="00000000">
      <w:r>
        <w:t>152.</w:t>
      </w:r>
      <w:r>
        <w:tab/>
        <w:t>В период 1994-2005 годов основными достижениями в борьбе с насилием в отношении женщин стали кодификация бытового насилия в Уголовном кодексе, появление возможности - благодаря принятию Закона № 1600/00 - возбуждать гражданские иски, что предусматривает меры защиты жертв насилия, а также организацию ряда учебных курсов для сотрудников национальной полиции и медицинских учреждений, слушателей Полицейского училища и Военной академии и членов ассоциаций лиц с особыми потребностями и пожилых женщин.  Кроме того, были проведены кампании по повышению уровня осведомленности и информированности в отношении прав женщин в связи с актами насилия.  В связи с неполной квалификацией в Уголовном кодексе случаев насилия в семье и других актов насилия Национальной комиссией по уголовной и пенитенциарной реформе Национального парламента были представлены предложения об изменении статьи 129 о бытовом насилии и других преступлениях против половой неприкосновенности и половой свободы, а также преступлениях против несовершеннолетних и т.п.</w:t>
      </w:r>
    </w:p>
    <w:p w:rsidR="00000000" w:rsidRDefault="00000000"/>
    <w:p w:rsidR="00000000" w:rsidRDefault="00000000">
      <w:r>
        <w:t>153.</w:t>
      </w:r>
      <w:r>
        <w:tab/>
        <w:t>В настоящее время Секретариат по делам женщин получил по линии международного сотрудничества поддержку в создании центра по приему женщин - жертв насилия.  Этот приют создается в целях оказания жертвам полной комплексной помощи, включая обеспечение личной безопасности, организацию ухода и лечения и содействие реинтеграции на рынке труда.</w:t>
      </w:r>
    </w:p>
    <w:p w:rsidR="00000000" w:rsidRDefault="00000000"/>
    <w:p w:rsidR="00000000" w:rsidRDefault="00000000">
      <w:r>
        <w:t>154.</w:t>
      </w:r>
      <w:r>
        <w:tab/>
        <w:t>Начиная с ноября 2005 года проводится национальная кампания по борьбе с сексуальными домогательствами под названием "В ответ на домогательства - уголовные обвинения".  На первом этапе этой кампании были проведены учебные семинары для государственных служащих, учащихся средних учебных заведений и членов профсоюзов.  Второй этап предусматривает работу с этими же группами и привлечение студентов университетов и слушателей Военной академии.</w:t>
      </w:r>
    </w:p>
    <w:p w:rsidR="00000000" w:rsidRDefault="00000000"/>
    <w:p w:rsidR="00000000" w:rsidRDefault="00000000">
      <w:r>
        <w:t>155.</w:t>
      </w:r>
      <w:r>
        <w:tab/>
        <w:t>В том же году при поддержке государственного департамента Соединенных Штатов Америки было начало осуществление Проекта 2210 по борьбе с торговлей людьми, цель которого заключается в укреплении общих усилий правительства Парагвая по искоренению торговли людьми путем разработки процедур предупреждения и защиты жертв торговли людьми (особенно женщин, подростков и детей) в Парагвае.  С момента создания информационного центра по торговле людьми,  в котором оказывается комплексная помощь жертвам, отслеживаются соответствующие случаи и предпринимаются последующие действия по ним, были приняты меры по 9 случаям в отношении в общей сложности 37 лиц женского пола, в том числе 30 совершеннолетних и 7 несовершеннолетних.  Кроме того, функционирует телефонная линия помощи и электронная почта для подачи заявлений.  В дополнение к этим мерам в средствах массовой информации была инициирована "информационно-просветительская" кампания по вопросам торговли людьми и сексуальной эксплуатации, которая состояла в распространении информационных материалов (плакатов/брошюр), трансляции роликов по радио на гуарани и испанском языке в столице и во внутренних районах страны, а также в распространении печатных материалов.  Были также проведены три семинара для правительственных учреждений и неправительственных организаций, с тем чтобы накопить материал для последующей разработки пособия по общим процедурам вмешательства, запланированного к изданию в апреле 2006 года.</w:t>
      </w:r>
    </w:p>
    <w:p w:rsidR="00000000" w:rsidRDefault="00000000"/>
    <w:p w:rsidR="00000000" w:rsidRDefault="00000000">
      <w:r>
        <w:t>156.</w:t>
      </w:r>
      <w:r>
        <w:tab/>
        <w:t>Начиная с 2003 года по  результатам внутриведомственных и внешних оценок на уровне центрального правительства были начаты процесс модернизации институциональной системы  в целях совершенствования стратегий сотрудничества Секретариата по делам женщин с государственными учреждениями, а также процессы обеспечения широкого участия с привлечением организаций гражданского общества, особенно тех, которые занимаются поощрением прав человека женщин.  В этой связи в Секретариате по делам женщин было создано Управление по децентрализации, задачи которого заключаются в поддержке процесса децентрализации с обеспечением учета гендерного фактора во всех частях страны.</w:t>
      </w:r>
    </w:p>
    <w:p w:rsidR="00000000" w:rsidRDefault="00000000"/>
    <w:p w:rsidR="00000000" w:rsidRDefault="00000000">
      <w:r>
        <w:t>157.</w:t>
      </w:r>
      <w:r>
        <w:tab/>
        <w:t>Осуществлялись стратегии в области коммуникации, направленные на повышение уровня информированности населения в отношении равенства возможностей.  В 2004 году проводилась кампания "Равенство во всем", включавшая следующие основные темы:  равное вознаграждение за труд равной ценности, участие, здравоохранение, предупреждение бытового насилия, доступ детей к образованию в равных условиях и распределение ролей в домашнем хозяйстве.</w:t>
      </w:r>
    </w:p>
    <w:p w:rsidR="00000000" w:rsidRDefault="00000000"/>
    <w:p w:rsidR="00000000" w:rsidRDefault="00000000">
      <w:r>
        <w:t>158.</w:t>
      </w:r>
      <w:r>
        <w:tab/>
        <w:t>В 2005 году в ходе проведения кампании "Равенство во всем" основной упор делался на необходимость искоренения насилия в отношении женщин, поощрение равенства возможностей и политического участия женщин и поощрение сексуальных и репродуктивных прав.  Помимо этого, акцентировалось внимание на гендерном неравенстве, существующем в различных сферах общества.  В этой связи по телевидению транслировались соответствующие ролики, печатались объявления, передавались короткие радиопрограммы и выпускались брошюры, содержащие информацию о психологическом и сексуальном насилии, сексуальном и репродуктивном здоровье, охране здоровья матери и участии в общественной и политическом жизни.  Еще одним направлением пропагандистских кампаний стала организация театральных представлений на упомянутые темы в общественных местах и общинах Асунсьона, Сентраля, Сьюдад</w:t>
      </w:r>
      <w:r>
        <w:noBreakHyphen/>
        <w:t>дель</w:t>
      </w:r>
      <w:r>
        <w:noBreakHyphen/>
        <w:t>Эсте и Каакупе.</w:t>
      </w:r>
    </w:p>
    <w:p w:rsidR="00000000" w:rsidRDefault="00000000"/>
    <w:p w:rsidR="00000000" w:rsidRDefault="00000000">
      <w:r>
        <w:t>159.</w:t>
      </w:r>
      <w:r>
        <w:tab/>
        <w:t>Что касается здравоохранения, то проводились кампании по повышению информированности женщин о проблеме ВИЧ/СПИДа и их уязвимости в этом плане.  Секретариат по делам женщин лоббировал среди представителей национальных властей самого высокого уровня и трех ветвей государственной власти.  При поддержке ЮНЭЙДС была также проведена общественная кампания по принятию обязательств в этой связи, а при поддержке Панамериканской организации здравоохранения были организованы тематические конференции по рассмотрению итогов выполнения обязательств.  Среди результатов этих тематических конференций можно упомянуть принятие постановления о бесплатном проведении анализа ВДРЛ и теста ЭЛИЗА, а также лечении беременных женщин антиретровирусными препаратами.  Были подготовлены 20 руководящих сотрудников программ борьбы с инфекционными заболеваниями на центральном уровне и в департаментах Парагуари и Пресиденте-Айес.</w:t>
      </w:r>
    </w:p>
    <w:p w:rsidR="00000000" w:rsidRDefault="00000000"/>
    <w:p w:rsidR="00000000" w:rsidRDefault="00000000">
      <w:pPr>
        <w:rPr>
          <w:b/>
          <w:bCs/>
        </w:rPr>
      </w:pPr>
      <w:r>
        <w:rPr>
          <w:b/>
          <w:bCs/>
          <w:lang w:val="en-US"/>
        </w:rPr>
        <w:t>C</w:t>
      </w:r>
      <w:r>
        <w:rPr>
          <w:b/>
          <w:bCs/>
        </w:rPr>
        <w:t xml:space="preserve">татья 4 </w:t>
      </w:r>
      <w:r>
        <w:t>(пункт постановляющей части)</w:t>
      </w:r>
    </w:p>
    <w:p w:rsidR="00000000" w:rsidRDefault="00000000">
      <w:pPr>
        <w:rPr>
          <w:b/>
          <w:bCs/>
        </w:rPr>
      </w:pPr>
    </w:p>
    <w:p w:rsidR="00000000" w:rsidRDefault="00000000">
      <w:pPr>
        <w:rPr>
          <w:b/>
          <w:bCs/>
        </w:rPr>
      </w:pPr>
      <w:r>
        <w:rPr>
          <w:b/>
          <w:bCs/>
        </w:rPr>
        <w:t xml:space="preserve">Статья 5 </w:t>
      </w:r>
      <w:r>
        <w:t>(пункт постановляющей части)</w:t>
      </w:r>
    </w:p>
    <w:p w:rsidR="00000000" w:rsidRDefault="00000000">
      <w:pPr>
        <w:rPr>
          <w:b/>
          <w:bCs/>
        </w:rPr>
      </w:pPr>
    </w:p>
    <w:p w:rsidR="00000000" w:rsidRDefault="00000000">
      <w:pPr>
        <w:keepNext/>
        <w:rPr>
          <w:b/>
          <w:bCs/>
        </w:rPr>
      </w:pPr>
      <w:r>
        <w:rPr>
          <w:b/>
          <w:bCs/>
        </w:rPr>
        <w:t>Статья 6</w:t>
      </w:r>
    </w:p>
    <w:p w:rsidR="00000000" w:rsidRDefault="00000000">
      <w:pPr>
        <w:keepNext/>
        <w:rPr>
          <w:b/>
          <w:bCs/>
        </w:rPr>
      </w:pPr>
    </w:p>
    <w:p w:rsidR="00000000" w:rsidRDefault="00000000">
      <w:pPr>
        <w:keepNext/>
      </w:pPr>
      <w:r>
        <w:t>160.</w:t>
      </w:r>
      <w:r>
        <w:tab/>
        <w:t>Прежде всего следует отметить, что Парагвай является государством - участником следующих международных договоров в области прав человека и трудовых прав:</w:t>
      </w:r>
    </w:p>
    <w:p w:rsidR="00000000" w:rsidRDefault="00000000"/>
    <w:p w:rsidR="00000000" w:rsidRDefault="00000000">
      <w:pPr>
        <w:ind w:left="561"/>
      </w:pPr>
      <w:r>
        <w:rPr>
          <w:b/>
          <w:bCs/>
        </w:rPr>
        <w:t>Международной конвенции о ликвидации всех форм расовой дискриминации</w:t>
      </w:r>
    </w:p>
    <w:p w:rsidR="00000000" w:rsidRDefault="00000000">
      <w:pPr>
        <w:ind w:left="561"/>
      </w:pPr>
    </w:p>
    <w:p w:rsidR="00000000" w:rsidRDefault="00000000">
      <w:pPr>
        <w:ind w:left="561" w:hanging="561"/>
      </w:pPr>
      <w:r>
        <w:tab/>
        <w:t>Принята:  Нью-Йорк, 21 декабря 1965 года</w:t>
      </w:r>
    </w:p>
    <w:p w:rsidR="00000000" w:rsidRDefault="00000000">
      <w:pPr>
        <w:ind w:left="561" w:hanging="561"/>
      </w:pPr>
      <w:r>
        <w:tab/>
        <w:t>Подписана Парагваем:  13 сентября 2000 года</w:t>
      </w:r>
    </w:p>
    <w:p w:rsidR="00000000" w:rsidRDefault="00000000">
      <w:pPr>
        <w:ind w:left="561" w:hanging="561"/>
      </w:pPr>
      <w:r>
        <w:tab/>
        <w:t>Закон № 2128 от 7 июля 2003 года</w:t>
      </w:r>
    </w:p>
    <w:p w:rsidR="00000000" w:rsidRDefault="00000000">
      <w:pPr>
        <w:ind w:left="561" w:hanging="561"/>
      </w:pPr>
      <w:r>
        <w:tab/>
        <w:t>Сдача документа о ратификации на хранение:  18 августа 2003 года</w:t>
      </w:r>
    </w:p>
    <w:p w:rsidR="00000000" w:rsidRDefault="00000000">
      <w:pPr>
        <w:ind w:left="561" w:hanging="561"/>
      </w:pPr>
      <w:r>
        <w:tab/>
        <w:t>Вступила для Парагвая в силу:  17 сентября 2003 года</w:t>
      </w:r>
    </w:p>
    <w:p w:rsidR="00000000" w:rsidRDefault="00000000">
      <w:pPr>
        <w:ind w:left="561" w:hanging="561"/>
      </w:pPr>
    </w:p>
    <w:p w:rsidR="00000000" w:rsidRDefault="00000000">
      <w:pPr>
        <w:ind w:left="561"/>
      </w:pPr>
      <w:r>
        <w:rPr>
          <w:b/>
          <w:bCs/>
        </w:rPr>
        <w:t>Конвенции МОТ № 111 о дискриминации в области труда и занятий</w:t>
      </w:r>
    </w:p>
    <w:p w:rsidR="00000000" w:rsidRDefault="00000000">
      <w:pPr>
        <w:ind w:left="561"/>
      </w:pPr>
    </w:p>
    <w:p w:rsidR="00000000" w:rsidRDefault="00000000">
      <w:pPr>
        <w:ind w:left="561" w:hanging="561"/>
      </w:pPr>
      <w:r>
        <w:tab/>
        <w:t>Принята:  Женева, 25 июня 1958 года</w:t>
      </w:r>
    </w:p>
    <w:p w:rsidR="00000000" w:rsidRDefault="00000000">
      <w:pPr>
        <w:ind w:left="561" w:hanging="561"/>
      </w:pPr>
      <w:r>
        <w:tab/>
        <w:t>Закон № 1154 от 29 июля 1966 года</w:t>
      </w:r>
    </w:p>
    <w:p w:rsidR="00000000" w:rsidRDefault="00000000">
      <w:pPr>
        <w:ind w:left="561" w:hanging="561"/>
      </w:pPr>
      <w:r>
        <w:tab/>
        <w:t>Сдача документа о ратификации на хранение:  10 июля 1967 года</w:t>
      </w:r>
    </w:p>
    <w:p w:rsidR="00000000" w:rsidRDefault="00000000">
      <w:pPr>
        <w:ind w:left="561" w:hanging="561"/>
      </w:pPr>
      <w:r>
        <w:tab/>
        <w:t>Дата вступления для Парагвая в силу:  10 июля 1968 года</w:t>
      </w:r>
    </w:p>
    <w:p w:rsidR="00000000" w:rsidRDefault="00000000">
      <w:pPr>
        <w:ind w:left="561" w:hanging="561"/>
      </w:pPr>
    </w:p>
    <w:p w:rsidR="00000000" w:rsidRDefault="00000000">
      <w:pPr>
        <w:ind w:left="561"/>
      </w:pPr>
      <w:r>
        <w:rPr>
          <w:b/>
          <w:bCs/>
        </w:rPr>
        <w:t>Конвенции МОТ № 122 о политике в области занятости</w:t>
      </w:r>
    </w:p>
    <w:p w:rsidR="00000000" w:rsidRDefault="00000000">
      <w:pPr>
        <w:ind w:left="561"/>
      </w:pPr>
    </w:p>
    <w:p w:rsidR="00000000" w:rsidRDefault="00000000">
      <w:pPr>
        <w:ind w:left="561" w:hanging="561"/>
      </w:pPr>
      <w:r>
        <w:tab/>
        <w:t>Принята:  Женева, 9 июля 1964 года</w:t>
      </w:r>
    </w:p>
    <w:p w:rsidR="00000000" w:rsidRDefault="00000000">
      <w:pPr>
        <w:ind w:left="561" w:hanging="561"/>
      </w:pPr>
      <w:r>
        <w:tab/>
        <w:t>Закон № 67 от 26 декабря 1968 года</w:t>
      </w:r>
    </w:p>
    <w:p w:rsidR="00000000" w:rsidRDefault="00000000">
      <w:pPr>
        <w:ind w:left="561" w:hanging="561"/>
      </w:pPr>
      <w:r>
        <w:tab/>
        <w:t>Сдача документа о ратификации на хранение:  Женева, 20 февраля 1969 года</w:t>
      </w:r>
    </w:p>
    <w:p w:rsidR="00000000" w:rsidRDefault="00000000">
      <w:pPr>
        <w:ind w:left="561" w:hanging="561"/>
      </w:pPr>
      <w:r>
        <w:tab/>
        <w:t>Дата вступления для Парагвая в силу:  20 февраля 1970 года</w:t>
      </w:r>
    </w:p>
    <w:p w:rsidR="00000000" w:rsidRDefault="00000000"/>
    <w:p w:rsidR="00000000" w:rsidRDefault="00000000">
      <w:pPr>
        <w:autoSpaceDE w:val="0"/>
        <w:autoSpaceDN w:val="0"/>
        <w:adjustRightInd w:val="0"/>
        <w:rPr>
          <w:iCs/>
        </w:rPr>
      </w:pPr>
      <w:r>
        <w:rPr>
          <w:iCs/>
        </w:rPr>
        <w:t xml:space="preserve">Парагвай предоставляет контрольным комитетам МОТ доклады о выполнении ратифицированных страной конвенций.  </w:t>
      </w:r>
    </w:p>
    <w:p w:rsidR="00000000" w:rsidRDefault="00000000">
      <w:pPr>
        <w:autoSpaceDE w:val="0"/>
        <w:autoSpaceDN w:val="0"/>
        <w:adjustRightInd w:val="0"/>
        <w:rPr>
          <w:iCs/>
        </w:rPr>
      </w:pPr>
    </w:p>
    <w:p w:rsidR="00000000" w:rsidRDefault="00000000">
      <w:pPr>
        <w:autoSpaceDE w:val="0"/>
        <w:autoSpaceDN w:val="0"/>
        <w:adjustRightInd w:val="0"/>
        <w:jc w:val="center"/>
        <w:rPr>
          <w:b/>
          <w:bCs/>
          <w:iCs/>
          <w:u w:val="single"/>
        </w:rPr>
      </w:pPr>
      <w:r>
        <w:rPr>
          <w:b/>
          <w:bCs/>
          <w:iCs/>
        </w:rPr>
        <w:t>А.</w:t>
      </w:r>
      <w:r>
        <w:rPr>
          <w:b/>
          <w:bCs/>
          <w:iCs/>
        </w:rPr>
        <w:tab/>
        <w:t>Положение, показатели и тенденции в области занятости и безработицы</w:t>
      </w:r>
    </w:p>
    <w:p w:rsidR="00000000" w:rsidRDefault="00000000">
      <w:pPr>
        <w:autoSpaceDE w:val="0"/>
        <w:autoSpaceDN w:val="0"/>
        <w:adjustRightInd w:val="0"/>
        <w:jc w:val="center"/>
        <w:rPr>
          <w:b/>
          <w:bCs/>
          <w:iCs/>
          <w:u w:val="single"/>
        </w:rPr>
      </w:pPr>
    </w:p>
    <w:p w:rsidR="00000000" w:rsidRDefault="00000000">
      <w:pPr>
        <w:autoSpaceDE w:val="0"/>
        <w:autoSpaceDN w:val="0"/>
        <w:adjustRightInd w:val="0"/>
        <w:rPr>
          <w:iCs/>
        </w:rPr>
      </w:pPr>
      <w:r>
        <w:rPr>
          <w:iCs/>
        </w:rPr>
        <w:t>161.</w:t>
      </w:r>
      <w:r>
        <w:rPr>
          <w:iCs/>
        </w:rPr>
        <w:tab/>
        <w:t>По данным постоянного обследования домохозяйств за 2004 год доля экономически активного населения в стране (занятое или незанятое население в трудоспособном возрасте) составляет 63%, причем эта доля выше в сельских районах (64,9%), чем в городских (62,4%), и среди мужчин, чем среди женщин (соответственно 76,6% и 50,4%).</w:t>
      </w:r>
    </w:p>
    <w:p w:rsidR="00000000" w:rsidRDefault="00000000">
      <w:pPr>
        <w:autoSpaceDE w:val="0"/>
        <w:autoSpaceDN w:val="0"/>
        <w:adjustRightInd w:val="0"/>
        <w:rPr>
          <w:iCs/>
        </w:rPr>
      </w:pPr>
    </w:p>
    <w:p w:rsidR="00000000" w:rsidRDefault="00000000">
      <w:pPr>
        <w:keepLines/>
        <w:autoSpaceDE w:val="0"/>
        <w:autoSpaceDN w:val="0"/>
        <w:adjustRightInd w:val="0"/>
        <w:rPr>
          <w:iCs/>
        </w:rPr>
      </w:pPr>
      <w:r>
        <w:rPr>
          <w:iCs/>
        </w:rPr>
        <w:t>162.</w:t>
      </w:r>
      <w:r>
        <w:rPr>
          <w:iCs/>
        </w:rPr>
        <w:tab/>
        <w:t>Поскольку в парагвайской экономике основную роль играют независимые работники, среди них преобладают самостоятельно занятые лица (39,8%), за которыми следуют работники, занятые невознаграждаемым трудом в семьях (13,1%), работодатели или владельцы предприятий (4,2%).  В сумме эти данные показывают, что примерно шесть из каждых десяти занятых лиц получают доходы за счет непосредственной продажи своей продукции или услуг.</w:t>
      </w:r>
    </w:p>
    <w:p w:rsidR="00000000" w:rsidRDefault="00000000">
      <w:pPr>
        <w:autoSpaceDE w:val="0"/>
        <w:autoSpaceDN w:val="0"/>
        <w:adjustRightInd w:val="0"/>
        <w:rPr>
          <w:iCs/>
        </w:rPr>
      </w:pPr>
    </w:p>
    <w:p w:rsidR="00000000" w:rsidRDefault="00000000">
      <w:pPr>
        <w:autoSpaceDE w:val="0"/>
        <w:autoSpaceDN w:val="0"/>
        <w:adjustRightInd w:val="0"/>
        <w:rPr>
          <w:bCs/>
          <w:iCs/>
        </w:rPr>
      </w:pPr>
      <w:r>
        <w:rPr>
          <w:bCs/>
          <w:iCs/>
        </w:rPr>
        <w:t>163.</w:t>
      </w:r>
      <w:r>
        <w:rPr>
          <w:bCs/>
          <w:iCs/>
        </w:rPr>
        <w:tab/>
        <w:t>В первичном секторе, или добывающей промышленности, трудятся 33,3% занятых лиц, а во вторичном (промышленное производство, строительство) - 16%.  Приблизительно 65% занятых женщин работают в третичном секторе, тогда как мужчины распределены в основном между третичным и первичным секторами (42% и 39%, соответственно).</w:t>
      </w:r>
    </w:p>
    <w:p w:rsidR="00000000" w:rsidRDefault="00000000">
      <w:pPr>
        <w:autoSpaceDE w:val="0"/>
        <w:autoSpaceDN w:val="0"/>
        <w:adjustRightInd w:val="0"/>
        <w:rPr>
          <w:bCs/>
          <w:iCs/>
        </w:rPr>
      </w:pPr>
    </w:p>
    <w:p w:rsidR="00000000" w:rsidRDefault="00000000">
      <w:pPr>
        <w:rPr>
          <w:b/>
        </w:rPr>
      </w:pPr>
      <w:r>
        <w:rPr>
          <w:b/>
        </w:rPr>
        <w:t>1.</w:t>
      </w:r>
      <w:r>
        <w:rPr>
          <w:b/>
        </w:rPr>
        <w:tab/>
        <w:t>Безработица</w:t>
      </w:r>
    </w:p>
    <w:p w:rsidR="00000000" w:rsidRDefault="00000000">
      <w:pPr>
        <w:rPr>
          <w:b/>
        </w:rPr>
      </w:pPr>
    </w:p>
    <w:p w:rsidR="00000000" w:rsidRDefault="00000000">
      <w:pPr>
        <w:autoSpaceDE w:val="0"/>
        <w:autoSpaceDN w:val="0"/>
        <w:adjustRightInd w:val="0"/>
      </w:pPr>
      <w:r>
        <w:t>164.</w:t>
      </w:r>
      <w:r>
        <w:tab/>
        <w:t>По данным постоянного обследования домохозяйств за 2004 год явной безработицей затронуто 7,3% населения, что на один процентный пункт ниже уровня, зарегистрированного в 2003 году (8,1%).  По сравнению с 2003 годом уровень неполной занятости оставался неизменным (от 24,1% до 24,2%) среди населения всей страны как в городских, так и в сельских районах.</w:t>
      </w:r>
    </w:p>
    <w:p w:rsidR="00000000" w:rsidRDefault="00000000">
      <w:pPr>
        <w:autoSpaceDE w:val="0"/>
        <w:autoSpaceDN w:val="0"/>
        <w:adjustRightInd w:val="0"/>
      </w:pPr>
    </w:p>
    <w:bookmarkStart w:id="31" w:name="_MON_1234617024"/>
    <w:bookmarkStart w:id="32" w:name="_MON_1236149730"/>
    <w:bookmarkStart w:id="33" w:name="_MON_1236149782"/>
    <w:bookmarkStart w:id="34" w:name="_MON_1244379972"/>
    <w:bookmarkStart w:id="35" w:name="_MON_1244380362"/>
    <w:bookmarkStart w:id="36" w:name="_MON_1245847623"/>
    <w:bookmarkStart w:id="37" w:name="_MON_1245849409"/>
    <w:bookmarkStart w:id="38" w:name="_MON_1246097297"/>
    <w:bookmarkEnd w:id="31"/>
    <w:bookmarkEnd w:id="32"/>
    <w:bookmarkEnd w:id="33"/>
    <w:bookmarkEnd w:id="34"/>
    <w:bookmarkEnd w:id="35"/>
    <w:bookmarkEnd w:id="36"/>
    <w:bookmarkEnd w:id="37"/>
    <w:bookmarkEnd w:id="38"/>
    <w:p w:rsidR="00000000" w:rsidRDefault="00000000">
      <w:pPr>
        <w:jc w:val="center"/>
      </w:pPr>
      <w:r>
        <w:object w:dxaOrig="7335" w:dyaOrig="4086">
          <v:shape id="_x0000_i1028" type="#_x0000_t75" style="width:368.25pt;height:189.75pt" o:ole="">
            <v:imagedata r:id="rId29" o:title=""/>
            <w10:bordertop type="single" width="4"/>
            <w10:borderleft type="single" width="4"/>
            <w10:borderbottom type="single" width="4"/>
            <w10:borderright type="single" width="4"/>
          </v:shape>
          <o:OLEObject Type="Embed" ProgID="Word.Picture.8" ShapeID="_x0000_i1028" DrawAspect="Content" ObjectID="_1394904854" r:id="rId30"/>
        </w:object>
      </w:r>
    </w:p>
    <w:p w:rsidR="00000000" w:rsidRDefault="00000000">
      <w:pPr>
        <w:jc w:val="center"/>
      </w:pPr>
    </w:p>
    <w:p w:rsidR="00000000" w:rsidRDefault="00000000">
      <w:pPr>
        <w:autoSpaceDE w:val="0"/>
        <w:autoSpaceDN w:val="0"/>
        <w:adjustRightInd w:val="0"/>
      </w:pPr>
      <w:r>
        <w:t>165.</w:t>
      </w:r>
      <w:r>
        <w:tab/>
        <w:t>Следующая диаграмма показывает, что явная безработица затрагивает в большей степени население в возрасте 15-19 лет, и в частности женщин этой возрастной категории, поскольку 14%</w:t>
      </w:r>
      <w:r>
        <w:rPr>
          <w:lang w:val="fr-FR"/>
        </w:rPr>
        <w:t> </w:t>
      </w:r>
      <w:r>
        <w:t>молодого населения активно ищет работу, а среди женщин этот показатель достигает 22,1%.  Доля безработных остается высокой в возрастной группе до 29 лет, в которой 8</w:t>
      </w:r>
      <w:r>
        <w:rPr>
          <w:lang w:val="fr-FR"/>
        </w:rPr>
        <w:t> </w:t>
      </w:r>
      <w:r>
        <w:t>из каждых 100 человек зарегистрированы как лица, затронутые явной безработицей.</w:t>
      </w:r>
    </w:p>
    <w:p w:rsidR="00000000" w:rsidRDefault="00000000">
      <w:r>
        <w:rPr>
          <w:noProof/>
          <w:sz w:val="20"/>
          <w:lang w:eastAsia="es-ES"/>
        </w:rPr>
        <w:pict>
          <v:shape id="_x0000_s2052" type="#_x0000_t75" style="position:absolute;margin-left:45pt;margin-top:4.2pt;width:369pt;height:227.2pt;z-index:2;visibility:visible;mso-wrap-edited:f" stroked="t">
            <v:imagedata r:id="rId31" o:title=""/>
          </v:shape>
          <o:OLEObject Type="Embed" ProgID="Word.Picture.8" ShapeID="_x0000_s2052" DrawAspect="Content" ObjectID="_1394904878" r:id="rId32"/>
        </w:pict>
      </w:r>
      <w:r>
        <w:fldChar w:fldCharType="begin" w:fldLock="1"/>
      </w:r>
      <w:r>
        <w:instrText xml:space="preserve"> </w:instrText>
      </w:r>
      <w:r>
        <w:rPr>
          <w:lang w:val="fr-FR"/>
        </w:rPr>
        <w:instrText>SHAPE</w:instrText>
      </w:r>
      <w:r>
        <w:instrText xml:space="preserve">  \* MERGEFORMAT </w:instrText>
      </w:r>
      <w:r>
        <w:fldChar w:fldCharType="separate"/>
      </w:r>
      <w:r>
        <w:pict>
          <v:shape id="_x0000_i1029" type="#_x0000_t75" style="width:5in;height:210pt">
            <v:imagedata croptop="-65520f" cropbottom="65520f"/>
          </v:shape>
        </w:pict>
      </w:r>
      <w:r>
        <w:fldChar w:fldCharType="end"/>
      </w:r>
      <w:r>
        <w:t xml:space="preserve"> </w:t>
      </w:r>
    </w:p>
    <w:p w:rsidR="00000000" w:rsidRDefault="00000000"/>
    <w:p w:rsidR="00000000" w:rsidRDefault="00000000"/>
    <w:p w:rsidR="00000000" w:rsidRDefault="00000000">
      <w:r>
        <w:t>166.</w:t>
      </w:r>
      <w:r>
        <w:tab/>
        <w:t>Согласно информации, полученной в ходе обследований домохозяйств, в период 2003</w:t>
      </w:r>
      <w:r>
        <w:noBreakHyphen/>
        <w:t>2004 годов уровень неполной занятости оставался стабильным (24,1% и 24,2%) как в городских, так и в сельских районах.</w:t>
      </w:r>
    </w:p>
    <w:p w:rsidR="00000000" w:rsidRDefault="00000000"/>
    <w:bookmarkStart w:id="39" w:name="_MON_1234617157"/>
    <w:bookmarkStart w:id="40" w:name="_MON_1236150016"/>
    <w:bookmarkStart w:id="41" w:name="_MON_1244442572"/>
    <w:bookmarkStart w:id="42" w:name="_MON_1245846377"/>
    <w:bookmarkStart w:id="43" w:name="_MON_1245846412"/>
    <w:bookmarkStart w:id="44" w:name="_MON_1246099100"/>
    <w:bookmarkStart w:id="45" w:name="_MON_1246099116"/>
    <w:bookmarkEnd w:id="39"/>
    <w:bookmarkEnd w:id="40"/>
    <w:bookmarkEnd w:id="41"/>
    <w:bookmarkEnd w:id="42"/>
    <w:bookmarkEnd w:id="43"/>
    <w:bookmarkEnd w:id="44"/>
    <w:bookmarkEnd w:id="45"/>
    <w:p w:rsidR="00000000" w:rsidRDefault="00000000">
      <w:pPr>
        <w:jc w:val="center"/>
        <w:rPr>
          <w:b/>
          <w:bCs/>
        </w:rPr>
      </w:pPr>
      <w:r>
        <w:object w:dxaOrig="7553" w:dyaOrig="4522">
          <v:shape id="_x0000_i1030" type="#_x0000_t75" style="width:377.25pt;height:225.75pt" o:ole="" o:bordertopcolor="this" o:borderleftcolor="this" o:borderbottomcolor="this" o:borderrightcolor="this">
            <v:imagedata r:id="rId33" o:title=""/>
            <w10:bordertop type="single" width="4"/>
            <w10:borderleft type="single" width="4"/>
            <w10:borderbottom type="single" width="4"/>
            <w10:borderright type="single" width="4"/>
          </v:shape>
          <o:OLEObject Type="Embed" ProgID="Word.Picture.8" ShapeID="_x0000_i1030" DrawAspect="Content" ObjectID="_1394904855" r:id="rId34"/>
        </w:object>
      </w:r>
    </w:p>
    <w:p w:rsidR="00000000" w:rsidRDefault="00000000">
      <w:pPr>
        <w:jc w:val="center"/>
        <w:rPr>
          <w:b/>
          <w:bCs/>
        </w:rPr>
      </w:pPr>
    </w:p>
    <w:p w:rsidR="00000000" w:rsidRDefault="00000000">
      <w:pPr>
        <w:jc w:val="center"/>
        <w:rPr>
          <w:b/>
          <w:bCs/>
        </w:rPr>
      </w:pPr>
      <w:r>
        <w:rPr>
          <w:b/>
          <w:bCs/>
        </w:rPr>
        <w:t>В.</w:t>
      </w:r>
      <w:r>
        <w:rPr>
          <w:b/>
          <w:bCs/>
        </w:rPr>
        <w:tab/>
        <w:t>Основные направления национальной политики в области занятости</w:t>
      </w:r>
    </w:p>
    <w:p w:rsidR="00000000" w:rsidRDefault="00000000">
      <w:pPr>
        <w:jc w:val="center"/>
        <w:rPr>
          <w:b/>
          <w:bCs/>
          <w:u w:val="single"/>
        </w:rPr>
      </w:pPr>
    </w:p>
    <w:p w:rsidR="00000000" w:rsidRDefault="00000000">
      <w:r>
        <w:t>167.</w:t>
      </w:r>
      <w:r>
        <w:tab/>
        <w:t xml:space="preserve">С учетом особенностей рынка труда в нашей стране политика в области занятости проводится в основном по следующим направлениям:  </w:t>
      </w:r>
    </w:p>
    <w:p w:rsidR="00000000" w:rsidRDefault="00000000"/>
    <w:p w:rsidR="00000000" w:rsidRDefault="00000000">
      <w:pPr>
        <w:numPr>
          <w:ilvl w:val="0"/>
          <w:numId w:val="87"/>
        </w:numPr>
        <w:tabs>
          <w:tab w:val="clear" w:pos="1191"/>
        </w:tabs>
        <w:ind w:left="1134" w:hanging="567"/>
      </w:pPr>
      <w:r>
        <w:t>обеспечение устойчивости макроэкономических и социальных условий, благоприятствующих привлечению частных инвестиций, благодаря которым создаются новые рабочие места;</w:t>
      </w:r>
    </w:p>
    <w:p w:rsidR="00000000" w:rsidRDefault="00000000"/>
    <w:p w:rsidR="00000000" w:rsidRDefault="00000000">
      <w:pPr>
        <w:numPr>
          <w:ilvl w:val="0"/>
          <w:numId w:val="87"/>
        </w:numPr>
        <w:tabs>
          <w:tab w:val="clear" w:pos="1191"/>
        </w:tabs>
        <w:ind w:left="1134" w:hanging="567"/>
      </w:pPr>
      <w:r>
        <w:t>включение задачи по обеспечению занятости в коммерческую, производственную, образовательную, миграционную политику, а также политику в области профессиональной подготовки и социального обеспечения;</w:t>
      </w:r>
    </w:p>
    <w:p w:rsidR="00000000" w:rsidRDefault="00000000"/>
    <w:p w:rsidR="00000000" w:rsidRDefault="00000000">
      <w:pPr>
        <w:numPr>
          <w:ilvl w:val="0"/>
          <w:numId w:val="87"/>
        </w:numPr>
        <w:tabs>
          <w:tab w:val="clear" w:pos="1191"/>
        </w:tabs>
        <w:ind w:left="1134" w:hanging="567"/>
      </w:pPr>
      <w:r>
        <w:t>поощрение развития микро- и малых предприятий посредством создания условий для облегчения их официальной регистрации в целях получения доступа к кредитам, технической помощи и программам подготовки предпринимателей;</w:t>
      </w:r>
    </w:p>
    <w:p w:rsidR="00000000" w:rsidRDefault="00000000"/>
    <w:p w:rsidR="00000000" w:rsidRDefault="00000000">
      <w:pPr>
        <w:numPr>
          <w:ilvl w:val="0"/>
          <w:numId w:val="87"/>
        </w:numPr>
        <w:tabs>
          <w:tab w:val="clear" w:pos="1191"/>
        </w:tabs>
        <w:ind w:left="1134" w:hanging="567"/>
      </w:pPr>
      <w:r>
        <w:t>организация подготовки кадров, расширяющей возможности для трудоустройства и поощряющей проявление частной инициативы посредством предоставления услуг в области профессиональной подготовки, ориентации и посредничества при найме на работу.  Подготовка должна отвечать потребностям предприятий и технического развития;</w:t>
      </w:r>
    </w:p>
    <w:p w:rsidR="00000000" w:rsidRDefault="00000000"/>
    <w:p w:rsidR="00000000" w:rsidRDefault="00000000">
      <w:pPr>
        <w:numPr>
          <w:ilvl w:val="0"/>
          <w:numId w:val="87"/>
        </w:numPr>
        <w:tabs>
          <w:tab w:val="clear" w:pos="1191"/>
        </w:tabs>
        <w:ind w:left="1134" w:hanging="567"/>
      </w:pPr>
      <w:r>
        <w:t>поощрение социального диалога для стимулирования адаптации законодательства в целях облегчения заключения трудовых договоров и создания основы для модернизации и укрепления организационной и правовой систем;</w:t>
      </w:r>
    </w:p>
    <w:p w:rsidR="00000000" w:rsidRDefault="00000000"/>
    <w:p w:rsidR="00000000" w:rsidRDefault="00000000">
      <w:pPr>
        <w:numPr>
          <w:ilvl w:val="0"/>
          <w:numId w:val="87"/>
        </w:numPr>
        <w:tabs>
          <w:tab w:val="clear" w:pos="1191"/>
        </w:tabs>
        <w:ind w:left="1134" w:hanging="567"/>
      </w:pPr>
      <w:r>
        <w:t>оказание твердой поддержки усилиям по наращиванию агроживотноводческого производства путем стимулирования создания кластеров (производственных циклов в рамках связанных между собой отраслей).  Поддержка сельского сектора имеет ключевое значение, так как она способствует предотвращению миграции из сельской местности в города;</w:t>
      </w:r>
    </w:p>
    <w:p w:rsidR="00000000" w:rsidRDefault="00000000"/>
    <w:p w:rsidR="00000000" w:rsidRDefault="00000000">
      <w:pPr>
        <w:numPr>
          <w:ilvl w:val="0"/>
          <w:numId w:val="87"/>
        </w:numPr>
        <w:tabs>
          <w:tab w:val="clear" w:pos="1191"/>
        </w:tabs>
        <w:ind w:left="1134" w:hanging="567"/>
      </w:pPr>
      <w:r>
        <w:t>разработка специальных планов и программ, связанных с решением проблемы обеспечения занятости конкретных групп населения, а также программ и мер, стимулирующих занятость молодежи и женщин, программы трудовой реинтеграции конкретных групп и т.п.</w:t>
      </w:r>
    </w:p>
    <w:p w:rsidR="00000000" w:rsidRDefault="00000000"/>
    <w:p w:rsidR="00000000" w:rsidRDefault="00000000">
      <w:pPr>
        <w:jc w:val="center"/>
        <w:rPr>
          <w:b/>
          <w:bCs/>
        </w:rPr>
      </w:pPr>
      <w:r>
        <w:rPr>
          <w:b/>
          <w:bCs/>
        </w:rPr>
        <w:t>С.</w:t>
      </w:r>
      <w:r>
        <w:rPr>
          <w:b/>
          <w:bCs/>
        </w:rPr>
        <w:tab/>
        <w:t>Свобода выбора работы</w:t>
      </w:r>
    </w:p>
    <w:p w:rsidR="00000000" w:rsidRDefault="00000000">
      <w:pPr>
        <w:jc w:val="center"/>
        <w:rPr>
          <w:b/>
          <w:bCs/>
          <w:u w:val="single"/>
        </w:rPr>
      </w:pPr>
    </w:p>
    <w:p w:rsidR="00000000" w:rsidRDefault="00000000">
      <w:r>
        <w:t>168.</w:t>
      </w:r>
      <w:r>
        <w:tab/>
        <w:t>Что касается административно-правовых положений, призванных обеспечить свободу выбора работы, а также положений, позволяющих не ограничивать условиями занятости политические и экономические свободы, то в парагвайском государстве действуют следующие правила (в частности, в отношении освобождения от работы для участия в выборах).</w:t>
      </w:r>
    </w:p>
    <w:p w:rsidR="00000000" w:rsidRDefault="00000000"/>
    <w:p w:rsidR="00000000" w:rsidRDefault="00000000">
      <w:pPr>
        <w:rPr>
          <w:b/>
          <w:bCs/>
        </w:rPr>
      </w:pPr>
      <w:r>
        <w:rPr>
          <w:b/>
          <w:bCs/>
        </w:rPr>
        <w:t>1.</w:t>
      </w:r>
      <w:r>
        <w:rPr>
          <w:b/>
          <w:bCs/>
        </w:rPr>
        <w:tab/>
        <w:t>Правовые меры</w:t>
      </w:r>
    </w:p>
    <w:p w:rsidR="00000000" w:rsidRDefault="00000000">
      <w:pPr>
        <w:rPr>
          <w:b/>
          <w:bCs/>
        </w:rPr>
      </w:pPr>
    </w:p>
    <w:p w:rsidR="00000000" w:rsidRDefault="00000000">
      <w:r>
        <w:t>169.</w:t>
      </w:r>
      <w:r>
        <w:tab/>
      </w:r>
      <w:r>
        <w:rPr>
          <w:b/>
          <w:bCs/>
        </w:rPr>
        <w:t>Национальная конституция</w:t>
      </w:r>
      <w:r>
        <w:t>.  В Национальной конституции сформулированы руководящие принципы политики в области занятости, особенно в том, что касается обеспечения полной занятости, равноправия, развития кооперативов, аграрной реформы и развития сельских районов, профессионально-технической подготовки.  Конституция возлагает на государство обязанность содействовать повышению качества жизни "посредством планов и политики, учитывающих определяющие факторы, такие как крайняя нищета и препятствия, возникающие при инвалидности или в силу возраста".  "Государство поощряет также изучение демографических факторов и их связи с социально-экономическим развитием, охраной окружающей среды и качеством жизни населения".  (Статья 6 - "Качество жизни", раздел II - глава I.)</w:t>
      </w:r>
    </w:p>
    <w:p w:rsidR="00000000" w:rsidRDefault="00000000"/>
    <w:p w:rsidR="00000000" w:rsidRDefault="00000000">
      <w:r>
        <w:t>170.</w:t>
      </w:r>
      <w:r>
        <w:tab/>
        <w:t>В статье 87 (глава VIII - "О труде", первый раздел - "О трудовых правах") идет речь об обязательстве государства поощрять полную занятость.  Статья гласит следующее:  "Государство поощряет политику, направленную на обеспечение полной занятости и подготовки кадров, отдавая предпочтение трудящимся, являющимся гражданами страны".</w:t>
      </w:r>
    </w:p>
    <w:p w:rsidR="00000000" w:rsidRDefault="00000000"/>
    <w:p w:rsidR="00000000" w:rsidRDefault="00000000">
      <w:r>
        <w:t>171.</w:t>
      </w:r>
      <w:r>
        <w:tab/>
      </w:r>
      <w:r>
        <w:rPr>
          <w:b/>
          <w:bCs/>
        </w:rPr>
        <w:t>Равноправие</w:t>
      </w:r>
      <w:r>
        <w:t>.  Статья 107 (глава IX - "Об экономических правах и аграрной реформе", первый раздел - "Об экономических правах") гласит, что "любое лицо имеет право посвятить себя законной экономической деятельности по своему усмотрению в рамках режима равенства возможностей", в связи с чем предусматривается осуществление права на труд в контексте равноправия и свободы выбора.</w:t>
      </w:r>
    </w:p>
    <w:p w:rsidR="00000000" w:rsidRDefault="00000000"/>
    <w:p w:rsidR="00000000" w:rsidRDefault="00000000">
      <w:r>
        <w:t>172.</w:t>
      </w:r>
      <w:r>
        <w:tab/>
      </w:r>
      <w:r>
        <w:rPr>
          <w:b/>
          <w:bCs/>
        </w:rPr>
        <w:t>Профессиональная подготовка</w:t>
      </w:r>
      <w:r>
        <w:t>.  Статья 78 (глава VII - "Об образовании и культуре") предусматривает, что "государство поощряет профессиональную подготовку посредством системы технического образования в целях формирования людских ресурсов, необходимых для национального развития".</w:t>
      </w:r>
    </w:p>
    <w:p w:rsidR="00000000" w:rsidRDefault="00000000"/>
    <w:p w:rsidR="00000000" w:rsidRDefault="00000000">
      <w:r>
        <w:t>173.</w:t>
      </w:r>
      <w:r>
        <w:tab/>
      </w:r>
      <w:r>
        <w:rPr>
          <w:b/>
          <w:bCs/>
        </w:rPr>
        <w:t>Развитие кооперативов.</w:t>
      </w:r>
      <w:r>
        <w:t xml:space="preserve">  Статья 113 (глава IХ - "Об экономических правах и аграрной реформе", первый раздел - "Об экономических правах") предусматривает следующее:  "Государство поощряет создание кооперативных предприятий и других форм совместной деятельности по производству товаров и услуг на основе солидарности и социальной рентабельности и гарантирует им свободу организации и самостоятельность…".</w:t>
      </w:r>
    </w:p>
    <w:p w:rsidR="00000000" w:rsidRDefault="00000000"/>
    <w:p w:rsidR="00000000" w:rsidRDefault="00000000">
      <w:r>
        <w:t>174.</w:t>
      </w:r>
      <w:r>
        <w:tab/>
      </w:r>
      <w:r>
        <w:rPr>
          <w:b/>
          <w:bCs/>
        </w:rPr>
        <w:t>Развитие сельских районов и аграрная реформа.</w:t>
      </w:r>
      <w:r>
        <w:t xml:space="preserve">  Статья 115 ("Об основах аграрной реформы и развитии сельских районов") устанавливает, что "аграрная реформа и развитие сельских районов осуществляются по следующим основным направлениям:</w:t>
      </w:r>
    </w:p>
    <w:p w:rsidR="00000000" w:rsidRDefault="00000000"/>
    <w:p w:rsidR="00000000" w:rsidRDefault="00000000">
      <w:pPr>
        <w:numPr>
          <w:ilvl w:val="0"/>
          <w:numId w:val="94"/>
        </w:numPr>
      </w:pPr>
      <w:r>
        <w:t>внедрение налоговой системы и принятие других мер, которые стимулируют производство, дестимулирует крупное землевладение и гарантирует развитие малой и средней крестьянской собственности с учетом особенностей каждой зоны;</w:t>
      </w:r>
    </w:p>
    <w:p w:rsidR="00000000" w:rsidRDefault="00000000">
      <w:pPr>
        <w:tabs>
          <w:tab w:val="clear" w:pos="1134"/>
        </w:tabs>
        <w:ind w:left="569"/>
      </w:pPr>
    </w:p>
    <w:p w:rsidR="00000000" w:rsidRDefault="00000000">
      <w:pPr>
        <w:numPr>
          <w:ilvl w:val="0"/>
          <w:numId w:val="94"/>
        </w:numPr>
      </w:pPr>
      <w:r>
        <w:t>рационализация и регламентация землепользования и практики земледелия в целях предупреждения деградации земель, а также развитие интенсивного и диверсифицированного агроживотноводческого производства;</w:t>
      </w:r>
    </w:p>
    <w:p w:rsidR="00000000" w:rsidRDefault="00000000">
      <w:pPr>
        <w:tabs>
          <w:tab w:val="clear" w:pos="1134"/>
        </w:tabs>
        <w:ind w:left="569"/>
      </w:pPr>
    </w:p>
    <w:p w:rsidR="00000000" w:rsidRDefault="00000000">
      <w:pPr>
        <w:numPr>
          <w:ilvl w:val="0"/>
          <w:numId w:val="94"/>
        </w:numPr>
      </w:pPr>
      <w:r>
        <w:t>поощрение малых и средних сельскохозяйственных предприятий (…);</w:t>
      </w:r>
    </w:p>
    <w:p w:rsidR="00000000" w:rsidRDefault="00000000">
      <w:pPr>
        <w:tabs>
          <w:tab w:val="clear" w:pos="1134"/>
        </w:tabs>
        <w:ind w:left="569"/>
      </w:pPr>
    </w:p>
    <w:p w:rsidR="00000000" w:rsidRDefault="00000000">
      <w:pPr>
        <w:numPr>
          <w:ilvl w:val="0"/>
          <w:numId w:val="94"/>
        </w:numPr>
      </w:pPr>
      <w:r>
        <w:t>просвещение земледельца и его семьи в целях их подготовки в качестве активных участников процесса национального развития;</w:t>
      </w:r>
    </w:p>
    <w:p w:rsidR="00000000" w:rsidRDefault="00000000">
      <w:pPr>
        <w:tabs>
          <w:tab w:val="clear" w:pos="1134"/>
        </w:tabs>
        <w:ind w:left="569"/>
      </w:pPr>
    </w:p>
    <w:p w:rsidR="00000000" w:rsidRDefault="00000000">
      <w:pPr>
        <w:numPr>
          <w:ilvl w:val="0"/>
          <w:numId w:val="94"/>
        </w:numPr>
      </w:pPr>
      <w:r>
        <w:t>проведение политики, стимулирующей приток кадров в агроживотноводческий сектор путем создания центров профессиональной подготовки в сельских районах".</w:t>
      </w:r>
    </w:p>
    <w:p w:rsidR="00000000" w:rsidRDefault="00000000">
      <w:pPr>
        <w:tabs>
          <w:tab w:val="clear" w:pos="1134"/>
        </w:tabs>
        <w:ind w:left="569"/>
      </w:pPr>
    </w:p>
    <w:p w:rsidR="00000000" w:rsidRDefault="00000000">
      <w:r>
        <w:t>175.</w:t>
      </w:r>
      <w:r>
        <w:tab/>
      </w:r>
      <w:r>
        <w:rPr>
          <w:b/>
          <w:bCs/>
          <w:u w:val="single"/>
        </w:rPr>
        <w:t>Трудовой кодекс - Закон № 213/93</w:t>
      </w:r>
      <w:r>
        <w:t>.  Глава II - "О труде и его гарантиях":</w:t>
      </w:r>
    </w:p>
    <w:p w:rsidR="00000000" w:rsidRDefault="00000000"/>
    <w:p w:rsidR="00000000" w:rsidRDefault="00000000">
      <w:pPr>
        <w:numPr>
          <w:ilvl w:val="0"/>
          <w:numId w:val="95"/>
        </w:numPr>
      </w:pPr>
      <w:r>
        <w:rPr>
          <w:b/>
          <w:bCs/>
        </w:rPr>
        <w:t>Статья 9:</w:t>
      </w:r>
      <w:r>
        <w:t xml:space="preserve">  "Труд является правом и социальной обязанностью и пользуется защитой государства.  Он не должен рассматриваться как товар.  Он требует уважения свобод и достоинства трудящихся и осуществляется в условиях, гарантирующих жизнь, здоровье и такое экономическое положение, которое сопоставимо с семейными обязанностями работающих отцов и матерей.  Запрещается какая-либо дискриминация трудящегося по признакам физического недостатка, расы, цвета кожи, пола, религии, политических убеждений или социального положения";</w:t>
      </w:r>
    </w:p>
    <w:p w:rsidR="00000000" w:rsidRDefault="00000000">
      <w:pPr>
        <w:tabs>
          <w:tab w:val="clear" w:pos="1134"/>
        </w:tabs>
        <w:ind w:left="569"/>
      </w:pPr>
    </w:p>
    <w:p w:rsidR="00000000" w:rsidRDefault="00000000">
      <w:pPr>
        <w:numPr>
          <w:ilvl w:val="0"/>
          <w:numId w:val="95"/>
        </w:numPr>
      </w:pPr>
      <w:r>
        <w:rPr>
          <w:b/>
          <w:bCs/>
        </w:rPr>
        <w:t>Статья 15:</w:t>
      </w:r>
      <w:r>
        <w:t xml:space="preserve">  "Каждый трудящийся должен иметь возможности для достойного существования и право на справедливые условия труда, получать профессионально-техническое образование для развития своих способностей, получать бόльшие доходы и эффективно вносить свой вклад в прогресс нации";</w:t>
      </w:r>
    </w:p>
    <w:p w:rsidR="00000000" w:rsidRDefault="00000000">
      <w:pPr>
        <w:tabs>
          <w:tab w:val="clear" w:pos="1134"/>
        </w:tabs>
        <w:ind w:left="569"/>
      </w:pPr>
    </w:p>
    <w:p w:rsidR="00000000" w:rsidRDefault="00000000">
      <w:pPr>
        <w:numPr>
          <w:ilvl w:val="0"/>
          <w:numId w:val="95"/>
        </w:numPr>
      </w:pPr>
      <w:r>
        <w:rPr>
          <w:b/>
          <w:bCs/>
        </w:rPr>
        <w:t>Статья 16:</w:t>
      </w:r>
      <w:r>
        <w:t xml:space="preserve">  "Государство берет на себя обеспечение профессионально-технического образования трудящихся в целях развития их способностей для получения больших доходов и более высокой производительности".  "Посредством проведения адекватной экономической политики оно обеспечивает также сохранение правильного соотношения между спросом и предложением рабочей силы и предоставление соответствующей работы тем, кто ее не имеет или занят неполный рабочий день по не зависящим от них причинам, физически и умственно отсталым, престарелым и ветеранам войны".</w:t>
      </w:r>
    </w:p>
    <w:p w:rsidR="00000000" w:rsidRDefault="00000000">
      <w:pPr>
        <w:tabs>
          <w:tab w:val="clear" w:pos="1134"/>
        </w:tabs>
        <w:ind w:left="569"/>
      </w:pPr>
    </w:p>
    <w:p w:rsidR="00000000" w:rsidRDefault="00000000">
      <w:pPr>
        <w:rPr>
          <w:b/>
          <w:bCs/>
          <w:u w:val="single"/>
        </w:rPr>
      </w:pPr>
      <w:r>
        <w:rPr>
          <w:b/>
          <w:bCs/>
        </w:rPr>
        <w:t>2.</w:t>
      </w:r>
      <w:r>
        <w:rPr>
          <w:b/>
          <w:bCs/>
        </w:rPr>
        <w:tab/>
        <w:t>Административные меры</w:t>
      </w:r>
    </w:p>
    <w:p w:rsidR="00000000" w:rsidRDefault="00000000">
      <w:pPr>
        <w:rPr>
          <w:b/>
          <w:bCs/>
          <w:u w:val="single"/>
        </w:rPr>
      </w:pPr>
    </w:p>
    <w:p w:rsidR="00000000" w:rsidRDefault="00000000">
      <w:r>
        <w:t>176.</w:t>
      </w:r>
      <w:r>
        <w:tab/>
        <w:t xml:space="preserve">Общей целью политики министерства юстиции и труда в области занятости является поощрение конкурентоспособности и улучшение условий для трудоустройства при соблюдении социальной справедливости.  Для этого осуществляется активная политика в области занятости, состоящая в эффективном применении системы профессионального образования посредством организации образовательных и подготовительных курсов по линии Национальной службы повышения профессиональной квалификации и Национальной системы профессионально-технического образования.  За последние три года были подготовлены более чем 100 000 работников.  Кроме того, министерство предоставляет услуги в области трудоустройства посредством производственной ориентации, информирования и посредничества в найме рабочей силы.  В настоящее время проходит процесс укрепления Национальной службы занятости.  С учетом необходимости обеспечения качества труда министерство проводит инспекции для обеспечения соблюдения условий труда согласно положениям Трудового кодекса и международных конвенций в сфере труда.  </w:t>
      </w:r>
    </w:p>
    <w:p w:rsidR="00000000" w:rsidRDefault="00000000"/>
    <w:p w:rsidR="00000000" w:rsidRDefault="00000000">
      <w:pPr>
        <w:jc w:val="center"/>
        <w:rPr>
          <w:b/>
          <w:bCs/>
          <w:u w:val="single"/>
        </w:rPr>
      </w:pPr>
      <w:r>
        <w:rPr>
          <w:b/>
          <w:bCs/>
          <w:lang w:val="en-US"/>
        </w:rPr>
        <w:t>D</w:t>
      </w:r>
      <w:r>
        <w:rPr>
          <w:b/>
          <w:bCs/>
        </w:rPr>
        <w:t>.</w:t>
      </w:r>
      <w:r>
        <w:rPr>
          <w:b/>
          <w:bCs/>
        </w:rPr>
        <w:tab/>
        <w:t>Трудности в обеспечении полной продуктивной занятости</w:t>
      </w:r>
    </w:p>
    <w:p w:rsidR="00000000" w:rsidRDefault="00000000">
      <w:pPr>
        <w:jc w:val="center"/>
        <w:rPr>
          <w:b/>
          <w:bCs/>
          <w:u w:val="single"/>
        </w:rPr>
      </w:pPr>
    </w:p>
    <w:p w:rsidR="00000000" w:rsidRDefault="00000000">
      <w:r>
        <w:t>177.</w:t>
      </w:r>
      <w:r>
        <w:tab/>
        <w:t>Учитывая особенности структуры экономики страны, отличительной чертой которой является малое количество производственных центров или промышленных предприятий, большинство трудящихся работают на небольших предприятиях.  Около 70% парагвайских трудящихся заняты на предприятиях с пятью и менее работниками.</w:t>
      </w:r>
    </w:p>
    <w:p w:rsidR="00000000" w:rsidRDefault="00000000"/>
    <w:p w:rsidR="00000000" w:rsidRDefault="00000000">
      <w:r>
        <w:t>178.</w:t>
      </w:r>
      <w:r>
        <w:tab/>
        <w:t>С другой стороны, между предложением и спросом на труд существует как количественный, так и качественный разрыв.  Хотя экономика не способна создать рабочие места в достаточном количестве и достаточного качества для удовлетворения существующего спроса, квалификация рабочей силы также не отвечает современным требованиям, предъявляемым работодателями.  Свыше 60% экономически активного населения имеют только начальное образование и всего лишь 7% - образование третьего уровня.  Разумеется, это несоответствие затрудняет надлежащее функционирование рынка, в связи с чем осуществляется проект реформы системы профессионального образования для повышения производительности и качества рабочей силы.</w:t>
      </w:r>
    </w:p>
    <w:p w:rsidR="00000000" w:rsidRDefault="00000000"/>
    <w:p w:rsidR="00000000" w:rsidRDefault="00000000">
      <w:r>
        <w:t>179.</w:t>
      </w:r>
      <w:r>
        <w:tab/>
        <w:t>Вместе с тем за последнее десятилетие в министерство юстиции и труда жалоб на дискриминацию в сфере труда по признакам расы, религии, социального и имущественного положения не поступало.  Национальная конституция, Трудовой кодекс и другие законодательные нормы позитивного права обеспечивают право на недискриминацию в сфере труда и равенство возможностей для всех трудящихся.</w:t>
      </w:r>
    </w:p>
    <w:p w:rsidR="00000000" w:rsidRDefault="00000000"/>
    <w:p w:rsidR="00000000" w:rsidRDefault="00000000">
      <w:r>
        <w:t>180.</w:t>
      </w:r>
      <w:r>
        <w:tab/>
        <w:t>Помимо этого, в Национальной службе занятости в рамках профориентации проходят занятия на темы недискриминации и права на равенство возможностей.  Аналогичным образом учебная программа системы начального и среднего образования включает материалы, касающиеся этих основных прав человека.</w:t>
      </w:r>
    </w:p>
    <w:p w:rsidR="00000000" w:rsidRDefault="00000000"/>
    <w:p w:rsidR="00000000" w:rsidRDefault="00000000">
      <w:pPr>
        <w:jc w:val="center"/>
        <w:rPr>
          <w:b/>
          <w:bCs/>
        </w:rPr>
      </w:pPr>
      <w:r>
        <w:rPr>
          <w:b/>
          <w:bCs/>
        </w:rPr>
        <w:t>Е.</w:t>
      </w:r>
      <w:r>
        <w:rPr>
          <w:b/>
          <w:bCs/>
        </w:rPr>
        <w:tab/>
        <w:t>Доклад Верховного суда по осуществлению статьи 6</w:t>
      </w:r>
    </w:p>
    <w:p w:rsidR="00000000" w:rsidRDefault="00000000">
      <w:pPr>
        <w:jc w:val="center"/>
        <w:rPr>
          <w:b/>
          <w:bCs/>
        </w:rPr>
      </w:pPr>
    </w:p>
    <w:p w:rsidR="00000000" w:rsidRDefault="00000000">
      <w:r>
        <w:t>181.</w:t>
      </w:r>
      <w:r>
        <w:tab/>
        <w:t>Эффективному применению вышеупомянутых правовых норм способствует также отсутствие в обществе страт с трудно проницаемыми границами, за естественным исключением социального положения, обусловленного полученным образованием или профессиональной подготовкой.  Тем не менее сохраняются некоторые дискриминационные ограничения, коренящиеся в представлениях о распределении ролей и условиях труда.  Такое положение характерно для надомных работников и сельских тружеников.  Законы о труде допускают дискриминацию в отношении этих категорий трудящихся, санкционируя выплату им вознаграждения в размерах меньше минимальной заработной платы на основе предположения о том, что такой меньший заработок фактически компенсируется благами от ведения собственного хозяйства и питанием за счет хозяина дома.  Вместе с тем такая дискриминация приобретает явно выраженный характер, когда трудящиеся не получают питания от хозяина или постоянно у него не проживают.</w:t>
      </w:r>
    </w:p>
    <w:p w:rsidR="00000000" w:rsidRDefault="00000000"/>
    <w:p w:rsidR="00000000" w:rsidRDefault="00000000">
      <w:r>
        <w:t>182.</w:t>
      </w:r>
      <w:r>
        <w:tab/>
        <w:t>В данный момент очевидно, что социально-экономическая структура страны не позволяет улучшить условия труда этих работников.  Третья социальная группа также подвергается дискриминации в силу того, что ее составляет коренное население - группа меньшинства иной культурой.  Хотя закон не предусматривает какой-либо дискриминации в отношении этой группы, существующие культурные различия порождают целый ряд трудностей в осуществлении какой-либо трудовой деятельности в условиях равенства с некоренными гражданами.  Вполне очевидно, что для этой социальной группы недостаточно декларировать равенство;  необходимо установить нормы, предусматривающие проведение политики гарантирования квот, результатом чего стало бы обеспечение равенства.</w:t>
      </w:r>
    </w:p>
    <w:p w:rsidR="00000000" w:rsidRDefault="00000000"/>
    <w:p w:rsidR="00000000" w:rsidRDefault="00000000">
      <w:r>
        <w:t>183.</w:t>
      </w:r>
      <w:r>
        <w:tab/>
        <w:t>Четвертой группой, находящейся в неблагоприятном положении, являются лица с физическими и умственными недостатками.  Большая доля таких лиц в силу своего состояния не может получить работы вопреки тому, что устанавливает закон, и, хотя предполагается, что они имеют равные права в доступе к рабочим местам, в большинстве случаев практической реализации их прав мешают предрассудки культурного характера.  Вместе с тем большим достижением в защите интересов этой группы стало обнародование в 2002 году Закона № 1925 о ратификации Межамериканской конвенции о ликвидации всех форм дискриминации инвалидов и принятие в 2004 году Закона № 2479, "в котором устанавливается обязательность приема инвалидов на работу в государственные учреждения".  Положение этой группы аналогично положению коренного населения, и, как следствие, его улучшение обусловлено необходимостью введения гарантированных квот, что должно быть закреплено в законе.</w:t>
      </w:r>
    </w:p>
    <w:p w:rsidR="00000000" w:rsidRDefault="00000000"/>
    <w:p w:rsidR="00000000" w:rsidRDefault="00000000">
      <w:r>
        <w:t>184.</w:t>
      </w:r>
      <w:r>
        <w:tab/>
        <w:t>Следует отметить также, что права лиц с особыми потребностями пользуются конституционной защитой по смыслу статьи 158 Национальной конституции, регламентирующей государственную политику в этой области.  В этой связи упомянутая статья устанавливает следующее:  "Лицам с особыми потребностями гарантируются медицинская помощь, образование, отдых и профессиональная подготовка для их полной социальной интеграции".  "Государство проводит политику в области профилактики, лечения, реабилитации и интеграции лиц с физическими, умственными и сенсорными недостатками и предоставляет специальный уход тем из них, кто в нем нуждается".  "Признается пользование ими правами, которые настоящая Конституция предоставляет всем жителям Республики в условиях равенства возможностей, чтобы компенсировать их недостатки".</w:t>
      </w:r>
    </w:p>
    <w:p w:rsidR="00000000" w:rsidRDefault="00000000"/>
    <w:p w:rsidR="00000000" w:rsidRDefault="00000000">
      <w:pPr>
        <w:rPr>
          <w:b/>
          <w:bCs/>
        </w:rPr>
      </w:pPr>
      <w:r>
        <w:rPr>
          <w:b/>
          <w:bCs/>
        </w:rPr>
        <w:t>1.</w:t>
      </w:r>
      <w:r>
        <w:rPr>
          <w:b/>
          <w:bCs/>
        </w:rPr>
        <w:tab/>
        <w:t>Дискриминация по языковому признаку</w:t>
      </w:r>
    </w:p>
    <w:p w:rsidR="00000000" w:rsidRDefault="00000000">
      <w:pPr>
        <w:rPr>
          <w:b/>
          <w:bCs/>
        </w:rPr>
      </w:pPr>
    </w:p>
    <w:p w:rsidR="00000000" w:rsidRDefault="00000000">
      <w:r>
        <w:t>185.</w:t>
      </w:r>
      <w:r>
        <w:tab/>
        <w:t>Еще одной группой, фактически подвергающейся дискриминации, являются граждане, не владеющие испанским языком.  В Парагвае они образуют моноязычную группу лиц, говорящих на языке гуарани, которые в своем большинстве являются крестьянами и в городском секторе составляют меньшинство.  Они подвергаются фактической дискриминации, проистекающей из трудностей в общении, как в сфере занятости, так и в сфере судопроизводства, где используется исключительно испанский язык.  Необходимо в ближайшее же время изыскать решения для ликвидации этой дискриминации.  Для этого существуют все условия, поскольку Национальная конституция 1992 года гласит, что язык гуарани наравне с испанским используется как официальный на всей территории Республики и, следовательно, гуарани может использоваться в судебных органах, особенно при рассмотрении дел о трудовых спорах.  Тем не менее это право до сего дня не закреплено из-за отсутствия закона, более конкретно регламентирующего применение официальных языков государства.  В настоящее время слои, заинтересованные в использовании языка гуарани, разработали соответствующий законопроект, который будет представлен на рассмотрение Национального конгресса.</w:t>
      </w:r>
    </w:p>
    <w:p w:rsidR="00000000" w:rsidRDefault="00000000"/>
    <w:p w:rsidR="00000000" w:rsidRDefault="00000000">
      <w:pPr>
        <w:rPr>
          <w:b/>
          <w:bCs/>
        </w:rPr>
      </w:pPr>
      <w:r>
        <w:rPr>
          <w:b/>
          <w:bCs/>
        </w:rPr>
        <w:t>2.</w:t>
      </w:r>
      <w:r>
        <w:rPr>
          <w:b/>
          <w:bCs/>
        </w:rPr>
        <w:tab/>
        <w:t>Изменения в национальном законодательстве</w:t>
      </w:r>
    </w:p>
    <w:p w:rsidR="00000000" w:rsidRDefault="00000000">
      <w:pPr>
        <w:rPr>
          <w:b/>
          <w:bCs/>
        </w:rPr>
      </w:pPr>
    </w:p>
    <w:p w:rsidR="00000000" w:rsidRDefault="00000000">
      <w:r>
        <w:t>186.</w:t>
      </w:r>
      <w:r>
        <w:tab/>
        <w:t>Среди изменений в национальном законодательстве, которые положительно сказываются на осуществлении закрепленных в статье прав, можно упомянуть следующее.</w:t>
      </w:r>
    </w:p>
    <w:p w:rsidR="00000000" w:rsidRDefault="00000000"/>
    <w:p w:rsidR="00000000" w:rsidRDefault="00000000">
      <w:r>
        <w:t>187.</w:t>
      </w:r>
      <w:r>
        <w:tab/>
        <w:t>В отношении права на продуктивный труд и справедливые условия труда были приняты следующие предписания.</w:t>
      </w:r>
    </w:p>
    <w:p w:rsidR="00000000" w:rsidRDefault="00000000"/>
    <w:p w:rsidR="00000000" w:rsidRDefault="00000000">
      <w:r>
        <w:t>188.</w:t>
      </w:r>
      <w:r>
        <w:tab/>
        <w:t xml:space="preserve">Закон № 1980/2002, касающийся первого трудоустройства, который был принят с целью установления норм, регламентирующих, стимулирующих и поощряющих трудоустройство молодежи для осуществления вознаграждаемой трудовой деятельности по найму.  Его действие распространяется на молодых лиц в возрасте 15-18 лет, молодых специалистов не старше 28 лет, впервые принятых на работу по трудовому договору, а также работодателей, зарегистрированных в Административном управлении труда.  </w:t>
      </w:r>
    </w:p>
    <w:p w:rsidR="00000000" w:rsidRDefault="00000000"/>
    <w:p w:rsidR="00000000" w:rsidRDefault="00000000">
      <w:r>
        <w:t>189.</w:t>
      </w:r>
      <w:r>
        <w:tab/>
        <w:t xml:space="preserve">Закон № 1652/2000, в силу которого была создана Национальная система профессионально-технического образования (ее деятельность регламентируется Указом № 15904/2001).  Закон регулирует профессионально-техническое обучение охватываемых им категорий трудящихся, устанавливает принципы, задачи и цели такого обучения и подготовки, определяет механизмы участия, функции руководящего органа - субъекта публичного права, подведомственного министерству юстиции и труда, - а также учреждений, занимающихся обучением и подготовкой кадров.  Он также содержит положения о финансировании и других функциях Системы.  </w:t>
      </w:r>
    </w:p>
    <w:p w:rsidR="00000000" w:rsidRDefault="00000000"/>
    <w:p w:rsidR="00000000" w:rsidRDefault="00000000">
      <w:r>
        <w:t>190.</w:t>
      </w:r>
      <w:r>
        <w:tab/>
        <w:t>Законом № 1265/1987 были внесены изменения в Закон № 253/1971, в соответствии с которым была создана Национальная служба повышения профессиональной квалификации, подведомственная министерству юстиции и труда.  Эта Служба должна функционировать согласно положениям Закона и создана в целях поощрения и развития профессиональной подготовки трудящихся на всех уровнях и во всех секторах экономики в соответствии с основными положениями политики в области занятости и потребностями национального развития.  Бенефицирами Службы являются все лица старше 18 лет, постоянно проживающие на территории страны.  Для несовершеннолетних в возрасте 15</w:t>
      </w:r>
      <w:r>
        <w:noBreakHyphen/>
        <w:t xml:space="preserve">18 лет предусматриваются программы ученичества.  </w:t>
      </w:r>
    </w:p>
    <w:p w:rsidR="00000000" w:rsidRDefault="00000000"/>
    <w:p w:rsidR="00000000" w:rsidRDefault="00000000">
      <w:r>
        <w:t>191.</w:t>
      </w:r>
      <w:r>
        <w:tab/>
        <w:t>Закон № 285/1993 о дополнительных льготах трудящимся (принятый во исполнение статьи 93 Национальной конституции) устанавливает, что предприятия, выплачивающие своим работникам дополнительные надбавки сверх чистого дохода, независимо от их соответствующих окладов и других пособий, определенных законами или договорами между предприятием и его работниками, может вычитать из своих налогов эти дополнительные надбавки, для целей которых ни предприятия, ни работники не должны вносить взносы в Институт социального обеспечения, Национальный банк трудящихся или другие создаваемые учреждения, которые существую за счет взносов.</w:t>
      </w:r>
    </w:p>
    <w:p w:rsidR="00000000" w:rsidRDefault="00000000"/>
    <w:p w:rsidR="00000000" w:rsidRDefault="00000000">
      <w:r>
        <w:t>192.</w:t>
      </w:r>
      <w:r>
        <w:tab/>
        <w:t xml:space="preserve">Закон № 1160/1997, содержащий Уголовный кодекс, в статье 205 устанавливает, что руководитель учреждения или предприятия или лицо, несущее ответственность за предотвращение несчастных случаев на производстве, подлежит ответственности и соответствующему наказанию в случае привлечения лиц к труду на опасном производстве.  </w:t>
      </w:r>
    </w:p>
    <w:p w:rsidR="00000000" w:rsidRDefault="00000000"/>
    <w:p w:rsidR="00000000" w:rsidRDefault="00000000">
      <w:r>
        <w:t>193.</w:t>
      </w:r>
      <w:r>
        <w:tab/>
        <w:t xml:space="preserve">Указ № 20400/2003, регламентирующий оклады и поденную оплату труда в частном секторе, предусматривает увеличение с 1 февраля 2003 года окладов и поденной оплаты труды в частном секторе на 11%, а также увеличение минимальных ставок заработной платы за четко оговоренные виды трудовой деятельности как по установленным тарифам, так и без таковых.  </w:t>
      </w:r>
    </w:p>
    <w:p w:rsidR="00000000" w:rsidRDefault="00000000"/>
    <w:p w:rsidR="00000000" w:rsidRDefault="00000000">
      <w:pPr>
        <w:rPr>
          <w:b/>
          <w:bCs/>
        </w:rPr>
      </w:pPr>
      <w:r>
        <w:rPr>
          <w:b/>
          <w:bCs/>
        </w:rPr>
        <w:t>Статья 7</w:t>
      </w:r>
    </w:p>
    <w:p w:rsidR="00000000" w:rsidRDefault="00000000">
      <w:pPr>
        <w:rPr>
          <w:b/>
          <w:bCs/>
        </w:rPr>
      </w:pPr>
    </w:p>
    <w:p w:rsidR="00000000" w:rsidRDefault="00000000">
      <w:r>
        <w:t>194.</w:t>
      </w:r>
      <w:r>
        <w:tab/>
        <w:t>Что касается осуществления данной статьи, то Парагвай является государством - участником следующих международных конвенций в области трудовых прав:</w:t>
      </w:r>
    </w:p>
    <w:p w:rsidR="00000000" w:rsidRDefault="00000000"/>
    <w:p w:rsidR="00000000" w:rsidRDefault="00000000">
      <w:pPr>
        <w:ind w:left="561"/>
      </w:pPr>
      <w:r>
        <w:rPr>
          <w:b/>
          <w:bCs/>
        </w:rPr>
        <w:t>Конвенции № 14 МОТ о еженедельном отдыхе на промышленных предприятиях</w:t>
      </w:r>
    </w:p>
    <w:p w:rsidR="00000000" w:rsidRDefault="00000000"/>
    <w:p w:rsidR="00000000" w:rsidRDefault="00000000">
      <w:pPr>
        <w:ind w:left="1122" w:hanging="561"/>
      </w:pPr>
      <w:r>
        <w:t>Принята:  Женева, 25 октября 1921 года</w:t>
      </w:r>
    </w:p>
    <w:p w:rsidR="00000000" w:rsidRDefault="00000000">
      <w:pPr>
        <w:ind w:left="1122" w:hanging="561"/>
      </w:pPr>
      <w:r>
        <w:t>Закон № 945 от 15 июля 1964 года</w:t>
      </w:r>
    </w:p>
    <w:p w:rsidR="00000000" w:rsidRDefault="00000000">
      <w:pPr>
        <w:ind w:left="1122" w:hanging="561"/>
      </w:pPr>
      <w:r>
        <w:t>Дата вступления для Парагвая в силу:  21 марта 1966 года</w:t>
      </w:r>
    </w:p>
    <w:p w:rsidR="00000000" w:rsidRDefault="00000000">
      <w:pPr>
        <w:ind w:left="561" w:hanging="561"/>
      </w:pPr>
    </w:p>
    <w:p w:rsidR="00000000" w:rsidRDefault="00000000">
      <w:pPr>
        <w:keepNext/>
        <w:ind w:left="561"/>
      </w:pPr>
      <w:r>
        <w:rPr>
          <w:b/>
          <w:bCs/>
        </w:rPr>
        <w:t>Конвенции № 100 о равном вознаграждении мужчин и женщин за труд равной ценности</w:t>
      </w:r>
    </w:p>
    <w:p w:rsidR="00000000" w:rsidRDefault="00000000">
      <w:pPr>
        <w:keepNext/>
      </w:pPr>
    </w:p>
    <w:p w:rsidR="00000000" w:rsidRDefault="00000000">
      <w:pPr>
        <w:keepNext/>
        <w:ind w:left="1122" w:hanging="561"/>
      </w:pPr>
      <w:r>
        <w:t>Принята:  Женева, 29 июня 1951 года</w:t>
      </w:r>
    </w:p>
    <w:p w:rsidR="00000000" w:rsidRDefault="00000000">
      <w:pPr>
        <w:keepNext/>
        <w:ind w:left="1122" w:hanging="561"/>
      </w:pPr>
      <w:r>
        <w:t>Закон № 925 от 3 июня 1964 года</w:t>
      </w:r>
    </w:p>
    <w:p w:rsidR="00000000" w:rsidRDefault="00000000">
      <w:pPr>
        <w:ind w:left="1122" w:hanging="561"/>
      </w:pPr>
      <w:r>
        <w:t>Дата вступления для Парагвая в силу:  24 июня 1965 года</w:t>
      </w:r>
    </w:p>
    <w:p w:rsidR="00000000" w:rsidRDefault="00000000">
      <w:pPr>
        <w:ind w:left="561" w:hanging="561"/>
      </w:pPr>
    </w:p>
    <w:p w:rsidR="00000000" w:rsidRDefault="00000000">
      <w:pPr>
        <w:ind w:left="561"/>
      </w:pPr>
      <w:r>
        <w:rPr>
          <w:b/>
          <w:bCs/>
        </w:rPr>
        <w:t>Конвенции № 106 о еженедельном отдыхе в торговле и учреждениях</w:t>
      </w:r>
    </w:p>
    <w:p w:rsidR="00000000" w:rsidRDefault="00000000"/>
    <w:p w:rsidR="00000000" w:rsidRDefault="00000000">
      <w:pPr>
        <w:ind w:left="1122" w:hanging="561"/>
      </w:pPr>
      <w:r>
        <w:t>Принята:  Женева, 26 июня 1957 года</w:t>
      </w:r>
    </w:p>
    <w:p w:rsidR="00000000" w:rsidRDefault="00000000">
      <w:pPr>
        <w:ind w:left="1122" w:hanging="561"/>
      </w:pPr>
      <w:r>
        <w:t>Закон № 947 от 15 июля 1964 года</w:t>
      </w:r>
    </w:p>
    <w:p w:rsidR="00000000" w:rsidRDefault="00000000">
      <w:pPr>
        <w:ind w:left="1122" w:hanging="561"/>
      </w:pPr>
      <w:r>
        <w:t>Сдача документа о ратификации на хранение:  Женева, 21 марта 1966 года</w:t>
      </w:r>
    </w:p>
    <w:p w:rsidR="00000000" w:rsidRDefault="00000000">
      <w:pPr>
        <w:ind w:left="1122" w:hanging="561"/>
      </w:pPr>
      <w:r>
        <w:t>Дата вступления для Парагвая в силу:  21 марта 1967 года</w:t>
      </w:r>
    </w:p>
    <w:p w:rsidR="00000000" w:rsidRDefault="00000000">
      <w:pPr>
        <w:ind w:left="561" w:hanging="561"/>
      </w:pPr>
    </w:p>
    <w:p w:rsidR="00000000" w:rsidRDefault="00000000">
      <w:pPr>
        <w:ind w:left="561"/>
      </w:pPr>
      <w:r>
        <w:rPr>
          <w:b/>
          <w:bCs/>
        </w:rPr>
        <w:t>Конвенции № 81 об инспекции труда в промышленности и торговле</w:t>
      </w:r>
    </w:p>
    <w:p w:rsidR="00000000" w:rsidRDefault="00000000"/>
    <w:p w:rsidR="00000000" w:rsidRDefault="00000000">
      <w:pPr>
        <w:ind w:left="561"/>
      </w:pPr>
      <w:r>
        <w:t>Принята:  Женева, 11 июля 1947 года</w:t>
      </w:r>
    </w:p>
    <w:p w:rsidR="00000000" w:rsidRDefault="00000000">
      <w:pPr>
        <w:ind w:left="561"/>
      </w:pPr>
      <w:r>
        <w:t>Закон № 1235 от 21 июня 1967 года</w:t>
      </w:r>
    </w:p>
    <w:p w:rsidR="00000000" w:rsidRDefault="00000000">
      <w:pPr>
        <w:ind w:left="561"/>
      </w:pPr>
      <w:r>
        <w:t>Сдача документа о ратификации на хранение:  Женева, 28 августа 1967 года</w:t>
      </w:r>
    </w:p>
    <w:p w:rsidR="00000000" w:rsidRDefault="00000000">
      <w:pPr>
        <w:ind w:left="561"/>
      </w:pPr>
      <w:r>
        <w:t>Дата вступления для Парагвая в силу:  28 августа 1968 года</w:t>
      </w:r>
    </w:p>
    <w:p w:rsidR="00000000" w:rsidRDefault="00000000"/>
    <w:p w:rsidR="00000000" w:rsidRDefault="00000000">
      <w:pPr>
        <w:jc w:val="center"/>
        <w:rPr>
          <w:b/>
          <w:bCs/>
          <w:u w:val="single"/>
        </w:rPr>
      </w:pPr>
      <w:r>
        <w:rPr>
          <w:b/>
          <w:bCs/>
        </w:rPr>
        <w:t>А.</w:t>
      </w:r>
      <w:r>
        <w:rPr>
          <w:b/>
          <w:bCs/>
        </w:rPr>
        <w:tab/>
        <w:t>Минимальный размер оплаты труда</w:t>
      </w:r>
    </w:p>
    <w:p w:rsidR="00000000" w:rsidRDefault="00000000">
      <w:pPr>
        <w:jc w:val="center"/>
        <w:rPr>
          <w:b/>
          <w:bCs/>
          <w:u w:val="single"/>
        </w:rPr>
      </w:pPr>
    </w:p>
    <w:p w:rsidR="00000000" w:rsidRDefault="00000000">
      <w:r>
        <w:t>195.</w:t>
      </w:r>
      <w:r>
        <w:tab/>
        <w:t>Механизм определения минимального размера труда (МРОТ) установлен в Трудовом кодексе Парагвая в главе </w:t>
      </w:r>
      <w:r>
        <w:rPr>
          <w:lang w:val="en-US"/>
        </w:rPr>
        <w:t>II</w:t>
      </w:r>
      <w:r>
        <w:t xml:space="preserve"> "О минимальном размере оплаты труда", подробная информация о которой содержится ниже:</w:t>
      </w:r>
    </w:p>
    <w:p w:rsidR="00000000" w:rsidRDefault="00000000"/>
    <w:p w:rsidR="00000000" w:rsidRDefault="00000000">
      <w:pPr>
        <w:numPr>
          <w:ilvl w:val="0"/>
          <w:numId w:val="90"/>
        </w:numPr>
      </w:pPr>
      <w:r>
        <w:rPr>
          <w:b/>
          <w:bCs/>
        </w:rPr>
        <w:t xml:space="preserve">Статья 249:  </w:t>
      </w:r>
      <w:r>
        <w:t>"Минимальный размер оплаты труда соответствует заработной плате, которая достаточна для удовлетворения нормальных жизненных потребностей трудящегося, состоящих в питании, жилье, одежде, транспорте, страховании, удовлетворении культурных запросов и разумном отдыхе с учетом положения главы семьи";</w:t>
      </w:r>
    </w:p>
    <w:p w:rsidR="00000000" w:rsidRDefault="00000000"/>
    <w:p w:rsidR="00000000" w:rsidRDefault="00000000">
      <w:pPr>
        <w:numPr>
          <w:ilvl w:val="1"/>
          <w:numId w:val="90"/>
        </w:numPr>
        <w:tabs>
          <w:tab w:val="clear" w:pos="2214"/>
          <w:tab w:val="clear" w:pos="2268"/>
        </w:tabs>
        <w:ind w:left="1134"/>
        <w:rPr>
          <w:szCs w:val="24"/>
        </w:rPr>
      </w:pPr>
      <w:r>
        <w:rPr>
          <w:b/>
          <w:bCs/>
          <w:szCs w:val="24"/>
        </w:rPr>
        <w:t xml:space="preserve">Статья 250:  </w:t>
      </w:r>
      <w:r>
        <w:rPr>
          <w:bCs/>
          <w:szCs w:val="24"/>
        </w:rPr>
        <w:t>"</w:t>
      </w:r>
      <w:r>
        <w:rPr>
          <w:szCs w:val="24"/>
        </w:rPr>
        <w:t>В целях повышения уровня жизни периодически устанавливается изменяемый минимальный размер оплаты труда заработная плата на уровне прожиточного минимума с учетом следующих факторов:</w:t>
      </w:r>
    </w:p>
    <w:p w:rsidR="00000000" w:rsidRDefault="00000000">
      <w:pPr>
        <w:rPr>
          <w:szCs w:val="24"/>
        </w:rPr>
      </w:pPr>
    </w:p>
    <w:p w:rsidR="00000000" w:rsidRDefault="00000000">
      <w:pPr>
        <w:ind w:left="1701" w:hanging="567"/>
        <w:rPr>
          <w:bCs/>
          <w:szCs w:val="24"/>
        </w:rPr>
      </w:pPr>
      <w:r>
        <w:rPr>
          <w:bCs/>
          <w:szCs w:val="24"/>
          <w:lang w:val="fr-FR"/>
        </w:rPr>
        <w:t>a</w:t>
      </w:r>
      <w:r>
        <w:rPr>
          <w:bCs/>
          <w:szCs w:val="24"/>
        </w:rPr>
        <w:t>)</w:t>
      </w:r>
      <w:r>
        <w:rPr>
          <w:bCs/>
          <w:szCs w:val="24"/>
        </w:rPr>
        <w:tab/>
        <w:t>стоимости жизни для рабочей семьи в зависимости от времени и места, по ее основным компонентам и в соответствии с предыдущей статьей;</w:t>
      </w:r>
    </w:p>
    <w:p w:rsidR="00000000" w:rsidRDefault="00000000">
      <w:pPr>
        <w:ind w:left="1134"/>
        <w:rPr>
          <w:bCs/>
          <w:szCs w:val="24"/>
        </w:rPr>
      </w:pPr>
    </w:p>
    <w:p w:rsidR="00000000" w:rsidRDefault="00000000">
      <w:pPr>
        <w:ind w:left="1701" w:hanging="567"/>
        <w:rPr>
          <w:bCs/>
          <w:szCs w:val="24"/>
        </w:rPr>
      </w:pPr>
      <w:r>
        <w:rPr>
          <w:bCs/>
          <w:szCs w:val="24"/>
          <w:lang w:val="fr-FR"/>
        </w:rPr>
        <w:t>b</w:t>
      </w:r>
      <w:r>
        <w:rPr>
          <w:bCs/>
          <w:szCs w:val="24"/>
        </w:rPr>
        <w:t>)</w:t>
      </w:r>
      <w:r>
        <w:rPr>
          <w:bCs/>
          <w:szCs w:val="24"/>
        </w:rPr>
        <w:tab/>
        <w:t>общего уровня заработной платы в стране или регионе, где осуществляется трудовая деятельность;</w:t>
      </w:r>
    </w:p>
    <w:p w:rsidR="00000000" w:rsidRDefault="00000000">
      <w:pPr>
        <w:ind w:left="1134"/>
        <w:rPr>
          <w:bCs/>
          <w:szCs w:val="24"/>
        </w:rPr>
      </w:pPr>
    </w:p>
    <w:p w:rsidR="00000000" w:rsidRDefault="00000000">
      <w:pPr>
        <w:ind w:left="1134"/>
        <w:rPr>
          <w:szCs w:val="24"/>
        </w:rPr>
      </w:pPr>
      <w:r>
        <w:rPr>
          <w:szCs w:val="24"/>
          <w:lang w:val="fr-FR"/>
        </w:rPr>
        <w:t>d</w:t>
      </w:r>
      <w:r>
        <w:rPr>
          <w:szCs w:val="24"/>
        </w:rPr>
        <w:t>)</w:t>
      </w:r>
      <w:r>
        <w:rPr>
          <w:szCs w:val="24"/>
        </w:rPr>
        <w:tab/>
        <w:t>характера и производительности труда;</w:t>
      </w:r>
    </w:p>
    <w:p w:rsidR="00000000" w:rsidRDefault="00000000">
      <w:pPr>
        <w:ind w:left="1134"/>
        <w:rPr>
          <w:szCs w:val="24"/>
        </w:rPr>
      </w:pPr>
    </w:p>
    <w:p w:rsidR="00000000" w:rsidRDefault="00000000">
      <w:pPr>
        <w:ind w:left="1701" w:hanging="567"/>
        <w:rPr>
          <w:szCs w:val="24"/>
        </w:rPr>
      </w:pPr>
      <w:r>
        <w:rPr>
          <w:szCs w:val="24"/>
          <w:lang w:val="fr-FR"/>
        </w:rPr>
        <w:t>e</w:t>
      </w:r>
      <w:r>
        <w:rPr>
          <w:szCs w:val="24"/>
        </w:rPr>
        <w:t>)</w:t>
      </w:r>
      <w:r>
        <w:rPr>
          <w:szCs w:val="24"/>
        </w:rPr>
        <w:tab/>
        <w:t>возраста работника в той мере, в которой он влияет на его производительность;</w:t>
      </w:r>
    </w:p>
    <w:p w:rsidR="00000000" w:rsidRDefault="00000000">
      <w:pPr>
        <w:ind w:left="1134"/>
        <w:rPr>
          <w:szCs w:val="24"/>
        </w:rPr>
      </w:pPr>
    </w:p>
    <w:p w:rsidR="00000000" w:rsidRDefault="00000000">
      <w:pPr>
        <w:ind w:left="1701" w:hanging="567"/>
        <w:rPr>
          <w:szCs w:val="24"/>
        </w:rPr>
      </w:pPr>
      <w:r>
        <w:rPr>
          <w:szCs w:val="24"/>
          <w:lang w:val="fr-FR"/>
        </w:rPr>
        <w:t>f</w:t>
      </w:r>
      <w:r>
        <w:rPr>
          <w:szCs w:val="24"/>
        </w:rPr>
        <w:t>)</w:t>
      </w:r>
      <w:r>
        <w:rPr>
          <w:szCs w:val="24"/>
        </w:rPr>
        <w:tab/>
        <w:t>любых других обстоятельств, имеющих отношение к определению размера заработной платы".</w:t>
      </w:r>
    </w:p>
    <w:p w:rsidR="00000000" w:rsidRDefault="00000000">
      <w:pPr>
        <w:rPr>
          <w:szCs w:val="24"/>
        </w:rPr>
      </w:pPr>
    </w:p>
    <w:p w:rsidR="00000000" w:rsidRDefault="00000000">
      <w:pPr>
        <w:rPr>
          <w:szCs w:val="24"/>
        </w:rPr>
      </w:pPr>
      <w:r>
        <w:rPr>
          <w:szCs w:val="24"/>
        </w:rPr>
        <w:t>196.</w:t>
      </w:r>
      <w:r>
        <w:rPr>
          <w:szCs w:val="24"/>
        </w:rPr>
        <w:tab/>
        <w:t xml:space="preserve">Таким образом, в Трудовом кодексе закреплено право на базовое вознаграждение, и минимальный размер оплаты труда имеет силу закона.  В настоящее время он установлен на уровне </w:t>
      </w:r>
      <w:r>
        <w:rPr>
          <w:bCs/>
          <w:szCs w:val="24"/>
        </w:rPr>
        <w:t>1 219 795</w:t>
      </w:r>
      <w:r>
        <w:rPr>
          <w:b/>
          <w:bCs/>
          <w:szCs w:val="24"/>
        </w:rPr>
        <w:t xml:space="preserve"> </w:t>
      </w:r>
      <w:r>
        <w:rPr>
          <w:szCs w:val="24"/>
        </w:rPr>
        <w:t>гвурани (примерно 214 долл. США по обменному курсу по состоянию на май 2006 года).</w:t>
      </w:r>
    </w:p>
    <w:p w:rsidR="00000000" w:rsidRDefault="00000000">
      <w:pPr>
        <w:rPr>
          <w:szCs w:val="24"/>
        </w:rPr>
      </w:pPr>
    </w:p>
    <w:p w:rsidR="00000000" w:rsidRDefault="00000000">
      <w:pPr>
        <w:ind w:left="567" w:hanging="567"/>
        <w:rPr>
          <w:b/>
          <w:bCs/>
          <w:szCs w:val="24"/>
        </w:rPr>
      </w:pPr>
      <w:r>
        <w:rPr>
          <w:b/>
          <w:bCs/>
          <w:szCs w:val="24"/>
        </w:rPr>
        <w:t>1.</w:t>
      </w:r>
      <w:r>
        <w:rPr>
          <w:b/>
          <w:bCs/>
          <w:szCs w:val="24"/>
        </w:rPr>
        <w:tab/>
        <w:t>Постепенное повышение МРОТ за период 1994</w:t>
      </w:r>
      <w:r>
        <w:rPr>
          <w:b/>
          <w:bCs/>
          <w:szCs w:val="24"/>
        </w:rPr>
        <w:noBreakHyphen/>
        <w:t>2006 годов</w:t>
      </w:r>
    </w:p>
    <w:p w:rsidR="00000000" w:rsidRDefault="00000000">
      <w:pPr>
        <w:ind w:left="567" w:hanging="567"/>
        <w:rPr>
          <w:b/>
          <w:bCs/>
          <w:szCs w:val="24"/>
        </w:rPr>
      </w:pPr>
    </w:p>
    <w:tbl>
      <w:tblPr>
        <w:tblW w:w="0" w:type="auto"/>
        <w:jc w:val="center"/>
        <w:tblInd w:w="2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0"/>
        <w:gridCol w:w="2517"/>
      </w:tblGrid>
      <w:tr w:rsidR="00000000">
        <w:trPr>
          <w:tblHeader/>
          <w:jc w:val="center"/>
        </w:trPr>
        <w:tc>
          <w:tcPr>
            <w:tcW w:w="4557" w:type="dxa"/>
            <w:gridSpan w:val="2"/>
          </w:tcPr>
          <w:p w:rsidR="00000000" w:rsidRDefault="00000000">
            <w:pPr>
              <w:jc w:val="center"/>
              <w:rPr>
                <w:b/>
                <w:bCs/>
                <w:szCs w:val="24"/>
              </w:rPr>
            </w:pPr>
            <w:r>
              <w:rPr>
                <w:b/>
                <w:bCs/>
                <w:szCs w:val="24"/>
              </w:rPr>
              <w:t>Динамика изменения показателя МРОТ (1994-2005 годы)</w:t>
            </w:r>
          </w:p>
        </w:tc>
      </w:tr>
      <w:tr w:rsidR="00000000">
        <w:trPr>
          <w:tblHeader/>
          <w:jc w:val="center"/>
        </w:trPr>
        <w:tc>
          <w:tcPr>
            <w:tcW w:w="2040" w:type="dxa"/>
          </w:tcPr>
          <w:p w:rsidR="00000000" w:rsidRDefault="00000000">
            <w:pPr>
              <w:jc w:val="center"/>
              <w:rPr>
                <w:b/>
                <w:bCs/>
                <w:szCs w:val="24"/>
              </w:rPr>
            </w:pPr>
            <w:r>
              <w:rPr>
                <w:b/>
                <w:bCs/>
                <w:szCs w:val="24"/>
              </w:rPr>
              <w:t>Год</w:t>
            </w:r>
          </w:p>
        </w:tc>
        <w:tc>
          <w:tcPr>
            <w:tcW w:w="2517" w:type="dxa"/>
          </w:tcPr>
          <w:p w:rsidR="00000000" w:rsidRDefault="00000000">
            <w:pPr>
              <w:jc w:val="center"/>
              <w:rPr>
                <w:b/>
                <w:bCs/>
                <w:szCs w:val="24"/>
              </w:rPr>
            </w:pPr>
            <w:r>
              <w:rPr>
                <w:b/>
                <w:bCs/>
                <w:szCs w:val="24"/>
              </w:rPr>
              <w:t>Зарплата</w:t>
            </w:r>
          </w:p>
        </w:tc>
      </w:tr>
      <w:tr w:rsidR="00000000">
        <w:trPr>
          <w:jc w:val="center"/>
        </w:trPr>
        <w:tc>
          <w:tcPr>
            <w:tcW w:w="2040" w:type="dxa"/>
          </w:tcPr>
          <w:p w:rsidR="00000000" w:rsidRDefault="00000000">
            <w:pPr>
              <w:jc w:val="center"/>
              <w:rPr>
                <w:szCs w:val="24"/>
              </w:rPr>
            </w:pPr>
            <w:r>
              <w:rPr>
                <w:szCs w:val="24"/>
              </w:rPr>
              <w:t>1994</w:t>
            </w:r>
          </w:p>
        </w:tc>
        <w:tc>
          <w:tcPr>
            <w:tcW w:w="2517" w:type="dxa"/>
          </w:tcPr>
          <w:p w:rsidR="00000000" w:rsidRDefault="00000000">
            <w:pPr>
              <w:jc w:val="center"/>
              <w:rPr>
                <w:b/>
                <w:bCs/>
                <w:szCs w:val="24"/>
              </w:rPr>
            </w:pPr>
            <w:r>
              <w:rPr>
                <w:szCs w:val="24"/>
              </w:rPr>
              <w:t>379 500</w:t>
            </w:r>
          </w:p>
        </w:tc>
      </w:tr>
      <w:tr w:rsidR="00000000">
        <w:trPr>
          <w:jc w:val="center"/>
        </w:trPr>
        <w:tc>
          <w:tcPr>
            <w:tcW w:w="2040" w:type="dxa"/>
          </w:tcPr>
          <w:p w:rsidR="00000000" w:rsidRDefault="00000000">
            <w:pPr>
              <w:jc w:val="center"/>
              <w:rPr>
                <w:szCs w:val="24"/>
              </w:rPr>
            </w:pPr>
            <w:r>
              <w:rPr>
                <w:szCs w:val="24"/>
              </w:rPr>
              <w:t>1995</w:t>
            </w:r>
          </w:p>
        </w:tc>
        <w:tc>
          <w:tcPr>
            <w:tcW w:w="2517" w:type="dxa"/>
          </w:tcPr>
          <w:p w:rsidR="00000000" w:rsidRDefault="00000000">
            <w:pPr>
              <w:jc w:val="center"/>
              <w:rPr>
                <w:b/>
                <w:bCs/>
                <w:szCs w:val="24"/>
              </w:rPr>
            </w:pPr>
            <w:r>
              <w:rPr>
                <w:szCs w:val="24"/>
              </w:rPr>
              <w:t>436 425</w:t>
            </w:r>
          </w:p>
        </w:tc>
      </w:tr>
      <w:tr w:rsidR="00000000">
        <w:trPr>
          <w:jc w:val="center"/>
        </w:trPr>
        <w:tc>
          <w:tcPr>
            <w:tcW w:w="2040" w:type="dxa"/>
          </w:tcPr>
          <w:p w:rsidR="00000000" w:rsidRDefault="00000000">
            <w:pPr>
              <w:jc w:val="center"/>
              <w:rPr>
                <w:szCs w:val="24"/>
              </w:rPr>
            </w:pPr>
            <w:r>
              <w:rPr>
                <w:szCs w:val="24"/>
              </w:rPr>
              <w:t>1996</w:t>
            </w:r>
          </w:p>
        </w:tc>
        <w:tc>
          <w:tcPr>
            <w:tcW w:w="2517" w:type="dxa"/>
          </w:tcPr>
          <w:p w:rsidR="00000000" w:rsidRDefault="00000000">
            <w:pPr>
              <w:jc w:val="center"/>
              <w:rPr>
                <w:b/>
                <w:bCs/>
                <w:szCs w:val="24"/>
              </w:rPr>
            </w:pPr>
            <w:r>
              <w:rPr>
                <w:szCs w:val="24"/>
              </w:rPr>
              <w:t>480 069</w:t>
            </w:r>
          </w:p>
        </w:tc>
      </w:tr>
      <w:tr w:rsidR="00000000">
        <w:trPr>
          <w:jc w:val="center"/>
        </w:trPr>
        <w:tc>
          <w:tcPr>
            <w:tcW w:w="2040" w:type="dxa"/>
          </w:tcPr>
          <w:p w:rsidR="00000000" w:rsidRDefault="00000000">
            <w:pPr>
              <w:jc w:val="center"/>
              <w:rPr>
                <w:szCs w:val="24"/>
              </w:rPr>
            </w:pPr>
            <w:r>
              <w:rPr>
                <w:szCs w:val="24"/>
              </w:rPr>
              <w:t>1997</w:t>
            </w:r>
          </w:p>
        </w:tc>
        <w:tc>
          <w:tcPr>
            <w:tcW w:w="2517" w:type="dxa"/>
          </w:tcPr>
          <w:p w:rsidR="00000000" w:rsidRDefault="00000000">
            <w:pPr>
              <w:jc w:val="center"/>
              <w:rPr>
                <w:b/>
                <w:bCs/>
                <w:szCs w:val="24"/>
              </w:rPr>
            </w:pPr>
            <w:r>
              <w:rPr>
                <w:szCs w:val="24"/>
              </w:rPr>
              <w:t>528 076</w:t>
            </w:r>
          </w:p>
        </w:tc>
      </w:tr>
      <w:tr w:rsidR="00000000">
        <w:trPr>
          <w:jc w:val="center"/>
        </w:trPr>
        <w:tc>
          <w:tcPr>
            <w:tcW w:w="2040" w:type="dxa"/>
          </w:tcPr>
          <w:p w:rsidR="00000000" w:rsidRDefault="00000000">
            <w:pPr>
              <w:jc w:val="center"/>
              <w:rPr>
                <w:szCs w:val="24"/>
              </w:rPr>
            </w:pPr>
            <w:r>
              <w:rPr>
                <w:szCs w:val="24"/>
              </w:rPr>
              <w:t>1998</w:t>
            </w:r>
          </w:p>
        </w:tc>
        <w:tc>
          <w:tcPr>
            <w:tcW w:w="2517" w:type="dxa"/>
          </w:tcPr>
          <w:p w:rsidR="00000000" w:rsidRDefault="00000000">
            <w:pPr>
              <w:jc w:val="center"/>
              <w:rPr>
                <w:b/>
                <w:bCs/>
                <w:szCs w:val="24"/>
              </w:rPr>
            </w:pPr>
            <w:r>
              <w:rPr>
                <w:szCs w:val="24"/>
              </w:rPr>
              <w:t>580 883</w:t>
            </w:r>
          </w:p>
        </w:tc>
      </w:tr>
      <w:tr w:rsidR="00000000">
        <w:trPr>
          <w:jc w:val="center"/>
        </w:trPr>
        <w:tc>
          <w:tcPr>
            <w:tcW w:w="2040" w:type="dxa"/>
          </w:tcPr>
          <w:p w:rsidR="00000000" w:rsidRDefault="00000000">
            <w:pPr>
              <w:jc w:val="center"/>
              <w:rPr>
                <w:szCs w:val="24"/>
              </w:rPr>
            </w:pPr>
            <w:r>
              <w:rPr>
                <w:szCs w:val="24"/>
              </w:rPr>
              <w:t>1999</w:t>
            </w:r>
          </w:p>
        </w:tc>
        <w:tc>
          <w:tcPr>
            <w:tcW w:w="2517" w:type="dxa"/>
          </w:tcPr>
          <w:p w:rsidR="00000000" w:rsidRDefault="00000000">
            <w:pPr>
              <w:jc w:val="center"/>
              <w:rPr>
                <w:b/>
                <w:bCs/>
                <w:szCs w:val="24"/>
              </w:rPr>
            </w:pPr>
            <w:r>
              <w:rPr>
                <w:szCs w:val="24"/>
              </w:rPr>
              <w:t>591 445</w:t>
            </w:r>
          </w:p>
        </w:tc>
      </w:tr>
      <w:tr w:rsidR="00000000">
        <w:trPr>
          <w:jc w:val="center"/>
        </w:trPr>
        <w:tc>
          <w:tcPr>
            <w:tcW w:w="2040" w:type="dxa"/>
          </w:tcPr>
          <w:p w:rsidR="00000000" w:rsidRDefault="00000000">
            <w:pPr>
              <w:jc w:val="center"/>
              <w:rPr>
                <w:szCs w:val="24"/>
              </w:rPr>
            </w:pPr>
            <w:r>
              <w:rPr>
                <w:szCs w:val="24"/>
              </w:rPr>
              <w:t>2000</w:t>
            </w:r>
          </w:p>
        </w:tc>
        <w:tc>
          <w:tcPr>
            <w:tcW w:w="2517" w:type="dxa"/>
          </w:tcPr>
          <w:p w:rsidR="00000000" w:rsidRDefault="00000000">
            <w:pPr>
              <w:jc w:val="center"/>
              <w:rPr>
                <w:b/>
                <w:bCs/>
                <w:szCs w:val="24"/>
              </w:rPr>
            </w:pPr>
            <w:r>
              <w:rPr>
                <w:szCs w:val="24"/>
              </w:rPr>
              <w:t>680 162</w:t>
            </w:r>
          </w:p>
        </w:tc>
      </w:tr>
      <w:tr w:rsidR="00000000">
        <w:trPr>
          <w:jc w:val="center"/>
        </w:trPr>
        <w:tc>
          <w:tcPr>
            <w:tcW w:w="2040" w:type="dxa"/>
          </w:tcPr>
          <w:p w:rsidR="00000000" w:rsidRDefault="00000000">
            <w:pPr>
              <w:jc w:val="center"/>
              <w:rPr>
                <w:szCs w:val="24"/>
              </w:rPr>
            </w:pPr>
            <w:r>
              <w:rPr>
                <w:szCs w:val="24"/>
              </w:rPr>
              <w:t>2001</w:t>
            </w:r>
          </w:p>
        </w:tc>
        <w:tc>
          <w:tcPr>
            <w:tcW w:w="2517" w:type="dxa"/>
          </w:tcPr>
          <w:p w:rsidR="00000000" w:rsidRDefault="00000000">
            <w:pPr>
              <w:jc w:val="center"/>
              <w:rPr>
                <w:b/>
                <w:bCs/>
                <w:szCs w:val="24"/>
              </w:rPr>
            </w:pPr>
            <w:r>
              <w:rPr>
                <w:szCs w:val="24"/>
              </w:rPr>
              <w:t>782 186</w:t>
            </w:r>
          </w:p>
        </w:tc>
      </w:tr>
      <w:tr w:rsidR="00000000">
        <w:trPr>
          <w:jc w:val="center"/>
        </w:trPr>
        <w:tc>
          <w:tcPr>
            <w:tcW w:w="2040" w:type="dxa"/>
          </w:tcPr>
          <w:p w:rsidR="00000000" w:rsidRDefault="00000000">
            <w:pPr>
              <w:jc w:val="center"/>
              <w:rPr>
                <w:szCs w:val="24"/>
              </w:rPr>
            </w:pPr>
            <w:r>
              <w:rPr>
                <w:szCs w:val="24"/>
              </w:rPr>
              <w:t>2002</w:t>
            </w:r>
          </w:p>
        </w:tc>
        <w:tc>
          <w:tcPr>
            <w:tcW w:w="2517" w:type="dxa"/>
          </w:tcPr>
          <w:p w:rsidR="00000000" w:rsidRDefault="00000000">
            <w:pPr>
              <w:jc w:val="center"/>
              <w:rPr>
                <w:b/>
                <w:bCs/>
                <w:szCs w:val="24"/>
              </w:rPr>
            </w:pPr>
            <w:r>
              <w:rPr>
                <w:szCs w:val="24"/>
              </w:rPr>
              <w:t>876 048</w:t>
            </w:r>
          </w:p>
        </w:tc>
      </w:tr>
      <w:tr w:rsidR="00000000">
        <w:trPr>
          <w:jc w:val="center"/>
        </w:trPr>
        <w:tc>
          <w:tcPr>
            <w:tcW w:w="2040" w:type="dxa"/>
          </w:tcPr>
          <w:p w:rsidR="00000000" w:rsidRDefault="00000000">
            <w:pPr>
              <w:jc w:val="center"/>
              <w:rPr>
                <w:szCs w:val="24"/>
              </w:rPr>
            </w:pPr>
            <w:r>
              <w:rPr>
                <w:szCs w:val="24"/>
              </w:rPr>
              <w:t>2003</w:t>
            </w:r>
          </w:p>
        </w:tc>
        <w:tc>
          <w:tcPr>
            <w:tcW w:w="2517" w:type="dxa"/>
          </w:tcPr>
          <w:p w:rsidR="00000000" w:rsidRDefault="00000000">
            <w:pPr>
              <w:jc w:val="center"/>
              <w:rPr>
                <w:b/>
                <w:bCs/>
                <w:szCs w:val="24"/>
              </w:rPr>
            </w:pPr>
            <w:r>
              <w:rPr>
                <w:szCs w:val="24"/>
              </w:rPr>
              <w:t>972 413</w:t>
            </w:r>
          </w:p>
        </w:tc>
      </w:tr>
      <w:tr w:rsidR="00000000">
        <w:trPr>
          <w:jc w:val="center"/>
        </w:trPr>
        <w:tc>
          <w:tcPr>
            <w:tcW w:w="2040" w:type="dxa"/>
          </w:tcPr>
          <w:p w:rsidR="00000000" w:rsidRDefault="00000000">
            <w:pPr>
              <w:jc w:val="center"/>
              <w:rPr>
                <w:szCs w:val="24"/>
              </w:rPr>
            </w:pPr>
            <w:r>
              <w:rPr>
                <w:szCs w:val="24"/>
              </w:rPr>
              <w:t>2004</w:t>
            </w:r>
          </w:p>
        </w:tc>
        <w:tc>
          <w:tcPr>
            <w:tcW w:w="2517" w:type="dxa"/>
          </w:tcPr>
          <w:p w:rsidR="00000000" w:rsidRDefault="00000000">
            <w:pPr>
              <w:jc w:val="center"/>
              <w:rPr>
                <w:szCs w:val="24"/>
              </w:rPr>
            </w:pPr>
            <w:r>
              <w:rPr>
                <w:szCs w:val="24"/>
              </w:rPr>
              <w:t>972 413</w:t>
            </w:r>
          </w:p>
        </w:tc>
      </w:tr>
      <w:tr w:rsidR="00000000">
        <w:trPr>
          <w:jc w:val="center"/>
        </w:trPr>
        <w:tc>
          <w:tcPr>
            <w:tcW w:w="2040" w:type="dxa"/>
          </w:tcPr>
          <w:p w:rsidR="00000000" w:rsidRDefault="00000000">
            <w:pPr>
              <w:jc w:val="center"/>
              <w:rPr>
                <w:szCs w:val="24"/>
              </w:rPr>
            </w:pPr>
            <w:r>
              <w:rPr>
                <w:szCs w:val="24"/>
              </w:rPr>
              <w:t>2005</w:t>
            </w:r>
          </w:p>
        </w:tc>
        <w:tc>
          <w:tcPr>
            <w:tcW w:w="2517" w:type="dxa"/>
          </w:tcPr>
          <w:p w:rsidR="00000000" w:rsidRDefault="00000000">
            <w:pPr>
              <w:jc w:val="center"/>
              <w:rPr>
                <w:szCs w:val="24"/>
              </w:rPr>
            </w:pPr>
            <w:r>
              <w:rPr>
                <w:szCs w:val="24"/>
              </w:rPr>
              <w:t>1 089 103</w:t>
            </w:r>
          </w:p>
        </w:tc>
      </w:tr>
      <w:tr w:rsidR="00000000">
        <w:trPr>
          <w:jc w:val="center"/>
        </w:trPr>
        <w:tc>
          <w:tcPr>
            <w:tcW w:w="2040" w:type="dxa"/>
          </w:tcPr>
          <w:p w:rsidR="00000000" w:rsidRDefault="00000000">
            <w:pPr>
              <w:jc w:val="center"/>
              <w:rPr>
                <w:szCs w:val="24"/>
              </w:rPr>
            </w:pPr>
            <w:r>
              <w:rPr>
                <w:szCs w:val="24"/>
              </w:rPr>
              <w:t>2006</w:t>
            </w:r>
          </w:p>
        </w:tc>
        <w:tc>
          <w:tcPr>
            <w:tcW w:w="2517" w:type="dxa"/>
          </w:tcPr>
          <w:p w:rsidR="00000000" w:rsidRDefault="00000000">
            <w:pPr>
              <w:jc w:val="center"/>
              <w:rPr>
                <w:szCs w:val="24"/>
              </w:rPr>
            </w:pPr>
            <w:r>
              <w:rPr>
                <w:bCs/>
                <w:szCs w:val="24"/>
              </w:rPr>
              <w:t>1 219 795</w:t>
            </w:r>
          </w:p>
        </w:tc>
      </w:tr>
    </w:tbl>
    <w:p w:rsidR="00000000" w:rsidRDefault="00000000">
      <w:pPr>
        <w:rPr>
          <w:b/>
          <w:szCs w:val="24"/>
        </w:rPr>
      </w:pPr>
    </w:p>
    <w:p w:rsidR="00000000" w:rsidRDefault="00000000">
      <w:pPr>
        <w:keepNext/>
        <w:ind w:left="567" w:hanging="567"/>
        <w:rPr>
          <w:b/>
          <w:szCs w:val="24"/>
        </w:rPr>
      </w:pPr>
      <w:r>
        <w:rPr>
          <w:b/>
          <w:szCs w:val="24"/>
        </w:rPr>
        <w:t>2.</w:t>
      </w:r>
      <w:r>
        <w:rPr>
          <w:b/>
          <w:szCs w:val="24"/>
        </w:rPr>
        <w:tab/>
        <w:t>МРОТ в разбивке по разным категориям трудящихся (2006 год) (в гуарани)</w:t>
      </w:r>
    </w:p>
    <w:p w:rsidR="00000000" w:rsidRDefault="00000000">
      <w:pPr>
        <w:keepNext/>
        <w:ind w:left="567" w:hanging="567"/>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5376"/>
        <w:gridCol w:w="4034"/>
      </w:tblGrid>
      <w:tr w:rsidR="00000000">
        <w:trPr>
          <w:cantSplit/>
        </w:trPr>
        <w:tc>
          <w:tcPr>
            <w:tcW w:w="5376" w:type="dxa"/>
            <w:tcMar>
              <w:top w:w="57" w:type="dxa"/>
              <w:bottom w:w="57" w:type="dxa"/>
            </w:tcMar>
          </w:tcPr>
          <w:p w:rsidR="00000000" w:rsidRDefault="00000000">
            <w:pPr>
              <w:keepNext/>
              <w:spacing w:line="240" w:lineRule="auto"/>
              <w:rPr>
                <w:szCs w:val="24"/>
              </w:rPr>
            </w:pPr>
            <w:r>
              <w:rPr>
                <w:szCs w:val="24"/>
              </w:rPr>
              <w:t>Работники торговли и промышленности</w:t>
            </w:r>
          </w:p>
        </w:tc>
        <w:tc>
          <w:tcPr>
            <w:tcW w:w="4034" w:type="dxa"/>
            <w:tcMar>
              <w:top w:w="57" w:type="dxa"/>
              <w:bottom w:w="57" w:type="dxa"/>
            </w:tcMar>
          </w:tcPr>
          <w:p w:rsidR="00000000" w:rsidRDefault="00000000">
            <w:pPr>
              <w:keepNext/>
              <w:spacing w:line="240" w:lineRule="auto"/>
              <w:rPr>
                <w:szCs w:val="24"/>
              </w:rPr>
            </w:pPr>
            <w:r>
              <w:rPr>
                <w:szCs w:val="24"/>
              </w:rPr>
              <w:t>Месячный оклад:  1 219 795</w:t>
            </w:r>
            <w:r>
              <w:rPr>
                <w:szCs w:val="24"/>
              </w:rPr>
              <w:br/>
              <w:t>Поденная плата:  46 915</w:t>
            </w:r>
          </w:p>
        </w:tc>
      </w:tr>
      <w:tr w:rsidR="00000000">
        <w:trPr>
          <w:cantSplit/>
        </w:trPr>
        <w:tc>
          <w:tcPr>
            <w:tcW w:w="5376" w:type="dxa"/>
            <w:tcMar>
              <w:top w:w="57" w:type="dxa"/>
              <w:bottom w:w="57" w:type="dxa"/>
            </w:tcMar>
          </w:tcPr>
          <w:p w:rsidR="00000000" w:rsidRDefault="00000000">
            <w:pPr>
              <w:spacing w:line="240" w:lineRule="auto"/>
              <w:rPr>
                <w:szCs w:val="24"/>
              </w:rPr>
            </w:pPr>
            <w:r>
              <w:rPr>
                <w:szCs w:val="24"/>
              </w:rPr>
              <w:t>Докеры</w:t>
            </w:r>
          </w:p>
        </w:tc>
        <w:tc>
          <w:tcPr>
            <w:tcW w:w="4034" w:type="dxa"/>
            <w:tcMar>
              <w:top w:w="57" w:type="dxa"/>
              <w:bottom w:w="57" w:type="dxa"/>
            </w:tcMar>
          </w:tcPr>
          <w:p w:rsidR="00000000" w:rsidRDefault="00000000">
            <w:pPr>
              <w:spacing w:line="240" w:lineRule="auto"/>
              <w:rPr>
                <w:szCs w:val="24"/>
              </w:rPr>
            </w:pPr>
            <w:r>
              <w:rPr>
                <w:szCs w:val="24"/>
              </w:rPr>
              <w:t>Месячный оклад:  1 231 997</w:t>
            </w:r>
            <w:r>
              <w:rPr>
                <w:szCs w:val="24"/>
              </w:rPr>
              <w:br/>
              <w:t>Поденная плата:  47 385</w:t>
            </w:r>
          </w:p>
        </w:tc>
      </w:tr>
      <w:tr w:rsidR="00000000">
        <w:trPr>
          <w:cantSplit/>
        </w:trPr>
        <w:tc>
          <w:tcPr>
            <w:tcW w:w="5376" w:type="dxa"/>
            <w:tcMar>
              <w:top w:w="57" w:type="dxa"/>
              <w:bottom w:w="57" w:type="dxa"/>
            </w:tcMar>
          </w:tcPr>
          <w:p w:rsidR="00000000" w:rsidRDefault="00000000">
            <w:pPr>
              <w:spacing w:line="240" w:lineRule="auto"/>
              <w:rPr>
                <w:szCs w:val="24"/>
              </w:rPr>
            </w:pPr>
            <w:r>
              <w:rPr>
                <w:szCs w:val="24"/>
              </w:rPr>
              <w:t>Разнорабочие в целом</w:t>
            </w:r>
          </w:p>
        </w:tc>
        <w:tc>
          <w:tcPr>
            <w:tcW w:w="4034" w:type="dxa"/>
            <w:tcMar>
              <w:top w:w="57" w:type="dxa"/>
              <w:bottom w:w="57" w:type="dxa"/>
            </w:tcMar>
          </w:tcPr>
          <w:p w:rsidR="00000000" w:rsidRDefault="00000000">
            <w:pPr>
              <w:spacing w:line="240" w:lineRule="auto"/>
              <w:rPr>
                <w:szCs w:val="24"/>
              </w:rPr>
            </w:pPr>
            <w:r>
              <w:rPr>
                <w:szCs w:val="24"/>
              </w:rPr>
              <w:t>Месячный оклад:  1 219 795</w:t>
            </w:r>
            <w:r>
              <w:rPr>
                <w:szCs w:val="24"/>
              </w:rPr>
              <w:br/>
              <w:t>Поденная плата:  46 915</w:t>
            </w:r>
          </w:p>
        </w:tc>
      </w:tr>
      <w:tr w:rsidR="00000000">
        <w:trPr>
          <w:cantSplit/>
        </w:trPr>
        <w:tc>
          <w:tcPr>
            <w:tcW w:w="5376" w:type="dxa"/>
            <w:tcMar>
              <w:top w:w="57" w:type="dxa"/>
              <w:bottom w:w="57" w:type="dxa"/>
            </w:tcMar>
          </w:tcPr>
          <w:p w:rsidR="00000000" w:rsidRDefault="00000000">
            <w:pPr>
              <w:spacing w:line="240" w:lineRule="auto"/>
              <w:rPr>
                <w:szCs w:val="24"/>
              </w:rPr>
            </w:pPr>
            <w:r>
              <w:rPr>
                <w:szCs w:val="24"/>
              </w:rPr>
              <w:t>Страховые фирмы</w:t>
            </w:r>
          </w:p>
        </w:tc>
        <w:tc>
          <w:tcPr>
            <w:tcW w:w="4034" w:type="dxa"/>
            <w:tcMar>
              <w:top w:w="57" w:type="dxa"/>
              <w:bottom w:w="57" w:type="dxa"/>
            </w:tcMar>
          </w:tcPr>
          <w:p w:rsidR="00000000" w:rsidRDefault="00000000">
            <w:pPr>
              <w:spacing w:line="240" w:lineRule="auto"/>
              <w:rPr>
                <w:szCs w:val="24"/>
              </w:rPr>
            </w:pPr>
            <w:r>
              <w:rPr>
                <w:szCs w:val="24"/>
              </w:rPr>
              <w:t>Месячный оклад:  1 231 997</w:t>
            </w:r>
            <w:r>
              <w:rPr>
                <w:szCs w:val="24"/>
              </w:rPr>
              <w:br/>
              <w:t>Поденная плата:  47 385</w:t>
            </w:r>
          </w:p>
        </w:tc>
      </w:tr>
      <w:tr w:rsidR="00000000">
        <w:trPr>
          <w:cantSplit/>
        </w:trPr>
        <w:tc>
          <w:tcPr>
            <w:tcW w:w="5376" w:type="dxa"/>
            <w:tcBorders>
              <w:bottom w:val="single" w:sz="4" w:space="0" w:color="auto"/>
            </w:tcBorders>
            <w:tcMar>
              <w:top w:w="57" w:type="dxa"/>
              <w:bottom w:w="57" w:type="dxa"/>
            </w:tcMar>
          </w:tcPr>
          <w:p w:rsidR="00000000" w:rsidRDefault="00000000">
            <w:pPr>
              <w:spacing w:line="240" w:lineRule="auto"/>
              <w:rPr>
                <w:szCs w:val="24"/>
              </w:rPr>
            </w:pPr>
            <w:r>
              <w:rPr>
                <w:szCs w:val="24"/>
              </w:rPr>
              <w:t>Канцелярские работники торговых, промышленных предприятий и у частных лиц</w:t>
            </w:r>
          </w:p>
        </w:tc>
        <w:tc>
          <w:tcPr>
            <w:tcW w:w="4034" w:type="dxa"/>
            <w:tcBorders>
              <w:bottom w:val="single" w:sz="4" w:space="0" w:color="auto"/>
            </w:tcBorders>
            <w:tcMar>
              <w:top w:w="57" w:type="dxa"/>
              <w:bottom w:w="57" w:type="dxa"/>
            </w:tcMar>
          </w:tcPr>
          <w:p w:rsidR="00000000" w:rsidRDefault="00000000">
            <w:pPr>
              <w:spacing w:line="240" w:lineRule="auto"/>
              <w:rPr>
                <w:szCs w:val="24"/>
              </w:rPr>
            </w:pPr>
            <w:r>
              <w:rPr>
                <w:szCs w:val="24"/>
              </w:rPr>
              <w:t>Месячный оклад:  1 238 143</w:t>
            </w:r>
            <w:r>
              <w:rPr>
                <w:szCs w:val="24"/>
              </w:rPr>
              <w:br/>
              <w:t>Поденная плата:  47 621</w:t>
            </w:r>
          </w:p>
        </w:tc>
      </w:tr>
      <w:tr w:rsidR="00000000">
        <w:trPr>
          <w:cantSplit/>
        </w:trPr>
        <w:tc>
          <w:tcPr>
            <w:tcW w:w="5376" w:type="dxa"/>
            <w:tcBorders>
              <w:bottom w:val="nil"/>
            </w:tcBorders>
            <w:tcMar>
              <w:top w:w="57" w:type="dxa"/>
              <w:bottom w:w="57" w:type="dxa"/>
            </w:tcMar>
          </w:tcPr>
          <w:p w:rsidR="00000000" w:rsidRDefault="00000000">
            <w:pPr>
              <w:spacing w:line="240" w:lineRule="auto"/>
              <w:rPr>
                <w:szCs w:val="24"/>
              </w:rPr>
            </w:pPr>
            <w:r>
              <w:rPr>
                <w:szCs w:val="24"/>
              </w:rPr>
              <w:t>Работники транспорта (автобусы, грузовой транспорт, такси и лица, занимающиеся частным извозом)</w:t>
            </w:r>
          </w:p>
        </w:tc>
        <w:tc>
          <w:tcPr>
            <w:tcW w:w="4034" w:type="dxa"/>
            <w:tcBorders>
              <w:bottom w:val="nil"/>
            </w:tcBorders>
            <w:tcMar>
              <w:top w:w="57" w:type="dxa"/>
              <w:bottom w:w="57" w:type="dxa"/>
            </w:tcMar>
          </w:tcPr>
          <w:p w:rsidR="00000000" w:rsidRDefault="00000000">
            <w:pPr>
              <w:spacing w:line="240" w:lineRule="auto"/>
              <w:rPr>
                <w:szCs w:val="24"/>
              </w:rPr>
            </w:pPr>
            <w:r>
              <w:rPr>
                <w:szCs w:val="24"/>
              </w:rPr>
              <w:t>Месячный оклад:  1 219 795</w:t>
            </w:r>
            <w:r>
              <w:rPr>
                <w:szCs w:val="24"/>
              </w:rPr>
              <w:br/>
              <w:t xml:space="preserve">Поденная плата:  46 915 </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rPr>
                <w:szCs w:val="24"/>
              </w:rPr>
            </w:pPr>
            <w:r>
              <w:rPr>
                <w:szCs w:val="24"/>
              </w:rPr>
              <w:t>Водители</w:t>
            </w:r>
          </w:p>
        </w:tc>
        <w:tc>
          <w:tcPr>
            <w:tcW w:w="4034" w:type="dxa"/>
            <w:tcBorders>
              <w:top w:val="nil"/>
              <w:bottom w:val="nil"/>
            </w:tcBorders>
            <w:tcMar>
              <w:top w:w="57" w:type="dxa"/>
              <w:bottom w:w="57" w:type="dxa"/>
            </w:tcMar>
          </w:tcPr>
          <w:p w:rsidR="00000000" w:rsidRDefault="00000000">
            <w:pPr>
              <w:spacing w:line="240" w:lineRule="auto"/>
              <w:rPr>
                <w:szCs w:val="24"/>
              </w:rPr>
            </w:pPr>
            <w:r>
              <w:rPr>
                <w:szCs w:val="24"/>
              </w:rPr>
              <w:t>Месячный оклад:  1 231 997</w:t>
            </w:r>
            <w:r>
              <w:rPr>
                <w:szCs w:val="24"/>
              </w:rPr>
              <w:br/>
              <w:t xml:space="preserve">Поденная плата:  47 385 </w:t>
            </w:r>
          </w:p>
        </w:tc>
      </w:tr>
      <w:tr w:rsidR="00000000">
        <w:trPr>
          <w:cantSplit/>
        </w:trPr>
        <w:tc>
          <w:tcPr>
            <w:tcW w:w="5376" w:type="dxa"/>
            <w:tcBorders>
              <w:top w:val="nil"/>
              <w:bottom w:val="single" w:sz="4" w:space="0" w:color="auto"/>
            </w:tcBorders>
            <w:tcMar>
              <w:top w:w="57" w:type="dxa"/>
              <w:bottom w:w="57" w:type="dxa"/>
            </w:tcMar>
          </w:tcPr>
          <w:p w:rsidR="00000000" w:rsidRDefault="00000000">
            <w:pPr>
              <w:spacing w:line="240" w:lineRule="auto"/>
              <w:rPr>
                <w:szCs w:val="24"/>
              </w:rPr>
            </w:pPr>
            <w:r>
              <w:rPr>
                <w:szCs w:val="24"/>
              </w:rPr>
              <w:t>Вспомогательный персонал</w:t>
            </w:r>
          </w:p>
        </w:tc>
        <w:tc>
          <w:tcPr>
            <w:tcW w:w="4034" w:type="dxa"/>
            <w:tcBorders>
              <w:top w:val="nil"/>
              <w:bottom w:val="single" w:sz="4" w:space="0" w:color="auto"/>
            </w:tcBorders>
            <w:tcMar>
              <w:top w:w="57" w:type="dxa"/>
              <w:bottom w:w="57" w:type="dxa"/>
            </w:tcMar>
          </w:tcPr>
          <w:p w:rsidR="00000000" w:rsidRDefault="00000000">
            <w:pPr>
              <w:spacing w:line="240" w:lineRule="auto"/>
              <w:rPr>
                <w:szCs w:val="24"/>
              </w:rPr>
            </w:pPr>
            <w:r>
              <w:rPr>
                <w:szCs w:val="24"/>
              </w:rPr>
              <w:t>Месячный оклад:  1 219 795</w:t>
            </w:r>
            <w:r>
              <w:rPr>
                <w:szCs w:val="24"/>
              </w:rPr>
              <w:br/>
              <w:t>Поденная плата:  46 915</w:t>
            </w:r>
          </w:p>
        </w:tc>
      </w:tr>
      <w:tr w:rsidR="00000000">
        <w:trPr>
          <w:cantSplit/>
        </w:trPr>
        <w:tc>
          <w:tcPr>
            <w:tcW w:w="5376" w:type="dxa"/>
            <w:tcBorders>
              <w:bottom w:val="nil"/>
            </w:tcBorders>
            <w:tcMar>
              <w:top w:w="57" w:type="dxa"/>
              <w:bottom w:w="57" w:type="dxa"/>
            </w:tcMar>
          </w:tcPr>
          <w:p w:rsidR="00000000" w:rsidRDefault="00000000">
            <w:pPr>
              <w:spacing w:line="240" w:lineRule="auto"/>
              <w:rPr>
                <w:szCs w:val="24"/>
              </w:rPr>
            </w:pPr>
            <w:r>
              <w:rPr>
                <w:szCs w:val="24"/>
              </w:rPr>
              <w:t>Гостиницы, рестораны, бары, пансионы и подобные заведения</w:t>
            </w:r>
          </w:p>
        </w:tc>
        <w:tc>
          <w:tcPr>
            <w:tcW w:w="4034" w:type="dxa"/>
            <w:tcBorders>
              <w:bottom w:val="nil"/>
            </w:tcBorders>
            <w:tcMar>
              <w:top w:w="57" w:type="dxa"/>
              <w:bottom w:w="57" w:type="dxa"/>
            </w:tcMar>
          </w:tcPr>
          <w:p w:rsidR="00000000" w:rsidRDefault="00000000">
            <w:pPr>
              <w:spacing w:line="240" w:lineRule="auto"/>
              <w:rPr>
                <w:szCs w:val="24"/>
              </w:rPr>
            </w:pPr>
          </w:p>
        </w:tc>
      </w:tr>
      <w:tr w:rsidR="00000000">
        <w:trPr>
          <w:cantSplit/>
        </w:trPr>
        <w:tc>
          <w:tcPr>
            <w:tcW w:w="5376" w:type="dxa"/>
            <w:tcBorders>
              <w:top w:val="nil"/>
              <w:bottom w:val="nil"/>
            </w:tcBorders>
            <w:tcMar>
              <w:top w:w="57" w:type="dxa"/>
              <w:bottom w:w="57" w:type="dxa"/>
            </w:tcMar>
          </w:tcPr>
          <w:p w:rsidR="00000000" w:rsidRDefault="00000000">
            <w:pPr>
              <w:spacing w:line="240" w:lineRule="auto"/>
              <w:rPr>
                <w:szCs w:val="24"/>
              </w:rPr>
            </w:pPr>
            <w:r>
              <w:rPr>
                <w:szCs w:val="24"/>
              </w:rPr>
              <w:t>Прислуга</w:t>
            </w:r>
          </w:p>
        </w:tc>
        <w:tc>
          <w:tcPr>
            <w:tcW w:w="4034" w:type="dxa"/>
            <w:tcBorders>
              <w:top w:val="nil"/>
              <w:bottom w:val="nil"/>
            </w:tcBorders>
            <w:tcMar>
              <w:top w:w="57" w:type="dxa"/>
              <w:bottom w:w="57" w:type="dxa"/>
            </w:tcMar>
          </w:tcPr>
          <w:p w:rsidR="00000000" w:rsidRDefault="00000000">
            <w:pPr>
              <w:spacing w:line="240" w:lineRule="auto"/>
              <w:rPr>
                <w:szCs w:val="24"/>
              </w:rPr>
            </w:pPr>
            <w:r>
              <w:rPr>
                <w:szCs w:val="24"/>
              </w:rPr>
              <w:t>Месячный оклад:  1 219 795</w:t>
            </w:r>
            <w:r>
              <w:rPr>
                <w:szCs w:val="24"/>
              </w:rPr>
              <w:br/>
              <w:t xml:space="preserve">Поденная плата:  46 915 </w:t>
            </w:r>
          </w:p>
        </w:tc>
      </w:tr>
      <w:tr w:rsidR="00000000">
        <w:trPr>
          <w:cantSplit/>
        </w:trPr>
        <w:tc>
          <w:tcPr>
            <w:tcW w:w="5376" w:type="dxa"/>
            <w:tcBorders>
              <w:top w:val="nil"/>
              <w:bottom w:val="single" w:sz="4" w:space="0" w:color="auto"/>
            </w:tcBorders>
            <w:tcMar>
              <w:top w:w="57" w:type="dxa"/>
              <w:bottom w:w="57" w:type="dxa"/>
            </w:tcMar>
          </w:tcPr>
          <w:p w:rsidR="00000000" w:rsidRDefault="00000000">
            <w:pPr>
              <w:spacing w:line="240" w:lineRule="auto"/>
              <w:rPr>
                <w:szCs w:val="24"/>
              </w:rPr>
            </w:pPr>
            <w:r>
              <w:rPr>
                <w:szCs w:val="24"/>
              </w:rPr>
              <w:t>Гардеробщики</w:t>
            </w:r>
          </w:p>
        </w:tc>
        <w:tc>
          <w:tcPr>
            <w:tcW w:w="4034" w:type="dxa"/>
            <w:tcBorders>
              <w:top w:val="nil"/>
              <w:bottom w:val="single" w:sz="4" w:space="0" w:color="auto"/>
            </w:tcBorders>
            <w:tcMar>
              <w:top w:w="57" w:type="dxa"/>
              <w:bottom w:w="57" w:type="dxa"/>
            </w:tcMar>
          </w:tcPr>
          <w:p w:rsidR="00000000" w:rsidRDefault="00000000">
            <w:pPr>
              <w:spacing w:line="240" w:lineRule="auto"/>
              <w:rPr>
                <w:szCs w:val="24"/>
              </w:rPr>
            </w:pPr>
            <w:r>
              <w:rPr>
                <w:szCs w:val="24"/>
              </w:rPr>
              <w:t>Месячный оклад:  1 219 795</w:t>
            </w:r>
            <w:r>
              <w:rPr>
                <w:szCs w:val="24"/>
              </w:rPr>
              <w:br/>
              <w:t xml:space="preserve">Поденная плата:  46 915 </w:t>
            </w:r>
          </w:p>
        </w:tc>
      </w:tr>
      <w:tr w:rsidR="00000000">
        <w:trPr>
          <w:cantSplit/>
        </w:trPr>
        <w:tc>
          <w:tcPr>
            <w:tcW w:w="5376" w:type="dxa"/>
            <w:tcBorders>
              <w:top w:val="single" w:sz="4" w:space="0" w:color="auto"/>
              <w:bottom w:val="nil"/>
            </w:tcBorders>
            <w:tcMar>
              <w:top w:w="57" w:type="dxa"/>
              <w:bottom w:w="57" w:type="dxa"/>
            </w:tcMar>
          </w:tcPr>
          <w:p w:rsidR="00000000" w:rsidRDefault="00000000">
            <w:pPr>
              <w:spacing w:line="240" w:lineRule="auto"/>
              <w:rPr>
                <w:szCs w:val="24"/>
              </w:rPr>
            </w:pPr>
            <w:r>
              <w:rPr>
                <w:szCs w:val="24"/>
              </w:rPr>
              <w:t>Работники салонов красоты</w:t>
            </w:r>
          </w:p>
        </w:tc>
        <w:tc>
          <w:tcPr>
            <w:tcW w:w="4034" w:type="dxa"/>
            <w:tcBorders>
              <w:top w:val="single" w:sz="4" w:space="0" w:color="auto"/>
              <w:bottom w:val="nil"/>
            </w:tcBorders>
            <w:tcMar>
              <w:top w:w="57" w:type="dxa"/>
              <w:bottom w:w="57" w:type="dxa"/>
            </w:tcMar>
          </w:tcPr>
          <w:p w:rsidR="00000000" w:rsidRDefault="00000000">
            <w:pPr>
              <w:spacing w:line="240" w:lineRule="auto"/>
              <w:rPr>
                <w:szCs w:val="24"/>
              </w:rPr>
            </w:pPr>
            <w:r>
              <w:rPr>
                <w:szCs w:val="24"/>
              </w:rPr>
              <w:t>Месячный оклад:  1 219 795</w:t>
            </w:r>
            <w:r>
              <w:rPr>
                <w:szCs w:val="24"/>
              </w:rPr>
              <w:br/>
              <w:t xml:space="preserve">Поденная плата:  46 915 </w:t>
            </w:r>
          </w:p>
        </w:tc>
      </w:tr>
      <w:tr w:rsidR="00000000">
        <w:trPr>
          <w:cantSplit/>
        </w:trPr>
        <w:tc>
          <w:tcPr>
            <w:tcW w:w="5376" w:type="dxa"/>
            <w:tcBorders>
              <w:top w:val="nil"/>
              <w:bottom w:val="single" w:sz="4" w:space="0" w:color="auto"/>
            </w:tcBorders>
            <w:tcMar>
              <w:top w:w="57" w:type="dxa"/>
              <w:bottom w:w="57" w:type="dxa"/>
            </w:tcMar>
          </w:tcPr>
          <w:p w:rsidR="00000000" w:rsidRDefault="00000000">
            <w:pPr>
              <w:spacing w:line="240" w:lineRule="auto"/>
              <w:rPr>
                <w:szCs w:val="24"/>
              </w:rPr>
            </w:pPr>
            <w:r>
              <w:rPr>
                <w:szCs w:val="24"/>
              </w:rPr>
              <w:t xml:space="preserve">Химчистки и прачечные </w:t>
            </w:r>
          </w:p>
        </w:tc>
        <w:tc>
          <w:tcPr>
            <w:tcW w:w="4034" w:type="dxa"/>
            <w:tcBorders>
              <w:top w:val="nil"/>
              <w:bottom w:val="single" w:sz="4" w:space="0" w:color="auto"/>
            </w:tcBorders>
            <w:tcMar>
              <w:top w:w="57" w:type="dxa"/>
              <w:bottom w:w="57" w:type="dxa"/>
            </w:tcMar>
          </w:tcPr>
          <w:p w:rsidR="00000000" w:rsidRDefault="00000000">
            <w:pPr>
              <w:spacing w:line="240" w:lineRule="auto"/>
              <w:rPr>
                <w:szCs w:val="24"/>
              </w:rPr>
            </w:pPr>
            <w:r>
              <w:rPr>
                <w:szCs w:val="24"/>
              </w:rPr>
              <w:t>Месячный оклад:  1 219 795</w:t>
            </w:r>
            <w:r>
              <w:rPr>
                <w:szCs w:val="24"/>
              </w:rPr>
              <w:br/>
              <w:t>Поденная плата:  46 915</w:t>
            </w:r>
          </w:p>
        </w:tc>
      </w:tr>
      <w:tr w:rsidR="00000000">
        <w:trPr>
          <w:cantSplit/>
        </w:trPr>
        <w:tc>
          <w:tcPr>
            <w:tcW w:w="5376" w:type="dxa"/>
            <w:tcBorders>
              <w:bottom w:val="nil"/>
            </w:tcBorders>
            <w:tcMar>
              <w:top w:w="57" w:type="dxa"/>
              <w:bottom w:w="57" w:type="dxa"/>
            </w:tcMar>
          </w:tcPr>
          <w:p w:rsidR="00000000" w:rsidRDefault="00000000">
            <w:pPr>
              <w:spacing w:line="240" w:lineRule="auto"/>
            </w:pPr>
            <w:r>
              <w:t>Производство кирпича и строительных материалов</w:t>
            </w:r>
          </w:p>
        </w:tc>
        <w:tc>
          <w:tcPr>
            <w:tcW w:w="4034" w:type="dxa"/>
            <w:tcBorders>
              <w:bottom w:val="nil"/>
            </w:tcBorders>
            <w:tcMar>
              <w:top w:w="57" w:type="dxa"/>
              <w:bottom w:w="57" w:type="dxa"/>
            </w:tcMar>
          </w:tcPr>
          <w:p w:rsidR="00000000" w:rsidRDefault="00000000">
            <w:pPr>
              <w:spacing w:line="240" w:lineRule="auto"/>
            </w:pPr>
            <w:r>
              <w:t>Месячный оклад:  1 219 795</w:t>
            </w:r>
            <w:r>
              <w:br/>
              <w:t xml:space="preserve">Поденная плата:  46 915 </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pPr>
            <w:r>
              <w:t>Мраморные мастерские</w:t>
            </w:r>
          </w:p>
        </w:tc>
        <w:tc>
          <w:tcPr>
            <w:tcW w:w="4034" w:type="dxa"/>
            <w:tcBorders>
              <w:top w:val="nil"/>
              <w:bottom w:val="nil"/>
            </w:tcBorders>
            <w:tcMar>
              <w:top w:w="57" w:type="dxa"/>
              <w:bottom w:w="57" w:type="dxa"/>
            </w:tcMar>
          </w:tcPr>
          <w:p w:rsidR="00000000" w:rsidRDefault="00000000">
            <w:pPr>
              <w:spacing w:line="240" w:lineRule="auto"/>
            </w:pPr>
            <w:r>
              <w:t>Месячный оклад:  1 238 143</w:t>
            </w:r>
            <w:r>
              <w:br/>
              <w:t xml:space="preserve">Поденная плата:  47 621 </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pPr>
            <w:r>
              <w:t>Предприятия по изготовлению облицовочной и напольной плитки</w:t>
            </w:r>
          </w:p>
        </w:tc>
        <w:tc>
          <w:tcPr>
            <w:tcW w:w="4034" w:type="dxa"/>
            <w:tcBorders>
              <w:top w:val="nil"/>
              <w:bottom w:val="nil"/>
            </w:tcBorders>
            <w:tcMar>
              <w:top w:w="57" w:type="dxa"/>
              <w:bottom w:w="57" w:type="dxa"/>
            </w:tcMar>
          </w:tcPr>
          <w:p w:rsidR="00000000" w:rsidRDefault="00000000">
            <w:pPr>
              <w:spacing w:line="240" w:lineRule="auto"/>
            </w:pPr>
            <w:r>
              <w:t>Месячный оклад:  1 238 143</w:t>
            </w:r>
            <w:r>
              <w:br/>
              <w:t xml:space="preserve">Поденная плата:  47 621 </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pPr>
            <w:r>
              <w:t>Строительные разнорабочие</w:t>
            </w:r>
          </w:p>
        </w:tc>
        <w:tc>
          <w:tcPr>
            <w:tcW w:w="4034" w:type="dxa"/>
            <w:tcBorders>
              <w:top w:val="nil"/>
              <w:bottom w:val="nil"/>
            </w:tcBorders>
            <w:tcMar>
              <w:top w:w="57" w:type="dxa"/>
              <w:bottom w:w="57" w:type="dxa"/>
            </w:tcMar>
          </w:tcPr>
          <w:p w:rsidR="00000000" w:rsidRDefault="00000000">
            <w:pPr>
              <w:spacing w:line="240" w:lineRule="auto"/>
            </w:pPr>
            <w:r>
              <w:t>Месячный оклад:  1 219 795</w:t>
            </w:r>
            <w:r>
              <w:br/>
              <w:t xml:space="preserve">Поденная плата:  46 915 </w:t>
            </w:r>
          </w:p>
        </w:tc>
      </w:tr>
      <w:tr w:rsidR="00000000">
        <w:trPr>
          <w:cantSplit/>
        </w:trPr>
        <w:tc>
          <w:tcPr>
            <w:tcW w:w="5376" w:type="dxa"/>
            <w:tcBorders>
              <w:top w:val="nil"/>
              <w:bottom w:val="single" w:sz="4" w:space="0" w:color="auto"/>
            </w:tcBorders>
            <w:tcMar>
              <w:top w:w="57" w:type="dxa"/>
              <w:bottom w:w="57" w:type="dxa"/>
            </w:tcMar>
          </w:tcPr>
          <w:p w:rsidR="00000000" w:rsidRDefault="00000000">
            <w:pPr>
              <w:spacing w:line="240" w:lineRule="auto"/>
            </w:pPr>
            <w:r>
              <w:t>Каменоломни</w:t>
            </w:r>
          </w:p>
        </w:tc>
        <w:tc>
          <w:tcPr>
            <w:tcW w:w="4034" w:type="dxa"/>
            <w:tcBorders>
              <w:top w:val="nil"/>
              <w:bottom w:val="single" w:sz="4" w:space="0" w:color="auto"/>
            </w:tcBorders>
            <w:tcMar>
              <w:top w:w="57" w:type="dxa"/>
              <w:bottom w:w="57" w:type="dxa"/>
            </w:tcMar>
          </w:tcPr>
          <w:p w:rsidR="00000000" w:rsidRDefault="00000000">
            <w:pPr>
              <w:spacing w:line="240" w:lineRule="auto"/>
            </w:pPr>
            <w:r>
              <w:t>Месячный оклад:  1 219 795</w:t>
            </w:r>
            <w:r>
              <w:br/>
              <w:t>Поденная плата:  46 915</w:t>
            </w:r>
          </w:p>
        </w:tc>
      </w:tr>
      <w:tr w:rsidR="00000000">
        <w:trPr>
          <w:cantSplit/>
        </w:trPr>
        <w:tc>
          <w:tcPr>
            <w:tcW w:w="5376" w:type="dxa"/>
            <w:tcBorders>
              <w:bottom w:val="nil"/>
            </w:tcBorders>
            <w:tcMar>
              <w:top w:w="57" w:type="dxa"/>
              <w:bottom w:w="57" w:type="dxa"/>
            </w:tcMar>
          </w:tcPr>
          <w:p w:rsidR="00000000" w:rsidRDefault="00000000">
            <w:pPr>
              <w:spacing w:line="240" w:lineRule="auto"/>
            </w:pPr>
            <w:r>
              <w:t>Пищевая промышленность, пекарни и макаронные фабрики</w:t>
            </w:r>
          </w:p>
        </w:tc>
        <w:tc>
          <w:tcPr>
            <w:tcW w:w="4034" w:type="dxa"/>
            <w:tcBorders>
              <w:bottom w:val="nil"/>
            </w:tcBorders>
            <w:tcMar>
              <w:top w:w="57" w:type="dxa"/>
              <w:bottom w:w="57" w:type="dxa"/>
            </w:tcMar>
          </w:tcPr>
          <w:p w:rsidR="00000000" w:rsidRDefault="00000000">
            <w:pPr>
              <w:spacing w:line="240" w:lineRule="auto"/>
            </w:pPr>
            <w:r>
              <w:t>Месячный оклад:  1 219 795</w:t>
            </w:r>
            <w:r>
              <w:br/>
              <w:t xml:space="preserve">Поденная плата:  46 915 </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pPr>
            <w:r>
              <w:t>Кондитерские</w:t>
            </w:r>
          </w:p>
        </w:tc>
        <w:tc>
          <w:tcPr>
            <w:tcW w:w="4034" w:type="dxa"/>
            <w:tcBorders>
              <w:top w:val="nil"/>
              <w:bottom w:val="nil"/>
            </w:tcBorders>
            <w:tcMar>
              <w:top w:w="57" w:type="dxa"/>
              <w:bottom w:w="57" w:type="dxa"/>
            </w:tcMar>
          </w:tcPr>
          <w:p w:rsidR="00000000" w:rsidRDefault="00000000">
            <w:pPr>
              <w:spacing w:line="240" w:lineRule="auto"/>
            </w:pPr>
            <w:r>
              <w:t>Месячный оклад:  1 219 795</w:t>
            </w:r>
            <w:r>
              <w:br/>
              <w:t>Поденная плата:  46 915</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pPr>
            <w:r>
              <w:t>Фабрики по производству крахмала</w:t>
            </w:r>
          </w:p>
        </w:tc>
        <w:tc>
          <w:tcPr>
            <w:tcW w:w="4034" w:type="dxa"/>
            <w:tcBorders>
              <w:top w:val="nil"/>
              <w:bottom w:val="nil"/>
            </w:tcBorders>
            <w:tcMar>
              <w:top w:w="57" w:type="dxa"/>
              <w:bottom w:w="57" w:type="dxa"/>
            </w:tcMar>
          </w:tcPr>
          <w:p w:rsidR="00000000" w:rsidRDefault="00000000">
            <w:pPr>
              <w:spacing w:line="240" w:lineRule="auto"/>
            </w:pPr>
            <w:r>
              <w:t>Месячный оклад:  1 238 143</w:t>
            </w:r>
            <w:r>
              <w:br/>
              <w:t xml:space="preserve">Поденная плата:  47 621 </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pPr>
            <w:r>
              <w:t>Мукомольные мельницы</w:t>
            </w:r>
          </w:p>
        </w:tc>
        <w:tc>
          <w:tcPr>
            <w:tcW w:w="4034" w:type="dxa"/>
            <w:tcBorders>
              <w:top w:val="nil"/>
              <w:bottom w:val="nil"/>
            </w:tcBorders>
            <w:tcMar>
              <w:top w:w="57" w:type="dxa"/>
              <w:bottom w:w="57" w:type="dxa"/>
            </w:tcMar>
          </w:tcPr>
          <w:p w:rsidR="00000000" w:rsidRDefault="00000000">
            <w:pPr>
              <w:spacing w:line="240" w:lineRule="auto"/>
            </w:pPr>
            <w:r>
              <w:t>Месячный оклад:  1 231 997</w:t>
            </w:r>
            <w:r>
              <w:br/>
              <w:t xml:space="preserve">Поденная плата:  47 385 </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pPr>
            <w:r>
              <w:t>Чайные фабрики</w:t>
            </w:r>
          </w:p>
        </w:tc>
        <w:tc>
          <w:tcPr>
            <w:tcW w:w="4034" w:type="dxa"/>
            <w:tcBorders>
              <w:top w:val="nil"/>
              <w:bottom w:val="nil"/>
            </w:tcBorders>
            <w:tcMar>
              <w:top w:w="57" w:type="dxa"/>
              <w:bottom w:w="57" w:type="dxa"/>
            </w:tcMar>
          </w:tcPr>
          <w:p w:rsidR="00000000" w:rsidRDefault="00000000">
            <w:pPr>
              <w:spacing w:line="240" w:lineRule="auto"/>
            </w:pPr>
            <w:r>
              <w:t>Месячный оклад:  1 231 997</w:t>
            </w:r>
            <w:r>
              <w:br/>
              <w:t xml:space="preserve">Поденная плата:  47 385 </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pPr>
            <w:r>
              <w:t>Маслобойни</w:t>
            </w:r>
          </w:p>
        </w:tc>
        <w:tc>
          <w:tcPr>
            <w:tcW w:w="4034" w:type="dxa"/>
            <w:tcBorders>
              <w:top w:val="nil"/>
              <w:bottom w:val="nil"/>
            </w:tcBorders>
            <w:tcMar>
              <w:top w:w="57" w:type="dxa"/>
              <w:bottom w:w="57" w:type="dxa"/>
            </w:tcMar>
          </w:tcPr>
          <w:p w:rsidR="00000000" w:rsidRDefault="00000000">
            <w:pPr>
              <w:spacing w:line="240" w:lineRule="auto"/>
            </w:pPr>
            <w:r>
              <w:t>Месячный оклад:  1 231 997</w:t>
            </w:r>
            <w:r>
              <w:br/>
              <w:t xml:space="preserve">Поденная плата:  47 385 </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pPr>
            <w:r>
              <w:t>Рисодробильные предприятия</w:t>
            </w:r>
          </w:p>
        </w:tc>
        <w:tc>
          <w:tcPr>
            <w:tcW w:w="4034" w:type="dxa"/>
            <w:tcBorders>
              <w:top w:val="nil"/>
              <w:bottom w:val="nil"/>
            </w:tcBorders>
            <w:tcMar>
              <w:top w:w="57" w:type="dxa"/>
              <w:bottom w:w="57" w:type="dxa"/>
            </w:tcMar>
          </w:tcPr>
          <w:p w:rsidR="00000000" w:rsidRDefault="00000000">
            <w:pPr>
              <w:spacing w:line="240" w:lineRule="auto"/>
            </w:pPr>
            <w:r>
              <w:t>Месячный оклад:  1 219 795</w:t>
            </w:r>
            <w:r>
              <w:br/>
              <w:t xml:space="preserve">Поденная плата:  46 915 </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pPr>
            <w:r>
              <w:t>Кукурузные мельницы</w:t>
            </w:r>
          </w:p>
        </w:tc>
        <w:tc>
          <w:tcPr>
            <w:tcW w:w="4034" w:type="dxa"/>
            <w:tcBorders>
              <w:top w:val="nil"/>
              <w:bottom w:val="nil"/>
            </w:tcBorders>
            <w:tcMar>
              <w:top w:w="57" w:type="dxa"/>
              <w:bottom w:w="57" w:type="dxa"/>
            </w:tcMar>
          </w:tcPr>
          <w:p w:rsidR="00000000" w:rsidRDefault="00000000">
            <w:pPr>
              <w:spacing w:line="240" w:lineRule="auto"/>
            </w:pPr>
            <w:r>
              <w:t>Месячный оклад:  1 219 795</w:t>
            </w:r>
            <w:r>
              <w:br/>
              <w:t xml:space="preserve">Поденная плата:  46 915 </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pPr>
            <w:r>
              <w:t>Заводы минеральных вод, газированных напитков и ликерные заводы</w:t>
            </w:r>
          </w:p>
        </w:tc>
        <w:tc>
          <w:tcPr>
            <w:tcW w:w="4034" w:type="dxa"/>
            <w:tcBorders>
              <w:top w:val="nil"/>
              <w:bottom w:val="nil"/>
            </w:tcBorders>
            <w:tcMar>
              <w:top w:w="57" w:type="dxa"/>
              <w:bottom w:w="57" w:type="dxa"/>
            </w:tcMar>
          </w:tcPr>
          <w:p w:rsidR="00000000" w:rsidRDefault="00000000">
            <w:pPr>
              <w:spacing w:line="240" w:lineRule="auto"/>
            </w:pPr>
            <w:r>
              <w:t>Месячный оклад:  1 219 795</w:t>
            </w:r>
            <w:r>
              <w:br/>
              <w:t>Поденная плата:  46 915</w:t>
            </w:r>
          </w:p>
        </w:tc>
      </w:tr>
      <w:tr w:rsidR="00000000">
        <w:trPr>
          <w:cantSplit/>
        </w:trPr>
        <w:tc>
          <w:tcPr>
            <w:tcW w:w="5376" w:type="dxa"/>
            <w:tcBorders>
              <w:top w:val="nil"/>
              <w:bottom w:val="single" w:sz="4" w:space="0" w:color="auto"/>
            </w:tcBorders>
            <w:tcMar>
              <w:top w:w="57" w:type="dxa"/>
              <w:bottom w:w="57" w:type="dxa"/>
            </w:tcMar>
          </w:tcPr>
          <w:p w:rsidR="00000000" w:rsidRDefault="00000000">
            <w:pPr>
              <w:spacing w:line="240" w:lineRule="auto"/>
            </w:pPr>
            <w:r>
              <w:t>Мясокомбинаты</w:t>
            </w:r>
          </w:p>
        </w:tc>
        <w:tc>
          <w:tcPr>
            <w:tcW w:w="4034" w:type="dxa"/>
            <w:tcBorders>
              <w:top w:val="nil"/>
              <w:bottom w:val="single" w:sz="4" w:space="0" w:color="auto"/>
            </w:tcBorders>
            <w:tcMar>
              <w:top w:w="57" w:type="dxa"/>
              <w:bottom w:w="57" w:type="dxa"/>
            </w:tcMar>
          </w:tcPr>
          <w:p w:rsidR="00000000" w:rsidRDefault="00000000">
            <w:pPr>
              <w:spacing w:line="240" w:lineRule="auto"/>
            </w:pPr>
            <w:r>
              <w:t>Месячный оклад:  1 219 795</w:t>
            </w:r>
            <w:r>
              <w:br/>
              <w:t>Поденная плата:  46 915</w:t>
            </w:r>
          </w:p>
        </w:tc>
      </w:tr>
      <w:tr w:rsidR="00000000">
        <w:trPr>
          <w:cantSplit/>
        </w:trPr>
        <w:tc>
          <w:tcPr>
            <w:tcW w:w="5376" w:type="dxa"/>
            <w:tcBorders>
              <w:bottom w:val="nil"/>
            </w:tcBorders>
            <w:tcMar>
              <w:top w:w="57" w:type="dxa"/>
              <w:bottom w:w="57" w:type="dxa"/>
            </w:tcMar>
          </w:tcPr>
          <w:p w:rsidR="00000000" w:rsidRDefault="00000000">
            <w:pPr>
              <w:keepNext/>
              <w:spacing w:line="240" w:lineRule="auto"/>
            </w:pPr>
            <w:r>
              <w:t>Швейные и текстильные предприятия</w:t>
            </w:r>
          </w:p>
        </w:tc>
        <w:tc>
          <w:tcPr>
            <w:tcW w:w="4034" w:type="dxa"/>
            <w:tcBorders>
              <w:bottom w:val="nil"/>
            </w:tcBorders>
            <w:tcMar>
              <w:top w:w="57" w:type="dxa"/>
              <w:bottom w:w="57" w:type="dxa"/>
            </w:tcMar>
          </w:tcPr>
          <w:p w:rsidR="00000000" w:rsidRDefault="00000000">
            <w:pPr>
              <w:keepNext/>
              <w:spacing w:line="240" w:lineRule="auto"/>
            </w:pPr>
            <w:r>
              <w:t>Месячный оклад:  1 234 891</w:t>
            </w:r>
            <w:r>
              <w:br/>
              <w:t xml:space="preserve">Поденная плата:  47 385 </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pPr>
            <w:r>
              <w:t>Мастерские по изготовлению головных уборов</w:t>
            </w:r>
          </w:p>
        </w:tc>
        <w:tc>
          <w:tcPr>
            <w:tcW w:w="4034" w:type="dxa"/>
            <w:tcBorders>
              <w:top w:val="nil"/>
              <w:bottom w:val="nil"/>
            </w:tcBorders>
            <w:tcMar>
              <w:top w:w="57" w:type="dxa"/>
              <w:bottom w:w="57" w:type="dxa"/>
            </w:tcMar>
          </w:tcPr>
          <w:p w:rsidR="00000000" w:rsidRDefault="00000000">
            <w:pPr>
              <w:spacing w:line="240" w:lineRule="auto"/>
            </w:pPr>
            <w:r>
              <w:t>Месячный оклад:  1 231 997</w:t>
            </w:r>
            <w:r>
              <w:br/>
              <w:t xml:space="preserve">Поденная плата:  47 385 </w:t>
            </w:r>
          </w:p>
        </w:tc>
      </w:tr>
      <w:tr w:rsidR="00000000">
        <w:trPr>
          <w:cantSplit/>
        </w:trPr>
        <w:tc>
          <w:tcPr>
            <w:tcW w:w="5376" w:type="dxa"/>
            <w:tcBorders>
              <w:top w:val="nil"/>
              <w:bottom w:val="single" w:sz="4" w:space="0" w:color="auto"/>
            </w:tcBorders>
            <w:tcMar>
              <w:top w:w="57" w:type="dxa"/>
              <w:bottom w:w="57" w:type="dxa"/>
            </w:tcMar>
          </w:tcPr>
          <w:p w:rsidR="00000000" w:rsidRDefault="00000000">
            <w:pPr>
              <w:spacing w:line="240" w:lineRule="auto"/>
            </w:pPr>
            <w:r>
              <w:t>Галантерейные фабрики</w:t>
            </w:r>
          </w:p>
        </w:tc>
        <w:tc>
          <w:tcPr>
            <w:tcW w:w="4034" w:type="dxa"/>
            <w:tcBorders>
              <w:top w:val="nil"/>
              <w:bottom w:val="single" w:sz="4" w:space="0" w:color="auto"/>
            </w:tcBorders>
            <w:tcMar>
              <w:top w:w="57" w:type="dxa"/>
              <w:bottom w:w="57" w:type="dxa"/>
            </w:tcMar>
          </w:tcPr>
          <w:p w:rsidR="00000000" w:rsidRDefault="00000000">
            <w:pPr>
              <w:spacing w:line="240" w:lineRule="auto"/>
            </w:pPr>
            <w:r>
              <w:t>Месячный оклад:  1 219 795</w:t>
            </w:r>
            <w:r>
              <w:br/>
              <w:t xml:space="preserve">Поденная плата:  46 915 </w:t>
            </w:r>
          </w:p>
        </w:tc>
      </w:tr>
      <w:tr w:rsidR="00000000">
        <w:trPr>
          <w:cantSplit/>
        </w:trPr>
        <w:tc>
          <w:tcPr>
            <w:tcW w:w="5376" w:type="dxa"/>
            <w:tcBorders>
              <w:top w:val="single" w:sz="4" w:space="0" w:color="auto"/>
              <w:bottom w:val="nil"/>
            </w:tcBorders>
            <w:tcMar>
              <w:top w:w="57" w:type="dxa"/>
              <w:bottom w:w="57" w:type="dxa"/>
            </w:tcMar>
          </w:tcPr>
          <w:p w:rsidR="00000000" w:rsidRDefault="00000000">
            <w:pPr>
              <w:spacing w:line="240" w:lineRule="auto"/>
            </w:pPr>
            <w:r>
              <w:t>Обувные фабрики</w:t>
            </w:r>
          </w:p>
        </w:tc>
        <w:tc>
          <w:tcPr>
            <w:tcW w:w="4034" w:type="dxa"/>
            <w:tcBorders>
              <w:top w:val="single" w:sz="4" w:space="0" w:color="auto"/>
              <w:bottom w:val="nil"/>
            </w:tcBorders>
            <w:tcMar>
              <w:top w:w="57" w:type="dxa"/>
              <w:bottom w:w="57" w:type="dxa"/>
            </w:tcMar>
          </w:tcPr>
          <w:p w:rsidR="00000000" w:rsidRDefault="00000000">
            <w:pPr>
              <w:spacing w:line="240" w:lineRule="auto"/>
            </w:pPr>
            <w:r>
              <w:t>Месячный оклад:  1 238 143</w:t>
            </w:r>
            <w:r>
              <w:br/>
              <w:t xml:space="preserve">Поденная плата:  47 621 </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pPr>
            <w:r>
              <w:t>Пошивочные ателье</w:t>
            </w:r>
          </w:p>
        </w:tc>
        <w:tc>
          <w:tcPr>
            <w:tcW w:w="4034" w:type="dxa"/>
            <w:tcBorders>
              <w:top w:val="nil"/>
              <w:bottom w:val="nil"/>
            </w:tcBorders>
            <w:tcMar>
              <w:top w:w="57" w:type="dxa"/>
              <w:bottom w:w="57" w:type="dxa"/>
            </w:tcMar>
          </w:tcPr>
          <w:p w:rsidR="00000000" w:rsidRDefault="00000000">
            <w:pPr>
              <w:spacing w:line="240" w:lineRule="auto"/>
            </w:pPr>
            <w:r>
              <w:t>Месячный оклад:  1 231 997</w:t>
            </w:r>
            <w:r>
              <w:br/>
              <w:t xml:space="preserve">Поденная плата:  47 385 </w:t>
            </w:r>
          </w:p>
        </w:tc>
      </w:tr>
      <w:tr w:rsidR="00000000">
        <w:trPr>
          <w:cantSplit/>
        </w:trPr>
        <w:tc>
          <w:tcPr>
            <w:tcW w:w="5376" w:type="dxa"/>
            <w:tcBorders>
              <w:top w:val="nil"/>
            </w:tcBorders>
            <w:tcMar>
              <w:top w:w="57" w:type="dxa"/>
              <w:bottom w:w="57" w:type="dxa"/>
            </w:tcMar>
          </w:tcPr>
          <w:p w:rsidR="00000000" w:rsidRDefault="00000000">
            <w:pPr>
              <w:spacing w:line="240" w:lineRule="auto"/>
            </w:pPr>
            <w:r>
              <w:t>Мастерские по изготовлению одежды в целом</w:t>
            </w:r>
          </w:p>
        </w:tc>
        <w:tc>
          <w:tcPr>
            <w:tcW w:w="4034" w:type="dxa"/>
            <w:tcBorders>
              <w:top w:val="nil"/>
            </w:tcBorders>
            <w:tcMar>
              <w:top w:w="57" w:type="dxa"/>
              <w:bottom w:w="57" w:type="dxa"/>
            </w:tcMar>
          </w:tcPr>
          <w:p w:rsidR="00000000" w:rsidRDefault="00000000">
            <w:pPr>
              <w:spacing w:line="240" w:lineRule="auto"/>
            </w:pPr>
            <w:r>
              <w:t>Месячный оклад:  1 219 795</w:t>
            </w:r>
            <w:r>
              <w:br/>
              <w:t>Поденная плата:  46 915</w:t>
            </w:r>
          </w:p>
        </w:tc>
      </w:tr>
      <w:tr w:rsidR="00000000">
        <w:trPr>
          <w:cantSplit/>
        </w:trPr>
        <w:tc>
          <w:tcPr>
            <w:tcW w:w="5376" w:type="dxa"/>
            <w:tcBorders>
              <w:bottom w:val="single" w:sz="4" w:space="0" w:color="auto"/>
            </w:tcBorders>
            <w:tcMar>
              <w:top w:w="57" w:type="dxa"/>
              <w:bottom w:w="57" w:type="dxa"/>
            </w:tcMar>
          </w:tcPr>
          <w:p w:rsidR="00000000" w:rsidRDefault="00000000">
            <w:pPr>
              <w:spacing w:line="240" w:lineRule="auto"/>
            </w:pPr>
            <w:r>
              <w:t>Механические мастерские в целом</w:t>
            </w:r>
          </w:p>
        </w:tc>
        <w:tc>
          <w:tcPr>
            <w:tcW w:w="4034" w:type="dxa"/>
            <w:tcBorders>
              <w:bottom w:val="single" w:sz="4" w:space="0" w:color="auto"/>
            </w:tcBorders>
            <w:tcMar>
              <w:top w:w="57" w:type="dxa"/>
              <w:bottom w:w="57" w:type="dxa"/>
            </w:tcMar>
          </w:tcPr>
          <w:p w:rsidR="00000000" w:rsidRDefault="00000000">
            <w:pPr>
              <w:spacing w:line="240" w:lineRule="auto"/>
            </w:pPr>
            <w:r>
              <w:t>Месячный оклад:  1 219 795</w:t>
            </w:r>
            <w:r>
              <w:br/>
              <w:t>Поденная плата:  46 915</w:t>
            </w:r>
          </w:p>
        </w:tc>
      </w:tr>
      <w:tr w:rsidR="00000000">
        <w:trPr>
          <w:cantSplit/>
        </w:trPr>
        <w:tc>
          <w:tcPr>
            <w:tcW w:w="5376" w:type="dxa"/>
            <w:tcBorders>
              <w:bottom w:val="single" w:sz="4" w:space="0" w:color="auto"/>
            </w:tcBorders>
            <w:tcMar>
              <w:top w:w="57" w:type="dxa"/>
              <w:bottom w:w="57" w:type="dxa"/>
            </w:tcMar>
          </w:tcPr>
          <w:p w:rsidR="00000000" w:rsidRDefault="00000000">
            <w:pPr>
              <w:spacing w:line="240" w:lineRule="auto"/>
            </w:pPr>
            <w:r>
              <w:t>Мастерские жестяных изделий</w:t>
            </w:r>
          </w:p>
        </w:tc>
        <w:tc>
          <w:tcPr>
            <w:tcW w:w="4034" w:type="dxa"/>
            <w:tcBorders>
              <w:bottom w:val="single" w:sz="4" w:space="0" w:color="auto"/>
            </w:tcBorders>
            <w:tcMar>
              <w:top w:w="57" w:type="dxa"/>
              <w:bottom w:w="57" w:type="dxa"/>
            </w:tcMar>
          </w:tcPr>
          <w:p w:rsidR="00000000" w:rsidRDefault="00000000">
            <w:pPr>
              <w:spacing w:line="240" w:lineRule="auto"/>
            </w:pPr>
            <w:r>
              <w:t>Месячный оклад:  1 219 795</w:t>
            </w:r>
            <w:r>
              <w:br/>
              <w:t xml:space="preserve">Поденная плата:  46 915 </w:t>
            </w:r>
          </w:p>
        </w:tc>
      </w:tr>
      <w:tr w:rsidR="00000000">
        <w:trPr>
          <w:cantSplit/>
        </w:trPr>
        <w:tc>
          <w:tcPr>
            <w:tcW w:w="5376" w:type="dxa"/>
            <w:tcBorders>
              <w:top w:val="single" w:sz="4" w:space="0" w:color="auto"/>
              <w:bottom w:val="single" w:sz="4" w:space="0" w:color="auto"/>
            </w:tcBorders>
            <w:tcMar>
              <w:top w:w="57" w:type="dxa"/>
              <w:bottom w:w="57" w:type="dxa"/>
            </w:tcMar>
          </w:tcPr>
          <w:p w:rsidR="00000000" w:rsidRDefault="00000000">
            <w:pPr>
              <w:spacing w:line="240" w:lineRule="auto"/>
            </w:pPr>
            <w:r>
              <w:t>Литейные заводы</w:t>
            </w:r>
          </w:p>
        </w:tc>
        <w:tc>
          <w:tcPr>
            <w:tcW w:w="4034" w:type="dxa"/>
            <w:tcBorders>
              <w:top w:val="single" w:sz="4" w:space="0" w:color="auto"/>
              <w:bottom w:val="single" w:sz="4" w:space="0" w:color="auto"/>
            </w:tcBorders>
            <w:tcMar>
              <w:top w:w="57" w:type="dxa"/>
              <w:bottom w:w="57" w:type="dxa"/>
            </w:tcMar>
          </w:tcPr>
          <w:p w:rsidR="00000000" w:rsidRDefault="00000000">
            <w:pPr>
              <w:spacing w:line="240" w:lineRule="auto"/>
            </w:pPr>
            <w:r>
              <w:t>Месячный оклад:  1 219 795</w:t>
            </w:r>
            <w:r>
              <w:br/>
              <w:t xml:space="preserve">Поденная плата:  46 915 </w:t>
            </w:r>
          </w:p>
        </w:tc>
      </w:tr>
      <w:tr w:rsidR="00000000">
        <w:trPr>
          <w:cantSplit/>
        </w:trPr>
        <w:tc>
          <w:tcPr>
            <w:tcW w:w="5376" w:type="dxa"/>
            <w:tcBorders>
              <w:top w:val="single" w:sz="4" w:space="0" w:color="auto"/>
              <w:bottom w:val="nil"/>
            </w:tcBorders>
            <w:tcMar>
              <w:top w:w="57" w:type="dxa"/>
              <w:bottom w:w="57" w:type="dxa"/>
            </w:tcMar>
          </w:tcPr>
          <w:p w:rsidR="00000000" w:rsidRDefault="00000000">
            <w:pPr>
              <w:spacing w:line="240" w:lineRule="auto"/>
            </w:pPr>
            <w:r>
              <w:t>Рабочие красильных мастерских</w:t>
            </w:r>
          </w:p>
        </w:tc>
        <w:tc>
          <w:tcPr>
            <w:tcW w:w="4034" w:type="dxa"/>
            <w:tcBorders>
              <w:top w:val="single" w:sz="4" w:space="0" w:color="auto"/>
              <w:bottom w:val="nil"/>
            </w:tcBorders>
            <w:tcMar>
              <w:top w:w="57" w:type="dxa"/>
              <w:bottom w:w="57" w:type="dxa"/>
            </w:tcMar>
          </w:tcPr>
          <w:p w:rsidR="00000000" w:rsidRDefault="00000000">
            <w:pPr>
              <w:spacing w:line="240" w:lineRule="auto"/>
            </w:pPr>
            <w:r>
              <w:t>Месячный оклад:  1 231 997</w:t>
            </w:r>
            <w:r>
              <w:br/>
              <w:t xml:space="preserve">Поденная плата:  47 385 </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pPr>
            <w:r>
              <w:t>Вспомогательный персонал</w:t>
            </w:r>
          </w:p>
        </w:tc>
        <w:tc>
          <w:tcPr>
            <w:tcW w:w="4034" w:type="dxa"/>
            <w:tcBorders>
              <w:top w:val="nil"/>
              <w:bottom w:val="nil"/>
            </w:tcBorders>
            <w:tcMar>
              <w:top w:w="57" w:type="dxa"/>
              <w:bottom w:w="57" w:type="dxa"/>
            </w:tcMar>
          </w:tcPr>
          <w:p w:rsidR="00000000" w:rsidRDefault="00000000">
            <w:pPr>
              <w:spacing w:line="240" w:lineRule="auto"/>
            </w:pPr>
            <w:r>
              <w:t>Месячный оклад:  1 219 795</w:t>
            </w:r>
            <w:r>
              <w:br/>
              <w:t>Поденная плата:  46 915</w:t>
            </w:r>
          </w:p>
        </w:tc>
      </w:tr>
      <w:tr w:rsidR="00000000">
        <w:trPr>
          <w:cantSplit/>
        </w:trPr>
        <w:tc>
          <w:tcPr>
            <w:tcW w:w="5376" w:type="dxa"/>
            <w:tcBorders>
              <w:top w:val="nil"/>
            </w:tcBorders>
            <w:tcMar>
              <w:top w:w="57" w:type="dxa"/>
              <w:bottom w:w="57" w:type="dxa"/>
            </w:tcMar>
          </w:tcPr>
          <w:p w:rsidR="00000000" w:rsidRDefault="00000000">
            <w:pPr>
              <w:spacing w:line="240" w:lineRule="auto"/>
            </w:pPr>
            <w:r>
              <w:t>Строительство и строительные работы - разнорабочие</w:t>
            </w:r>
          </w:p>
        </w:tc>
        <w:tc>
          <w:tcPr>
            <w:tcW w:w="4034" w:type="dxa"/>
            <w:tcBorders>
              <w:top w:val="nil"/>
            </w:tcBorders>
            <w:tcMar>
              <w:top w:w="57" w:type="dxa"/>
              <w:bottom w:w="57" w:type="dxa"/>
            </w:tcMar>
          </w:tcPr>
          <w:p w:rsidR="00000000" w:rsidRDefault="00000000">
            <w:pPr>
              <w:spacing w:line="240" w:lineRule="auto"/>
            </w:pPr>
            <w:r>
              <w:t>Месячный оклад:  1 231 997</w:t>
            </w:r>
            <w:r>
              <w:br/>
              <w:t>Поденная плата:  47 385</w:t>
            </w:r>
          </w:p>
        </w:tc>
      </w:tr>
      <w:tr w:rsidR="00000000">
        <w:trPr>
          <w:cantSplit/>
        </w:trPr>
        <w:tc>
          <w:tcPr>
            <w:tcW w:w="5376" w:type="dxa"/>
            <w:tcMar>
              <w:top w:w="57" w:type="dxa"/>
              <w:bottom w:w="57" w:type="dxa"/>
            </w:tcMar>
          </w:tcPr>
          <w:p w:rsidR="00000000" w:rsidRDefault="00000000">
            <w:pPr>
              <w:spacing w:line="240" w:lineRule="auto"/>
            </w:pPr>
            <w:r>
              <w:t>Магазины кожевенных изделий</w:t>
            </w:r>
          </w:p>
        </w:tc>
        <w:tc>
          <w:tcPr>
            <w:tcW w:w="4034" w:type="dxa"/>
            <w:tcMar>
              <w:top w:w="57" w:type="dxa"/>
              <w:bottom w:w="57" w:type="dxa"/>
            </w:tcMar>
          </w:tcPr>
          <w:p w:rsidR="00000000" w:rsidRDefault="00000000">
            <w:pPr>
              <w:spacing w:line="240" w:lineRule="auto"/>
            </w:pPr>
            <w:r>
              <w:t>Месячный оклад:  1 231 997</w:t>
            </w:r>
            <w:r>
              <w:br/>
              <w:t>Поденная плата:  47 835</w:t>
            </w:r>
          </w:p>
        </w:tc>
      </w:tr>
      <w:tr w:rsidR="00000000">
        <w:trPr>
          <w:cantSplit/>
        </w:trPr>
        <w:tc>
          <w:tcPr>
            <w:tcW w:w="5376" w:type="dxa"/>
            <w:tcMar>
              <w:top w:w="57" w:type="dxa"/>
              <w:bottom w:w="57" w:type="dxa"/>
            </w:tcMar>
          </w:tcPr>
          <w:p w:rsidR="00000000" w:rsidRDefault="00000000">
            <w:pPr>
              <w:spacing w:line="240" w:lineRule="auto"/>
            </w:pPr>
            <w:r>
              <w:t>Судоверфи</w:t>
            </w:r>
          </w:p>
        </w:tc>
        <w:tc>
          <w:tcPr>
            <w:tcW w:w="4034" w:type="dxa"/>
            <w:tcMar>
              <w:top w:w="57" w:type="dxa"/>
              <w:bottom w:w="57" w:type="dxa"/>
            </w:tcMar>
          </w:tcPr>
          <w:p w:rsidR="00000000" w:rsidRDefault="00000000">
            <w:pPr>
              <w:spacing w:line="240" w:lineRule="auto"/>
            </w:pPr>
            <w:r>
              <w:t>Месячный оклад:  1 219 795</w:t>
            </w:r>
            <w:r>
              <w:br/>
              <w:t>Поденная плата:  46 915</w:t>
            </w:r>
          </w:p>
        </w:tc>
      </w:tr>
      <w:tr w:rsidR="00000000">
        <w:trPr>
          <w:cantSplit/>
        </w:trPr>
        <w:tc>
          <w:tcPr>
            <w:tcW w:w="5376" w:type="dxa"/>
            <w:tcMar>
              <w:top w:w="57" w:type="dxa"/>
              <w:bottom w:w="57" w:type="dxa"/>
            </w:tcMar>
          </w:tcPr>
          <w:p w:rsidR="00000000" w:rsidRDefault="00000000">
            <w:pPr>
              <w:spacing w:line="240" w:lineRule="auto"/>
            </w:pPr>
            <w:r>
              <w:t>Мыловаренные заводы</w:t>
            </w:r>
          </w:p>
        </w:tc>
        <w:tc>
          <w:tcPr>
            <w:tcW w:w="4034" w:type="dxa"/>
            <w:tcMar>
              <w:top w:w="57" w:type="dxa"/>
              <w:bottom w:w="57" w:type="dxa"/>
            </w:tcMar>
          </w:tcPr>
          <w:p w:rsidR="00000000" w:rsidRDefault="00000000">
            <w:pPr>
              <w:spacing w:line="240" w:lineRule="auto"/>
            </w:pPr>
            <w:r>
              <w:t>Месячный оклад:  1 219 795</w:t>
            </w:r>
            <w:r>
              <w:br/>
              <w:t>Поденная плата:  46 915</w:t>
            </w:r>
          </w:p>
        </w:tc>
      </w:tr>
      <w:tr w:rsidR="00000000">
        <w:trPr>
          <w:cantSplit/>
        </w:trPr>
        <w:tc>
          <w:tcPr>
            <w:tcW w:w="5376" w:type="dxa"/>
            <w:tcMar>
              <w:top w:w="57" w:type="dxa"/>
              <w:bottom w:w="57" w:type="dxa"/>
            </w:tcMar>
          </w:tcPr>
          <w:p w:rsidR="00000000" w:rsidRDefault="00000000">
            <w:pPr>
              <w:spacing w:line="240" w:lineRule="auto"/>
            </w:pPr>
            <w:r>
              <w:t>Часовые мастерские</w:t>
            </w:r>
          </w:p>
        </w:tc>
        <w:tc>
          <w:tcPr>
            <w:tcW w:w="4034" w:type="dxa"/>
            <w:tcMar>
              <w:top w:w="57" w:type="dxa"/>
              <w:bottom w:w="57" w:type="dxa"/>
            </w:tcMar>
          </w:tcPr>
          <w:p w:rsidR="00000000" w:rsidRDefault="00000000">
            <w:pPr>
              <w:spacing w:line="240" w:lineRule="auto"/>
            </w:pPr>
            <w:r>
              <w:t>Месячный оклад:  1 219 795</w:t>
            </w:r>
            <w:r>
              <w:br/>
              <w:t>Поденная плата:  46 915</w:t>
            </w:r>
          </w:p>
        </w:tc>
      </w:tr>
      <w:tr w:rsidR="00000000">
        <w:trPr>
          <w:cantSplit/>
        </w:trPr>
        <w:tc>
          <w:tcPr>
            <w:tcW w:w="5376" w:type="dxa"/>
            <w:tcMar>
              <w:top w:w="57" w:type="dxa"/>
              <w:bottom w:w="57" w:type="dxa"/>
            </w:tcMar>
          </w:tcPr>
          <w:p w:rsidR="00000000" w:rsidRDefault="00000000">
            <w:pPr>
              <w:spacing w:line="240" w:lineRule="auto"/>
            </w:pPr>
            <w:r>
              <w:t>Хлопкоочистительные заводы</w:t>
            </w:r>
          </w:p>
        </w:tc>
        <w:tc>
          <w:tcPr>
            <w:tcW w:w="4034" w:type="dxa"/>
            <w:tcMar>
              <w:top w:w="57" w:type="dxa"/>
              <w:bottom w:w="57" w:type="dxa"/>
            </w:tcMar>
          </w:tcPr>
          <w:p w:rsidR="00000000" w:rsidRDefault="00000000">
            <w:pPr>
              <w:spacing w:line="240" w:lineRule="auto"/>
            </w:pPr>
            <w:r>
              <w:t>Месячный оклад:  1 231 997</w:t>
            </w:r>
            <w:r>
              <w:br/>
              <w:t>Поденная плата:  47 385</w:t>
            </w:r>
          </w:p>
        </w:tc>
      </w:tr>
      <w:tr w:rsidR="00000000">
        <w:trPr>
          <w:cantSplit/>
        </w:trPr>
        <w:tc>
          <w:tcPr>
            <w:tcW w:w="5376" w:type="dxa"/>
            <w:tcMar>
              <w:top w:w="57" w:type="dxa"/>
              <w:bottom w:w="57" w:type="dxa"/>
            </w:tcMar>
          </w:tcPr>
          <w:p w:rsidR="00000000" w:rsidRDefault="00000000">
            <w:pPr>
              <w:spacing w:line="240" w:lineRule="auto"/>
            </w:pPr>
            <w:r>
              <w:t>Спичечные фабрики</w:t>
            </w:r>
          </w:p>
        </w:tc>
        <w:tc>
          <w:tcPr>
            <w:tcW w:w="4034" w:type="dxa"/>
            <w:tcMar>
              <w:top w:w="57" w:type="dxa"/>
              <w:bottom w:w="57" w:type="dxa"/>
            </w:tcMar>
          </w:tcPr>
          <w:p w:rsidR="00000000" w:rsidRDefault="00000000">
            <w:pPr>
              <w:spacing w:line="240" w:lineRule="auto"/>
            </w:pPr>
            <w:r>
              <w:t>Месячный оклад:  1 231 997</w:t>
            </w:r>
            <w:r>
              <w:br/>
              <w:t>Поденная плата:  47 385</w:t>
            </w:r>
          </w:p>
        </w:tc>
      </w:tr>
      <w:tr w:rsidR="00000000">
        <w:trPr>
          <w:cantSplit/>
        </w:trPr>
        <w:tc>
          <w:tcPr>
            <w:tcW w:w="5376" w:type="dxa"/>
            <w:tcBorders>
              <w:bottom w:val="single" w:sz="4" w:space="0" w:color="auto"/>
            </w:tcBorders>
            <w:tcMar>
              <w:top w:w="57" w:type="dxa"/>
              <w:bottom w:w="57" w:type="dxa"/>
            </w:tcMar>
          </w:tcPr>
          <w:p w:rsidR="00000000" w:rsidRDefault="00000000">
            <w:pPr>
              <w:spacing w:line="240" w:lineRule="auto"/>
            </w:pPr>
            <w:r>
              <w:t>Кинотеатры и театры</w:t>
            </w:r>
          </w:p>
        </w:tc>
        <w:tc>
          <w:tcPr>
            <w:tcW w:w="4034" w:type="dxa"/>
            <w:tcBorders>
              <w:bottom w:val="single" w:sz="4" w:space="0" w:color="auto"/>
            </w:tcBorders>
            <w:tcMar>
              <w:top w:w="57" w:type="dxa"/>
              <w:bottom w:w="57" w:type="dxa"/>
            </w:tcMar>
          </w:tcPr>
          <w:p w:rsidR="00000000" w:rsidRDefault="00000000">
            <w:pPr>
              <w:spacing w:line="240" w:lineRule="auto"/>
            </w:pPr>
            <w:r>
              <w:t>Месячный оклад:  1 219 795</w:t>
            </w:r>
            <w:r>
              <w:br/>
              <w:t>Поденная плата:  46 915</w:t>
            </w:r>
          </w:p>
        </w:tc>
      </w:tr>
      <w:tr w:rsidR="00000000">
        <w:trPr>
          <w:cantSplit/>
        </w:trPr>
        <w:tc>
          <w:tcPr>
            <w:tcW w:w="5376" w:type="dxa"/>
            <w:tcBorders>
              <w:bottom w:val="nil"/>
            </w:tcBorders>
            <w:tcMar>
              <w:top w:w="57" w:type="dxa"/>
              <w:bottom w:w="57" w:type="dxa"/>
            </w:tcMar>
          </w:tcPr>
          <w:p w:rsidR="00000000" w:rsidRDefault="00000000">
            <w:pPr>
              <w:spacing w:line="240" w:lineRule="auto"/>
            </w:pPr>
            <w:r>
              <w:t>Бумажно-картонные фабрики</w:t>
            </w:r>
          </w:p>
        </w:tc>
        <w:tc>
          <w:tcPr>
            <w:tcW w:w="4034" w:type="dxa"/>
            <w:tcBorders>
              <w:bottom w:val="nil"/>
            </w:tcBorders>
            <w:tcMar>
              <w:top w:w="57" w:type="dxa"/>
              <w:bottom w:w="57" w:type="dxa"/>
            </w:tcMar>
          </w:tcPr>
          <w:p w:rsidR="00000000" w:rsidRDefault="00000000">
            <w:pPr>
              <w:spacing w:line="240" w:lineRule="auto"/>
            </w:pPr>
            <w:r>
              <w:t>Месячный оклад:  1 246 396</w:t>
            </w:r>
            <w:r>
              <w:br/>
              <w:t xml:space="preserve">Поденная плата:  47 938 </w:t>
            </w:r>
          </w:p>
        </w:tc>
      </w:tr>
      <w:tr w:rsidR="00000000">
        <w:trPr>
          <w:cantSplit/>
        </w:trPr>
        <w:tc>
          <w:tcPr>
            <w:tcW w:w="5376" w:type="dxa"/>
            <w:tcBorders>
              <w:top w:val="nil"/>
            </w:tcBorders>
            <w:tcMar>
              <w:top w:w="57" w:type="dxa"/>
              <w:bottom w:w="57" w:type="dxa"/>
            </w:tcMar>
          </w:tcPr>
          <w:p w:rsidR="00000000" w:rsidRDefault="00000000">
            <w:pPr>
              <w:spacing w:line="240" w:lineRule="auto"/>
            </w:pPr>
            <w:r>
              <w:t>Мебельные фабрики</w:t>
            </w:r>
          </w:p>
        </w:tc>
        <w:tc>
          <w:tcPr>
            <w:tcW w:w="4034" w:type="dxa"/>
            <w:tcBorders>
              <w:top w:val="nil"/>
            </w:tcBorders>
            <w:tcMar>
              <w:top w:w="57" w:type="dxa"/>
              <w:bottom w:w="57" w:type="dxa"/>
            </w:tcMar>
          </w:tcPr>
          <w:p w:rsidR="00000000" w:rsidRDefault="00000000">
            <w:pPr>
              <w:spacing w:line="240" w:lineRule="auto"/>
            </w:pPr>
            <w:r>
              <w:t>Месячный оклад:  1 231 997</w:t>
            </w:r>
            <w:r>
              <w:br/>
              <w:t>Поденная плата:  47 385</w:t>
            </w:r>
          </w:p>
        </w:tc>
      </w:tr>
      <w:tr w:rsidR="00000000">
        <w:trPr>
          <w:cantSplit/>
        </w:trPr>
        <w:tc>
          <w:tcPr>
            <w:tcW w:w="5376" w:type="dxa"/>
            <w:tcMar>
              <w:top w:w="57" w:type="dxa"/>
              <w:bottom w:w="57" w:type="dxa"/>
            </w:tcMar>
          </w:tcPr>
          <w:p w:rsidR="00000000" w:rsidRDefault="00000000">
            <w:pPr>
              <w:spacing w:line="240" w:lineRule="auto"/>
            </w:pPr>
            <w:r>
              <w:t>Дикторы</w:t>
            </w:r>
          </w:p>
        </w:tc>
        <w:tc>
          <w:tcPr>
            <w:tcW w:w="4034" w:type="dxa"/>
            <w:tcMar>
              <w:top w:w="57" w:type="dxa"/>
              <w:bottom w:w="57" w:type="dxa"/>
            </w:tcMar>
          </w:tcPr>
          <w:p w:rsidR="00000000" w:rsidRDefault="00000000">
            <w:pPr>
              <w:spacing w:line="240" w:lineRule="auto"/>
            </w:pPr>
            <w:r>
              <w:t>Месячный оклад:  1 231 997</w:t>
            </w:r>
            <w:r>
              <w:br/>
              <w:t xml:space="preserve">Поденная плата:  47 385 </w:t>
            </w:r>
          </w:p>
        </w:tc>
      </w:tr>
      <w:tr w:rsidR="00000000">
        <w:trPr>
          <w:cantSplit/>
        </w:trPr>
        <w:tc>
          <w:tcPr>
            <w:tcW w:w="5376" w:type="dxa"/>
            <w:tcMar>
              <w:top w:w="57" w:type="dxa"/>
              <w:bottom w:w="57" w:type="dxa"/>
            </w:tcMar>
          </w:tcPr>
          <w:p w:rsidR="00000000" w:rsidRDefault="00000000">
            <w:pPr>
              <w:spacing w:line="240" w:lineRule="auto"/>
            </w:pPr>
            <w:r>
              <w:t>Операторы</w:t>
            </w:r>
          </w:p>
        </w:tc>
        <w:tc>
          <w:tcPr>
            <w:tcW w:w="4034" w:type="dxa"/>
            <w:tcMar>
              <w:top w:w="57" w:type="dxa"/>
              <w:bottom w:w="57" w:type="dxa"/>
            </w:tcMar>
          </w:tcPr>
          <w:p w:rsidR="00000000" w:rsidRDefault="00000000">
            <w:pPr>
              <w:spacing w:line="240" w:lineRule="auto"/>
            </w:pPr>
            <w:r>
              <w:t>Месячный оклад:  1 219 795</w:t>
            </w:r>
            <w:r>
              <w:br/>
              <w:t>Поденная плата:  46 915</w:t>
            </w:r>
          </w:p>
        </w:tc>
      </w:tr>
      <w:tr w:rsidR="00000000">
        <w:trPr>
          <w:cantSplit/>
        </w:trPr>
        <w:tc>
          <w:tcPr>
            <w:tcW w:w="5376" w:type="dxa"/>
            <w:tcMar>
              <w:top w:w="57" w:type="dxa"/>
              <w:bottom w:w="57" w:type="dxa"/>
            </w:tcMar>
          </w:tcPr>
          <w:p w:rsidR="00000000" w:rsidRDefault="00000000">
            <w:pPr>
              <w:spacing w:line="240" w:lineRule="auto"/>
            </w:pPr>
            <w:r>
              <w:t>Асфальто-дорожные работы</w:t>
            </w:r>
          </w:p>
        </w:tc>
        <w:tc>
          <w:tcPr>
            <w:tcW w:w="4034" w:type="dxa"/>
            <w:tcMar>
              <w:top w:w="57" w:type="dxa"/>
              <w:bottom w:w="57" w:type="dxa"/>
            </w:tcMar>
          </w:tcPr>
          <w:p w:rsidR="00000000" w:rsidRDefault="00000000">
            <w:pPr>
              <w:spacing w:line="240" w:lineRule="auto"/>
            </w:pPr>
            <w:r>
              <w:t>Месячный оклад:  1 219 795</w:t>
            </w:r>
            <w:r>
              <w:br/>
              <w:t>Поденная плата:  46 915</w:t>
            </w:r>
          </w:p>
        </w:tc>
      </w:tr>
      <w:tr w:rsidR="00000000">
        <w:trPr>
          <w:cantSplit/>
        </w:trPr>
        <w:tc>
          <w:tcPr>
            <w:tcW w:w="5376" w:type="dxa"/>
            <w:tcBorders>
              <w:bottom w:val="single" w:sz="4" w:space="0" w:color="auto"/>
            </w:tcBorders>
            <w:tcMar>
              <w:top w:w="57" w:type="dxa"/>
              <w:bottom w:w="57" w:type="dxa"/>
            </w:tcMar>
          </w:tcPr>
          <w:p w:rsidR="00000000" w:rsidRDefault="00000000">
            <w:pPr>
              <w:keepNext/>
              <w:spacing w:line="240" w:lineRule="auto"/>
            </w:pPr>
            <w:r>
              <w:t>Цветочные магазины</w:t>
            </w:r>
          </w:p>
        </w:tc>
        <w:tc>
          <w:tcPr>
            <w:tcW w:w="4034" w:type="dxa"/>
            <w:tcBorders>
              <w:bottom w:val="single" w:sz="4" w:space="0" w:color="auto"/>
            </w:tcBorders>
            <w:tcMar>
              <w:top w:w="57" w:type="dxa"/>
              <w:bottom w:w="57" w:type="dxa"/>
            </w:tcMar>
          </w:tcPr>
          <w:p w:rsidR="00000000" w:rsidRDefault="00000000">
            <w:pPr>
              <w:keepNext/>
              <w:spacing w:line="240" w:lineRule="auto"/>
            </w:pPr>
            <w:r>
              <w:t>Месячный оклад:  1</w:t>
            </w:r>
            <w:r>
              <w:rPr>
                <w:lang w:val="en-US"/>
              </w:rPr>
              <w:t> </w:t>
            </w:r>
            <w:r>
              <w:t>219</w:t>
            </w:r>
            <w:r>
              <w:rPr>
                <w:lang w:val="en-US"/>
              </w:rPr>
              <w:t> </w:t>
            </w:r>
            <w:r>
              <w:t>795</w:t>
            </w:r>
            <w:r>
              <w:br/>
              <w:t>Поденная плата:  46 915</w:t>
            </w:r>
          </w:p>
        </w:tc>
      </w:tr>
      <w:tr w:rsidR="00000000">
        <w:trPr>
          <w:cantSplit/>
        </w:trPr>
        <w:tc>
          <w:tcPr>
            <w:tcW w:w="5376" w:type="dxa"/>
            <w:tcBorders>
              <w:bottom w:val="nil"/>
            </w:tcBorders>
            <w:tcMar>
              <w:top w:w="57" w:type="dxa"/>
              <w:bottom w:w="57" w:type="dxa"/>
            </w:tcMar>
          </w:tcPr>
          <w:p w:rsidR="00000000" w:rsidRDefault="00000000">
            <w:pPr>
              <w:spacing w:line="240" w:lineRule="auto"/>
            </w:pPr>
            <w:r>
              <w:t>Кожевенное производство</w:t>
            </w:r>
          </w:p>
        </w:tc>
        <w:tc>
          <w:tcPr>
            <w:tcW w:w="4034" w:type="dxa"/>
            <w:tcBorders>
              <w:bottom w:val="nil"/>
            </w:tcBorders>
            <w:tcMar>
              <w:top w:w="57" w:type="dxa"/>
              <w:bottom w:w="57" w:type="dxa"/>
            </w:tcMar>
          </w:tcPr>
          <w:p w:rsidR="00000000" w:rsidRDefault="00000000">
            <w:pPr>
              <w:spacing w:line="240" w:lineRule="auto"/>
            </w:pPr>
            <w:r>
              <w:t>Месячный оклад:  1</w:t>
            </w:r>
            <w:r>
              <w:rPr>
                <w:lang w:val="en-US"/>
              </w:rPr>
              <w:t> </w:t>
            </w:r>
            <w:r>
              <w:t>219</w:t>
            </w:r>
            <w:r>
              <w:rPr>
                <w:lang w:val="en-US"/>
              </w:rPr>
              <w:t> </w:t>
            </w:r>
            <w:r>
              <w:t>795</w:t>
            </w:r>
            <w:r>
              <w:br/>
              <w:t>Поденная плата:  46</w:t>
            </w:r>
            <w:r>
              <w:rPr>
                <w:lang w:val="en-US"/>
              </w:rPr>
              <w:t> </w:t>
            </w:r>
            <w:r>
              <w:t xml:space="preserve">915 </w:t>
            </w:r>
          </w:p>
        </w:tc>
      </w:tr>
      <w:tr w:rsidR="00000000">
        <w:trPr>
          <w:cantSplit/>
        </w:trPr>
        <w:tc>
          <w:tcPr>
            <w:tcW w:w="5376" w:type="dxa"/>
            <w:tcBorders>
              <w:top w:val="nil"/>
            </w:tcBorders>
            <w:tcMar>
              <w:top w:w="57" w:type="dxa"/>
              <w:bottom w:w="57" w:type="dxa"/>
            </w:tcMar>
          </w:tcPr>
          <w:p w:rsidR="00000000" w:rsidRDefault="00000000">
            <w:pPr>
              <w:spacing w:line="240" w:lineRule="auto"/>
            </w:pPr>
            <w:r>
              <w:t>Чертежные ателье</w:t>
            </w:r>
          </w:p>
        </w:tc>
        <w:tc>
          <w:tcPr>
            <w:tcW w:w="4034" w:type="dxa"/>
            <w:tcBorders>
              <w:top w:val="nil"/>
            </w:tcBorders>
            <w:tcMar>
              <w:top w:w="57" w:type="dxa"/>
              <w:bottom w:w="57" w:type="dxa"/>
            </w:tcMar>
          </w:tcPr>
          <w:p w:rsidR="00000000" w:rsidRDefault="00000000">
            <w:pPr>
              <w:spacing w:line="240" w:lineRule="auto"/>
            </w:pPr>
            <w:r>
              <w:t>Месячный оклад :  1 219 795</w:t>
            </w:r>
            <w:r>
              <w:br/>
              <w:t>Поденная плата:  46 915</w:t>
            </w:r>
          </w:p>
        </w:tc>
      </w:tr>
      <w:tr w:rsidR="00000000">
        <w:trPr>
          <w:cantSplit/>
        </w:trPr>
        <w:tc>
          <w:tcPr>
            <w:tcW w:w="5376" w:type="dxa"/>
            <w:tcBorders>
              <w:bottom w:val="single" w:sz="4" w:space="0" w:color="auto"/>
            </w:tcBorders>
            <w:tcMar>
              <w:top w:w="57" w:type="dxa"/>
              <w:bottom w:w="57" w:type="dxa"/>
            </w:tcMar>
          </w:tcPr>
          <w:p w:rsidR="00000000" w:rsidRDefault="00000000">
            <w:pPr>
              <w:spacing w:line="240" w:lineRule="auto"/>
            </w:pPr>
            <w:r>
              <w:t>Различные неконкретизированные занятия</w:t>
            </w:r>
          </w:p>
        </w:tc>
        <w:tc>
          <w:tcPr>
            <w:tcW w:w="4034" w:type="dxa"/>
            <w:tcBorders>
              <w:bottom w:val="single" w:sz="4" w:space="0" w:color="auto"/>
            </w:tcBorders>
            <w:tcMar>
              <w:top w:w="57" w:type="dxa"/>
              <w:bottom w:w="57" w:type="dxa"/>
            </w:tcMar>
          </w:tcPr>
          <w:p w:rsidR="00000000" w:rsidRDefault="00000000">
            <w:pPr>
              <w:spacing w:line="240" w:lineRule="auto"/>
            </w:pPr>
            <w:r>
              <w:t>Месячная зарплата:  1 219 795</w:t>
            </w:r>
            <w:r>
              <w:br/>
              <w:t>Поденная плата:  46 915</w:t>
            </w:r>
          </w:p>
        </w:tc>
      </w:tr>
      <w:tr w:rsidR="00000000">
        <w:trPr>
          <w:cantSplit/>
        </w:trPr>
        <w:tc>
          <w:tcPr>
            <w:tcW w:w="5376" w:type="dxa"/>
            <w:tcBorders>
              <w:bottom w:val="nil"/>
            </w:tcBorders>
            <w:tcMar>
              <w:top w:w="57" w:type="dxa"/>
              <w:bottom w:w="57" w:type="dxa"/>
            </w:tcMar>
          </w:tcPr>
          <w:p w:rsidR="00000000" w:rsidRDefault="00000000">
            <w:pPr>
              <w:spacing w:line="240" w:lineRule="auto"/>
            </w:pPr>
            <w:r>
              <w:t>Работники периодической печати</w:t>
            </w:r>
          </w:p>
        </w:tc>
        <w:tc>
          <w:tcPr>
            <w:tcW w:w="4034" w:type="dxa"/>
            <w:tcBorders>
              <w:bottom w:val="nil"/>
            </w:tcBorders>
            <w:tcMar>
              <w:top w:w="57" w:type="dxa"/>
              <w:bottom w:w="57" w:type="dxa"/>
            </w:tcMar>
          </w:tcPr>
          <w:p w:rsidR="00000000" w:rsidRDefault="00000000">
            <w:pPr>
              <w:spacing w:line="240" w:lineRule="auto"/>
            </w:pP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firstLine="308"/>
            </w:pPr>
            <w:r>
              <w:t>Главный редактор</w:t>
            </w:r>
          </w:p>
        </w:tc>
        <w:tc>
          <w:tcPr>
            <w:tcW w:w="4034" w:type="dxa"/>
            <w:tcBorders>
              <w:top w:val="nil"/>
              <w:bottom w:val="nil"/>
            </w:tcBorders>
            <w:tcMar>
              <w:top w:w="57" w:type="dxa"/>
              <w:bottom w:w="57" w:type="dxa"/>
            </w:tcMar>
          </w:tcPr>
          <w:p w:rsidR="00000000" w:rsidRDefault="00000000">
            <w:pPr>
              <w:spacing w:line="240" w:lineRule="auto"/>
            </w:pPr>
            <w:r>
              <w:t>Месячная зарплата:  1 806 635</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firstLine="308"/>
            </w:pPr>
            <w:r>
              <w:t>Ведущий редактор</w:t>
            </w:r>
          </w:p>
        </w:tc>
        <w:tc>
          <w:tcPr>
            <w:tcW w:w="4034" w:type="dxa"/>
            <w:tcBorders>
              <w:top w:val="nil"/>
              <w:bottom w:val="nil"/>
            </w:tcBorders>
            <w:tcMar>
              <w:top w:w="57" w:type="dxa"/>
              <w:bottom w:w="57" w:type="dxa"/>
            </w:tcMar>
          </w:tcPr>
          <w:p w:rsidR="00000000" w:rsidRDefault="00000000">
            <w:pPr>
              <w:spacing w:line="240" w:lineRule="auto"/>
            </w:pPr>
            <w:r>
              <w:t>Месячная зарплата:  1 648 682</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firstLine="308"/>
            </w:pPr>
            <w:r>
              <w:t>Редактор первой категории</w:t>
            </w:r>
          </w:p>
        </w:tc>
        <w:tc>
          <w:tcPr>
            <w:tcW w:w="4034" w:type="dxa"/>
            <w:tcBorders>
              <w:top w:val="nil"/>
              <w:bottom w:val="nil"/>
            </w:tcBorders>
            <w:tcMar>
              <w:top w:w="57" w:type="dxa"/>
              <w:bottom w:w="57" w:type="dxa"/>
            </w:tcMar>
          </w:tcPr>
          <w:p w:rsidR="00000000" w:rsidRDefault="00000000">
            <w:pPr>
              <w:spacing w:line="240" w:lineRule="auto"/>
            </w:pPr>
            <w:r>
              <w:t>Месячная зарплата:  1</w:t>
            </w:r>
            <w:r>
              <w:rPr>
                <w:lang w:val="en-US"/>
              </w:rPr>
              <w:t> </w:t>
            </w:r>
            <w:r>
              <w:t>542</w:t>
            </w:r>
            <w:r>
              <w:rPr>
                <w:lang w:val="en-US"/>
              </w:rPr>
              <w:t> </w:t>
            </w:r>
            <w:r>
              <w:t xml:space="preserve">723 </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firstLine="308"/>
            </w:pPr>
            <w:r>
              <w:t>Редактор второй категории</w:t>
            </w:r>
          </w:p>
        </w:tc>
        <w:tc>
          <w:tcPr>
            <w:tcW w:w="4034" w:type="dxa"/>
            <w:tcBorders>
              <w:top w:val="nil"/>
              <w:bottom w:val="nil"/>
            </w:tcBorders>
            <w:tcMar>
              <w:top w:w="57" w:type="dxa"/>
              <w:bottom w:w="57" w:type="dxa"/>
            </w:tcMar>
          </w:tcPr>
          <w:p w:rsidR="00000000" w:rsidRDefault="00000000">
            <w:pPr>
              <w:spacing w:line="240" w:lineRule="auto"/>
            </w:pPr>
            <w:r>
              <w:t>Месячная зарплата:  1</w:t>
            </w:r>
            <w:r>
              <w:rPr>
                <w:lang w:val="en-US"/>
              </w:rPr>
              <w:t> </w:t>
            </w:r>
            <w:r>
              <w:t>474</w:t>
            </w:r>
            <w:r>
              <w:rPr>
                <w:lang w:val="en-US"/>
              </w:rPr>
              <w:t> </w:t>
            </w:r>
            <w:r>
              <w:t xml:space="preserve">675 </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firstLine="308"/>
            </w:pPr>
            <w:r>
              <w:t>Репортер</w:t>
            </w:r>
          </w:p>
        </w:tc>
        <w:tc>
          <w:tcPr>
            <w:tcW w:w="4034" w:type="dxa"/>
            <w:tcBorders>
              <w:top w:val="nil"/>
              <w:bottom w:val="nil"/>
            </w:tcBorders>
            <w:tcMar>
              <w:top w:w="57" w:type="dxa"/>
              <w:bottom w:w="57" w:type="dxa"/>
            </w:tcMar>
          </w:tcPr>
          <w:p w:rsidR="00000000" w:rsidRDefault="00000000">
            <w:pPr>
              <w:spacing w:line="240" w:lineRule="auto"/>
            </w:pPr>
            <w:r>
              <w:t xml:space="preserve">Месячная зарплата:  1 361 992 </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firstLine="308"/>
            </w:pPr>
            <w:r>
              <w:t>Корректоры</w:t>
            </w:r>
          </w:p>
        </w:tc>
        <w:tc>
          <w:tcPr>
            <w:tcW w:w="4034" w:type="dxa"/>
            <w:tcBorders>
              <w:top w:val="nil"/>
              <w:bottom w:val="nil"/>
            </w:tcBorders>
            <w:tcMar>
              <w:top w:w="57" w:type="dxa"/>
              <w:bottom w:w="57" w:type="dxa"/>
            </w:tcMar>
          </w:tcPr>
          <w:p w:rsidR="00000000" w:rsidRDefault="00000000">
            <w:pPr>
              <w:spacing w:line="240" w:lineRule="auto"/>
            </w:pPr>
            <w:r>
              <w:t xml:space="preserve">Месячная зарплата:  1 429 043 </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firstLine="308"/>
            </w:pPr>
            <w:r>
              <w:t>Графики-линотиписты</w:t>
            </w:r>
          </w:p>
        </w:tc>
        <w:tc>
          <w:tcPr>
            <w:tcW w:w="4034" w:type="dxa"/>
            <w:tcBorders>
              <w:top w:val="nil"/>
              <w:bottom w:val="nil"/>
            </w:tcBorders>
            <w:tcMar>
              <w:top w:w="57" w:type="dxa"/>
              <w:bottom w:w="57" w:type="dxa"/>
            </w:tcMar>
          </w:tcPr>
          <w:p w:rsidR="00000000" w:rsidRDefault="00000000">
            <w:pPr>
              <w:spacing w:line="240" w:lineRule="auto"/>
            </w:pP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left="567"/>
            </w:pPr>
            <w:r>
              <w:t>Первая категория</w:t>
            </w:r>
          </w:p>
        </w:tc>
        <w:tc>
          <w:tcPr>
            <w:tcW w:w="4034" w:type="dxa"/>
            <w:tcBorders>
              <w:top w:val="nil"/>
              <w:bottom w:val="nil"/>
            </w:tcBorders>
            <w:tcMar>
              <w:top w:w="57" w:type="dxa"/>
              <w:bottom w:w="57" w:type="dxa"/>
            </w:tcMar>
          </w:tcPr>
          <w:p w:rsidR="00000000" w:rsidRDefault="00000000">
            <w:pPr>
              <w:spacing w:line="240" w:lineRule="auto"/>
            </w:pPr>
            <w:r>
              <w:t>Месячная зарплата:  1 498 541</w:t>
            </w:r>
            <w:r>
              <w:br/>
              <w:t xml:space="preserve">Поденная плата:  57 636 </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left="567"/>
            </w:pPr>
            <w:r>
              <w:t>Вторая категория</w:t>
            </w:r>
          </w:p>
        </w:tc>
        <w:tc>
          <w:tcPr>
            <w:tcW w:w="4034" w:type="dxa"/>
            <w:tcBorders>
              <w:top w:val="nil"/>
              <w:bottom w:val="nil"/>
            </w:tcBorders>
            <w:tcMar>
              <w:top w:w="57" w:type="dxa"/>
              <w:bottom w:w="57" w:type="dxa"/>
            </w:tcMar>
          </w:tcPr>
          <w:p w:rsidR="00000000" w:rsidRDefault="00000000">
            <w:pPr>
              <w:spacing w:line="240" w:lineRule="auto"/>
            </w:pPr>
            <w:r>
              <w:t>Месячная зарплата:  1 441 231</w:t>
            </w:r>
            <w:r>
              <w:br/>
              <w:t xml:space="preserve">Поденная плата:  55 432 </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firstLine="308"/>
            </w:pPr>
            <w:r>
              <w:t>Печатники</w:t>
            </w:r>
          </w:p>
        </w:tc>
        <w:tc>
          <w:tcPr>
            <w:tcW w:w="4034" w:type="dxa"/>
            <w:tcBorders>
              <w:top w:val="nil"/>
              <w:bottom w:val="nil"/>
            </w:tcBorders>
            <w:tcMar>
              <w:top w:w="57" w:type="dxa"/>
              <w:bottom w:w="57" w:type="dxa"/>
            </w:tcMar>
          </w:tcPr>
          <w:p w:rsidR="00000000" w:rsidRDefault="00000000">
            <w:pPr>
              <w:spacing w:line="240" w:lineRule="auto"/>
            </w:pP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left="567"/>
            </w:pPr>
            <w:r>
              <w:t>Первая категория</w:t>
            </w:r>
          </w:p>
        </w:tc>
        <w:tc>
          <w:tcPr>
            <w:tcW w:w="4034" w:type="dxa"/>
            <w:tcBorders>
              <w:top w:val="nil"/>
              <w:bottom w:val="nil"/>
            </w:tcBorders>
            <w:tcMar>
              <w:top w:w="57" w:type="dxa"/>
              <w:bottom w:w="57" w:type="dxa"/>
            </w:tcMar>
          </w:tcPr>
          <w:p w:rsidR="00000000" w:rsidRDefault="00000000">
            <w:pPr>
              <w:spacing w:line="240" w:lineRule="auto"/>
            </w:pPr>
            <w:r>
              <w:t>Месячная зарплата:  1 498 541</w:t>
            </w:r>
            <w:r>
              <w:br/>
              <w:t>Поденная плата:  57 636</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left="567"/>
            </w:pPr>
            <w:r>
              <w:t>Вторая категория</w:t>
            </w:r>
          </w:p>
        </w:tc>
        <w:tc>
          <w:tcPr>
            <w:tcW w:w="4034" w:type="dxa"/>
            <w:tcBorders>
              <w:top w:val="nil"/>
              <w:bottom w:val="nil"/>
            </w:tcBorders>
            <w:tcMar>
              <w:top w:w="57" w:type="dxa"/>
              <w:bottom w:w="57" w:type="dxa"/>
            </w:tcMar>
          </w:tcPr>
          <w:p w:rsidR="00000000" w:rsidRDefault="00000000">
            <w:pPr>
              <w:spacing w:line="240" w:lineRule="auto"/>
            </w:pPr>
            <w:r>
              <w:t>Месячная зарплата:  1 441 231</w:t>
            </w:r>
            <w:r>
              <w:br/>
              <w:t xml:space="preserve">Поденная плата:  55 432 </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firstLine="308"/>
            </w:pPr>
            <w:r>
              <w:t>Типографские рабочие</w:t>
            </w:r>
          </w:p>
        </w:tc>
        <w:tc>
          <w:tcPr>
            <w:tcW w:w="4034" w:type="dxa"/>
            <w:tcBorders>
              <w:top w:val="nil"/>
              <w:bottom w:val="nil"/>
            </w:tcBorders>
            <w:tcMar>
              <w:top w:w="57" w:type="dxa"/>
              <w:bottom w:w="57" w:type="dxa"/>
            </w:tcMar>
          </w:tcPr>
          <w:p w:rsidR="00000000" w:rsidRDefault="00000000">
            <w:pPr>
              <w:spacing w:line="240" w:lineRule="auto"/>
            </w:pP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left="567"/>
            </w:pPr>
            <w:r>
              <w:t>Первая категория</w:t>
            </w:r>
          </w:p>
        </w:tc>
        <w:tc>
          <w:tcPr>
            <w:tcW w:w="4034" w:type="dxa"/>
            <w:tcBorders>
              <w:top w:val="nil"/>
              <w:bottom w:val="nil"/>
            </w:tcBorders>
            <w:tcMar>
              <w:top w:w="57" w:type="dxa"/>
              <w:bottom w:w="57" w:type="dxa"/>
            </w:tcMar>
          </w:tcPr>
          <w:p w:rsidR="00000000" w:rsidRDefault="00000000">
            <w:pPr>
              <w:spacing w:line="240" w:lineRule="auto"/>
            </w:pPr>
            <w:r>
              <w:t>Месячная зарплата:  1 498 541</w:t>
            </w:r>
            <w:r>
              <w:br/>
              <w:t>Поденная плата:  57 636</w:t>
            </w:r>
          </w:p>
        </w:tc>
      </w:tr>
      <w:tr w:rsidR="00000000">
        <w:trPr>
          <w:cantSplit/>
        </w:trPr>
        <w:tc>
          <w:tcPr>
            <w:tcW w:w="5376" w:type="dxa"/>
            <w:tcBorders>
              <w:top w:val="nil"/>
              <w:bottom w:val="single" w:sz="4" w:space="0" w:color="auto"/>
            </w:tcBorders>
            <w:tcMar>
              <w:top w:w="57" w:type="dxa"/>
              <w:bottom w:w="57" w:type="dxa"/>
            </w:tcMar>
          </w:tcPr>
          <w:p w:rsidR="00000000" w:rsidRDefault="00000000">
            <w:pPr>
              <w:spacing w:line="240" w:lineRule="auto"/>
              <w:ind w:left="567"/>
            </w:pPr>
            <w:r>
              <w:t>Вторая категория</w:t>
            </w:r>
          </w:p>
        </w:tc>
        <w:tc>
          <w:tcPr>
            <w:tcW w:w="4034" w:type="dxa"/>
            <w:tcBorders>
              <w:top w:val="nil"/>
              <w:bottom w:val="single" w:sz="4" w:space="0" w:color="auto"/>
            </w:tcBorders>
            <w:tcMar>
              <w:top w:w="57" w:type="dxa"/>
              <w:bottom w:w="57" w:type="dxa"/>
            </w:tcMar>
          </w:tcPr>
          <w:p w:rsidR="00000000" w:rsidRDefault="00000000">
            <w:pPr>
              <w:spacing w:line="240" w:lineRule="auto"/>
            </w:pPr>
            <w:r>
              <w:t>Месячная зарплата:  1 441 231</w:t>
            </w:r>
            <w:r>
              <w:br/>
              <w:t>Поденная плата:  55 432</w:t>
            </w:r>
          </w:p>
        </w:tc>
      </w:tr>
      <w:tr w:rsidR="00000000">
        <w:trPr>
          <w:cantSplit/>
        </w:trPr>
        <w:tc>
          <w:tcPr>
            <w:tcW w:w="5376" w:type="dxa"/>
            <w:tcBorders>
              <w:bottom w:val="nil"/>
            </w:tcBorders>
            <w:tcMar>
              <w:top w:w="57" w:type="dxa"/>
              <w:bottom w:w="57" w:type="dxa"/>
            </w:tcMar>
          </w:tcPr>
          <w:p w:rsidR="00000000" w:rsidRDefault="00000000">
            <w:pPr>
              <w:spacing w:line="240" w:lineRule="auto"/>
            </w:pPr>
            <w:r>
              <w:t>Каменщики и столяры, опалубщики и смежные профессии</w:t>
            </w:r>
          </w:p>
        </w:tc>
        <w:tc>
          <w:tcPr>
            <w:tcW w:w="4034" w:type="dxa"/>
            <w:tcBorders>
              <w:bottom w:val="nil"/>
            </w:tcBorders>
            <w:tcMar>
              <w:top w:w="57" w:type="dxa"/>
              <w:bottom w:w="57" w:type="dxa"/>
            </w:tcMar>
          </w:tcPr>
          <w:p w:rsidR="00000000" w:rsidRDefault="00000000">
            <w:pPr>
              <w:spacing w:line="240" w:lineRule="auto"/>
            </w:pP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left="284"/>
            </w:pPr>
            <w:r>
              <w:t>Специалист первой категории</w:t>
            </w:r>
          </w:p>
        </w:tc>
        <w:tc>
          <w:tcPr>
            <w:tcW w:w="4034" w:type="dxa"/>
            <w:tcBorders>
              <w:top w:val="nil"/>
              <w:bottom w:val="nil"/>
            </w:tcBorders>
            <w:tcMar>
              <w:top w:w="57" w:type="dxa"/>
              <w:bottom w:w="57" w:type="dxa"/>
            </w:tcMar>
          </w:tcPr>
          <w:p w:rsidR="00000000" w:rsidRDefault="00000000">
            <w:pPr>
              <w:spacing w:line="240" w:lineRule="auto"/>
            </w:pPr>
            <w:r>
              <w:t>Месячная зарплата:  1 426 610</w:t>
            </w:r>
            <w:r>
              <w:br/>
              <w:t xml:space="preserve">Поденная плата:  54 870 </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left="284"/>
            </w:pPr>
            <w:r>
              <w:t>Специалист второй категории</w:t>
            </w:r>
          </w:p>
        </w:tc>
        <w:tc>
          <w:tcPr>
            <w:tcW w:w="4034" w:type="dxa"/>
            <w:tcBorders>
              <w:top w:val="nil"/>
              <w:bottom w:val="nil"/>
            </w:tcBorders>
            <w:tcMar>
              <w:top w:w="57" w:type="dxa"/>
              <w:bottom w:w="57" w:type="dxa"/>
            </w:tcMar>
          </w:tcPr>
          <w:p w:rsidR="00000000" w:rsidRDefault="00000000">
            <w:pPr>
              <w:spacing w:line="240" w:lineRule="auto"/>
            </w:pPr>
            <w:r>
              <w:t>Месячная зарплата:  1 389 120</w:t>
            </w:r>
            <w:r>
              <w:br/>
              <w:t xml:space="preserve">Поденная плата:  53 428 </w:t>
            </w:r>
          </w:p>
        </w:tc>
      </w:tr>
      <w:tr w:rsidR="00000000">
        <w:trPr>
          <w:cantSplit/>
        </w:trPr>
        <w:tc>
          <w:tcPr>
            <w:tcW w:w="5376" w:type="dxa"/>
            <w:tcBorders>
              <w:top w:val="nil"/>
              <w:bottom w:val="single" w:sz="4" w:space="0" w:color="auto"/>
            </w:tcBorders>
            <w:tcMar>
              <w:top w:w="57" w:type="dxa"/>
              <w:bottom w:w="57" w:type="dxa"/>
            </w:tcMar>
          </w:tcPr>
          <w:p w:rsidR="00000000" w:rsidRDefault="00000000">
            <w:pPr>
              <w:spacing w:line="240" w:lineRule="auto"/>
              <w:ind w:left="284"/>
            </w:pPr>
            <w:r>
              <w:t>Маляры</w:t>
            </w:r>
          </w:p>
        </w:tc>
        <w:tc>
          <w:tcPr>
            <w:tcW w:w="4034" w:type="dxa"/>
            <w:tcBorders>
              <w:top w:val="nil"/>
              <w:bottom w:val="single" w:sz="4" w:space="0" w:color="auto"/>
            </w:tcBorders>
            <w:tcMar>
              <w:top w:w="57" w:type="dxa"/>
              <w:bottom w:w="57" w:type="dxa"/>
            </w:tcMar>
          </w:tcPr>
          <w:p w:rsidR="00000000" w:rsidRDefault="00000000">
            <w:pPr>
              <w:spacing w:line="240" w:lineRule="auto"/>
            </w:pPr>
            <w:r>
              <w:t>Месячная зарплата:  1 371 173</w:t>
            </w:r>
            <w:r>
              <w:br/>
              <w:t>Поденная плата:  52 737</w:t>
            </w:r>
          </w:p>
        </w:tc>
      </w:tr>
      <w:tr w:rsidR="00000000">
        <w:trPr>
          <w:cantSplit/>
        </w:trPr>
        <w:tc>
          <w:tcPr>
            <w:tcW w:w="5376" w:type="dxa"/>
            <w:tcBorders>
              <w:bottom w:val="nil"/>
            </w:tcBorders>
            <w:tcMar>
              <w:top w:w="57" w:type="dxa"/>
              <w:bottom w:w="57" w:type="dxa"/>
            </w:tcMar>
          </w:tcPr>
          <w:p w:rsidR="00000000" w:rsidRDefault="00000000">
            <w:pPr>
              <w:keepNext/>
              <w:keepLines/>
              <w:spacing w:line="240" w:lineRule="auto"/>
            </w:pPr>
            <w:r>
              <w:t>Сапожники</w:t>
            </w:r>
          </w:p>
        </w:tc>
        <w:tc>
          <w:tcPr>
            <w:tcW w:w="4034" w:type="dxa"/>
            <w:tcBorders>
              <w:bottom w:val="nil"/>
            </w:tcBorders>
            <w:tcMar>
              <w:top w:w="57" w:type="dxa"/>
              <w:bottom w:w="57" w:type="dxa"/>
            </w:tcMar>
          </w:tcPr>
          <w:p w:rsidR="00000000" w:rsidRDefault="00000000">
            <w:pPr>
              <w:spacing w:line="240" w:lineRule="auto"/>
            </w:pP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firstLine="308"/>
            </w:pPr>
            <w:r>
              <w:t>Первая категория</w:t>
            </w:r>
          </w:p>
        </w:tc>
        <w:tc>
          <w:tcPr>
            <w:tcW w:w="4034" w:type="dxa"/>
            <w:tcBorders>
              <w:top w:val="nil"/>
              <w:bottom w:val="nil"/>
            </w:tcBorders>
            <w:tcMar>
              <w:top w:w="57" w:type="dxa"/>
              <w:bottom w:w="57" w:type="dxa"/>
            </w:tcMar>
          </w:tcPr>
          <w:p w:rsidR="00000000" w:rsidRDefault="00000000">
            <w:pPr>
              <w:spacing w:line="240" w:lineRule="auto"/>
            </w:pPr>
            <w:r>
              <w:t>Месячная зарплата:  1 369 024</w:t>
            </w:r>
            <w:r>
              <w:br/>
              <w:t xml:space="preserve">Поденная плата:  52 655 </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firstLine="308"/>
            </w:pPr>
            <w:r>
              <w:t>Вторая категория</w:t>
            </w:r>
          </w:p>
        </w:tc>
        <w:tc>
          <w:tcPr>
            <w:tcW w:w="4034" w:type="dxa"/>
            <w:tcBorders>
              <w:top w:val="nil"/>
              <w:bottom w:val="nil"/>
            </w:tcBorders>
            <w:tcMar>
              <w:top w:w="57" w:type="dxa"/>
              <w:bottom w:w="57" w:type="dxa"/>
            </w:tcMar>
          </w:tcPr>
          <w:p w:rsidR="00000000" w:rsidRDefault="00000000">
            <w:pPr>
              <w:spacing w:line="240" w:lineRule="auto"/>
            </w:pPr>
            <w:r>
              <w:t>Месячная зарплата:  1 299 451</w:t>
            </w:r>
            <w:r>
              <w:br/>
              <w:t>Поденная плата:  49 979</w:t>
            </w:r>
          </w:p>
        </w:tc>
      </w:tr>
      <w:tr w:rsidR="00000000">
        <w:trPr>
          <w:cantSplit/>
        </w:trPr>
        <w:tc>
          <w:tcPr>
            <w:tcW w:w="5376" w:type="dxa"/>
            <w:tcBorders>
              <w:top w:val="nil"/>
              <w:bottom w:val="single" w:sz="4" w:space="0" w:color="auto"/>
            </w:tcBorders>
            <w:tcMar>
              <w:top w:w="57" w:type="dxa"/>
              <w:bottom w:w="57" w:type="dxa"/>
            </w:tcMar>
          </w:tcPr>
          <w:p w:rsidR="00000000" w:rsidRDefault="00000000">
            <w:pPr>
              <w:spacing w:line="240" w:lineRule="auto"/>
              <w:ind w:firstLine="308"/>
            </w:pPr>
            <w:r>
              <w:t>Третья категория</w:t>
            </w:r>
          </w:p>
        </w:tc>
        <w:tc>
          <w:tcPr>
            <w:tcW w:w="4034" w:type="dxa"/>
            <w:tcBorders>
              <w:top w:val="nil"/>
              <w:bottom w:val="single" w:sz="4" w:space="0" w:color="auto"/>
            </w:tcBorders>
            <w:tcMar>
              <w:top w:w="57" w:type="dxa"/>
              <w:bottom w:w="57" w:type="dxa"/>
            </w:tcMar>
          </w:tcPr>
          <w:p w:rsidR="00000000" w:rsidRDefault="00000000">
            <w:pPr>
              <w:spacing w:line="240" w:lineRule="auto"/>
            </w:pPr>
            <w:r>
              <w:t>Месячная зарплата:  1 233 895</w:t>
            </w:r>
            <w:r>
              <w:br/>
              <w:t>Поденная плата:  47 485</w:t>
            </w:r>
          </w:p>
        </w:tc>
      </w:tr>
      <w:tr w:rsidR="00000000">
        <w:trPr>
          <w:cantSplit/>
        </w:trPr>
        <w:tc>
          <w:tcPr>
            <w:tcW w:w="5376" w:type="dxa"/>
            <w:tcBorders>
              <w:bottom w:val="nil"/>
            </w:tcBorders>
            <w:tcMar>
              <w:top w:w="57" w:type="dxa"/>
              <w:bottom w:w="57" w:type="dxa"/>
            </w:tcMar>
          </w:tcPr>
          <w:p w:rsidR="00000000" w:rsidRDefault="00000000">
            <w:pPr>
              <w:spacing w:line="240" w:lineRule="auto"/>
            </w:pPr>
            <w:r>
              <w:t>Капитаны каботажного плавания, северная зона реки Парагвай</w:t>
            </w:r>
          </w:p>
        </w:tc>
        <w:tc>
          <w:tcPr>
            <w:tcW w:w="4034" w:type="dxa"/>
            <w:tcBorders>
              <w:bottom w:val="nil"/>
            </w:tcBorders>
            <w:tcMar>
              <w:top w:w="57" w:type="dxa"/>
              <w:bottom w:w="57" w:type="dxa"/>
            </w:tcMar>
          </w:tcPr>
          <w:p w:rsidR="00000000" w:rsidRDefault="00000000">
            <w:pPr>
              <w:spacing w:line="240" w:lineRule="auto"/>
            </w:pP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left="284"/>
            </w:pPr>
            <w:r>
              <w:t>Капитаны</w:t>
            </w:r>
          </w:p>
        </w:tc>
        <w:tc>
          <w:tcPr>
            <w:tcW w:w="4034" w:type="dxa"/>
            <w:tcBorders>
              <w:top w:val="nil"/>
              <w:bottom w:val="nil"/>
            </w:tcBorders>
            <w:tcMar>
              <w:top w:w="57" w:type="dxa"/>
              <w:bottom w:w="57" w:type="dxa"/>
            </w:tcMar>
          </w:tcPr>
          <w:p w:rsidR="00000000" w:rsidRDefault="00000000">
            <w:pPr>
              <w:spacing w:line="240" w:lineRule="auto"/>
            </w:pPr>
            <w:r>
              <w:t xml:space="preserve">Месячная зарплата:  1 684 838 </w:t>
            </w:r>
          </w:p>
        </w:tc>
      </w:tr>
      <w:tr w:rsidR="00000000">
        <w:trPr>
          <w:cantSplit/>
        </w:trPr>
        <w:tc>
          <w:tcPr>
            <w:tcW w:w="5376" w:type="dxa"/>
            <w:tcBorders>
              <w:top w:val="nil"/>
              <w:bottom w:val="single" w:sz="4" w:space="0" w:color="auto"/>
            </w:tcBorders>
            <w:tcMar>
              <w:top w:w="57" w:type="dxa"/>
              <w:bottom w:w="57" w:type="dxa"/>
            </w:tcMar>
          </w:tcPr>
          <w:p w:rsidR="00000000" w:rsidRDefault="00000000">
            <w:pPr>
              <w:spacing w:line="240" w:lineRule="auto"/>
              <w:ind w:left="284"/>
            </w:pPr>
            <w:r>
              <w:t>Лоцманы</w:t>
            </w:r>
          </w:p>
        </w:tc>
        <w:tc>
          <w:tcPr>
            <w:tcW w:w="4034" w:type="dxa"/>
            <w:tcBorders>
              <w:top w:val="nil"/>
              <w:bottom w:val="single" w:sz="4" w:space="0" w:color="auto"/>
            </w:tcBorders>
            <w:tcMar>
              <w:top w:w="57" w:type="dxa"/>
              <w:bottom w:w="57" w:type="dxa"/>
            </w:tcMar>
          </w:tcPr>
          <w:p w:rsidR="00000000" w:rsidRDefault="00000000">
            <w:pPr>
              <w:spacing w:line="240" w:lineRule="auto"/>
            </w:pPr>
            <w:r>
              <w:t xml:space="preserve">Месячная зарплата:  1 559 059 </w:t>
            </w:r>
          </w:p>
        </w:tc>
      </w:tr>
      <w:tr w:rsidR="00000000">
        <w:trPr>
          <w:cantSplit/>
        </w:trPr>
        <w:tc>
          <w:tcPr>
            <w:tcW w:w="5376" w:type="dxa"/>
            <w:tcBorders>
              <w:bottom w:val="nil"/>
            </w:tcBorders>
            <w:tcMar>
              <w:top w:w="57" w:type="dxa"/>
              <w:bottom w:w="57" w:type="dxa"/>
            </w:tcMar>
          </w:tcPr>
          <w:p w:rsidR="00000000" w:rsidRDefault="00000000">
            <w:pPr>
              <w:spacing w:line="240" w:lineRule="auto"/>
            </w:pPr>
            <w:r>
              <w:t>Тарифы для капитанов и лоцманов рейсовых судов</w:t>
            </w:r>
          </w:p>
        </w:tc>
        <w:tc>
          <w:tcPr>
            <w:tcW w:w="4034" w:type="dxa"/>
            <w:tcBorders>
              <w:bottom w:val="nil"/>
            </w:tcBorders>
            <w:tcMar>
              <w:top w:w="57" w:type="dxa"/>
              <w:bottom w:w="57" w:type="dxa"/>
            </w:tcMar>
          </w:tcPr>
          <w:p w:rsidR="00000000" w:rsidRDefault="00000000">
            <w:pPr>
              <w:spacing w:line="240" w:lineRule="auto"/>
            </w:pPr>
            <w:r>
              <w:t>"Себальос Куе" (за рейс):  1 401 831</w:t>
            </w:r>
            <w:r>
              <w:br/>
              <w:t>"Пеньон" (за рейс):  1. 667 043</w:t>
            </w:r>
            <w:r>
              <w:br/>
              <w:t>"Капий Побо" (за рейс):  1 526 394</w:t>
            </w:r>
            <w:r>
              <w:br/>
              <w:t>"Росарио" (за рейс):  1 575 801</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pPr>
            <w:r>
              <w:t xml:space="preserve">Тарифы в случае стоянки и маневрирования </w:t>
            </w:r>
          </w:p>
          <w:p w:rsidR="00000000" w:rsidRDefault="00000000">
            <w:pPr>
              <w:spacing w:line="240" w:lineRule="auto"/>
              <w:ind w:left="284"/>
            </w:pPr>
            <w:r>
              <w:t>Стоянка</w:t>
            </w:r>
          </w:p>
        </w:tc>
        <w:tc>
          <w:tcPr>
            <w:tcW w:w="4034" w:type="dxa"/>
            <w:tcBorders>
              <w:top w:val="nil"/>
              <w:bottom w:val="nil"/>
            </w:tcBorders>
            <w:tcMar>
              <w:top w:w="57" w:type="dxa"/>
              <w:bottom w:w="57" w:type="dxa"/>
            </w:tcMar>
          </w:tcPr>
          <w:p w:rsidR="00000000" w:rsidRDefault="00000000">
            <w:pPr>
              <w:spacing w:line="240" w:lineRule="auto"/>
            </w:pPr>
            <w:r>
              <w:t>"Консепсьон" (за рейс):  1 867 907</w:t>
            </w:r>
          </w:p>
          <w:p w:rsidR="00000000" w:rsidRDefault="00000000">
            <w:pPr>
              <w:spacing w:line="240" w:lineRule="auto"/>
            </w:pPr>
            <w:r>
              <w:t>"Исла Маргарита" (за рейс):  2 200 696</w:t>
            </w:r>
            <w:r>
              <w:br/>
              <w:t>"Баия Негра":  2 504 097</w:t>
            </w:r>
          </w:p>
        </w:tc>
      </w:tr>
      <w:tr w:rsidR="00000000">
        <w:trPr>
          <w:cantSplit/>
        </w:trPr>
        <w:tc>
          <w:tcPr>
            <w:tcW w:w="5376" w:type="dxa"/>
            <w:tcBorders>
              <w:top w:val="nil"/>
              <w:bottom w:val="single" w:sz="4" w:space="0" w:color="auto"/>
            </w:tcBorders>
            <w:tcMar>
              <w:top w:w="57" w:type="dxa"/>
              <w:bottom w:w="57" w:type="dxa"/>
            </w:tcMar>
          </w:tcPr>
          <w:p w:rsidR="00000000" w:rsidRDefault="00000000">
            <w:pPr>
              <w:spacing w:line="240" w:lineRule="auto"/>
              <w:ind w:left="284"/>
            </w:pPr>
            <w:r>
              <w:t>Маневрирование</w:t>
            </w:r>
          </w:p>
        </w:tc>
        <w:tc>
          <w:tcPr>
            <w:tcW w:w="4034" w:type="dxa"/>
            <w:tcBorders>
              <w:top w:val="nil"/>
              <w:bottom w:val="single" w:sz="4" w:space="0" w:color="auto"/>
            </w:tcBorders>
            <w:tcMar>
              <w:top w:w="57" w:type="dxa"/>
              <w:bottom w:w="57" w:type="dxa"/>
            </w:tcMar>
          </w:tcPr>
          <w:p w:rsidR="00000000" w:rsidRDefault="00000000">
            <w:pPr>
              <w:spacing w:line="240" w:lineRule="auto"/>
            </w:pPr>
            <w:r>
              <w:t>Месячная зарплата:  1 731 930</w:t>
            </w:r>
            <w:r>
              <w:br/>
              <w:t>Поденная плата:  66 613</w:t>
            </w:r>
          </w:p>
        </w:tc>
      </w:tr>
      <w:tr w:rsidR="00000000">
        <w:trPr>
          <w:cantSplit/>
        </w:trPr>
        <w:tc>
          <w:tcPr>
            <w:tcW w:w="5376" w:type="dxa"/>
            <w:tcBorders>
              <w:top w:val="single" w:sz="4" w:space="0" w:color="auto"/>
              <w:bottom w:val="nil"/>
            </w:tcBorders>
            <w:tcMar>
              <w:top w:w="57" w:type="dxa"/>
              <w:bottom w:w="57" w:type="dxa"/>
            </w:tcMar>
          </w:tcPr>
          <w:p w:rsidR="00000000" w:rsidRDefault="00000000">
            <w:pPr>
              <w:spacing w:line="240" w:lineRule="auto"/>
              <w:rPr>
                <w:spacing w:val="-4"/>
              </w:rPr>
            </w:pPr>
            <w:r>
              <w:rPr>
                <w:spacing w:val="-4"/>
              </w:rPr>
              <w:t>Механики национального торгового флота (на судах с двигателями внутреннего сгорания)</w:t>
            </w:r>
          </w:p>
        </w:tc>
        <w:tc>
          <w:tcPr>
            <w:tcW w:w="4034" w:type="dxa"/>
            <w:tcBorders>
              <w:top w:val="single" w:sz="4" w:space="0" w:color="auto"/>
              <w:bottom w:val="nil"/>
            </w:tcBorders>
            <w:tcMar>
              <w:top w:w="57" w:type="dxa"/>
              <w:bottom w:w="57" w:type="dxa"/>
            </w:tcMar>
          </w:tcPr>
          <w:p w:rsidR="00000000" w:rsidRDefault="00000000">
            <w:pPr>
              <w:spacing w:line="240" w:lineRule="auto"/>
            </w:pP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left="284"/>
            </w:pPr>
            <w:r>
              <w:t>Механик первой категории (каботаж)</w:t>
            </w:r>
          </w:p>
          <w:p w:rsidR="00000000" w:rsidRDefault="00000000">
            <w:pPr>
              <w:spacing w:line="240" w:lineRule="auto"/>
              <w:ind w:left="284"/>
            </w:pPr>
            <w:r>
              <w:t>Механик второй категории (каботаж)</w:t>
            </w:r>
          </w:p>
        </w:tc>
        <w:tc>
          <w:tcPr>
            <w:tcW w:w="4034" w:type="dxa"/>
            <w:tcBorders>
              <w:top w:val="nil"/>
              <w:bottom w:val="nil"/>
            </w:tcBorders>
            <w:tcMar>
              <w:top w:w="57" w:type="dxa"/>
              <w:bottom w:w="57" w:type="dxa"/>
            </w:tcMar>
          </w:tcPr>
          <w:p w:rsidR="00000000" w:rsidRDefault="00000000">
            <w:pPr>
              <w:spacing w:line="240" w:lineRule="auto"/>
            </w:pPr>
            <w:r>
              <w:t>Месячная зарплата:  1 859 160</w:t>
            </w:r>
            <w:r>
              <w:br/>
              <w:t>Поденная плата:  71 506</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left="284"/>
            </w:pPr>
            <w:r>
              <w:t>Механик второй категории (без каботажа)</w:t>
            </w:r>
          </w:p>
          <w:p w:rsidR="00000000" w:rsidRDefault="00000000">
            <w:pPr>
              <w:spacing w:line="240" w:lineRule="auto"/>
              <w:ind w:left="284"/>
            </w:pPr>
            <w:r>
              <w:t>Механик третьей категории (каботаж)</w:t>
            </w:r>
          </w:p>
        </w:tc>
        <w:tc>
          <w:tcPr>
            <w:tcW w:w="4034" w:type="dxa"/>
            <w:tcBorders>
              <w:top w:val="nil"/>
              <w:bottom w:val="nil"/>
            </w:tcBorders>
            <w:tcMar>
              <w:top w:w="57" w:type="dxa"/>
              <w:bottom w:w="57" w:type="dxa"/>
            </w:tcMar>
          </w:tcPr>
          <w:p w:rsidR="00000000" w:rsidRDefault="00000000">
            <w:pPr>
              <w:spacing w:line="240" w:lineRule="auto"/>
            </w:pPr>
            <w:r>
              <w:t>Месячная зарплата:  1 503 598</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left="284"/>
            </w:pPr>
            <w:r>
              <w:t>Механик третьей категории (без каботажа)</w:t>
            </w:r>
          </w:p>
        </w:tc>
        <w:tc>
          <w:tcPr>
            <w:tcW w:w="4034" w:type="dxa"/>
            <w:tcBorders>
              <w:top w:val="nil"/>
              <w:bottom w:val="nil"/>
            </w:tcBorders>
            <w:tcMar>
              <w:top w:w="57" w:type="dxa"/>
              <w:bottom w:w="57" w:type="dxa"/>
            </w:tcMar>
          </w:tcPr>
          <w:p w:rsidR="00000000" w:rsidRDefault="00000000">
            <w:pPr>
              <w:spacing w:line="240" w:lineRule="auto"/>
            </w:pPr>
            <w:r>
              <w:t>Месячная зарплата:  1 491 318</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left="284"/>
            </w:pPr>
            <w:r>
              <w:t>Механик четвертой категории (каботаж)</w:t>
            </w:r>
          </w:p>
        </w:tc>
        <w:tc>
          <w:tcPr>
            <w:tcW w:w="4034" w:type="dxa"/>
            <w:tcBorders>
              <w:top w:val="nil"/>
              <w:bottom w:val="nil"/>
            </w:tcBorders>
            <w:tcMar>
              <w:top w:w="57" w:type="dxa"/>
              <w:bottom w:w="57" w:type="dxa"/>
            </w:tcMar>
          </w:tcPr>
          <w:p w:rsidR="00000000" w:rsidRDefault="00000000">
            <w:pPr>
              <w:spacing w:line="240" w:lineRule="auto"/>
            </w:pPr>
            <w:r>
              <w:t>Месячная зарплата:  1 479 481</w:t>
            </w:r>
          </w:p>
        </w:tc>
      </w:tr>
      <w:tr w:rsidR="00000000">
        <w:trPr>
          <w:cantSplit/>
        </w:trPr>
        <w:tc>
          <w:tcPr>
            <w:tcW w:w="5376" w:type="dxa"/>
            <w:tcBorders>
              <w:top w:val="nil"/>
              <w:bottom w:val="single" w:sz="4" w:space="0" w:color="auto"/>
            </w:tcBorders>
            <w:tcMar>
              <w:top w:w="57" w:type="dxa"/>
              <w:bottom w:w="57" w:type="dxa"/>
            </w:tcMar>
          </w:tcPr>
          <w:p w:rsidR="00000000" w:rsidRDefault="00000000">
            <w:pPr>
              <w:spacing w:line="240" w:lineRule="auto"/>
              <w:ind w:left="284"/>
            </w:pPr>
            <w:r>
              <w:t>Механик четвертой категории (без каботажа)</w:t>
            </w:r>
          </w:p>
        </w:tc>
        <w:tc>
          <w:tcPr>
            <w:tcW w:w="4034" w:type="dxa"/>
            <w:tcBorders>
              <w:top w:val="nil"/>
              <w:bottom w:val="single" w:sz="4" w:space="0" w:color="auto"/>
            </w:tcBorders>
            <w:tcMar>
              <w:top w:w="57" w:type="dxa"/>
              <w:bottom w:w="57" w:type="dxa"/>
            </w:tcMar>
          </w:tcPr>
          <w:p w:rsidR="00000000" w:rsidRDefault="00000000">
            <w:pPr>
              <w:spacing w:line="240" w:lineRule="auto"/>
            </w:pPr>
            <w:r>
              <w:t>Месячная зарплата:  1 448 517</w:t>
            </w:r>
          </w:p>
        </w:tc>
      </w:tr>
      <w:tr w:rsidR="00000000">
        <w:trPr>
          <w:cantSplit/>
        </w:trPr>
        <w:tc>
          <w:tcPr>
            <w:tcW w:w="5376" w:type="dxa"/>
            <w:tcBorders>
              <w:top w:val="single" w:sz="4" w:space="0" w:color="auto"/>
              <w:bottom w:val="nil"/>
            </w:tcBorders>
            <w:tcMar>
              <w:top w:w="57" w:type="dxa"/>
              <w:bottom w:w="57" w:type="dxa"/>
            </w:tcMar>
          </w:tcPr>
          <w:p w:rsidR="00000000" w:rsidRDefault="00000000">
            <w:pPr>
              <w:spacing w:line="240" w:lineRule="auto"/>
            </w:pPr>
            <w:r>
              <w:t>Центр судоводителей</w:t>
            </w:r>
          </w:p>
        </w:tc>
        <w:tc>
          <w:tcPr>
            <w:tcW w:w="4034" w:type="dxa"/>
            <w:tcBorders>
              <w:top w:val="single" w:sz="4" w:space="0" w:color="auto"/>
              <w:bottom w:val="nil"/>
            </w:tcBorders>
            <w:tcMar>
              <w:top w:w="57" w:type="dxa"/>
              <w:bottom w:w="57" w:type="dxa"/>
            </w:tcMar>
          </w:tcPr>
          <w:p w:rsidR="00000000" w:rsidRDefault="00000000">
            <w:pPr>
              <w:spacing w:line="240" w:lineRule="auto"/>
            </w:pP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left="284"/>
            </w:pPr>
            <w:r>
              <w:t>Судоводитель первой категории (каботаж)</w:t>
            </w:r>
          </w:p>
        </w:tc>
        <w:tc>
          <w:tcPr>
            <w:tcW w:w="4034" w:type="dxa"/>
            <w:tcBorders>
              <w:top w:val="nil"/>
              <w:bottom w:val="nil"/>
            </w:tcBorders>
            <w:tcMar>
              <w:top w:w="57" w:type="dxa"/>
              <w:bottom w:w="57" w:type="dxa"/>
            </w:tcMar>
          </w:tcPr>
          <w:p w:rsidR="00000000" w:rsidRDefault="00000000">
            <w:pPr>
              <w:spacing w:line="240" w:lineRule="auto"/>
            </w:pPr>
            <w:r>
              <w:t>Месячная зарплата:  1</w:t>
            </w:r>
            <w:r>
              <w:rPr>
                <w:lang w:val="fr-FR"/>
              </w:rPr>
              <w:t> </w:t>
            </w:r>
            <w:r>
              <w:t>479</w:t>
            </w:r>
            <w:r>
              <w:rPr>
                <w:lang w:val="fr-FR"/>
              </w:rPr>
              <w:t> </w:t>
            </w:r>
            <w:r>
              <w:t>933</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left="284"/>
            </w:pPr>
            <w:r>
              <w:t>Судоводитель первой категории (без каботажа)</w:t>
            </w:r>
          </w:p>
        </w:tc>
        <w:tc>
          <w:tcPr>
            <w:tcW w:w="4034" w:type="dxa"/>
            <w:tcBorders>
              <w:top w:val="nil"/>
              <w:bottom w:val="nil"/>
            </w:tcBorders>
            <w:tcMar>
              <w:top w:w="57" w:type="dxa"/>
              <w:bottom w:w="57" w:type="dxa"/>
            </w:tcMar>
          </w:tcPr>
          <w:p w:rsidR="00000000" w:rsidRDefault="00000000">
            <w:pPr>
              <w:spacing w:line="240" w:lineRule="auto"/>
            </w:pPr>
            <w:r>
              <w:t>Месячная зарплата:  1</w:t>
            </w:r>
            <w:r>
              <w:rPr>
                <w:lang w:val="fr-FR"/>
              </w:rPr>
              <w:t> </w:t>
            </w:r>
            <w:r>
              <w:t>475</w:t>
            </w:r>
            <w:r>
              <w:rPr>
                <w:lang w:val="fr-FR"/>
              </w:rPr>
              <w:t> </w:t>
            </w:r>
            <w:r>
              <w:t>835</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left="284"/>
            </w:pPr>
            <w:r>
              <w:t>Судоводитель второй категории (каботаж)</w:t>
            </w:r>
          </w:p>
        </w:tc>
        <w:tc>
          <w:tcPr>
            <w:tcW w:w="4034" w:type="dxa"/>
            <w:tcBorders>
              <w:top w:val="nil"/>
              <w:bottom w:val="nil"/>
            </w:tcBorders>
            <w:tcMar>
              <w:top w:w="57" w:type="dxa"/>
              <w:bottom w:w="57" w:type="dxa"/>
            </w:tcMar>
          </w:tcPr>
          <w:p w:rsidR="00000000" w:rsidRDefault="00000000">
            <w:pPr>
              <w:spacing w:line="240" w:lineRule="auto"/>
            </w:pPr>
            <w:r>
              <w:t>Месячная зарплата:  1</w:t>
            </w:r>
            <w:r>
              <w:rPr>
                <w:lang w:val="fr-FR"/>
              </w:rPr>
              <w:t> </w:t>
            </w:r>
            <w:r>
              <w:t>442</w:t>
            </w:r>
            <w:r>
              <w:rPr>
                <w:lang w:val="fr-FR"/>
              </w:rPr>
              <w:t> </w:t>
            </w:r>
            <w:r>
              <w:t>343</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left="284"/>
            </w:pPr>
            <w:r>
              <w:t>Судоводитель второй категории (без каботажа)</w:t>
            </w:r>
          </w:p>
        </w:tc>
        <w:tc>
          <w:tcPr>
            <w:tcW w:w="4034" w:type="dxa"/>
            <w:tcBorders>
              <w:top w:val="nil"/>
              <w:bottom w:val="nil"/>
            </w:tcBorders>
            <w:tcMar>
              <w:top w:w="57" w:type="dxa"/>
              <w:bottom w:w="57" w:type="dxa"/>
            </w:tcMar>
          </w:tcPr>
          <w:p w:rsidR="00000000" w:rsidRDefault="00000000">
            <w:pPr>
              <w:spacing w:line="240" w:lineRule="auto"/>
            </w:pPr>
            <w:r>
              <w:t>Месячная зарплата:  1</w:t>
            </w:r>
            <w:r>
              <w:rPr>
                <w:lang w:val="fr-FR"/>
              </w:rPr>
              <w:t> </w:t>
            </w:r>
            <w:r>
              <w:t>344</w:t>
            </w:r>
            <w:r>
              <w:rPr>
                <w:lang w:val="fr-FR"/>
              </w:rPr>
              <w:t> </w:t>
            </w:r>
            <w:r>
              <w:t>167</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left="284"/>
            </w:pPr>
            <w:r>
              <w:t>Судоводитель третьей категории (каботаж)</w:t>
            </w:r>
          </w:p>
        </w:tc>
        <w:tc>
          <w:tcPr>
            <w:tcW w:w="4034" w:type="dxa"/>
            <w:tcBorders>
              <w:top w:val="nil"/>
              <w:bottom w:val="nil"/>
            </w:tcBorders>
            <w:tcMar>
              <w:top w:w="57" w:type="dxa"/>
              <w:bottom w:w="57" w:type="dxa"/>
            </w:tcMar>
          </w:tcPr>
          <w:p w:rsidR="00000000" w:rsidRDefault="00000000">
            <w:pPr>
              <w:spacing w:line="240" w:lineRule="auto"/>
            </w:pPr>
            <w:r>
              <w:t>Месячная зарплата:  1</w:t>
            </w:r>
            <w:r>
              <w:rPr>
                <w:lang w:val="fr-FR"/>
              </w:rPr>
              <w:t> </w:t>
            </w:r>
            <w:r>
              <w:t>302</w:t>
            </w:r>
            <w:r>
              <w:rPr>
                <w:lang w:val="fr-FR"/>
              </w:rPr>
              <w:t> </w:t>
            </w:r>
            <w:r>
              <w:t>571</w:t>
            </w:r>
          </w:p>
        </w:tc>
      </w:tr>
      <w:tr w:rsidR="00000000">
        <w:trPr>
          <w:cantSplit/>
        </w:trPr>
        <w:tc>
          <w:tcPr>
            <w:tcW w:w="5376" w:type="dxa"/>
            <w:tcBorders>
              <w:top w:val="nil"/>
              <w:bottom w:val="nil"/>
            </w:tcBorders>
            <w:tcMar>
              <w:top w:w="57" w:type="dxa"/>
              <w:bottom w:w="57" w:type="dxa"/>
            </w:tcMar>
          </w:tcPr>
          <w:p w:rsidR="00000000" w:rsidRDefault="00000000">
            <w:pPr>
              <w:spacing w:line="240" w:lineRule="auto"/>
              <w:ind w:left="284"/>
            </w:pPr>
            <w:r>
              <w:t>Судоводитель третьей категории (без каботажа)</w:t>
            </w:r>
          </w:p>
        </w:tc>
        <w:tc>
          <w:tcPr>
            <w:tcW w:w="4034" w:type="dxa"/>
            <w:tcBorders>
              <w:top w:val="nil"/>
              <w:bottom w:val="nil"/>
            </w:tcBorders>
            <w:tcMar>
              <w:top w:w="57" w:type="dxa"/>
              <w:bottom w:w="57" w:type="dxa"/>
            </w:tcMar>
          </w:tcPr>
          <w:p w:rsidR="00000000" w:rsidRDefault="00000000">
            <w:pPr>
              <w:spacing w:line="240" w:lineRule="auto"/>
            </w:pPr>
            <w:r>
              <w:t>Месячная зарплата:  1</w:t>
            </w:r>
            <w:r>
              <w:rPr>
                <w:lang w:val="fr-FR"/>
              </w:rPr>
              <w:t> </w:t>
            </w:r>
            <w:r>
              <w:t>302</w:t>
            </w:r>
            <w:r>
              <w:rPr>
                <w:lang w:val="fr-FR"/>
              </w:rPr>
              <w:t> </w:t>
            </w:r>
            <w:r>
              <w:t>571</w:t>
            </w:r>
          </w:p>
        </w:tc>
      </w:tr>
      <w:tr w:rsidR="00000000">
        <w:trPr>
          <w:cantSplit/>
        </w:trPr>
        <w:tc>
          <w:tcPr>
            <w:tcW w:w="5376" w:type="dxa"/>
            <w:tcBorders>
              <w:top w:val="nil"/>
              <w:bottom w:val="single" w:sz="4" w:space="0" w:color="auto"/>
            </w:tcBorders>
            <w:tcMar>
              <w:top w:w="57" w:type="dxa"/>
              <w:bottom w:w="57" w:type="dxa"/>
            </w:tcMar>
          </w:tcPr>
          <w:p w:rsidR="00000000" w:rsidRDefault="00000000">
            <w:pPr>
              <w:spacing w:line="240" w:lineRule="auto"/>
              <w:ind w:left="284"/>
            </w:pPr>
            <w:r>
              <w:t>Судоводитель на паровом судне</w:t>
            </w:r>
          </w:p>
        </w:tc>
        <w:tc>
          <w:tcPr>
            <w:tcW w:w="4034" w:type="dxa"/>
            <w:tcBorders>
              <w:top w:val="nil"/>
              <w:bottom w:val="single" w:sz="4" w:space="0" w:color="auto"/>
            </w:tcBorders>
            <w:tcMar>
              <w:top w:w="57" w:type="dxa"/>
              <w:bottom w:w="57" w:type="dxa"/>
            </w:tcMar>
          </w:tcPr>
          <w:p w:rsidR="00000000" w:rsidRDefault="00000000">
            <w:pPr>
              <w:spacing w:line="240" w:lineRule="auto"/>
            </w:pPr>
            <w:r>
              <w:t>Месячная зарплата:  1 301</w:t>
            </w:r>
            <w:r>
              <w:rPr>
                <w:lang w:val="fr-FR"/>
              </w:rPr>
              <w:t> </w:t>
            </w:r>
            <w:r>
              <w:t>522</w:t>
            </w:r>
          </w:p>
        </w:tc>
      </w:tr>
      <w:tr w:rsidR="00000000">
        <w:tblPrEx>
          <w:tblCellMar>
            <w:top w:w="57" w:type="dxa"/>
            <w:bottom w:w="57" w:type="dxa"/>
          </w:tblCellMar>
        </w:tblPrEx>
        <w:trPr>
          <w:cantSplit/>
        </w:trPr>
        <w:tc>
          <w:tcPr>
            <w:tcW w:w="5376" w:type="dxa"/>
            <w:tcBorders>
              <w:top w:val="single" w:sz="4" w:space="0" w:color="auto"/>
              <w:bottom w:val="nil"/>
            </w:tcBorders>
            <w:tcMar>
              <w:top w:w="57" w:type="dxa"/>
              <w:bottom w:w="57" w:type="dxa"/>
            </w:tcMar>
          </w:tcPr>
          <w:p w:rsidR="00000000" w:rsidRDefault="00000000">
            <w:pPr>
              <w:keepNext/>
              <w:spacing w:line="240" w:lineRule="auto"/>
            </w:pPr>
            <w:r>
              <w:t>Кочегары речных судов</w:t>
            </w:r>
          </w:p>
        </w:tc>
        <w:tc>
          <w:tcPr>
            <w:tcW w:w="4034" w:type="dxa"/>
            <w:tcBorders>
              <w:top w:val="single" w:sz="4" w:space="0" w:color="auto"/>
              <w:bottom w:val="nil"/>
            </w:tcBorders>
            <w:tcMar>
              <w:top w:w="57" w:type="dxa"/>
              <w:bottom w:w="57" w:type="dxa"/>
            </w:tcMar>
          </w:tcPr>
          <w:p w:rsidR="00000000" w:rsidRDefault="00000000">
            <w:pPr>
              <w:keepNext/>
              <w:spacing w:line="240" w:lineRule="auto"/>
            </w:pP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ind w:left="284"/>
            </w:pPr>
            <w:r>
              <w:t>Старший кочегар</w:t>
            </w:r>
          </w:p>
        </w:tc>
        <w:tc>
          <w:tcPr>
            <w:tcW w:w="4034" w:type="dxa"/>
            <w:tcBorders>
              <w:top w:val="nil"/>
              <w:bottom w:val="nil"/>
            </w:tcBorders>
            <w:tcMar>
              <w:top w:w="57" w:type="dxa"/>
              <w:bottom w:w="57" w:type="dxa"/>
            </w:tcMar>
          </w:tcPr>
          <w:p w:rsidR="00000000" w:rsidRDefault="00000000">
            <w:pPr>
              <w:spacing w:line="240" w:lineRule="auto"/>
            </w:pPr>
            <w:r>
              <w:t>Месячная зарплата:  1 294 434</w:t>
            </w: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ind w:left="284"/>
            </w:pPr>
            <w:r>
              <w:t>Котельщик</w:t>
            </w:r>
          </w:p>
        </w:tc>
        <w:tc>
          <w:tcPr>
            <w:tcW w:w="4034" w:type="dxa"/>
            <w:tcBorders>
              <w:top w:val="nil"/>
              <w:bottom w:val="nil"/>
            </w:tcBorders>
            <w:tcMar>
              <w:top w:w="57" w:type="dxa"/>
              <w:bottom w:w="57" w:type="dxa"/>
            </w:tcMar>
          </w:tcPr>
          <w:p w:rsidR="00000000" w:rsidRDefault="00000000">
            <w:pPr>
              <w:spacing w:line="240" w:lineRule="auto"/>
            </w:pPr>
            <w:r>
              <w:t>Месячная зарплата:  1 510 634</w:t>
            </w: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ind w:left="284"/>
            </w:pPr>
            <w:r>
              <w:t>Кочегар</w:t>
            </w:r>
          </w:p>
        </w:tc>
        <w:tc>
          <w:tcPr>
            <w:tcW w:w="4034" w:type="dxa"/>
            <w:tcBorders>
              <w:top w:val="nil"/>
              <w:bottom w:val="nil"/>
            </w:tcBorders>
            <w:tcMar>
              <w:top w:w="57" w:type="dxa"/>
              <w:bottom w:w="57" w:type="dxa"/>
            </w:tcMar>
          </w:tcPr>
          <w:p w:rsidR="00000000" w:rsidRDefault="00000000">
            <w:pPr>
              <w:spacing w:line="240" w:lineRule="auto"/>
            </w:pPr>
            <w:r>
              <w:t>Месячная зарплата:  1 279 440</w:t>
            </w: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ind w:left="284"/>
            </w:pPr>
            <w:r>
              <w:t>Смазчик</w:t>
            </w:r>
          </w:p>
        </w:tc>
        <w:tc>
          <w:tcPr>
            <w:tcW w:w="4034" w:type="dxa"/>
            <w:tcBorders>
              <w:top w:val="nil"/>
              <w:bottom w:val="nil"/>
            </w:tcBorders>
            <w:tcMar>
              <w:top w:w="57" w:type="dxa"/>
              <w:bottom w:w="57" w:type="dxa"/>
            </w:tcMar>
          </w:tcPr>
          <w:p w:rsidR="00000000" w:rsidRDefault="00000000">
            <w:pPr>
              <w:spacing w:line="240" w:lineRule="auto"/>
            </w:pPr>
            <w:r>
              <w:t>Месячная зарплата:  1 229 021</w:t>
            </w:r>
          </w:p>
        </w:tc>
      </w:tr>
      <w:tr w:rsidR="00000000">
        <w:tblPrEx>
          <w:tblCellMar>
            <w:top w:w="57" w:type="dxa"/>
            <w:bottom w:w="57" w:type="dxa"/>
          </w:tblCellMar>
        </w:tblPrEx>
        <w:trPr>
          <w:cantSplit/>
        </w:trPr>
        <w:tc>
          <w:tcPr>
            <w:tcW w:w="5376" w:type="dxa"/>
            <w:tcBorders>
              <w:top w:val="nil"/>
              <w:bottom w:val="single" w:sz="4" w:space="0" w:color="auto"/>
            </w:tcBorders>
            <w:tcMar>
              <w:top w:w="57" w:type="dxa"/>
              <w:bottom w:w="57" w:type="dxa"/>
            </w:tcMar>
          </w:tcPr>
          <w:p w:rsidR="00000000" w:rsidRDefault="00000000">
            <w:pPr>
              <w:spacing w:line="240" w:lineRule="auto"/>
              <w:ind w:left="284"/>
            </w:pPr>
            <w:r>
              <w:t>Угольщик</w:t>
            </w:r>
          </w:p>
        </w:tc>
        <w:tc>
          <w:tcPr>
            <w:tcW w:w="4034" w:type="dxa"/>
            <w:tcBorders>
              <w:top w:val="nil"/>
              <w:bottom w:val="single" w:sz="4" w:space="0" w:color="auto"/>
            </w:tcBorders>
            <w:tcMar>
              <w:top w:w="57" w:type="dxa"/>
              <w:bottom w:w="57" w:type="dxa"/>
            </w:tcMar>
          </w:tcPr>
          <w:p w:rsidR="00000000" w:rsidRDefault="00000000">
            <w:pPr>
              <w:spacing w:line="240" w:lineRule="auto"/>
            </w:pPr>
            <w:r>
              <w:t>Месячная зарплата:  1 229 021</w:t>
            </w:r>
          </w:p>
        </w:tc>
      </w:tr>
      <w:tr w:rsidR="00000000">
        <w:tblPrEx>
          <w:tblCellMar>
            <w:top w:w="57" w:type="dxa"/>
            <w:bottom w:w="57" w:type="dxa"/>
          </w:tblCellMar>
        </w:tblPrEx>
        <w:trPr>
          <w:cantSplit/>
        </w:trPr>
        <w:tc>
          <w:tcPr>
            <w:tcW w:w="5376" w:type="dxa"/>
            <w:tcBorders>
              <w:top w:val="single" w:sz="4" w:space="0" w:color="auto"/>
              <w:bottom w:val="nil"/>
            </w:tcBorders>
            <w:tcMar>
              <w:top w:w="57" w:type="dxa"/>
              <w:bottom w:w="57" w:type="dxa"/>
            </w:tcMar>
          </w:tcPr>
          <w:p w:rsidR="00000000" w:rsidRDefault="00000000">
            <w:pPr>
              <w:keepNext/>
              <w:spacing w:line="240" w:lineRule="auto"/>
            </w:pPr>
            <w:r>
              <w:t>Центр судовых штурвальных</w:t>
            </w:r>
          </w:p>
        </w:tc>
        <w:tc>
          <w:tcPr>
            <w:tcW w:w="4034" w:type="dxa"/>
            <w:tcBorders>
              <w:top w:val="single" w:sz="4" w:space="0" w:color="auto"/>
              <w:bottom w:val="nil"/>
            </w:tcBorders>
            <w:tcMar>
              <w:top w:w="57" w:type="dxa"/>
              <w:bottom w:w="57" w:type="dxa"/>
            </w:tcMar>
          </w:tcPr>
          <w:p w:rsidR="00000000" w:rsidRDefault="00000000">
            <w:pPr>
              <w:keepNext/>
              <w:spacing w:line="240" w:lineRule="auto"/>
            </w:pP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ind w:left="284"/>
            </w:pPr>
            <w:r>
              <w:t>Штурвальные</w:t>
            </w:r>
          </w:p>
        </w:tc>
        <w:tc>
          <w:tcPr>
            <w:tcW w:w="4034" w:type="dxa"/>
            <w:tcBorders>
              <w:top w:val="nil"/>
              <w:bottom w:val="nil"/>
            </w:tcBorders>
            <w:tcMar>
              <w:top w:w="57" w:type="dxa"/>
              <w:bottom w:w="57" w:type="dxa"/>
            </w:tcMar>
          </w:tcPr>
          <w:p w:rsidR="00000000" w:rsidRDefault="00000000">
            <w:pPr>
              <w:spacing w:line="240" w:lineRule="auto"/>
            </w:pPr>
            <w:r>
              <w:t>Месячная зарплата:  1 226 271</w:t>
            </w: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keepNext/>
              <w:spacing w:line="240" w:lineRule="auto"/>
            </w:pPr>
            <w:r>
              <w:t>Центр боцманов третей статьи и старших штурвальных</w:t>
            </w:r>
          </w:p>
        </w:tc>
        <w:tc>
          <w:tcPr>
            <w:tcW w:w="4034" w:type="dxa"/>
            <w:tcBorders>
              <w:top w:val="nil"/>
              <w:bottom w:val="nil"/>
            </w:tcBorders>
            <w:tcMar>
              <w:top w:w="57" w:type="dxa"/>
              <w:bottom w:w="57" w:type="dxa"/>
            </w:tcMar>
          </w:tcPr>
          <w:p w:rsidR="00000000" w:rsidRDefault="00000000">
            <w:pPr>
              <w:keepNext/>
              <w:spacing w:line="240" w:lineRule="auto"/>
            </w:pPr>
          </w:p>
        </w:tc>
      </w:tr>
      <w:tr w:rsidR="00000000">
        <w:tblPrEx>
          <w:tblCellMar>
            <w:top w:w="57" w:type="dxa"/>
            <w:bottom w:w="57" w:type="dxa"/>
          </w:tblCellMar>
        </w:tblPrEx>
        <w:trPr>
          <w:cantSplit/>
        </w:trPr>
        <w:tc>
          <w:tcPr>
            <w:tcW w:w="5376" w:type="dxa"/>
            <w:tcBorders>
              <w:top w:val="nil"/>
              <w:bottom w:val="nil"/>
            </w:tcBorders>
            <w:tcMar>
              <w:top w:w="57" w:type="dxa"/>
              <w:bottom w:w="57" w:type="dxa"/>
            </w:tcMar>
            <w:vAlign w:val="center"/>
          </w:tcPr>
          <w:p w:rsidR="00000000" w:rsidRDefault="00000000">
            <w:pPr>
              <w:spacing w:line="240" w:lineRule="auto"/>
              <w:ind w:left="284"/>
            </w:pPr>
            <w:r>
              <w:t>Боцманы третьей статьи</w:t>
            </w:r>
          </w:p>
        </w:tc>
        <w:tc>
          <w:tcPr>
            <w:tcW w:w="4034" w:type="dxa"/>
            <w:tcBorders>
              <w:top w:val="nil"/>
              <w:bottom w:val="nil"/>
            </w:tcBorders>
            <w:tcMar>
              <w:top w:w="57" w:type="dxa"/>
              <w:bottom w:w="57" w:type="dxa"/>
            </w:tcMar>
          </w:tcPr>
          <w:p w:rsidR="00000000" w:rsidRDefault="00000000">
            <w:pPr>
              <w:spacing w:line="240" w:lineRule="auto"/>
            </w:pPr>
            <w:r>
              <w:t>Месячная зарплата:  1 226 271</w:t>
            </w: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ind w:left="284"/>
            </w:pPr>
            <w:r>
              <w:t>Старший штурвальный</w:t>
            </w:r>
          </w:p>
        </w:tc>
        <w:tc>
          <w:tcPr>
            <w:tcW w:w="4034" w:type="dxa"/>
            <w:tcBorders>
              <w:top w:val="nil"/>
              <w:bottom w:val="nil"/>
            </w:tcBorders>
            <w:tcMar>
              <w:top w:w="57" w:type="dxa"/>
              <w:bottom w:w="57" w:type="dxa"/>
            </w:tcMar>
          </w:tcPr>
          <w:p w:rsidR="00000000" w:rsidRDefault="00000000">
            <w:pPr>
              <w:spacing w:line="240" w:lineRule="auto"/>
            </w:pPr>
            <w:r>
              <w:t>Месячная зарплата:  1 219 795</w:t>
            </w: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keepNext/>
              <w:spacing w:line="240" w:lineRule="auto"/>
            </w:pPr>
            <w:r>
              <w:t>Центр боцманов второй статьи</w:t>
            </w:r>
          </w:p>
        </w:tc>
        <w:tc>
          <w:tcPr>
            <w:tcW w:w="4034" w:type="dxa"/>
            <w:tcBorders>
              <w:top w:val="nil"/>
              <w:bottom w:val="nil"/>
            </w:tcBorders>
            <w:tcMar>
              <w:top w:w="57" w:type="dxa"/>
              <w:bottom w:w="57" w:type="dxa"/>
            </w:tcMar>
          </w:tcPr>
          <w:p w:rsidR="00000000" w:rsidRDefault="00000000">
            <w:pPr>
              <w:keepNext/>
              <w:spacing w:line="240" w:lineRule="auto"/>
            </w:pP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ind w:left="284"/>
            </w:pPr>
            <w:r>
              <w:t>Боцманы второй статьи</w:t>
            </w:r>
          </w:p>
        </w:tc>
        <w:tc>
          <w:tcPr>
            <w:tcW w:w="4034" w:type="dxa"/>
            <w:tcBorders>
              <w:top w:val="nil"/>
              <w:bottom w:val="nil"/>
            </w:tcBorders>
            <w:tcMar>
              <w:top w:w="57" w:type="dxa"/>
              <w:bottom w:w="57" w:type="dxa"/>
            </w:tcMar>
          </w:tcPr>
          <w:p w:rsidR="00000000" w:rsidRDefault="00000000">
            <w:pPr>
              <w:spacing w:line="240" w:lineRule="auto"/>
            </w:pPr>
            <w:r>
              <w:t>Месячная зарплата:  1 219 795</w:t>
            </w: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pPr>
            <w:r>
              <w:t>Капитаны и лоцманы каботажного плавания в национальных водах</w:t>
            </w:r>
          </w:p>
        </w:tc>
        <w:tc>
          <w:tcPr>
            <w:tcW w:w="4034" w:type="dxa"/>
            <w:tcBorders>
              <w:top w:val="nil"/>
              <w:bottom w:val="nil"/>
            </w:tcBorders>
            <w:tcMar>
              <w:top w:w="57" w:type="dxa"/>
              <w:bottom w:w="57" w:type="dxa"/>
            </w:tcMar>
          </w:tcPr>
          <w:p w:rsidR="00000000" w:rsidRDefault="00000000">
            <w:pPr>
              <w:spacing w:line="240" w:lineRule="auto"/>
            </w:pP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ind w:left="284"/>
            </w:pPr>
            <w:r>
              <w:t>Капитаны</w:t>
            </w:r>
          </w:p>
          <w:p w:rsidR="00000000" w:rsidRDefault="00000000">
            <w:pPr>
              <w:spacing w:line="240" w:lineRule="auto"/>
              <w:ind w:left="284"/>
            </w:pPr>
            <w:r>
              <w:t>Лоцманы</w:t>
            </w:r>
          </w:p>
          <w:p w:rsidR="00000000" w:rsidRDefault="00000000">
            <w:pPr>
              <w:spacing w:line="240" w:lineRule="auto"/>
              <w:ind w:left="284"/>
            </w:pPr>
            <w:r>
              <w:t>Грузчики</w:t>
            </w:r>
          </w:p>
        </w:tc>
        <w:tc>
          <w:tcPr>
            <w:tcW w:w="4034" w:type="dxa"/>
            <w:tcBorders>
              <w:top w:val="nil"/>
              <w:bottom w:val="nil"/>
            </w:tcBorders>
            <w:tcMar>
              <w:top w:w="57" w:type="dxa"/>
              <w:bottom w:w="57" w:type="dxa"/>
            </w:tcMar>
          </w:tcPr>
          <w:p w:rsidR="00000000" w:rsidRDefault="00000000">
            <w:pPr>
              <w:spacing w:line="240" w:lineRule="auto"/>
            </w:pPr>
            <w:r>
              <w:t>Месячная зарплата:  1 303 363</w:t>
            </w: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pPr>
            <w:r>
              <w:t>Палубные матросы</w:t>
            </w:r>
          </w:p>
        </w:tc>
        <w:tc>
          <w:tcPr>
            <w:tcW w:w="4034" w:type="dxa"/>
            <w:tcBorders>
              <w:top w:val="nil"/>
              <w:bottom w:val="nil"/>
            </w:tcBorders>
            <w:tcMar>
              <w:top w:w="57" w:type="dxa"/>
              <w:bottom w:w="57" w:type="dxa"/>
            </w:tcMar>
          </w:tcPr>
          <w:p w:rsidR="00000000" w:rsidRDefault="00000000">
            <w:pPr>
              <w:spacing w:line="240" w:lineRule="auto"/>
            </w:pPr>
            <w:r>
              <w:t>Месячная зарплата:  1 314 019</w:t>
            </w:r>
          </w:p>
          <w:p w:rsidR="00000000" w:rsidRDefault="00000000">
            <w:pPr>
              <w:spacing w:line="240" w:lineRule="auto"/>
            </w:pPr>
            <w:r>
              <w:t>Месячная зарплата:  1 432 333</w:t>
            </w:r>
          </w:p>
          <w:p w:rsidR="00000000" w:rsidRDefault="00000000">
            <w:pPr>
              <w:spacing w:line="240" w:lineRule="auto"/>
            </w:pPr>
            <w:r>
              <w:t>Месячная зарплата:   1 620 123</w:t>
            </w:r>
          </w:p>
          <w:p w:rsidR="00000000" w:rsidRDefault="00000000">
            <w:pPr>
              <w:spacing w:line="240" w:lineRule="auto"/>
            </w:pPr>
            <w:r>
              <w:t>Месячная зарплата:  1 559 059</w:t>
            </w:r>
          </w:p>
          <w:p w:rsidR="00000000" w:rsidRDefault="00000000">
            <w:pPr>
              <w:spacing w:line="240" w:lineRule="auto"/>
            </w:pPr>
            <w:r>
              <w:t>Месячная зарплата:  1 250 387</w:t>
            </w:r>
          </w:p>
          <w:p w:rsidR="00000000" w:rsidRDefault="00000000">
            <w:pPr>
              <w:spacing w:line="240" w:lineRule="auto"/>
            </w:pPr>
            <w:r>
              <w:t>Поденная плата:  48 092</w:t>
            </w:r>
          </w:p>
          <w:p w:rsidR="00000000" w:rsidRDefault="00000000">
            <w:pPr>
              <w:spacing w:line="240" w:lineRule="auto"/>
            </w:pPr>
            <w:r>
              <w:t>Месячная зарплата:  1 219 795</w:t>
            </w: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keepNext/>
              <w:spacing w:line="240" w:lineRule="auto"/>
            </w:pPr>
            <w:r>
              <w:t>Береговые повара</w:t>
            </w:r>
          </w:p>
        </w:tc>
        <w:tc>
          <w:tcPr>
            <w:tcW w:w="4034" w:type="dxa"/>
            <w:tcBorders>
              <w:top w:val="nil"/>
              <w:bottom w:val="nil"/>
            </w:tcBorders>
            <w:tcMar>
              <w:top w:w="57" w:type="dxa"/>
              <w:bottom w:w="57" w:type="dxa"/>
            </w:tcMar>
          </w:tcPr>
          <w:p w:rsidR="00000000" w:rsidRDefault="00000000">
            <w:pPr>
              <w:keepNext/>
              <w:spacing w:line="240" w:lineRule="auto"/>
            </w:pP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ind w:left="284"/>
            </w:pPr>
            <w:r>
              <w:t>Первый повар</w:t>
            </w:r>
          </w:p>
        </w:tc>
        <w:tc>
          <w:tcPr>
            <w:tcW w:w="4034" w:type="dxa"/>
            <w:tcBorders>
              <w:top w:val="nil"/>
              <w:bottom w:val="nil"/>
            </w:tcBorders>
            <w:tcMar>
              <w:top w:w="57" w:type="dxa"/>
              <w:bottom w:w="57" w:type="dxa"/>
            </w:tcMar>
          </w:tcPr>
          <w:p w:rsidR="00000000" w:rsidRDefault="00000000">
            <w:pPr>
              <w:spacing w:line="240" w:lineRule="auto"/>
            </w:pPr>
            <w:r>
              <w:t>Месячная зарплата:  1 271 797</w:t>
            </w: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ind w:left="284"/>
            </w:pPr>
            <w:r>
              <w:t>Второй повар</w:t>
            </w:r>
          </w:p>
        </w:tc>
        <w:tc>
          <w:tcPr>
            <w:tcW w:w="4034" w:type="dxa"/>
            <w:tcBorders>
              <w:top w:val="nil"/>
              <w:bottom w:val="nil"/>
            </w:tcBorders>
            <w:tcMar>
              <w:top w:w="57" w:type="dxa"/>
              <w:bottom w:w="57" w:type="dxa"/>
            </w:tcMar>
          </w:tcPr>
          <w:p w:rsidR="00000000" w:rsidRDefault="00000000">
            <w:pPr>
              <w:spacing w:line="240" w:lineRule="auto"/>
            </w:pPr>
            <w:r>
              <w:t>Месячная зарплата:  1 238 345</w:t>
            </w: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ind w:left="284"/>
            </w:pPr>
            <w:r>
              <w:t>Помощник по кухне</w:t>
            </w:r>
          </w:p>
        </w:tc>
        <w:tc>
          <w:tcPr>
            <w:tcW w:w="4034" w:type="dxa"/>
            <w:tcBorders>
              <w:top w:val="nil"/>
              <w:bottom w:val="nil"/>
            </w:tcBorders>
            <w:tcMar>
              <w:top w:w="57" w:type="dxa"/>
              <w:bottom w:w="57" w:type="dxa"/>
            </w:tcMar>
          </w:tcPr>
          <w:p w:rsidR="00000000" w:rsidRDefault="00000000">
            <w:pPr>
              <w:spacing w:line="240" w:lineRule="auto"/>
            </w:pPr>
            <w:r>
              <w:t>Месячная зарплата:  1 219 795</w:t>
            </w: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keepNext/>
              <w:spacing w:line="240" w:lineRule="auto"/>
            </w:pPr>
            <w:r>
              <w:t>Бортовые стюарды</w:t>
            </w:r>
          </w:p>
        </w:tc>
        <w:tc>
          <w:tcPr>
            <w:tcW w:w="4034" w:type="dxa"/>
            <w:tcBorders>
              <w:top w:val="nil"/>
              <w:bottom w:val="nil"/>
            </w:tcBorders>
            <w:tcMar>
              <w:top w:w="57" w:type="dxa"/>
              <w:bottom w:w="57" w:type="dxa"/>
            </w:tcMar>
          </w:tcPr>
          <w:p w:rsidR="00000000" w:rsidRDefault="00000000">
            <w:pPr>
              <w:keepNext/>
              <w:spacing w:line="240" w:lineRule="auto"/>
            </w:pP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ind w:left="284"/>
            </w:pPr>
            <w:r>
              <w:t>Главный стюард</w:t>
            </w:r>
          </w:p>
        </w:tc>
        <w:tc>
          <w:tcPr>
            <w:tcW w:w="4034" w:type="dxa"/>
            <w:tcBorders>
              <w:top w:val="nil"/>
              <w:bottom w:val="nil"/>
            </w:tcBorders>
            <w:tcMar>
              <w:top w:w="57" w:type="dxa"/>
              <w:bottom w:w="57" w:type="dxa"/>
            </w:tcMar>
          </w:tcPr>
          <w:p w:rsidR="00000000" w:rsidRDefault="00000000">
            <w:pPr>
              <w:spacing w:line="240" w:lineRule="auto"/>
            </w:pPr>
            <w:r>
              <w:t>Месячная зарплата:  1 274 003</w:t>
            </w:r>
          </w:p>
        </w:tc>
      </w:tr>
      <w:tr w:rsidR="00000000">
        <w:tblPrEx>
          <w:tblCellMar>
            <w:top w:w="57" w:type="dxa"/>
            <w:bottom w:w="57" w:type="dxa"/>
          </w:tblCellMar>
        </w:tblPrEx>
        <w:trPr>
          <w:cantSplit/>
        </w:trPr>
        <w:tc>
          <w:tcPr>
            <w:tcW w:w="5376" w:type="dxa"/>
            <w:tcBorders>
              <w:top w:val="nil"/>
              <w:bottom w:val="single" w:sz="4" w:space="0" w:color="auto"/>
            </w:tcBorders>
            <w:tcMar>
              <w:top w:w="57" w:type="dxa"/>
              <w:bottom w:w="57" w:type="dxa"/>
            </w:tcMar>
          </w:tcPr>
          <w:p w:rsidR="00000000" w:rsidRDefault="00000000">
            <w:pPr>
              <w:spacing w:line="240" w:lineRule="auto"/>
              <w:ind w:left="284"/>
            </w:pPr>
            <w:r>
              <w:t>Первый стюард</w:t>
            </w:r>
          </w:p>
        </w:tc>
        <w:tc>
          <w:tcPr>
            <w:tcW w:w="4034" w:type="dxa"/>
            <w:tcBorders>
              <w:top w:val="nil"/>
              <w:bottom w:val="single" w:sz="4" w:space="0" w:color="auto"/>
            </w:tcBorders>
            <w:tcMar>
              <w:top w:w="57" w:type="dxa"/>
              <w:bottom w:w="57" w:type="dxa"/>
            </w:tcMar>
          </w:tcPr>
          <w:p w:rsidR="00000000" w:rsidRDefault="00000000">
            <w:pPr>
              <w:spacing w:line="240" w:lineRule="auto"/>
            </w:pPr>
            <w:r>
              <w:t>Месячная зарплата:  1 256 928</w:t>
            </w:r>
          </w:p>
        </w:tc>
      </w:tr>
      <w:tr w:rsidR="00000000">
        <w:tblPrEx>
          <w:tblCellMar>
            <w:top w:w="57" w:type="dxa"/>
            <w:bottom w:w="57" w:type="dxa"/>
          </w:tblCellMar>
        </w:tblPrEx>
        <w:trPr>
          <w:cantSplit/>
        </w:trPr>
        <w:tc>
          <w:tcPr>
            <w:tcW w:w="5376" w:type="dxa"/>
            <w:tcBorders>
              <w:bottom w:val="nil"/>
            </w:tcBorders>
            <w:tcMar>
              <w:top w:w="57" w:type="dxa"/>
              <w:bottom w:w="57" w:type="dxa"/>
            </w:tcMar>
          </w:tcPr>
          <w:p w:rsidR="00000000" w:rsidRDefault="00000000">
            <w:pPr>
              <w:keepNext/>
              <w:spacing w:line="240" w:lineRule="auto"/>
            </w:pPr>
            <w:r>
              <w:t>Мебельные фабрики и столярные мастерские</w:t>
            </w:r>
          </w:p>
        </w:tc>
        <w:tc>
          <w:tcPr>
            <w:tcW w:w="4034" w:type="dxa"/>
            <w:tcBorders>
              <w:bottom w:val="nil"/>
            </w:tcBorders>
            <w:tcMar>
              <w:top w:w="57" w:type="dxa"/>
              <w:bottom w:w="57" w:type="dxa"/>
            </w:tcMar>
          </w:tcPr>
          <w:p w:rsidR="00000000" w:rsidRDefault="00000000">
            <w:pPr>
              <w:keepNext/>
              <w:spacing w:line="240" w:lineRule="auto"/>
            </w:pP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ind w:left="284"/>
            </w:pPr>
            <w:r>
              <w:t>Мастер первой категории</w:t>
            </w:r>
          </w:p>
        </w:tc>
        <w:tc>
          <w:tcPr>
            <w:tcW w:w="4034" w:type="dxa"/>
            <w:tcBorders>
              <w:top w:val="nil"/>
              <w:bottom w:val="nil"/>
            </w:tcBorders>
            <w:tcMar>
              <w:top w:w="57" w:type="dxa"/>
              <w:bottom w:w="57" w:type="dxa"/>
            </w:tcMar>
          </w:tcPr>
          <w:p w:rsidR="00000000" w:rsidRDefault="00000000">
            <w:pPr>
              <w:spacing w:line="240" w:lineRule="auto"/>
            </w:pPr>
            <w:r>
              <w:t>Месячная зарплата:  1 345 254</w:t>
            </w:r>
            <w:r>
              <w:br/>
              <w:t>Поденная плата:  51 741</w:t>
            </w: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ind w:left="284"/>
            </w:pPr>
            <w:r>
              <w:t>Мастер второй категории</w:t>
            </w:r>
          </w:p>
        </w:tc>
        <w:tc>
          <w:tcPr>
            <w:tcW w:w="4034" w:type="dxa"/>
            <w:tcBorders>
              <w:top w:val="nil"/>
              <w:bottom w:val="nil"/>
            </w:tcBorders>
            <w:tcMar>
              <w:top w:w="57" w:type="dxa"/>
              <w:bottom w:w="57" w:type="dxa"/>
            </w:tcMar>
          </w:tcPr>
          <w:p w:rsidR="00000000" w:rsidRDefault="00000000">
            <w:pPr>
              <w:spacing w:line="240" w:lineRule="auto"/>
            </w:pPr>
            <w:r>
              <w:t>Месячная зарплата:  1 291 895</w:t>
            </w:r>
            <w:r>
              <w:br/>
              <w:t>Поденная плата:  49 688</w:t>
            </w: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ind w:left="284"/>
            </w:pPr>
            <w:r>
              <w:t>Мастер третьей категории</w:t>
            </w:r>
          </w:p>
        </w:tc>
        <w:tc>
          <w:tcPr>
            <w:tcW w:w="4034" w:type="dxa"/>
            <w:tcBorders>
              <w:top w:val="nil"/>
              <w:bottom w:val="nil"/>
            </w:tcBorders>
            <w:tcMar>
              <w:top w:w="57" w:type="dxa"/>
              <w:bottom w:w="57" w:type="dxa"/>
            </w:tcMar>
          </w:tcPr>
          <w:p w:rsidR="00000000" w:rsidRDefault="00000000">
            <w:pPr>
              <w:spacing w:line="240" w:lineRule="auto"/>
            </w:pPr>
            <w:r>
              <w:t>Месячная зарплата:  1 267 506</w:t>
            </w:r>
            <w:r>
              <w:br/>
              <w:t>Поденная плата:  48 750</w:t>
            </w:r>
          </w:p>
        </w:tc>
      </w:tr>
      <w:tr w:rsidR="00000000">
        <w:tblPrEx>
          <w:tblCellMar>
            <w:top w:w="57" w:type="dxa"/>
            <w:bottom w:w="57" w:type="dxa"/>
          </w:tblCellMar>
        </w:tblPrEx>
        <w:trPr>
          <w:cantSplit/>
        </w:trPr>
        <w:tc>
          <w:tcPr>
            <w:tcW w:w="5376" w:type="dxa"/>
            <w:tcBorders>
              <w:top w:val="nil"/>
              <w:bottom w:val="single" w:sz="4" w:space="0" w:color="auto"/>
            </w:tcBorders>
            <w:tcMar>
              <w:top w:w="57" w:type="dxa"/>
              <w:bottom w:w="57" w:type="dxa"/>
            </w:tcMar>
          </w:tcPr>
          <w:p w:rsidR="00000000" w:rsidRDefault="00000000">
            <w:pPr>
              <w:spacing w:line="240" w:lineRule="auto"/>
              <w:ind w:left="284"/>
            </w:pPr>
            <w:r>
              <w:t>Вспомогательный рабочий</w:t>
            </w:r>
          </w:p>
        </w:tc>
        <w:tc>
          <w:tcPr>
            <w:tcW w:w="4034" w:type="dxa"/>
            <w:tcBorders>
              <w:top w:val="nil"/>
              <w:bottom w:val="single" w:sz="4" w:space="0" w:color="auto"/>
            </w:tcBorders>
            <w:tcMar>
              <w:top w:w="57" w:type="dxa"/>
              <w:bottom w:w="57" w:type="dxa"/>
            </w:tcMar>
          </w:tcPr>
          <w:p w:rsidR="00000000" w:rsidRDefault="00000000">
            <w:pPr>
              <w:spacing w:line="240" w:lineRule="auto"/>
            </w:pPr>
            <w:r>
              <w:t>Месячная зарплата:  1 233 617</w:t>
            </w:r>
            <w:r>
              <w:br/>
              <w:t>Поденная плата:  47 447</w:t>
            </w:r>
          </w:p>
        </w:tc>
      </w:tr>
      <w:tr w:rsidR="00000000">
        <w:tblPrEx>
          <w:tblCellMar>
            <w:top w:w="57" w:type="dxa"/>
            <w:bottom w:w="57" w:type="dxa"/>
          </w:tblCellMar>
        </w:tblPrEx>
        <w:trPr>
          <w:cantSplit/>
        </w:trPr>
        <w:tc>
          <w:tcPr>
            <w:tcW w:w="5376" w:type="dxa"/>
            <w:tcBorders>
              <w:bottom w:val="nil"/>
            </w:tcBorders>
            <w:tcMar>
              <w:top w:w="57" w:type="dxa"/>
              <w:bottom w:w="57" w:type="dxa"/>
            </w:tcMar>
          </w:tcPr>
          <w:p w:rsidR="00000000" w:rsidRDefault="00000000">
            <w:pPr>
              <w:keepNext/>
              <w:spacing w:line="240" w:lineRule="auto"/>
            </w:pPr>
            <w:r>
              <w:t>Операторы автоматизированных линий по выпуску макаронных изделий</w:t>
            </w:r>
          </w:p>
        </w:tc>
        <w:tc>
          <w:tcPr>
            <w:tcW w:w="4034" w:type="dxa"/>
            <w:tcBorders>
              <w:bottom w:val="nil"/>
            </w:tcBorders>
            <w:tcMar>
              <w:top w:w="57" w:type="dxa"/>
              <w:bottom w:w="57" w:type="dxa"/>
            </w:tcMar>
          </w:tcPr>
          <w:p w:rsidR="00000000" w:rsidRDefault="00000000">
            <w:pPr>
              <w:keepNext/>
              <w:spacing w:line="240" w:lineRule="auto"/>
            </w:pP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ind w:left="284"/>
            </w:pPr>
            <w:r>
              <w:t>Механик</w:t>
            </w:r>
          </w:p>
        </w:tc>
        <w:tc>
          <w:tcPr>
            <w:tcW w:w="4034" w:type="dxa"/>
            <w:tcBorders>
              <w:top w:val="nil"/>
              <w:bottom w:val="nil"/>
            </w:tcBorders>
            <w:tcMar>
              <w:top w:w="57" w:type="dxa"/>
              <w:bottom w:w="57" w:type="dxa"/>
            </w:tcMar>
          </w:tcPr>
          <w:p w:rsidR="00000000" w:rsidRDefault="00000000">
            <w:pPr>
              <w:spacing w:line="240" w:lineRule="auto"/>
            </w:pPr>
            <w:r>
              <w:t>Месячная зарплата:  1 463 960</w:t>
            </w:r>
            <w:r>
              <w:br/>
              <w:t>Поденная плата:  56 306</w:t>
            </w: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ind w:left="284"/>
            </w:pPr>
            <w:r>
              <w:t>Помощник механика</w:t>
            </w:r>
          </w:p>
        </w:tc>
        <w:tc>
          <w:tcPr>
            <w:tcW w:w="4034" w:type="dxa"/>
            <w:tcBorders>
              <w:top w:val="nil"/>
              <w:bottom w:val="nil"/>
            </w:tcBorders>
            <w:tcMar>
              <w:top w:w="57" w:type="dxa"/>
              <w:bottom w:w="57" w:type="dxa"/>
            </w:tcMar>
          </w:tcPr>
          <w:p w:rsidR="00000000" w:rsidRDefault="00000000">
            <w:pPr>
              <w:spacing w:line="240" w:lineRule="auto"/>
            </w:pPr>
            <w:r>
              <w:t>Месячная зарплата:  1 342 135</w:t>
            </w:r>
            <w:r>
              <w:br/>
              <w:t>Поденная плата:  51 621</w:t>
            </w: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ind w:left="284"/>
            </w:pPr>
            <w:r>
              <w:t>Сушильщик</w:t>
            </w:r>
          </w:p>
        </w:tc>
        <w:tc>
          <w:tcPr>
            <w:tcW w:w="4034" w:type="dxa"/>
            <w:tcBorders>
              <w:top w:val="nil"/>
              <w:bottom w:val="nil"/>
            </w:tcBorders>
            <w:tcMar>
              <w:top w:w="57" w:type="dxa"/>
              <w:bottom w:w="57" w:type="dxa"/>
            </w:tcMar>
          </w:tcPr>
          <w:p w:rsidR="00000000" w:rsidRDefault="00000000">
            <w:pPr>
              <w:spacing w:line="240" w:lineRule="auto"/>
            </w:pPr>
            <w:r>
              <w:t>Месячная зарплата:  1 463 960</w:t>
            </w:r>
            <w:r>
              <w:br/>
              <w:t>Поденная плата:  56 306</w:t>
            </w:r>
          </w:p>
        </w:tc>
      </w:tr>
      <w:tr w:rsidR="00000000">
        <w:tblPrEx>
          <w:tblCellMar>
            <w:top w:w="57" w:type="dxa"/>
            <w:bottom w:w="57" w:type="dxa"/>
          </w:tblCellMar>
        </w:tblPrEx>
        <w:trPr>
          <w:cantSplit/>
        </w:trPr>
        <w:tc>
          <w:tcPr>
            <w:tcW w:w="5376" w:type="dxa"/>
            <w:tcBorders>
              <w:top w:val="nil"/>
            </w:tcBorders>
            <w:tcMar>
              <w:top w:w="57" w:type="dxa"/>
              <w:bottom w:w="57" w:type="dxa"/>
            </w:tcMar>
          </w:tcPr>
          <w:p w:rsidR="00000000" w:rsidRDefault="00000000">
            <w:pPr>
              <w:spacing w:line="240" w:lineRule="auto"/>
              <w:ind w:left="284"/>
            </w:pPr>
            <w:r>
              <w:t>Помощник сушильщика</w:t>
            </w:r>
          </w:p>
        </w:tc>
        <w:tc>
          <w:tcPr>
            <w:tcW w:w="4034" w:type="dxa"/>
            <w:tcBorders>
              <w:top w:val="nil"/>
            </w:tcBorders>
            <w:tcMar>
              <w:top w:w="57" w:type="dxa"/>
              <w:bottom w:w="57" w:type="dxa"/>
            </w:tcMar>
          </w:tcPr>
          <w:p w:rsidR="00000000" w:rsidRDefault="00000000">
            <w:pPr>
              <w:spacing w:line="240" w:lineRule="auto"/>
            </w:pPr>
            <w:r>
              <w:t>Месячная зарплата:  1 341 751</w:t>
            </w:r>
            <w:r>
              <w:br/>
              <w:t>Поденная плата:  51 606</w:t>
            </w:r>
          </w:p>
        </w:tc>
      </w:tr>
      <w:tr w:rsidR="00000000">
        <w:tblPrEx>
          <w:tblCellMar>
            <w:top w:w="57" w:type="dxa"/>
            <w:bottom w:w="57" w:type="dxa"/>
          </w:tblCellMar>
        </w:tblPrEx>
        <w:trPr>
          <w:cantSplit/>
        </w:trPr>
        <w:tc>
          <w:tcPr>
            <w:tcW w:w="5376" w:type="dxa"/>
            <w:tcBorders>
              <w:bottom w:val="single" w:sz="4" w:space="0" w:color="auto"/>
            </w:tcBorders>
            <w:tcMar>
              <w:top w:w="57" w:type="dxa"/>
              <w:bottom w:w="57" w:type="dxa"/>
            </w:tcMar>
          </w:tcPr>
          <w:p w:rsidR="00000000" w:rsidRDefault="00000000">
            <w:pPr>
              <w:spacing w:line="240" w:lineRule="auto"/>
            </w:pPr>
            <w:r>
              <w:t>Работники чайных производств</w:t>
            </w:r>
          </w:p>
        </w:tc>
        <w:tc>
          <w:tcPr>
            <w:tcW w:w="4034" w:type="dxa"/>
            <w:tcBorders>
              <w:bottom w:val="single" w:sz="4" w:space="0" w:color="auto"/>
            </w:tcBorders>
            <w:tcMar>
              <w:top w:w="57" w:type="dxa"/>
              <w:bottom w:w="57" w:type="dxa"/>
            </w:tcMar>
          </w:tcPr>
          <w:p w:rsidR="00000000" w:rsidRDefault="00000000">
            <w:pPr>
              <w:spacing w:line="240" w:lineRule="auto"/>
            </w:pPr>
            <w:r>
              <w:t>Месячная зарплата:  1 219 795</w:t>
            </w:r>
            <w:r>
              <w:br/>
              <w:t>Поденная плата:  46 915</w:t>
            </w:r>
          </w:p>
        </w:tc>
      </w:tr>
      <w:tr w:rsidR="00000000">
        <w:tblPrEx>
          <w:tblCellMar>
            <w:top w:w="57" w:type="dxa"/>
            <w:bottom w:w="57" w:type="dxa"/>
          </w:tblCellMar>
        </w:tblPrEx>
        <w:trPr>
          <w:cantSplit/>
        </w:trPr>
        <w:tc>
          <w:tcPr>
            <w:tcW w:w="5376" w:type="dxa"/>
            <w:tcBorders>
              <w:bottom w:val="nil"/>
            </w:tcBorders>
            <w:tcMar>
              <w:top w:w="57" w:type="dxa"/>
              <w:bottom w:w="57" w:type="dxa"/>
            </w:tcMar>
          </w:tcPr>
          <w:p w:rsidR="00000000" w:rsidRDefault="00000000">
            <w:pPr>
              <w:spacing w:line="240" w:lineRule="auto"/>
            </w:pPr>
            <w:r>
              <w:t>Общественный транспорт</w:t>
            </w:r>
          </w:p>
        </w:tc>
        <w:tc>
          <w:tcPr>
            <w:tcW w:w="4034" w:type="dxa"/>
            <w:tcBorders>
              <w:bottom w:val="nil"/>
            </w:tcBorders>
            <w:tcMar>
              <w:top w:w="57" w:type="dxa"/>
              <w:bottom w:w="57" w:type="dxa"/>
            </w:tcMar>
          </w:tcPr>
          <w:p w:rsidR="00000000" w:rsidRDefault="00000000">
            <w:pPr>
              <w:spacing w:line="240" w:lineRule="auto"/>
            </w:pP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ind w:left="284"/>
            </w:pPr>
            <w:r>
              <w:t>Водитель-кондуктор</w:t>
            </w:r>
          </w:p>
        </w:tc>
        <w:tc>
          <w:tcPr>
            <w:tcW w:w="4034" w:type="dxa"/>
            <w:tcBorders>
              <w:top w:val="nil"/>
              <w:bottom w:val="nil"/>
            </w:tcBorders>
            <w:tcMar>
              <w:top w:w="57" w:type="dxa"/>
              <w:bottom w:w="57" w:type="dxa"/>
            </w:tcMar>
          </w:tcPr>
          <w:p w:rsidR="00000000" w:rsidRDefault="00000000">
            <w:pPr>
              <w:spacing w:line="240" w:lineRule="auto"/>
            </w:pPr>
            <w:r>
              <w:t>Месячная зарплата:  1 875 430</w:t>
            </w:r>
            <w:r>
              <w:br/>
              <w:t>Поденная плата:  72 132</w:t>
            </w: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ind w:left="284"/>
            </w:pPr>
            <w:r>
              <w:t>Водитель автобуса</w:t>
            </w:r>
          </w:p>
        </w:tc>
        <w:tc>
          <w:tcPr>
            <w:tcW w:w="4034" w:type="dxa"/>
            <w:tcBorders>
              <w:top w:val="nil"/>
              <w:bottom w:val="nil"/>
            </w:tcBorders>
            <w:tcMar>
              <w:top w:w="57" w:type="dxa"/>
              <w:bottom w:w="57" w:type="dxa"/>
            </w:tcMar>
          </w:tcPr>
          <w:p w:rsidR="00000000" w:rsidRDefault="00000000">
            <w:pPr>
              <w:spacing w:line="240" w:lineRule="auto"/>
            </w:pPr>
            <w:r>
              <w:t>Месячная зарплата:  1 505 241</w:t>
            </w:r>
            <w:r>
              <w:br/>
              <w:t>Поденная плата:  57 894</w:t>
            </w:r>
          </w:p>
        </w:tc>
      </w:tr>
      <w:tr w:rsidR="00000000">
        <w:tblPrEx>
          <w:tblCellMar>
            <w:top w:w="57" w:type="dxa"/>
            <w:bottom w:w="57" w:type="dxa"/>
          </w:tblCellMar>
        </w:tblPrEx>
        <w:trPr>
          <w:cantSplit/>
        </w:trPr>
        <w:tc>
          <w:tcPr>
            <w:tcW w:w="5376" w:type="dxa"/>
            <w:tcBorders>
              <w:top w:val="nil"/>
              <w:bottom w:val="single" w:sz="4" w:space="0" w:color="auto"/>
            </w:tcBorders>
            <w:tcMar>
              <w:top w:w="57" w:type="dxa"/>
              <w:bottom w:w="57" w:type="dxa"/>
            </w:tcMar>
          </w:tcPr>
          <w:p w:rsidR="00000000" w:rsidRDefault="00000000">
            <w:pPr>
              <w:spacing w:line="240" w:lineRule="auto"/>
              <w:ind w:left="284"/>
            </w:pPr>
            <w:r>
              <w:t>Кондуктор и/или охранник</w:t>
            </w:r>
          </w:p>
        </w:tc>
        <w:tc>
          <w:tcPr>
            <w:tcW w:w="4034" w:type="dxa"/>
            <w:tcBorders>
              <w:top w:val="nil"/>
              <w:bottom w:val="single" w:sz="4" w:space="0" w:color="auto"/>
            </w:tcBorders>
            <w:tcMar>
              <w:top w:w="57" w:type="dxa"/>
              <w:bottom w:w="57" w:type="dxa"/>
            </w:tcMar>
          </w:tcPr>
          <w:p w:rsidR="00000000" w:rsidRDefault="00000000">
            <w:pPr>
              <w:spacing w:line="240" w:lineRule="auto"/>
            </w:pPr>
            <w:r>
              <w:t>Месячная зарплата:  1 488 241</w:t>
            </w:r>
            <w:r>
              <w:br/>
              <w:t>Поденная плата:  57 240</w:t>
            </w:r>
          </w:p>
        </w:tc>
      </w:tr>
      <w:tr w:rsidR="00000000">
        <w:tblPrEx>
          <w:tblCellMar>
            <w:top w:w="57" w:type="dxa"/>
            <w:bottom w:w="57" w:type="dxa"/>
          </w:tblCellMar>
        </w:tblPrEx>
        <w:trPr>
          <w:cantSplit/>
        </w:trPr>
        <w:tc>
          <w:tcPr>
            <w:tcW w:w="5376" w:type="dxa"/>
            <w:tcBorders>
              <w:bottom w:val="nil"/>
            </w:tcBorders>
            <w:tcMar>
              <w:top w:w="57" w:type="dxa"/>
              <w:bottom w:w="57" w:type="dxa"/>
            </w:tcMar>
          </w:tcPr>
          <w:p w:rsidR="00000000" w:rsidRDefault="00000000">
            <w:pPr>
              <w:keepNext/>
              <w:spacing w:line="240" w:lineRule="auto"/>
            </w:pPr>
            <w:r>
              <w:t>Работники животноводческих ферм</w:t>
            </w:r>
          </w:p>
        </w:tc>
        <w:tc>
          <w:tcPr>
            <w:tcW w:w="4034" w:type="dxa"/>
            <w:tcBorders>
              <w:bottom w:val="nil"/>
            </w:tcBorders>
            <w:tcMar>
              <w:top w:w="57" w:type="dxa"/>
              <w:bottom w:w="57" w:type="dxa"/>
            </w:tcMar>
          </w:tcPr>
          <w:p w:rsidR="00000000" w:rsidRDefault="00000000">
            <w:pPr>
              <w:keepNext/>
              <w:spacing w:line="240" w:lineRule="auto"/>
            </w:pP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ind w:left="284"/>
            </w:pPr>
            <w:r>
              <w:t xml:space="preserve">Категория </w:t>
            </w:r>
            <w:r>
              <w:rPr>
                <w:lang w:val="fr-FR"/>
              </w:rPr>
              <w:t>A</w:t>
            </w:r>
            <w:r>
              <w:t xml:space="preserve"> (от 1 до 4</w:t>
            </w:r>
            <w:r>
              <w:rPr>
                <w:lang w:val="fr-FR"/>
              </w:rPr>
              <w:t> </w:t>
            </w:r>
            <w:r>
              <w:t>000 голов скота)</w:t>
            </w:r>
          </w:p>
        </w:tc>
        <w:tc>
          <w:tcPr>
            <w:tcW w:w="4034" w:type="dxa"/>
            <w:tcBorders>
              <w:top w:val="nil"/>
              <w:bottom w:val="nil"/>
            </w:tcBorders>
            <w:tcMar>
              <w:top w:w="57" w:type="dxa"/>
              <w:bottom w:w="57" w:type="dxa"/>
            </w:tcMar>
          </w:tcPr>
          <w:p w:rsidR="00000000" w:rsidRDefault="00000000">
            <w:pPr>
              <w:spacing w:line="240" w:lineRule="auto"/>
            </w:pPr>
            <w:r>
              <w:t>Месячная зарплата:  433 456</w:t>
            </w:r>
            <w:r>
              <w:br/>
              <w:t>Поденная плата:  16 671</w:t>
            </w:r>
          </w:p>
        </w:tc>
      </w:tr>
      <w:tr w:rsidR="00000000">
        <w:tblPrEx>
          <w:tblCellMar>
            <w:top w:w="57" w:type="dxa"/>
            <w:bottom w:w="57" w:type="dxa"/>
          </w:tblCellMar>
        </w:tblPrEx>
        <w:trPr>
          <w:cantSplit/>
        </w:trPr>
        <w:tc>
          <w:tcPr>
            <w:tcW w:w="5376" w:type="dxa"/>
            <w:tcBorders>
              <w:top w:val="nil"/>
              <w:bottom w:val="single" w:sz="4" w:space="0" w:color="auto"/>
            </w:tcBorders>
            <w:tcMar>
              <w:top w:w="57" w:type="dxa"/>
              <w:bottom w:w="57" w:type="dxa"/>
            </w:tcMar>
          </w:tcPr>
          <w:p w:rsidR="00000000" w:rsidRDefault="00000000">
            <w:pPr>
              <w:spacing w:line="240" w:lineRule="auto"/>
              <w:ind w:left="284"/>
            </w:pPr>
            <w:r>
              <w:t xml:space="preserve">Категория </w:t>
            </w:r>
            <w:r>
              <w:rPr>
                <w:lang w:val="fr-FR"/>
              </w:rPr>
              <w:t>B</w:t>
            </w:r>
            <w:r>
              <w:t xml:space="preserve"> (4 001 и более голов скота)</w:t>
            </w:r>
          </w:p>
        </w:tc>
        <w:tc>
          <w:tcPr>
            <w:tcW w:w="4034" w:type="dxa"/>
            <w:tcBorders>
              <w:top w:val="nil"/>
              <w:bottom w:val="single" w:sz="4" w:space="0" w:color="auto"/>
            </w:tcBorders>
            <w:tcMar>
              <w:top w:w="57" w:type="dxa"/>
              <w:bottom w:w="57" w:type="dxa"/>
            </w:tcMar>
          </w:tcPr>
          <w:p w:rsidR="00000000" w:rsidRDefault="00000000">
            <w:pPr>
              <w:spacing w:line="240" w:lineRule="auto"/>
            </w:pPr>
            <w:r>
              <w:t>Месячная зарплата:  595 920</w:t>
            </w:r>
            <w:r>
              <w:br/>
              <w:t>Поденная плата:  22 920</w:t>
            </w:r>
          </w:p>
        </w:tc>
      </w:tr>
      <w:tr w:rsidR="00000000">
        <w:tblPrEx>
          <w:tblCellMar>
            <w:top w:w="57" w:type="dxa"/>
            <w:bottom w:w="57" w:type="dxa"/>
          </w:tblCellMar>
        </w:tblPrEx>
        <w:trPr>
          <w:cantSplit/>
        </w:trPr>
        <w:tc>
          <w:tcPr>
            <w:tcW w:w="5376" w:type="dxa"/>
            <w:tcBorders>
              <w:bottom w:val="nil"/>
            </w:tcBorders>
            <w:tcMar>
              <w:top w:w="57" w:type="dxa"/>
              <w:bottom w:w="57" w:type="dxa"/>
            </w:tcMar>
          </w:tcPr>
          <w:p w:rsidR="00000000" w:rsidRDefault="00000000">
            <w:pPr>
              <w:keepNext/>
              <w:spacing w:line="240" w:lineRule="auto"/>
            </w:pPr>
            <w:r>
              <w:t>Механические мастерские</w:t>
            </w:r>
          </w:p>
        </w:tc>
        <w:tc>
          <w:tcPr>
            <w:tcW w:w="4034" w:type="dxa"/>
            <w:tcBorders>
              <w:bottom w:val="nil"/>
            </w:tcBorders>
            <w:tcMar>
              <w:top w:w="57" w:type="dxa"/>
              <w:bottom w:w="57" w:type="dxa"/>
            </w:tcMar>
          </w:tcPr>
          <w:p w:rsidR="00000000" w:rsidRDefault="00000000">
            <w:pPr>
              <w:keepNext/>
              <w:spacing w:line="240" w:lineRule="auto"/>
            </w:pP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keepNext/>
              <w:spacing w:line="240" w:lineRule="auto"/>
              <w:ind w:left="284"/>
            </w:pPr>
            <w:r>
              <w:t>Мастер первой категории</w:t>
            </w:r>
          </w:p>
        </w:tc>
        <w:tc>
          <w:tcPr>
            <w:tcW w:w="4034" w:type="dxa"/>
            <w:tcBorders>
              <w:top w:val="nil"/>
              <w:bottom w:val="nil"/>
            </w:tcBorders>
            <w:tcMar>
              <w:top w:w="57" w:type="dxa"/>
              <w:bottom w:w="57" w:type="dxa"/>
            </w:tcMar>
          </w:tcPr>
          <w:p w:rsidR="00000000" w:rsidRDefault="00000000">
            <w:pPr>
              <w:keepNext/>
              <w:spacing w:line="240" w:lineRule="auto"/>
            </w:pPr>
            <w:r>
              <w:t>Месячная зарплата:  1 587 933</w:t>
            </w:r>
            <w:r>
              <w:br/>
              <w:t>Поденная плата:  61 074</w:t>
            </w:r>
          </w:p>
        </w:tc>
      </w:tr>
      <w:tr w:rsidR="00000000">
        <w:tblPrEx>
          <w:tblCellMar>
            <w:top w:w="57" w:type="dxa"/>
            <w:bottom w:w="57" w:type="dxa"/>
          </w:tblCellMar>
        </w:tblPrEx>
        <w:trPr>
          <w:cantSplit/>
        </w:trPr>
        <w:tc>
          <w:tcPr>
            <w:tcW w:w="5376" w:type="dxa"/>
            <w:tcBorders>
              <w:top w:val="nil"/>
              <w:bottom w:val="nil"/>
            </w:tcBorders>
            <w:tcMar>
              <w:top w:w="57" w:type="dxa"/>
              <w:bottom w:w="57" w:type="dxa"/>
            </w:tcMar>
          </w:tcPr>
          <w:p w:rsidR="00000000" w:rsidRDefault="00000000">
            <w:pPr>
              <w:spacing w:line="240" w:lineRule="auto"/>
              <w:ind w:left="284"/>
            </w:pPr>
            <w:r>
              <w:t>Мастер второй категории</w:t>
            </w:r>
          </w:p>
        </w:tc>
        <w:tc>
          <w:tcPr>
            <w:tcW w:w="4034" w:type="dxa"/>
            <w:tcBorders>
              <w:top w:val="nil"/>
              <w:bottom w:val="nil"/>
            </w:tcBorders>
            <w:tcMar>
              <w:top w:w="57" w:type="dxa"/>
              <w:bottom w:w="57" w:type="dxa"/>
            </w:tcMar>
          </w:tcPr>
          <w:p w:rsidR="00000000" w:rsidRDefault="00000000">
            <w:pPr>
              <w:spacing w:line="240" w:lineRule="auto"/>
            </w:pPr>
            <w:r>
              <w:t>Месячная зарплата:  1 460 150</w:t>
            </w:r>
            <w:r>
              <w:br/>
              <w:t>Поденная плата:  56 60</w:t>
            </w:r>
          </w:p>
        </w:tc>
      </w:tr>
      <w:tr w:rsidR="00000000">
        <w:tblPrEx>
          <w:tblCellMar>
            <w:top w:w="57" w:type="dxa"/>
            <w:bottom w:w="57" w:type="dxa"/>
          </w:tblCellMar>
        </w:tblPrEx>
        <w:trPr>
          <w:cantSplit/>
        </w:trPr>
        <w:tc>
          <w:tcPr>
            <w:tcW w:w="5376" w:type="dxa"/>
            <w:tcBorders>
              <w:top w:val="nil"/>
            </w:tcBorders>
            <w:tcMar>
              <w:top w:w="57" w:type="dxa"/>
              <w:bottom w:w="57" w:type="dxa"/>
            </w:tcMar>
          </w:tcPr>
          <w:p w:rsidR="00000000" w:rsidRDefault="00000000">
            <w:pPr>
              <w:spacing w:line="240" w:lineRule="auto"/>
              <w:ind w:left="284"/>
            </w:pPr>
            <w:r>
              <w:t>Помощник</w:t>
            </w:r>
          </w:p>
        </w:tc>
        <w:tc>
          <w:tcPr>
            <w:tcW w:w="4034" w:type="dxa"/>
            <w:tcBorders>
              <w:top w:val="nil"/>
            </w:tcBorders>
            <w:tcMar>
              <w:top w:w="57" w:type="dxa"/>
              <w:bottom w:w="57" w:type="dxa"/>
            </w:tcMar>
          </w:tcPr>
          <w:p w:rsidR="00000000" w:rsidRDefault="00000000">
            <w:pPr>
              <w:spacing w:line="240" w:lineRule="auto"/>
            </w:pPr>
            <w:r>
              <w:t>Месячная зарплата:  1 69 24</w:t>
            </w:r>
            <w:r>
              <w:br/>
              <w:t>Поденная плата:  52 655</w:t>
            </w:r>
          </w:p>
        </w:tc>
      </w:tr>
    </w:tbl>
    <w:p w:rsidR="00000000" w:rsidRDefault="00000000">
      <w:pPr>
        <w:rPr>
          <w:bCs/>
        </w:rPr>
      </w:pPr>
    </w:p>
    <w:p w:rsidR="00000000" w:rsidRDefault="00000000">
      <w:r>
        <w:rPr>
          <w:bCs/>
        </w:rPr>
        <w:t xml:space="preserve">197 </w:t>
      </w:r>
      <w:r>
        <w:rPr>
          <w:bCs/>
        </w:rPr>
        <w:tab/>
        <w:t>Существуют различные механизмы контроля, призванные обеспечить действие положений по МРОТ, и в частности инспекции в целях проверки условий труда, проводимые такими различные учреждениями, как прокуратура, Главное управление по миграции и министерство юстиции и труда.  При каждой такой инспекции проверяется практическое соблюдение требований о МРОТ на предприятиях, а также контролируются все аспекты охраны труда, такие как медицинское страхование и соблюдение гигиены труда.  С другой стороны, не существует правовых механизмов для применения выговоров или санкций на основе оценки производительности труда работников.</w:t>
      </w:r>
    </w:p>
    <w:p w:rsidR="00000000" w:rsidRDefault="00000000"/>
    <w:p w:rsidR="00000000" w:rsidRDefault="00000000">
      <w:pPr>
        <w:rPr>
          <w:b/>
          <w:bCs/>
        </w:rPr>
      </w:pPr>
      <w:r>
        <w:rPr>
          <w:b/>
          <w:bCs/>
        </w:rPr>
        <w:t>3.</w:t>
      </w:r>
      <w:r>
        <w:rPr>
          <w:b/>
          <w:bCs/>
        </w:rPr>
        <w:tab/>
        <w:t>Равное вознаграждение за труд равной ценности</w:t>
      </w:r>
    </w:p>
    <w:p w:rsidR="00000000" w:rsidRDefault="00000000">
      <w:pPr>
        <w:rPr>
          <w:b/>
          <w:bCs/>
        </w:rPr>
      </w:pPr>
    </w:p>
    <w:p w:rsidR="00000000" w:rsidRDefault="00000000">
      <w:r>
        <w:t>198.</w:t>
      </w:r>
      <w:r>
        <w:tab/>
        <w:t>Хотя равное вознаграждение за труд равной ценности без какой бы то ни было дискриминации гарантируется законом, в действительности еще отмечаются случаи обратного.  Поэтому в ряде статистических данных о положении женщин в сфере труда отмечается определенная степень дискриминации, устранение которой предусмотрено Национальным планом по обеспечению равенства возможностей, осуществляемым Секретариатом по делам женщин при президенте Республики.  Что касается неравенства в доходах, то занятые женщины получают на основной работе на 28,1% меньше мужчин</w:t>
      </w:r>
      <w:r>
        <w:rPr>
          <w:rStyle w:val="FootnoteReference"/>
        </w:rPr>
        <w:footnoteReference w:id="19"/>
      </w:r>
      <w:r>
        <w:t xml:space="preserve">.  Трудовые инспекции министерства юстиции и труда проверяют выполнение положений, закрепляющих принцип равенства.  В случае невыполнения соответствующих положений проводится административное расследование в отношении работодателя и накладываются штрафы.  </w:t>
      </w:r>
    </w:p>
    <w:p w:rsidR="00000000" w:rsidRDefault="00000000"/>
    <w:p w:rsidR="00000000" w:rsidRDefault="00000000">
      <w:r>
        <w:t>199.</w:t>
      </w:r>
      <w:r>
        <w:tab/>
        <w:t>Кроме того, в структуре министерства юстиции и труда имеется Управление по улучшению положения трудящихся женщин, которое дает консультации и участвует в арбитражных разбирательствах по жалобам на дискриминацию.  В то же время оно поощряет проведение кампаний по повышению уровня информированности в отношении дискриминации в сфере труда и занятий, само участвует в них и сотрудничает в их реализации.  Помимо этого, министерство юстиции и труда входит в состав межучрежденческого органа по наблюдению за осуществлением КЛДОЖ.</w:t>
      </w:r>
    </w:p>
    <w:p w:rsidR="00000000" w:rsidRDefault="00000000"/>
    <w:p w:rsidR="00000000" w:rsidRDefault="00000000">
      <w:r>
        <w:t>200.</w:t>
      </w:r>
      <w:r>
        <w:tab/>
        <w:t>К числу других обязанностей Управления по улучшению положения трудящихся женщин относится следующее:</w:t>
      </w:r>
    </w:p>
    <w:p w:rsidR="00000000" w:rsidRDefault="00000000"/>
    <w:p w:rsidR="00000000" w:rsidRDefault="00000000">
      <w:pPr>
        <w:numPr>
          <w:ilvl w:val="0"/>
          <w:numId w:val="91"/>
        </w:numPr>
      </w:pPr>
      <w:r>
        <w:t>координация деятельности Национальной трехсторонней комиссии по обеспечению равенства возможностей в сфере труда;</w:t>
      </w:r>
    </w:p>
    <w:p w:rsidR="00000000" w:rsidRDefault="00000000">
      <w:pPr>
        <w:ind w:left="1134"/>
      </w:pPr>
    </w:p>
    <w:p w:rsidR="00000000" w:rsidRDefault="00000000">
      <w:pPr>
        <w:numPr>
          <w:ilvl w:val="0"/>
          <w:numId w:val="91"/>
        </w:numPr>
      </w:pPr>
      <w:r>
        <w:t>техническая помощь и юридическое консультирование трудящихся женщин по трудовым правам;</w:t>
      </w:r>
    </w:p>
    <w:p w:rsidR="00000000" w:rsidRDefault="00000000">
      <w:pPr>
        <w:ind w:left="1134"/>
      </w:pPr>
    </w:p>
    <w:p w:rsidR="00000000" w:rsidRDefault="00000000">
      <w:pPr>
        <w:numPr>
          <w:ilvl w:val="0"/>
          <w:numId w:val="91"/>
        </w:numPr>
      </w:pPr>
      <w:r>
        <w:t>организация учебных и пропагандистских мероприятий;</w:t>
      </w:r>
    </w:p>
    <w:p w:rsidR="00000000" w:rsidRDefault="00000000">
      <w:pPr>
        <w:ind w:left="1134"/>
      </w:pPr>
    </w:p>
    <w:p w:rsidR="00000000" w:rsidRDefault="00000000">
      <w:pPr>
        <w:numPr>
          <w:ilvl w:val="0"/>
          <w:numId w:val="91"/>
        </w:numPr>
      </w:pPr>
      <w:r>
        <w:t>осуществление Программы по обеспечению доступа женщин к ресурсам и труду с целью внесения вклада в достижение равенства возможностей мужчин и женщин в доступе к экономическим ресурсам и труду, управлении и пользовании их благами.  Цель Программы состоит в создании поля деятельности для практической реализации гендерной перспективы в политике в области занятости и на рынке труда.  Для этого существуют нормативные рамки, которые включают национальные и международные правовые нормы.</w:t>
      </w:r>
    </w:p>
    <w:p w:rsidR="00000000" w:rsidRDefault="00000000"/>
    <w:p w:rsidR="00000000" w:rsidRDefault="00000000">
      <w:pPr>
        <w:ind w:left="561" w:hanging="561"/>
      </w:pPr>
      <w:r>
        <w:t>201.</w:t>
      </w:r>
      <w:r>
        <w:tab/>
        <w:t>Упомянутая Программа состоит из трех компонентов:</w:t>
      </w:r>
    </w:p>
    <w:p w:rsidR="00000000" w:rsidRDefault="00000000">
      <w:pPr>
        <w:ind w:left="561" w:hanging="561"/>
      </w:pPr>
    </w:p>
    <w:p w:rsidR="00000000" w:rsidRDefault="00000000">
      <w:pPr>
        <w:numPr>
          <w:ilvl w:val="0"/>
          <w:numId w:val="92"/>
        </w:numPr>
      </w:pPr>
      <w:r>
        <w:t>подразделение поддержки в деле учета гендерной перспективы основной деятельности гендерной перспективы;</w:t>
      </w:r>
    </w:p>
    <w:p w:rsidR="00000000" w:rsidRDefault="00000000"/>
    <w:p w:rsidR="00000000" w:rsidRDefault="00000000">
      <w:pPr>
        <w:numPr>
          <w:ilvl w:val="0"/>
          <w:numId w:val="92"/>
        </w:numPr>
      </w:pPr>
      <w:r>
        <w:t>подразделение поддержки продуктивного предпринимательства;</w:t>
      </w:r>
    </w:p>
    <w:p w:rsidR="00000000" w:rsidRDefault="00000000"/>
    <w:p w:rsidR="00000000" w:rsidRDefault="00000000">
      <w:pPr>
        <w:numPr>
          <w:ilvl w:val="0"/>
          <w:numId w:val="92"/>
        </w:numPr>
      </w:pPr>
      <w:r>
        <w:t>подразделение поддержки в деле создания производственных циклов.</w:t>
      </w:r>
    </w:p>
    <w:p w:rsidR="00000000" w:rsidRDefault="00000000"/>
    <w:p w:rsidR="00000000" w:rsidRDefault="00000000">
      <w:r>
        <w:t>202.</w:t>
      </w:r>
      <w:r>
        <w:tab/>
        <w:t>Кроме того, для Программы существуют координационный пункт в лице Управления по улучшению социального положения трудящихся женщин, деятельность которого направлена на обеспечения учета гендерной перспективы в основной деятельности по реализации политики в области занятости, а также межведомственная группа планирования в составе представителей всех участвующих в этой деятельности инстанций, которая занимается поощрением социального диалога и постоянно осуществляет мониторинг и оценку политики в этой области.</w:t>
      </w:r>
    </w:p>
    <w:p w:rsidR="00000000" w:rsidRDefault="00000000"/>
    <w:p w:rsidR="00000000" w:rsidRDefault="00000000">
      <w:r>
        <w:t>203.</w:t>
      </w:r>
      <w:r>
        <w:tab/>
        <w:t xml:space="preserve">Программа была разработана в сотрудничестве с МОТ, и в настоящее время с Секретариатам по делам женщин проводятся совещания для выработки программы действий, призванных обеспечить ее реализацию.  </w:t>
      </w:r>
    </w:p>
    <w:p w:rsidR="00000000" w:rsidRDefault="00000000"/>
    <w:p w:rsidR="00000000" w:rsidRDefault="00000000">
      <w:r>
        <w:t>204.</w:t>
      </w:r>
      <w:r>
        <w:tab/>
        <w:t>Помимо этого, после ратификации в 1986 году Конвенции о ликвидации всех форм дискриминации в отношении женщин были приняты меры для создания правовых норм, касающихся обеспечения равноправия и внесения в другие законы изменений, предусматривающих ликвидацию дискриминации по признаку пола и равноправие мужчин и женщин.  Секретариат по делам женщин поощряет осуществление международных договоров, которые со временем образуют часть парагвайской правовой системы.  На их основе были разработаны конкретные планы, программы и проекты, которые создали благоприятные условия для более широкого участия женщин в трудовой деятельности и работе общинных организаций, однако таких мер все еще недостаточно.  Несмотря на то, что в плане доступа к ресурсам и развитию от дискриминации страдают все женщины в целом, такая дискриминация в наибольшей степени затрагивает сельских женщин и женщин из числа этнических групп.  В 2003 году в структуре Секретариата было создано Управление по децентрализации, в задачи которого входит разработка стратегий, позволяющих государству играть более активную роль в этих областях.</w:t>
      </w:r>
    </w:p>
    <w:p w:rsidR="00000000" w:rsidRDefault="00000000">
      <w:pPr>
        <w:ind w:left="561" w:hanging="561"/>
      </w:pPr>
    </w:p>
    <w:p w:rsidR="00000000" w:rsidRDefault="00000000">
      <w:r>
        <w:t>205.</w:t>
      </w:r>
      <w:r>
        <w:tab/>
        <w:t>Важно отметить, что Парагвай устранил задолженность по периодическим докладам Комитету КЛДОЖ, представив в январе 2005 года свой доклад, замечания по которому получили широкое распространение, а для выполнения вынесенных рекомендаций была сформирована межведомственная комиссия по вопросам применения положений КЛДОЖ, которая имеет всеобъемлющий план работы.</w:t>
      </w:r>
    </w:p>
    <w:p w:rsidR="00000000" w:rsidRDefault="00000000"/>
    <w:p w:rsidR="00000000" w:rsidRDefault="00000000">
      <w:r>
        <w:t>206.</w:t>
      </w:r>
      <w:r>
        <w:tab/>
        <w:t>Кроме того, Секретариат по делам женщин с июня 2004 года проводит кампанию "Равные во всем", в рамках которой по радио и телевидению транслируют рекламные ролики на тему "Дискриминация по месту работы".  В их основе два сюжета.  Первый:  по причине беременности кандидатура женщины не рассматривается при заполнении открывшейся вакансии.  Второй:  за одну и ту же работу женщины и мужчины получают разное вознаграждение, причем у женщины оно меньше.  К числу приоритетных тем упомянутой кампании относятся следующие:  насилие в отношении женщин, равенство прав по месту работы, здравоохранение, возможность получения образования, вовлеченность женщин в социальную и политическую жизнь.  Главным результатом проводящейся кампании стало увеличение количества полученных от населения жалоб о случаях насилия в отношении женщин.  Новой темой заявлений, поступающих в Секретариат по делам женщин, стала дискриминация на работе по признаку пола.  В настоящее время кампания "Равные во всем" активно продолжается.</w:t>
      </w:r>
    </w:p>
    <w:p w:rsidR="00000000" w:rsidRDefault="00000000"/>
    <w:p w:rsidR="00000000" w:rsidRDefault="00000000">
      <w:r>
        <w:t>207.</w:t>
      </w:r>
      <w:r>
        <w:tab/>
        <w:t xml:space="preserve">Тем не менее остаются группы трудящихся, которым не обеспечиваются равные возможности в плане труда и заработной платы.  Это частично занятые работники и работники неформального сектора, в том числе домашняя прислуга и сельхозрабочие.  Согласно данным Постоянного </w:t>
      </w:r>
      <w:r>
        <w:rPr>
          <w:bCs/>
        </w:rPr>
        <w:t>обследования домашних хозяйств, проведенного</w:t>
      </w:r>
      <w:r>
        <w:t xml:space="preserve"> в 2004</w:t>
      </w:r>
      <w:r>
        <w:rPr>
          <w:lang w:val="en-US"/>
        </w:rPr>
        <w:t> </w:t>
      </w:r>
      <w:r>
        <w:t>году, доля частично занятых достигала 24,2%, причем из них 21,8% - мужчины и 27,7% - женщины.  К неформальному сектору относятся работники, которые трудятся индивидуально (самозанятые), а также на предприятиях, штатная численность персонала которых не превышает 5 человек.  В общей сложности работники этих категорий составляют 69,8% занятого населения.</w:t>
      </w:r>
    </w:p>
    <w:p w:rsidR="00000000" w:rsidRDefault="00000000"/>
    <w:p w:rsidR="00000000" w:rsidRDefault="00000000">
      <w:r>
        <w:t>208.</w:t>
      </w:r>
      <w:r>
        <w:tab/>
        <w:t>Положение женщин, работающих в качестве домашней прислуги, самое незавидное:  95% из них получают зарплату, гораздо меньше установленной законом, они не имеют права на получение социальных льгот и выплат на нужды семьи, их рабочее время не нормировано, а социальное страхование реально действует лишь в отношении тех, кто прописан в столице.  Согласно исследованиям МОТ, одна из наиболее распространенных причин увольнения женщин, работающих в качестве домашней прислуги, - беременность, хотя, наоборот, именно это обстоятельство должно бы обеспечивать им соцзащиту.</w:t>
      </w:r>
    </w:p>
    <w:p w:rsidR="00000000" w:rsidRDefault="00000000"/>
    <w:p w:rsidR="00000000" w:rsidRDefault="00000000">
      <w:pPr>
        <w:rPr>
          <w:b/>
          <w:bCs/>
        </w:rPr>
      </w:pPr>
      <w:r>
        <w:rPr>
          <w:b/>
          <w:bCs/>
        </w:rPr>
        <w:t>4.</w:t>
      </w:r>
      <w:r>
        <w:rPr>
          <w:b/>
          <w:bCs/>
        </w:rPr>
        <w:tab/>
      </w:r>
      <w:r>
        <w:rPr>
          <w:b/>
        </w:rPr>
        <w:t>Меры, принятые для устранения дискриминации по месту работы</w:t>
      </w:r>
    </w:p>
    <w:p w:rsidR="00000000" w:rsidRDefault="00000000"/>
    <w:p w:rsidR="00000000" w:rsidRDefault="00000000">
      <w:r>
        <w:t>209.</w:t>
      </w:r>
      <w:r>
        <w:tab/>
        <w:t>Хотя в нормативно-правовой базе страны равенство возможностей закреплено законодательно, тем не менее требуются специальные меры, которые гарантировали бы доступ женщин к достойному труду и продвижению по службе.  Именно поэтому был подготовлен проект закона о равенстве возможностей и равном отношении к женщинам и мужчинам по месту работы и на государственной службе, в разработке которого участвовал Секретариат по делам женщин.  В настоящее время он находится на рассмотрении в парламенте.</w:t>
      </w:r>
    </w:p>
    <w:p w:rsidR="00000000" w:rsidRDefault="00000000"/>
    <w:p w:rsidR="00000000" w:rsidRDefault="00000000">
      <w:r>
        <w:t>210.</w:t>
      </w:r>
      <w:r>
        <w:tab/>
        <w:t>Секретариат по делам женщин совместно с Центром документации и исследований провел рабочие совещания, посвященные положению женщин (мужчин), которые работают в качестве домашней прислуги.  Принявшие в них участие представители женских и профсоюзных организаций, государственных учреждений и Института социального обеспечения подготовили рабочие документы, которые легли в основу соглашения, подписанного между министерством юстиции и труда и Секретариатом по делам женщин.  Также были организованы конференции и лекции, направленные на расширение знаний и повышение квалификации у женщин - индивидуальных предпринимателей.  Эти мероприятия проходили в столице при поддержке Института социального обеспечения и некоторых профсоюзных организаций страны.</w:t>
      </w:r>
    </w:p>
    <w:p w:rsidR="00000000" w:rsidRDefault="00000000"/>
    <w:p w:rsidR="00000000" w:rsidRDefault="00000000">
      <w:r>
        <w:t>211.</w:t>
      </w:r>
      <w:r>
        <w:tab/>
        <w:t xml:space="preserve">Со своей стороны министерство юстиции и труда выступило инициатором диалога с предпринимателями и промышленниками, целью которого было гарантировать доступ женщин к достойной работе, к руководящим должностям, а также обеспечить равную оплату за равный труд.  Даже в Трудовом кодексе отмечается, что именно у работников (женщин и мужчин), занятых в качестве домашней прислуги, заработная плата ниже минимального уровня, они наиболее уязвимы с точки зрения условий трудовой деятельности, у них самый большой по продолжительности рабочий день и т.д.  В стране действует Национальная трехсторонняя комиссия по изучению и обеспечению равенства </w:t>
      </w:r>
    </w:p>
    <w:p w:rsidR="00000000" w:rsidRDefault="00000000">
      <w:r>
        <w:br w:type="page"/>
        <w:t>участия женщин в трудовой деятельности</w:t>
      </w:r>
      <w:r>
        <w:rPr>
          <w:rStyle w:val="FootnoteReference"/>
        </w:rPr>
        <w:footnoteReference w:id="20"/>
      </w:r>
      <w:r>
        <w:t>, которая при поддержке Центра документации и исследований (неправительственная организация) с участием и помощью Секретариата по делам женщин провела анализ и изучение данного положения, с тем чтобы обеспечить женщинам равные возможности по месту работы.  Ниже конкретизируются результаты работы указанной Трехсторонней комиссии:</w:t>
      </w:r>
    </w:p>
    <w:p w:rsidR="00000000" w:rsidRDefault="00000000"/>
    <w:tbl>
      <w:tblPr>
        <w:tblW w:w="0" w:type="auto"/>
        <w:tblInd w:w="70" w:type="dxa"/>
        <w:tblLayout w:type="fixed"/>
        <w:tblCellMar>
          <w:left w:w="70" w:type="dxa"/>
          <w:right w:w="70" w:type="dxa"/>
        </w:tblCellMar>
        <w:tblLook w:val="0000" w:firstRow="0" w:lastRow="0" w:firstColumn="0" w:lastColumn="0" w:noHBand="0" w:noVBand="0"/>
      </w:tblPr>
      <w:tblGrid>
        <w:gridCol w:w="3060"/>
        <w:gridCol w:w="902"/>
        <w:gridCol w:w="966"/>
        <w:gridCol w:w="965"/>
        <w:gridCol w:w="910"/>
        <w:gridCol w:w="966"/>
        <w:gridCol w:w="910"/>
        <w:gridCol w:w="644"/>
      </w:tblGrid>
      <w:tr w:rsidR="00000000">
        <w:trPr>
          <w:trHeight w:val="360"/>
        </w:trPr>
        <w:tc>
          <w:tcPr>
            <w:tcW w:w="9323" w:type="dxa"/>
            <w:gridSpan w:val="8"/>
            <w:tcBorders>
              <w:top w:val="nil"/>
              <w:left w:val="nil"/>
              <w:bottom w:val="nil"/>
              <w:right w:val="nil"/>
            </w:tcBorders>
            <w:noWrap/>
            <w:vAlign w:val="bottom"/>
          </w:tcPr>
          <w:p w:rsidR="00000000" w:rsidRDefault="00000000">
            <w:pPr>
              <w:spacing w:line="216" w:lineRule="auto"/>
              <w:jc w:val="center"/>
              <w:rPr>
                <w:b/>
                <w:bCs/>
                <w:szCs w:val="28"/>
              </w:rPr>
            </w:pPr>
            <w:r>
              <w:rPr>
                <w:b/>
                <w:bCs/>
                <w:szCs w:val="28"/>
              </w:rPr>
              <w:t>Годовые доклады о деятельности Главного управления по делам труда министерства юстиции и труда</w:t>
            </w:r>
          </w:p>
        </w:tc>
      </w:tr>
      <w:tr w:rsidR="00000000">
        <w:trPr>
          <w:cantSplit/>
          <w:trHeight w:val="255"/>
        </w:trPr>
        <w:tc>
          <w:tcPr>
            <w:tcW w:w="9323" w:type="dxa"/>
            <w:gridSpan w:val="8"/>
            <w:tcBorders>
              <w:top w:val="nil"/>
              <w:left w:val="nil"/>
              <w:bottom w:val="nil"/>
              <w:right w:val="nil"/>
            </w:tcBorders>
            <w:noWrap/>
            <w:vAlign w:val="bottom"/>
          </w:tcPr>
          <w:p w:rsidR="00000000" w:rsidRDefault="00000000">
            <w:pPr>
              <w:spacing w:line="216" w:lineRule="auto"/>
            </w:pPr>
          </w:p>
        </w:tc>
      </w:tr>
      <w:tr w:rsidR="00000000">
        <w:trPr>
          <w:cantSplit/>
          <w:trHeight w:val="255"/>
        </w:trPr>
        <w:tc>
          <w:tcPr>
            <w:tcW w:w="3060" w:type="dxa"/>
            <w:vMerge w:val="restart"/>
            <w:tcBorders>
              <w:top w:val="single" w:sz="4" w:space="0" w:color="auto"/>
              <w:left w:val="single" w:sz="4" w:space="0" w:color="auto"/>
              <w:right w:val="single" w:sz="4" w:space="0" w:color="auto"/>
            </w:tcBorders>
            <w:noWrap/>
            <w:vAlign w:val="center"/>
          </w:tcPr>
          <w:p w:rsidR="00000000" w:rsidRDefault="00000000">
            <w:pPr>
              <w:spacing w:line="216" w:lineRule="auto"/>
              <w:jc w:val="center"/>
            </w:pPr>
          </w:p>
        </w:tc>
        <w:tc>
          <w:tcPr>
            <w:tcW w:w="5619" w:type="dxa"/>
            <w:gridSpan w:val="6"/>
            <w:tcBorders>
              <w:top w:val="single" w:sz="4" w:space="0" w:color="auto"/>
              <w:left w:val="nil"/>
              <w:bottom w:val="single" w:sz="4" w:space="0" w:color="auto"/>
              <w:right w:val="single" w:sz="4" w:space="0" w:color="000000"/>
            </w:tcBorders>
            <w:noWrap/>
            <w:vAlign w:val="bottom"/>
          </w:tcPr>
          <w:p w:rsidR="00000000" w:rsidRDefault="00000000">
            <w:pPr>
              <w:spacing w:line="216" w:lineRule="auto"/>
              <w:jc w:val="center"/>
              <w:rPr>
                <w:b/>
                <w:bCs/>
              </w:rPr>
            </w:pPr>
            <w:r>
              <w:rPr>
                <w:b/>
                <w:bCs/>
              </w:rPr>
              <w:t>Годы</w:t>
            </w:r>
          </w:p>
        </w:tc>
        <w:tc>
          <w:tcPr>
            <w:tcW w:w="644" w:type="dxa"/>
            <w:vMerge w:val="restart"/>
            <w:tcBorders>
              <w:top w:val="single" w:sz="4" w:space="0" w:color="auto"/>
              <w:left w:val="nil"/>
              <w:right w:val="single" w:sz="4" w:space="0" w:color="auto"/>
            </w:tcBorders>
            <w:noWrap/>
            <w:tcMar>
              <w:left w:w="0" w:type="dxa"/>
              <w:right w:w="0" w:type="dxa"/>
            </w:tcMar>
            <w:vAlign w:val="bottom"/>
          </w:tcPr>
          <w:p w:rsidR="00000000" w:rsidRDefault="00000000">
            <w:pPr>
              <w:spacing w:line="216" w:lineRule="auto"/>
              <w:jc w:val="center"/>
            </w:pPr>
            <w:r>
              <w:rPr>
                <w:b/>
                <w:bCs/>
              </w:rPr>
              <w:t>Всего</w:t>
            </w:r>
          </w:p>
        </w:tc>
      </w:tr>
      <w:tr w:rsidR="00000000">
        <w:trPr>
          <w:cantSplit/>
        </w:trPr>
        <w:tc>
          <w:tcPr>
            <w:tcW w:w="3060" w:type="dxa"/>
            <w:vMerge/>
            <w:tcBorders>
              <w:left w:val="single" w:sz="4" w:space="0" w:color="auto"/>
              <w:bottom w:val="single" w:sz="4" w:space="0" w:color="auto"/>
              <w:right w:val="single" w:sz="4" w:space="0" w:color="auto"/>
            </w:tcBorders>
            <w:noWrap/>
            <w:vAlign w:val="bottom"/>
          </w:tcPr>
          <w:p w:rsidR="00000000" w:rsidRDefault="00000000">
            <w:pPr>
              <w:spacing w:line="216" w:lineRule="auto"/>
              <w:rPr>
                <w:b/>
                <w:bCs/>
              </w:rPr>
            </w:pPr>
          </w:p>
        </w:tc>
        <w:tc>
          <w:tcPr>
            <w:tcW w:w="902" w:type="dxa"/>
            <w:tcBorders>
              <w:top w:val="nil"/>
              <w:left w:val="nil"/>
              <w:bottom w:val="single" w:sz="4" w:space="0" w:color="auto"/>
              <w:right w:val="single" w:sz="4" w:space="0" w:color="auto"/>
            </w:tcBorders>
            <w:noWrap/>
            <w:tcMar>
              <w:left w:w="0" w:type="dxa"/>
              <w:bottom w:w="28" w:type="dxa"/>
              <w:right w:w="0" w:type="dxa"/>
            </w:tcMar>
            <w:vAlign w:val="bottom"/>
          </w:tcPr>
          <w:p w:rsidR="00000000" w:rsidRDefault="00000000">
            <w:pPr>
              <w:spacing w:line="216" w:lineRule="auto"/>
              <w:rPr>
                <w:b/>
                <w:bCs/>
              </w:rPr>
            </w:pPr>
            <w:r>
              <w:rPr>
                <w:b/>
                <w:bCs/>
              </w:rPr>
              <w:t>2000 год</w:t>
            </w:r>
          </w:p>
        </w:tc>
        <w:tc>
          <w:tcPr>
            <w:tcW w:w="966" w:type="dxa"/>
            <w:tcBorders>
              <w:top w:val="nil"/>
              <w:left w:val="nil"/>
              <w:bottom w:val="single" w:sz="4" w:space="0" w:color="auto"/>
              <w:right w:val="single" w:sz="4" w:space="0" w:color="auto"/>
            </w:tcBorders>
            <w:noWrap/>
            <w:tcMar>
              <w:left w:w="0" w:type="dxa"/>
              <w:bottom w:w="28" w:type="dxa"/>
              <w:right w:w="0" w:type="dxa"/>
            </w:tcMar>
            <w:vAlign w:val="bottom"/>
          </w:tcPr>
          <w:p w:rsidR="00000000" w:rsidRDefault="00000000">
            <w:pPr>
              <w:spacing w:line="216" w:lineRule="auto"/>
              <w:rPr>
                <w:b/>
                <w:bCs/>
              </w:rPr>
            </w:pPr>
            <w:r>
              <w:rPr>
                <w:b/>
                <w:bCs/>
              </w:rPr>
              <w:t>2001 год</w:t>
            </w:r>
          </w:p>
        </w:tc>
        <w:tc>
          <w:tcPr>
            <w:tcW w:w="965" w:type="dxa"/>
            <w:tcBorders>
              <w:top w:val="nil"/>
              <w:left w:val="nil"/>
              <w:bottom w:val="single" w:sz="4" w:space="0" w:color="auto"/>
              <w:right w:val="single" w:sz="4" w:space="0" w:color="auto"/>
            </w:tcBorders>
            <w:noWrap/>
            <w:tcMar>
              <w:left w:w="0" w:type="dxa"/>
              <w:bottom w:w="28" w:type="dxa"/>
              <w:right w:w="0" w:type="dxa"/>
            </w:tcMar>
            <w:vAlign w:val="bottom"/>
          </w:tcPr>
          <w:p w:rsidR="00000000" w:rsidRDefault="00000000">
            <w:pPr>
              <w:spacing w:line="216" w:lineRule="auto"/>
              <w:rPr>
                <w:b/>
                <w:bCs/>
              </w:rPr>
            </w:pPr>
            <w:r>
              <w:rPr>
                <w:b/>
                <w:bCs/>
              </w:rPr>
              <w:t>2002 год</w:t>
            </w:r>
          </w:p>
        </w:tc>
        <w:tc>
          <w:tcPr>
            <w:tcW w:w="910" w:type="dxa"/>
            <w:tcBorders>
              <w:top w:val="nil"/>
              <w:left w:val="nil"/>
              <w:bottom w:val="single" w:sz="4" w:space="0" w:color="auto"/>
              <w:right w:val="single" w:sz="4" w:space="0" w:color="auto"/>
            </w:tcBorders>
            <w:noWrap/>
            <w:tcMar>
              <w:left w:w="0" w:type="dxa"/>
              <w:bottom w:w="28" w:type="dxa"/>
              <w:right w:w="0" w:type="dxa"/>
            </w:tcMar>
            <w:vAlign w:val="bottom"/>
          </w:tcPr>
          <w:p w:rsidR="00000000" w:rsidRDefault="00000000">
            <w:pPr>
              <w:spacing w:line="216" w:lineRule="auto"/>
              <w:rPr>
                <w:b/>
                <w:bCs/>
              </w:rPr>
            </w:pPr>
            <w:r>
              <w:rPr>
                <w:b/>
                <w:bCs/>
              </w:rPr>
              <w:t>2003 год</w:t>
            </w:r>
          </w:p>
        </w:tc>
        <w:tc>
          <w:tcPr>
            <w:tcW w:w="966" w:type="dxa"/>
            <w:tcBorders>
              <w:top w:val="nil"/>
              <w:left w:val="nil"/>
              <w:bottom w:val="single" w:sz="4" w:space="0" w:color="auto"/>
              <w:right w:val="single" w:sz="4" w:space="0" w:color="auto"/>
            </w:tcBorders>
            <w:noWrap/>
            <w:tcMar>
              <w:left w:w="0" w:type="dxa"/>
              <w:bottom w:w="28" w:type="dxa"/>
              <w:right w:w="0" w:type="dxa"/>
            </w:tcMar>
            <w:vAlign w:val="bottom"/>
          </w:tcPr>
          <w:p w:rsidR="00000000" w:rsidRDefault="00000000">
            <w:pPr>
              <w:spacing w:line="216" w:lineRule="auto"/>
              <w:rPr>
                <w:b/>
                <w:bCs/>
              </w:rPr>
            </w:pPr>
            <w:r>
              <w:rPr>
                <w:b/>
                <w:bCs/>
              </w:rPr>
              <w:t>2004 год</w:t>
            </w:r>
          </w:p>
        </w:tc>
        <w:tc>
          <w:tcPr>
            <w:tcW w:w="910" w:type="dxa"/>
            <w:tcBorders>
              <w:top w:val="nil"/>
              <w:left w:val="nil"/>
              <w:bottom w:val="single" w:sz="4" w:space="0" w:color="auto"/>
              <w:right w:val="single" w:sz="4" w:space="0" w:color="auto"/>
            </w:tcBorders>
            <w:noWrap/>
            <w:tcMar>
              <w:left w:w="0" w:type="dxa"/>
              <w:bottom w:w="28" w:type="dxa"/>
              <w:right w:w="0" w:type="dxa"/>
            </w:tcMar>
            <w:vAlign w:val="bottom"/>
          </w:tcPr>
          <w:p w:rsidR="00000000" w:rsidRDefault="00000000">
            <w:pPr>
              <w:spacing w:line="216" w:lineRule="auto"/>
              <w:rPr>
                <w:b/>
                <w:bCs/>
              </w:rPr>
            </w:pPr>
            <w:r>
              <w:rPr>
                <w:b/>
                <w:bCs/>
              </w:rPr>
              <w:t>2005 год</w:t>
            </w:r>
          </w:p>
        </w:tc>
        <w:tc>
          <w:tcPr>
            <w:tcW w:w="644" w:type="dxa"/>
            <w:vMerge/>
            <w:tcBorders>
              <w:left w:val="nil"/>
              <w:bottom w:val="single" w:sz="4" w:space="0" w:color="auto"/>
              <w:right w:val="single" w:sz="4" w:space="0" w:color="auto"/>
            </w:tcBorders>
            <w:noWrap/>
            <w:tcMar>
              <w:left w:w="0" w:type="dxa"/>
              <w:right w:w="0" w:type="dxa"/>
            </w:tcMar>
            <w:vAlign w:val="bottom"/>
          </w:tcPr>
          <w:p w:rsidR="00000000" w:rsidRDefault="00000000">
            <w:pPr>
              <w:spacing w:line="216" w:lineRule="auto"/>
              <w:rPr>
                <w:b/>
                <w:bCs/>
              </w:rPr>
            </w:pPr>
          </w:p>
        </w:tc>
      </w:tr>
      <w:tr w:rsidR="00000000">
        <w:trPr>
          <w:trHeight w:val="465"/>
        </w:trPr>
        <w:tc>
          <w:tcPr>
            <w:tcW w:w="3060" w:type="dxa"/>
            <w:tcBorders>
              <w:top w:val="nil"/>
              <w:left w:val="single" w:sz="4" w:space="0" w:color="auto"/>
              <w:bottom w:val="single" w:sz="4" w:space="0" w:color="auto"/>
              <w:right w:val="single" w:sz="4" w:space="0" w:color="auto"/>
            </w:tcBorders>
            <w:noWrap/>
            <w:tcMar>
              <w:top w:w="28" w:type="dxa"/>
              <w:bottom w:w="28" w:type="dxa"/>
            </w:tcMar>
            <w:vAlign w:val="bottom"/>
          </w:tcPr>
          <w:p w:rsidR="00000000" w:rsidRDefault="00000000">
            <w:pPr>
              <w:spacing w:before="40" w:after="40" w:line="216" w:lineRule="auto"/>
              <w:rPr>
                <w:b/>
                <w:bCs/>
              </w:rPr>
            </w:pPr>
            <w:r>
              <w:rPr>
                <w:b/>
                <w:bCs/>
              </w:rPr>
              <w:t>Результаты совещаний трехсторонней комиссии</w:t>
            </w:r>
          </w:p>
        </w:tc>
        <w:tc>
          <w:tcPr>
            <w:tcW w:w="902" w:type="dxa"/>
            <w:tcBorders>
              <w:top w:val="nil"/>
              <w:left w:val="nil"/>
              <w:bottom w:val="single" w:sz="4" w:space="0" w:color="auto"/>
              <w:right w:val="single" w:sz="4" w:space="0" w:color="auto"/>
            </w:tcBorders>
            <w:noWrap/>
            <w:tcMar>
              <w:top w:w="28" w:type="dxa"/>
              <w:bottom w:w="28" w:type="dxa"/>
            </w:tcMar>
            <w:vAlign w:val="bottom"/>
          </w:tcPr>
          <w:p w:rsidR="00000000" w:rsidRDefault="00000000">
            <w:pPr>
              <w:spacing w:before="40" w:after="40" w:line="216" w:lineRule="auto"/>
            </w:pPr>
            <w:r>
              <w:rPr>
                <w:lang w:val="en-US"/>
              </w:rPr>
              <w:t> </w:t>
            </w:r>
          </w:p>
        </w:tc>
        <w:tc>
          <w:tcPr>
            <w:tcW w:w="966" w:type="dxa"/>
            <w:tcBorders>
              <w:top w:val="nil"/>
              <w:left w:val="nil"/>
              <w:bottom w:val="single" w:sz="4" w:space="0" w:color="auto"/>
              <w:right w:val="single" w:sz="4" w:space="0" w:color="auto"/>
            </w:tcBorders>
            <w:noWrap/>
            <w:tcMar>
              <w:top w:w="28" w:type="dxa"/>
              <w:bottom w:w="28" w:type="dxa"/>
            </w:tcMar>
            <w:vAlign w:val="bottom"/>
          </w:tcPr>
          <w:p w:rsidR="00000000" w:rsidRDefault="00000000">
            <w:pPr>
              <w:spacing w:before="40" w:after="40" w:line="216" w:lineRule="auto"/>
            </w:pPr>
            <w:r>
              <w:rPr>
                <w:lang w:val="en-US"/>
              </w:rPr>
              <w:t> </w:t>
            </w:r>
          </w:p>
        </w:tc>
        <w:tc>
          <w:tcPr>
            <w:tcW w:w="965" w:type="dxa"/>
            <w:tcBorders>
              <w:top w:val="nil"/>
              <w:left w:val="nil"/>
              <w:bottom w:val="single" w:sz="4" w:space="0" w:color="auto"/>
              <w:right w:val="single" w:sz="4" w:space="0" w:color="auto"/>
            </w:tcBorders>
            <w:noWrap/>
            <w:tcMar>
              <w:top w:w="28" w:type="dxa"/>
              <w:bottom w:w="28" w:type="dxa"/>
            </w:tcMar>
            <w:vAlign w:val="bottom"/>
          </w:tcPr>
          <w:p w:rsidR="00000000" w:rsidRDefault="00000000">
            <w:pPr>
              <w:spacing w:before="40" w:after="40" w:line="216" w:lineRule="auto"/>
            </w:pPr>
            <w:r>
              <w:rPr>
                <w:lang w:val="en-US"/>
              </w:rPr>
              <w:t> </w:t>
            </w:r>
          </w:p>
        </w:tc>
        <w:tc>
          <w:tcPr>
            <w:tcW w:w="910" w:type="dxa"/>
            <w:tcBorders>
              <w:top w:val="nil"/>
              <w:left w:val="nil"/>
              <w:bottom w:val="single" w:sz="4" w:space="0" w:color="auto"/>
              <w:right w:val="single" w:sz="4" w:space="0" w:color="auto"/>
            </w:tcBorders>
            <w:noWrap/>
            <w:tcMar>
              <w:top w:w="28" w:type="dxa"/>
              <w:bottom w:w="28" w:type="dxa"/>
            </w:tcMar>
            <w:vAlign w:val="bottom"/>
          </w:tcPr>
          <w:p w:rsidR="00000000" w:rsidRDefault="00000000">
            <w:pPr>
              <w:spacing w:before="40" w:after="40" w:line="216" w:lineRule="auto"/>
            </w:pPr>
            <w:r>
              <w:rPr>
                <w:lang w:val="en-US"/>
              </w:rPr>
              <w:t> </w:t>
            </w:r>
          </w:p>
        </w:tc>
        <w:tc>
          <w:tcPr>
            <w:tcW w:w="966" w:type="dxa"/>
            <w:tcBorders>
              <w:top w:val="nil"/>
              <w:left w:val="nil"/>
              <w:bottom w:val="single" w:sz="4" w:space="0" w:color="auto"/>
              <w:right w:val="single" w:sz="4" w:space="0" w:color="auto"/>
            </w:tcBorders>
            <w:noWrap/>
            <w:tcMar>
              <w:top w:w="28" w:type="dxa"/>
              <w:bottom w:w="28" w:type="dxa"/>
            </w:tcMar>
            <w:vAlign w:val="bottom"/>
          </w:tcPr>
          <w:p w:rsidR="00000000" w:rsidRDefault="00000000">
            <w:pPr>
              <w:spacing w:before="40" w:after="40" w:line="216" w:lineRule="auto"/>
            </w:pPr>
            <w:r>
              <w:rPr>
                <w:lang w:val="en-US"/>
              </w:rPr>
              <w:t> </w:t>
            </w:r>
          </w:p>
        </w:tc>
        <w:tc>
          <w:tcPr>
            <w:tcW w:w="910" w:type="dxa"/>
            <w:tcBorders>
              <w:top w:val="nil"/>
              <w:left w:val="nil"/>
              <w:bottom w:val="single" w:sz="4" w:space="0" w:color="auto"/>
              <w:right w:val="single" w:sz="4" w:space="0" w:color="auto"/>
            </w:tcBorders>
            <w:noWrap/>
            <w:tcMar>
              <w:top w:w="28" w:type="dxa"/>
              <w:bottom w:w="28" w:type="dxa"/>
            </w:tcMar>
            <w:vAlign w:val="bottom"/>
          </w:tcPr>
          <w:p w:rsidR="00000000" w:rsidRDefault="00000000">
            <w:pPr>
              <w:spacing w:before="40" w:after="40" w:line="216" w:lineRule="auto"/>
            </w:pPr>
            <w:r>
              <w:rPr>
                <w:lang w:val="en-US"/>
              </w:rPr>
              <w:t> </w:t>
            </w:r>
          </w:p>
        </w:tc>
        <w:tc>
          <w:tcPr>
            <w:tcW w:w="644" w:type="dxa"/>
            <w:tcBorders>
              <w:top w:val="nil"/>
              <w:left w:val="nil"/>
              <w:bottom w:val="single" w:sz="4" w:space="0" w:color="auto"/>
              <w:right w:val="single" w:sz="4" w:space="0" w:color="auto"/>
            </w:tcBorders>
            <w:noWrap/>
            <w:tcMar>
              <w:top w:w="28" w:type="dxa"/>
              <w:bottom w:w="28" w:type="dxa"/>
            </w:tcMar>
            <w:vAlign w:val="bottom"/>
          </w:tcPr>
          <w:p w:rsidR="00000000" w:rsidRDefault="00000000">
            <w:pPr>
              <w:spacing w:before="40" w:after="40" w:line="216" w:lineRule="auto"/>
            </w:pPr>
            <w:r>
              <w:rPr>
                <w:lang w:val="en-US"/>
              </w:rPr>
              <w:t> </w:t>
            </w:r>
          </w:p>
        </w:tc>
      </w:tr>
      <w:tr w:rsidR="00000000">
        <w:tc>
          <w:tcPr>
            <w:tcW w:w="3060" w:type="dxa"/>
            <w:tcBorders>
              <w:top w:val="nil"/>
              <w:left w:val="single" w:sz="4" w:space="0" w:color="auto"/>
              <w:bottom w:val="single" w:sz="4" w:space="0" w:color="auto"/>
              <w:right w:val="single" w:sz="4" w:space="0" w:color="auto"/>
            </w:tcBorders>
            <w:noWrap/>
            <w:vAlign w:val="bottom"/>
          </w:tcPr>
          <w:p w:rsidR="00000000" w:rsidRDefault="00000000">
            <w:pPr>
              <w:spacing w:line="216" w:lineRule="auto"/>
              <w:rPr>
                <w:b/>
                <w:bCs/>
              </w:rPr>
            </w:pPr>
            <w:r>
              <w:rPr>
                <w:b/>
                <w:bCs/>
                <w:lang w:val="en-US"/>
              </w:rPr>
              <w:t> </w:t>
            </w:r>
          </w:p>
        </w:tc>
        <w:tc>
          <w:tcPr>
            <w:tcW w:w="902" w:type="dxa"/>
            <w:tcBorders>
              <w:top w:val="nil"/>
              <w:left w:val="nil"/>
              <w:bottom w:val="single" w:sz="4" w:space="0" w:color="auto"/>
              <w:right w:val="single" w:sz="4" w:space="0" w:color="auto"/>
            </w:tcBorders>
            <w:noWrap/>
            <w:vAlign w:val="bottom"/>
          </w:tcPr>
          <w:p w:rsidR="00000000" w:rsidRDefault="00000000">
            <w:pPr>
              <w:spacing w:line="216" w:lineRule="auto"/>
            </w:pPr>
            <w:r>
              <w:rPr>
                <w:lang w:val="en-US"/>
              </w:rPr>
              <w:t> </w:t>
            </w:r>
          </w:p>
        </w:tc>
        <w:tc>
          <w:tcPr>
            <w:tcW w:w="966" w:type="dxa"/>
            <w:tcBorders>
              <w:top w:val="nil"/>
              <w:left w:val="nil"/>
              <w:bottom w:val="single" w:sz="4" w:space="0" w:color="auto"/>
              <w:right w:val="single" w:sz="4" w:space="0" w:color="auto"/>
            </w:tcBorders>
            <w:noWrap/>
            <w:vAlign w:val="bottom"/>
          </w:tcPr>
          <w:p w:rsidR="00000000" w:rsidRDefault="00000000">
            <w:pPr>
              <w:spacing w:line="216" w:lineRule="auto"/>
            </w:pPr>
            <w:r>
              <w:rPr>
                <w:lang w:val="en-US"/>
              </w:rPr>
              <w:t> </w:t>
            </w:r>
          </w:p>
        </w:tc>
        <w:tc>
          <w:tcPr>
            <w:tcW w:w="965" w:type="dxa"/>
            <w:tcBorders>
              <w:top w:val="nil"/>
              <w:left w:val="nil"/>
              <w:bottom w:val="single" w:sz="4" w:space="0" w:color="auto"/>
              <w:right w:val="single" w:sz="4" w:space="0" w:color="auto"/>
            </w:tcBorders>
            <w:noWrap/>
            <w:vAlign w:val="bottom"/>
          </w:tcPr>
          <w:p w:rsidR="00000000" w:rsidRDefault="00000000">
            <w:pPr>
              <w:spacing w:line="216" w:lineRule="auto"/>
            </w:pPr>
            <w:r>
              <w:rPr>
                <w:lang w:val="en-US"/>
              </w:rPr>
              <w:t> </w:t>
            </w:r>
          </w:p>
        </w:tc>
        <w:tc>
          <w:tcPr>
            <w:tcW w:w="910" w:type="dxa"/>
            <w:tcBorders>
              <w:top w:val="nil"/>
              <w:left w:val="nil"/>
              <w:bottom w:val="single" w:sz="4" w:space="0" w:color="auto"/>
              <w:right w:val="single" w:sz="4" w:space="0" w:color="auto"/>
            </w:tcBorders>
            <w:noWrap/>
            <w:vAlign w:val="bottom"/>
          </w:tcPr>
          <w:p w:rsidR="00000000" w:rsidRDefault="00000000">
            <w:pPr>
              <w:spacing w:line="216" w:lineRule="auto"/>
            </w:pPr>
            <w:r>
              <w:rPr>
                <w:lang w:val="en-US"/>
              </w:rPr>
              <w:t> </w:t>
            </w:r>
          </w:p>
        </w:tc>
        <w:tc>
          <w:tcPr>
            <w:tcW w:w="966" w:type="dxa"/>
            <w:tcBorders>
              <w:top w:val="nil"/>
              <w:left w:val="nil"/>
              <w:bottom w:val="single" w:sz="4" w:space="0" w:color="auto"/>
              <w:right w:val="single" w:sz="4" w:space="0" w:color="auto"/>
            </w:tcBorders>
            <w:noWrap/>
            <w:vAlign w:val="bottom"/>
          </w:tcPr>
          <w:p w:rsidR="00000000" w:rsidRDefault="00000000">
            <w:pPr>
              <w:spacing w:line="216" w:lineRule="auto"/>
            </w:pPr>
            <w:r>
              <w:rPr>
                <w:lang w:val="en-US"/>
              </w:rPr>
              <w:t> </w:t>
            </w:r>
          </w:p>
        </w:tc>
        <w:tc>
          <w:tcPr>
            <w:tcW w:w="910" w:type="dxa"/>
            <w:tcBorders>
              <w:top w:val="nil"/>
              <w:left w:val="nil"/>
              <w:bottom w:val="single" w:sz="4" w:space="0" w:color="auto"/>
              <w:right w:val="single" w:sz="4" w:space="0" w:color="auto"/>
            </w:tcBorders>
            <w:noWrap/>
            <w:vAlign w:val="bottom"/>
          </w:tcPr>
          <w:p w:rsidR="00000000" w:rsidRDefault="00000000">
            <w:pPr>
              <w:spacing w:line="216" w:lineRule="auto"/>
            </w:pPr>
            <w:r>
              <w:rPr>
                <w:lang w:val="en-US"/>
              </w:rPr>
              <w:t> </w:t>
            </w:r>
          </w:p>
        </w:tc>
        <w:tc>
          <w:tcPr>
            <w:tcW w:w="644" w:type="dxa"/>
            <w:tcBorders>
              <w:top w:val="nil"/>
              <w:left w:val="nil"/>
              <w:bottom w:val="single" w:sz="4" w:space="0" w:color="auto"/>
              <w:right w:val="single" w:sz="4" w:space="0" w:color="auto"/>
            </w:tcBorders>
            <w:noWrap/>
            <w:vAlign w:val="bottom"/>
          </w:tcPr>
          <w:p w:rsidR="00000000" w:rsidRDefault="00000000">
            <w:pPr>
              <w:spacing w:line="216" w:lineRule="auto"/>
            </w:pPr>
            <w:r>
              <w:rPr>
                <w:lang w:val="en-US"/>
              </w:rPr>
              <w:t> </w:t>
            </w:r>
          </w:p>
        </w:tc>
      </w:tr>
      <w:tr w:rsidR="00000000">
        <w:tc>
          <w:tcPr>
            <w:tcW w:w="3060" w:type="dxa"/>
            <w:tcBorders>
              <w:top w:val="nil"/>
              <w:left w:val="single" w:sz="4" w:space="0" w:color="auto"/>
              <w:bottom w:val="single" w:sz="4" w:space="0" w:color="auto"/>
              <w:right w:val="single" w:sz="4" w:space="0" w:color="auto"/>
            </w:tcBorders>
            <w:noWrap/>
            <w:tcMar>
              <w:top w:w="28" w:type="dxa"/>
              <w:bottom w:w="28" w:type="dxa"/>
            </w:tcMar>
            <w:vAlign w:val="bottom"/>
          </w:tcPr>
          <w:p w:rsidR="00000000" w:rsidRDefault="00000000">
            <w:pPr>
              <w:spacing w:before="40" w:after="40" w:line="216" w:lineRule="auto"/>
              <w:rPr>
                <w:b/>
                <w:bCs/>
                <w:u w:val="single"/>
              </w:rPr>
            </w:pPr>
            <w:r>
              <w:rPr>
                <w:b/>
                <w:bCs/>
                <w:u w:val="single"/>
              </w:rPr>
              <w:t>явка:</w:t>
            </w:r>
          </w:p>
        </w:tc>
        <w:tc>
          <w:tcPr>
            <w:tcW w:w="902" w:type="dxa"/>
            <w:tcBorders>
              <w:top w:val="nil"/>
              <w:left w:val="nil"/>
              <w:bottom w:val="single" w:sz="4" w:space="0" w:color="auto"/>
              <w:right w:val="single" w:sz="4" w:space="0" w:color="auto"/>
            </w:tcBorders>
            <w:noWrap/>
            <w:tcMar>
              <w:top w:w="28" w:type="dxa"/>
              <w:bottom w:w="28" w:type="dxa"/>
            </w:tcMar>
            <w:vAlign w:val="bottom"/>
          </w:tcPr>
          <w:p w:rsidR="00000000" w:rsidRDefault="00000000">
            <w:pPr>
              <w:spacing w:before="40" w:after="40" w:line="216" w:lineRule="auto"/>
            </w:pPr>
            <w:r>
              <w:rPr>
                <w:lang w:val="en-US"/>
              </w:rPr>
              <w:t> </w:t>
            </w:r>
          </w:p>
        </w:tc>
        <w:tc>
          <w:tcPr>
            <w:tcW w:w="966" w:type="dxa"/>
            <w:tcBorders>
              <w:top w:val="nil"/>
              <w:left w:val="nil"/>
              <w:bottom w:val="single" w:sz="4" w:space="0" w:color="auto"/>
              <w:right w:val="single" w:sz="4" w:space="0" w:color="auto"/>
            </w:tcBorders>
            <w:noWrap/>
            <w:tcMar>
              <w:top w:w="28" w:type="dxa"/>
              <w:bottom w:w="28" w:type="dxa"/>
            </w:tcMar>
            <w:vAlign w:val="bottom"/>
          </w:tcPr>
          <w:p w:rsidR="00000000" w:rsidRDefault="00000000">
            <w:pPr>
              <w:spacing w:before="40" w:after="40" w:line="216" w:lineRule="auto"/>
            </w:pPr>
            <w:r>
              <w:rPr>
                <w:lang w:val="en-US"/>
              </w:rPr>
              <w:t> </w:t>
            </w:r>
          </w:p>
        </w:tc>
        <w:tc>
          <w:tcPr>
            <w:tcW w:w="965" w:type="dxa"/>
            <w:tcBorders>
              <w:top w:val="nil"/>
              <w:left w:val="nil"/>
              <w:bottom w:val="single" w:sz="4" w:space="0" w:color="auto"/>
              <w:right w:val="single" w:sz="4" w:space="0" w:color="auto"/>
            </w:tcBorders>
            <w:noWrap/>
            <w:tcMar>
              <w:top w:w="28" w:type="dxa"/>
              <w:bottom w:w="28" w:type="dxa"/>
            </w:tcMar>
            <w:vAlign w:val="bottom"/>
          </w:tcPr>
          <w:p w:rsidR="00000000" w:rsidRDefault="00000000">
            <w:pPr>
              <w:spacing w:before="40" w:after="40" w:line="216" w:lineRule="auto"/>
            </w:pPr>
            <w:r>
              <w:rPr>
                <w:lang w:val="en-US"/>
              </w:rPr>
              <w:t> </w:t>
            </w:r>
          </w:p>
        </w:tc>
        <w:tc>
          <w:tcPr>
            <w:tcW w:w="910" w:type="dxa"/>
            <w:tcBorders>
              <w:top w:val="nil"/>
              <w:left w:val="nil"/>
              <w:bottom w:val="single" w:sz="4" w:space="0" w:color="auto"/>
              <w:right w:val="single" w:sz="4" w:space="0" w:color="auto"/>
            </w:tcBorders>
            <w:noWrap/>
            <w:tcMar>
              <w:top w:w="28" w:type="dxa"/>
              <w:bottom w:w="28" w:type="dxa"/>
            </w:tcMar>
            <w:vAlign w:val="bottom"/>
          </w:tcPr>
          <w:p w:rsidR="00000000" w:rsidRDefault="00000000">
            <w:pPr>
              <w:spacing w:before="40" w:after="40" w:line="216" w:lineRule="auto"/>
            </w:pPr>
            <w:r>
              <w:rPr>
                <w:lang w:val="en-US"/>
              </w:rPr>
              <w:t> </w:t>
            </w:r>
          </w:p>
        </w:tc>
        <w:tc>
          <w:tcPr>
            <w:tcW w:w="966" w:type="dxa"/>
            <w:tcBorders>
              <w:top w:val="nil"/>
              <w:left w:val="nil"/>
              <w:bottom w:val="single" w:sz="4" w:space="0" w:color="auto"/>
              <w:right w:val="single" w:sz="4" w:space="0" w:color="auto"/>
            </w:tcBorders>
            <w:noWrap/>
            <w:tcMar>
              <w:top w:w="28" w:type="dxa"/>
              <w:bottom w:w="28" w:type="dxa"/>
            </w:tcMar>
            <w:vAlign w:val="bottom"/>
          </w:tcPr>
          <w:p w:rsidR="00000000" w:rsidRDefault="00000000">
            <w:pPr>
              <w:spacing w:before="40" w:after="40" w:line="216" w:lineRule="auto"/>
            </w:pPr>
            <w:r>
              <w:rPr>
                <w:lang w:val="en-US"/>
              </w:rPr>
              <w:t> </w:t>
            </w:r>
          </w:p>
        </w:tc>
        <w:tc>
          <w:tcPr>
            <w:tcW w:w="910" w:type="dxa"/>
            <w:tcBorders>
              <w:top w:val="nil"/>
              <w:left w:val="nil"/>
              <w:bottom w:val="single" w:sz="4" w:space="0" w:color="auto"/>
              <w:right w:val="single" w:sz="4" w:space="0" w:color="auto"/>
            </w:tcBorders>
            <w:noWrap/>
            <w:tcMar>
              <w:top w:w="28" w:type="dxa"/>
              <w:bottom w:w="28" w:type="dxa"/>
            </w:tcMar>
            <w:vAlign w:val="bottom"/>
          </w:tcPr>
          <w:p w:rsidR="00000000" w:rsidRDefault="00000000">
            <w:pPr>
              <w:spacing w:before="40" w:after="40" w:line="216" w:lineRule="auto"/>
            </w:pPr>
            <w:r>
              <w:rPr>
                <w:lang w:val="en-US"/>
              </w:rPr>
              <w:t> </w:t>
            </w:r>
          </w:p>
        </w:tc>
        <w:tc>
          <w:tcPr>
            <w:tcW w:w="644" w:type="dxa"/>
            <w:tcBorders>
              <w:top w:val="nil"/>
              <w:left w:val="nil"/>
              <w:bottom w:val="single" w:sz="4" w:space="0" w:color="auto"/>
              <w:right w:val="single" w:sz="4" w:space="0" w:color="auto"/>
            </w:tcBorders>
            <w:noWrap/>
            <w:tcMar>
              <w:top w:w="28" w:type="dxa"/>
              <w:bottom w:w="28" w:type="dxa"/>
            </w:tcMar>
            <w:vAlign w:val="bottom"/>
          </w:tcPr>
          <w:p w:rsidR="00000000" w:rsidRDefault="00000000">
            <w:pPr>
              <w:spacing w:before="40" w:after="40" w:line="216" w:lineRule="auto"/>
            </w:pPr>
            <w:r>
              <w:rPr>
                <w:lang w:val="en-US"/>
              </w:rPr>
              <w:t> </w:t>
            </w:r>
          </w:p>
        </w:tc>
      </w:tr>
      <w:tr w:rsidR="00000000">
        <w:tc>
          <w:tcPr>
            <w:tcW w:w="3060" w:type="dxa"/>
            <w:tcBorders>
              <w:top w:val="nil"/>
              <w:left w:val="single" w:sz="4" w:space="0" w:color="auto"/>
              <w:bottom w:val="single" w:sz="4" w:space="0" w:color="auto"/>
              <w:right w:val="single" w:sz="4" w:space="0" w:color="auto"/>
            </w:tcBorders>
            <w:noWrap/>
            <w:tcMar>
              <w:top w:w="28" w:type="dxa"/>
              <w:bottom w:w="28" w:type="dxa"/>
            </w:tcMar>
            <w:vAlign w:val="bottom"/>
          </w:tcPr>
          <w:p w:rsidR="00000000" w:rsidRDefault="00000000">
            <w:pPr>
              <w:spacing w:before="40" w:after="40" w:line="216" w:lineRule="auto"/>
            </w:pPr>
            <w:r>
              <w:t>урегулировано:</w:t>
            </w:r>
          </w:p>
        </w:tc>
        <w:tc>
          <w:tcPr>
            <w:tcW w:w="902"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191</w:t>
            </w:r>
          </w:p>
        </w:tc>
        <w:tc>
          <w:tcPr>
            <w:tcW w:w="966"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192</w:t>
            </w:r>
          </w:p>
        </w:tc>
        <w:tc>
          <w:tcPr>
            <w:tcW w:w="965"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133</w:t>
            </w:r>
          </w:p>
        </w:tc>
        <w:tc>
          <w:tcPr>
            <w:tcW w:w="910"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105</w:t>
            </w:r>
          </w:p>
        </w:tc>
        <w:tc>
          <w:tcPr>
            <w:tcW w:w="966"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85</w:t>
            </w:r>
          </w:p>
        </w:tc>
        <w:tc>
          <w:tcPr>
            <w:tcW w:w="910"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121</w:t>
            </w:r>
          </w:p>
        </w:tc>
        <w:tc>
          <w:tcPr>
            <w:tcW w:w="644" w:type="dxa"/>
            <w:tcBorders>
              <w:top w:val="nil"/>
              <w:left w:val="nil"/>
              <w:bottom w:val="single" w:sz="4" w:space="0" w:color="auto"/>
              <w:right w:val="single" w:sz="4" w:space="0" w:color="auto"/>
            </w:tcBorders>
            <w:noWrap/>
            <w:tcMar>
              <w:top w:w="28" w:type="dxa"/>
              <w:left w:w="0" w:type="dxa"/>
              <w:bottom w:w="28" w:type="dxa"/>
              <w:right w:w="170" w:type="dxa"/>
            </w:tcMar>
            <w:vAlign w:val="bottom"/>
          </w:tcPr>
          <w:p w:rsidR="00000000" w:rsidRDefault="00000000">
            <w:pPr>
              <w:tabs>
                <w:tab w:val="clear" w:pos="567"/>
                <w:tab w:val="clear" w:pos="1134"/>
                <w:tab w:val="clear" w:pos="1701"/>
                <w:tab w:val="clear" w:pos="2268"/>
              </w:tabs>
              <w:spacing w:before="40" w:after="40" w:line="216" w:lineRule="auto"/>
              <w:jc w:val="right"/>
              <w:rPr>
                <w:b/>
                <w:bCs/>
              </w:rPr>
            </w:pPr>
            <w:r>
              <w:rPr>
                <w:b/>
                <w:bCs/>
              </w:rPr>
              <w:t>827</w:t>
            </w:r>
          </w:p>
        </w:tc>
      </w:tr>
      <w:tr w:rsidR="00000000">
        <w:tc>
          <w:tcPr>
            <w:tcW w:w="3060" w:type="dxa"/>
            <w:tcBorders>
              <w:top w:val="nil"/>
              <w:left w:val="single" w:sz="4" w:space="0" w:color="auto"/>
              <w:bottom w:val="single" w:sz="4" w:space="0" w:color="auto"/>
              <w:right w:val="single" w:sz="4" w:space="0" w:color="auto"/>
            </w:tcBorders>
            <w:noWrap/>
            <w:tcMar>
              <w:top w:w="28" w:type="dxa"/>
              <w:bottom w:w="28" w:type="dxa"/>
            </w:tcMar>
            <w:vAlign w:val="bottom"/>
          </w:tcPr>
          <w:p w:rsidR="00000000" w:rsidRDefault="00000000">
            <w:pPr>
              <w:spacing w:before="40" w:after="40" w:line="216" w:lineRule="auto"/>
            </w:pPr>
            <w:r>
              <w:t>не урегулировано:</w:t>
            </w:r>
          </w:p>
        </w:tc>
        <w:tc>
          <w:tcPr>
            <w:tcW w:w="902"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60</w:t>
            </w:r>
          </w:p>
        </w:tc>
        <w:tc>
          <w:tcPr>
            <w:tcW w:w="966"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59</w:t>
            </w:r>
          </w:p>
        </w:tc>
        <w:tc>
          <w:tcPr>
            <w:tcW w:w="965"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58</w:t>
            </w:r>
          </w:p>
        </w:tc>
        <w:tc>
          <w:tcPr>
            <w:tcW w:w="910"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45</w:t>
            </w:r>
          </w:p>
        </w:tc>
        <w:tc>
          <w:tcPr>
            <w:tcW w:w="966"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28</w:t>
            </w:r>
          </w:p>
        </w:tc>
        <w:tc>
          <w:tcPr>
            <w:tcW w:w="910"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31</w:t>
            </w:r>
          </w:p>
        </w:tc>
        <w:tc>
          <w:tcPr>
            <w:tcW w:w="644" w:type="dxa"/>
            <w:tcBorders>
              <w:top w:val="nil"/>
              <w:left w:val="nil"/>
              <w:bottom w:val="single" w:sz="4" w:space="0" w:color="auto"/>
              <w:right w:val="single" w:sz="4" w:space="0" w:color="auto"/>
            </w:tcBorders>
            <w:noWrap/>
            <w:tcMar>
              <w:top w:w="28" w:type="dxa"/>
              <w:left w:w="0" w:type="dxa"/>
              <w:bottom w:w="28" w:type="dxa"/>
              <w:right w:w="170" w:type="dxa"/>
            </w:tcMar>
            <w:vAlign w:val="bottom"/>
          </w:tcPr>
          <w:p w:rsidR="00000000" w:rsidRDefault="00000000">
            <w:pPr>
              <w:tabs>
                <w:tab w:val="clear" w:pos="567"/>
                <w:tab w:val="clear" w:pos="1134"/>
                <w:tab w:val="clear" w:pos="1701"/>
                <w:tab w:val="clear" w:pos="2268"/>
              </w:tabs>
              <w:spacing w:before="40" w:after="40" w:line="216" w:lineRule="auto"/>
              <w:jc w:val="right"/>
              <w:rPr>
                <w:b/>
                <w:bCs/>
              </w:rPr>
            </w:pPr>
            <w:r>
              <w:rPr>
                <w:b/>
                <w:bCs/>
              </w:rPr>
              <w:t>281</w:t>
            </w:r>
          </w:p>
        </w:tc>
      </w:tr>
      <w:tr w:rsidR="00000000">
        <w:tc>
          <w:tcPr>
            <w:tcW w:w="3060" w:type="dxa"/>
            <w:tcBorders>
              <w:top w:val="nil"/>
              <w:left w:val="single" w:sz="4" w:space="0" w:color="auto"/>
              <w:bottom w:val="single" w:sz="4" w:space="0" w:color="auto"/>
              <w:right w:val="single" w:sz="4" w:space="0" w:color="auto"/>
            </w:tcBorders>
            <w:noWrap/>
            <w:vAlign w:val="bottom"/>
          </w:tcPr>
          <w:p w:rsidR="00000000" w:rsidRDefault="00000000">
            <w:pPr>
              <w:spacing w:line="216" w:lineRule="auto"/>
            </w:pPr>
            <w:r>
              <w:rPr>
                <w:lang w:val="en-US"/>
              </w:rPr>
              <w:t> </w:t>
            </w:r>
          </w:p>
        </w:tc>
        <w:tc>
          <w:tcPr>
            <w:tcW w:w="902" w:type="dxa"/>
            <w:tcBorders>
              <w:top w:val="nil"/>
              <w:left w:val="nil"/>
              <w:bottom w:val="single" w:sz="4" w:space="0" w:color="auto"/>
              <w:right w:val="single" w:sz="4" w:space="0" w:color="auto"/>
            </w:tcBorders>
            <w:noWrap/>
            <w:tcMar>
              <w:left w:w="0" w:type="dxa"/>
              <w:right w:w="284" w:type="dxa"/>
            </w:tcMar>
            <w:vAlign w:val="bottom"/>
          </w:tcPr>
          <w:p w:rsidR="00000000" w:rsidRDefault="00000000">
            <w:pPr>
              <w:tabs>
                <w:tab w:val="clear" w:pos="567"/>
                <w:tab w:val="clear" w:pos="1134"/>
                <w:tab w:val="clear" w:pos="1701"/>
                <w:tab w:val="clear" w:pos="2268"/>
              </w:tabs>
              <w:spacing w:line="216" w:lineRule="auto"/>
              <w:jc w:val="right"/>
            </w:pPr>
          </w:p>
        </w:tc>
        <w:tc>
          <w:tcPr>
            <w:tcW w:w="966" w:type="dxa"/>
            <w:tcBorders>
              <w:top w:val="nil"/>
              <w:left w:val="nil"/>
              <w:bottom w:val="single" w:sz="4" w:space="0" w:color="auto"/>
              <w:right w:val="single" w:sz="4" w:space="0" w:color="auto"/>
            </w:tcBorders>
            <w:noWrap/>
            <w:tcMar>
              <w:left w:w="0" w:type="dxa"/>
              <w:right w:w="284" w:type="dxa"/>
            </w:tcMar>
            <w:vAlign w:val="bottom"/>
          </w:tcPr>
          <w:p w:rsidR="00000000" w:rsidRDefault="00000000">
            <w:pPr>
              <w:tabs>
                <w:tab w:val="clear" w:pos="567"/>
                <w:tab w:val="clear" w:pos="1134"/>
                <w:tab w:val="clear" w:pos="1701"/>
                <w:tab w:val="clear" w:pos="2268"/>
              </w:tabs>
              <w:spacing w:line="216" w:lineRule="auto"/>
              <w:jc w:val="right"/>
            </w:pPr>
          </w:p>
        </w:tc>
        <w:tc>
          <w:tcPr>
            <w:tcW w:w="965" w:type="dxa"/>
            <w:tcBorders>
              <w:top w:val="nil"/>
              <w:left w:val="nil"/>
              <w:bottom w:val="single" w:sz="4" w:space="0" w:color="auto"/>
              <w:right w:val="single" w:sz="4" w:space="0" w:color="auto"/>
            </w:tcBorders>
            <w:noWrap/>
            <w:tcMar>
              <w:left w:w="0" w:type="dxa"/>
              <w:right w:w="284" w:type="dxa"/>
            </w:tcMar>
            <w:vAlign w:val="bottom"/>
          </w:tcPr>
          <w:p w:rsidR="00000000" w:rsidRDefault="00000000">
            <w:pPr>
              <w:tabs>
                <w:tab w:val="clear" w:pos="567"/>
                <w:tab w:val="clear" w:pos="1134"/>
                <w:tab w:val="clear" w:pos="1701"/>
                <w:tab w:val="clear" w:pos="2268"/>
              </w:tabs>
              <w:spacing w:line="216" w:lineRule="auto"/>
              <w:jc w:val="right"/>
            </w:pPr>
          </w:p>
        </w:tc>
        <w:tc>
          <w:tcPr>
            <w:tcW w:w="910" w:type="dxa"/>
            <w:tcBorders>
              <w:top w:val="nil"/>
              <w:left w:val="nil"/>
              <w:bottom w:val="single" w:sz="4" w:space="0" w:color="auto"/>
              <w:right w:val="single" w:sz="4" w:space="0" w:color="auto"/>
            </w:tcBorders>
            <w:noWrap/>
            <w:tcMar>
              <w:left w:w="0" w:type="dxa"/>
              <w:right w:w="284" w:type="dxa"/>
            </w:tcMar>
            <w:vAlign w:val="bottom"/>
          </w:tcPr>
          <w:p w:rsidR="00000000" w:rsidRDefault="00000000">
            <w:pPr>
              <w:tabs>
                <w:tab w:val="clear" w:pos="567"/>
                <w:tab w:val="clear" w:pos="1134"/>
                <w:tab w:val="clear" w:pos="1701"/>
                <w:tab w:val="clear" w:pos="2268"/>
              </w:tabs>
              <w:spacing w:line="216" w:lineRule="auto"/>
              <w:jc w:val="right"/>
            </w:pPr>
          </w:p>
        </w:tc>
        <w:tc>
          <w:tcPr>
            <w:tcW w:w="966" w:type="dxa"/>
            <w:tcBorders>
              <w:top w:val="nil"/>
              <w:left w:val="nil"/>
              <w:bottom w:val="single" w:sz="4" w:space="0" w:color="auto"/>
              <w:right w:val="single" w:sz="4" w:space="0" w:color="auto"/>
            </w:tcBorders>
            <w:noWrap/>
            <w:tcMar>
              <w:left w:w="0" w:type="dxa"/>
              <w:right w:w="284" w:type="dxa"/>
            </w:tcMar>
            <w:vAlign w:val="bottom"/>
          </w:tcPr>
          <w:p w:rsidR="00000000" w:rsidRDefault="00000000">
            <w:pPr>
              <w:tabs>
                <w:tab w:val="clear" w:pos="567"/>
                <w:tab w:val="clear" w:pos="1134"/>
                <w:tab w:val="clear" w:pos="1701"/>
                <w:tab w:val="clear" w:pos="2268"/>
              </w:tabs>
              <w:spacing w:line="216" w:lineRule="auto"/>
              <w:jc w:val="right"/>
            </w:pPr>
          </w:p>
        </w:tc>
        <w:tc>
          <w:tcPr>
            <w:tcW w:w="910" w:type="dxa"/>
            <w:tcBorders>
              <w:top w:val="nil"/>
              <w:left w:val="nil"/>
              <w:bottom w:val="single" w:sz="4" w:space="0" w:color="auto"/>
              <w:right w:val="single" w:sz="4" w:space="0" w:color="auto"/>
            </w:tcBorders>
            <w:noWrap/>
            <w:tcMar>
              <w:left w:w="0" w:type="dxa"/>
              <w:right w:w="284" w:type="dxa"/>
            </w:tcMar>
            <w:vAlign w:val="bottom"/>
          </w:tcPr>
          <w:p w:rsidR="00000000" w:rsidRDefault="00000000">
            <w:pPr>
              <w:tabs>
                <w:tab w:val="clear" w:pos="567"/>
                <w:tab w:val="clear" w:pos="1134"/>
                <w:tab w:val="clear" w:pos="1701"/>
                <w:tab w:val="clear" w:pos="2268"/>
              </w:tabs>
              <w:spacing w:line="216" w:lineRule="auto"/>
              <w:jc w:val="right"/>
            </w:pPr>
          </w:p>
        </w:tc>
        <w:tc>
          <w:tcPr>
            <w:tcW w:w="644" w:type="dxa"/>
            <w:tcBorders>
              <w:top w:val="nil"/>
              <w:left w:val="nil"/>
              <w:bottom w:val="single" w:sz="4" w:space="0" w:color="auto"/>
              <w:right w:val="single" w:sz="4" w:space="0" w:color="auto"/>
            </w:tcBorders>
            <w:noWrap/>
            <w:tcMar>
              <w:left w:w="0" w:type="dxa"/>
              <w:right w:w="170" w:type="dxa"/>
            </w:tcMar>
            <w:vAlign w:val="bottom"/>
          </w:tcPr>
          <w:p w:rsidR="00000000" w:rsidRDefault="00000000">
            <w:pPr>
              <w:tabs>
                <w:tab w:val="clear" w:pos="567"/>
                <w:tab w:val="clear" w:pos="1134"/>
                <w:tab w:val="clear" w:pos="1701"/>
                <w:tab w:val="clear" w:pos="2268"/>
              </w:tabs>
              <w:spacing w:line="216" w:lineRule="auto"/>
              <w:jc w:val="right"/>
              <w:rPr>
                <w:b/>
                <w:bCs/>
              </w:rPr>
            </w:pPr>
          </w:p>
        </w:tc>
      </w:tr>
      <w:tr w:rsidR="00000000">
        <w:tc>
          <w:tcPr>
            <w:tcW w:w="3060" w:type="dxa"/>
            <w:tcBorders>
              <w:top w:val="nil"/>
              <w:left w:val="single" w:sz="4" w:space="0" w:color="auto"/>
              <w:bottom w:val="single" w:sz="4" w:space="0" w:color="auto"/>
              <w:right w:val="single" w:sz="4" w:space="0" w:color="auto"/>
            </w:tcBorders>
            <w:noWrap/>
            <w:tcMar>
              <w:top w:w="28" w:type="dxa"/>
              <w:bottom w:w="28" w:type="dxa"/>
            </w:tcMar>
            <w:vAlign w:val="bottom"/>
          </w:tcPr>
          <w:p w:rsidR="00000000" w:rsidRDefault="00000000">
            <w:pPr>
              <w:spacing w:before="40" w:after="40" w:line="216" w:lineRule="auto"/>
              <w:rPr>
                <w:b/>
                <w:bCs/>
                <w:u w:val="single"/>
              </w:rPr>
            </w:pPr>
            <w:r>
              <w:rPr>
                <w:b/>
                <w:bCs/>
                <w:u w:val="single"/>
              </w:rPr>
              <w:t>неявка</w:t>
            </w:r>
            <w:r>
              <w:rPr>
                <w:b/>
                <w:bCs/>
              </w:rPr>
              <w:t>:</w:t>
            </w:r>
          </w:p>
        </w:tc>
        <w:tc>
          <w:tcPr>
            <w:tcW w:w="902"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p>
        </w:tc>
        <w:tc>
          <w:tcPr>
            <w:tcW w:w="966"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p>
        </w:tc>
        <w:tc>
          <w:tcPr>
            <w:tcW w:w="965"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p>
        </w:tc>
        <w:tc>
          <w:tcPr>
            <w:tcW w:w="910"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p>
        </w:tc>
        <w:tc>
          <w:tcPr>
            <w:tcW w:w="966"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p>
        </w:tc>
        <w:tc>
          <w:tcPr>
            <w:tcW w:w="910"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p>
        </w:tc>
        <w:tc>
          <w:tcPr>
            <w:tcW w:w="644" w:type="dxa"/>
            <w:tcBorders>
              <w:top w:val="nil"/>
              <w:left w:val="nil"/>
              <w:bottom w:val="single" w:sz="4" w:space="0" w:color="auto"/>
              <w:right w:val="single" w:sz="4" w:space="0" w:color="auto"/>
            </w:tcBorders>
            <w:noWrap/>
            <w:tcMar>
              <w:top w:w="28" w:type="dxa"/>
              <w:left w:w="0" w:type="dxa"/>
              <w:bottom w:w="28" w:type="dxa"/>
              <w:right w:w="170" w:type="dxa"/>
            </w:tcMar>
            <w:vAlign w:val="bottom"/>
          </w:tcPr>
          <w:p w:rsidR="00000000" w:rsidRDefault="00000000">
            <w:pPr>
              <w:tabs>
                <w:tab w:val="clear" w:pos="567"/>
                <w:tab w:val="clear" w:pos="1134"/>
                <w:tab w:val="clear" w:pos="1701"/>
                <w:tab w:val="clear" w:pos="2268"/>
              </w:tabs>
              <w:spacing w:before="40" w:after="40" w:line="216" w:lineRule="auto"/>
              <w:jc w:val="right"/>
              <w:rPr>
                <w:b/>
                <w:bCs/>
              </w:rPr>
            </w:pPr>
          </w:p>
        </w:tc>
      </w:tr>
      <w:tr w:rsidR="00000000">
        <w:tc>
          <w:tcPr>
            <w:tcW w:w="3060" w:type="dxa"/>
            <w:tcBorders>
              <w:top w:val="nil"/>
              <w:left w:val="single" w:sz="4" w:space="0" w:color="auto"/>
              <w:bottom w:val="single" w:sz="4" w:space="0" w:color="auto"/>
              <w:right w:val="single" w:sz="4" w:space="0" w:color="auto"/>
            </w:tcBorders>
            <w:noWrap/>
            <w:tcMar>
              <w:top w:w="28" w:type="dxa"/>
              <w:bottom w:w="28" w:type="dxa"/>
            </w:tcMar>
            <w:vAlign w:val="bottom"/>
          </w:tcPr>
          <w:p w:rsidR="00000000" w:rsidRDefault="00000000">
            <w:pPr>
              <w:spacing w:before="40" w:after="40" w:line="216" w:lineRule="auto"/>
            </w:pPr>
            <w:r>
              <w:t>профсоюзы:</w:t>
            </w:r>
          </w:p>
        </w:tc>
        <w:tc>
          <w:tcPr>
            <w:tcW w:w="902"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1</w:t>
            </w:r>
          </w:p>
        </w:tc>
        <w:tc>
          <w:tcPr>
            <w:tcW w:w="966"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3</w:t>
            </w:r>
          </w:p>
        </w:tc>
        <w:tc>
          <w:tcPr>
            <w:tcW w:w="965"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6</w:t>
            </w:r>
          </w:p>
        </w:tc>
        <w:tc>
          <w:tcPr>
            <w:tcW w:w="910"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10</w:t>
            </w:r>
          </w:p>
        </w:tc>
        <w:tc>
          <w:tcPr>
            <w:tcW w:w="966"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9</w:t>
            </w:r>
          </w:p>
        </w:tc>
        <w:tc>
          <w:tcPr>
            <w:tcW w:w="910"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7</w:t>
            </w:r>
          </w:p>
        </w:tc>
        <w:tc>
          <w:tcPr>
            <w:tcW w:w="644" w:type="dxa"/>
            <w:tcBorders>
              <w:top w:val="nil"/>
              <w:left w:val="nil"/>
              <w:bottom w:val="single" w:sz="4" w:space="0" w:color="auto"/>
              <w:right w:val="single" w:sz="4" w:space="0" w:color="auto"/>
            </w:tcBorders>
            <w:noWrap/>
            <w:tcMar>
              <w:top w:w="28" w:type="dxa"/>
              <w:left w:w="0" w:type="dxa"/>
              <w:bottom w:w="28" w:type="dxa"/>
              <w:right w:w="170" w:type="dxa"/>
            </w:tcMar>
            <w:vAlign w:val="bottom"/>
          </w:tcPr>
          <w:p w:rsidR="00000000" w:rsidRDefault="00000000">
            <w:pPr>
              <w:tabs>
                <w:tab w:val="clear" w:pos="567"/>
                <w:tab w:val="clear" w:pos="1134"/>
                <w:tab w:val="clear" w:pos="1701"/>
                <w:tab w:val="clear" w:pos="2268"/>
              </w:tabs>
              <w:spacing w:before="40" w:after="40" w:line="216" w:lineRule="auto"/>
              <w:jc w:val="right"/>
              <w:rPr>
                <w:b/>
                <w:bCs/>
              </w:rPr>
            </w:pPr>
            <w:r>
              <w:rPr>
                <w:b/>
                <w:bCs/>
              </w:rPr>
              <w:t>36</w:t>
            </w:r>
          </w:p>
        </w:tc>
      </w:tr>
      <w:tr w:rsidR="00000000">
        <w:tc>
          <w:tcPr>
            <w:tcW w:w="3060" w:type="dxa"/>
            <w:tcBorders>
              <w:top w:val="nil"/>
              <w:left w:val="single" w:sz="4" w:space="0" w:color="auto"/>
              <w:bottom w:val="single" w:sz="4" w:space="0" w:color="auto"/>
              <w:right w:val="single" w:sz="4" w:space="0" w:color="auto"/>
            </w:tcBorders>
            <w:noWrap/>
            <w:tcMar>
              <w:top w:w="28" w:type="dxa"/>
              <w:bottom w:w="28" w:type="dxa"/>
            </w:tcMar>
            <w:vAlign w:val="bottom"/>
          </w:tcPr>
          <w:p w:rsidR="00000000" w:rsidRDefault="00000000">
            <w:pPr>
              <w:spacing w:before="40" w:after="40" w:line="216" w:lineRule="auto"/>
            </w:pPr>
            <w:r>
              <w:t>работодатели:</w:t>
            </w:r>
          </w:p>
        </w:tc>
        <w:tc>
          <w:tcPr>
            <w:tcW w:w="902"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76</w:t>
            </w:r>
          </w:p>
        </w:tc>
        <w:tc>
          <w:tcPr>
            <w:tcW w:w="966"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79</w:t>
            </w:r>
          </w:p>
        </w:tc>
        <w:tc>
          <w:tcPr>
            <w:tcW w:w="965"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71</w:t>
            </w:r>
          </w:p>
        </w:tc>
        <w:tc>
          <w:tcPr>
            <w:tcW w:w="910"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92</w:t>
            </w:r>
          </w:p>
        </w:tc>
        <w:tc>
          <w:tcPr>
            <w:tcW w:w="966"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75</w:t>
            </w:r>
          </w:p>
        </w:tc>
        <w:tc>
          <w:tcPr>
            <w:tcW w:w="910"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61</w:t>
            </w:r>
          </w:p>
        </w:tc>
        <w:tc>
          <w:tcPr>
            <w:tcW w:w="644" w:type="dxa"/>
            <w:tcBorders>
              <w:top w:val="nil"/>
              <w:left w:val="nil"/>
              <w:bottom w:val="single" w:sz="4" w:space="0" w:color="auto"/>
              <w:right w:val="single" w:sz="4" w:space="0" w:color="auto"/>
            </w:tcBorders>
            <w:noWrap/>
            <w:tcMar>
              <w:top w:w="28" w:type="dxa"/>
              <w:left w:w="0" w:type="dxa"/>
              <w:bottom w:w="28" w:type="dxa"/>
              <w:right w:w="170" w:type="dxa"/>
            </w:tcMar>
            <w:vAlign w:val="bottom"/>
          </w:tcPr>
          <w:p w:rsidR="00000000" w:rsidRDefault="00000000">
            <w:pPr>
              <w:tabs>
                <w:tab w:val="clear" w:pos="567"/>
                <w:tab w:val="clear" w:pos="1134"/>
                <w:tab w:val="clear" w:pos="1701"/>
                <w:tab w:val="clear" w:pos="2268"/>
              </w:tabs>
              <w:spacing w:before="40" w:after="40" w:line="216" w:lineRule="auto"/>
              <w:jc w:val="right"/>
              <w:rPr>
                <w:b/>
                <w:bCs/>
              </w:rPr>
            </w:pPr>
            <w:r>
              <w:rPr>
                <w:b/>
                <w:bCs/>
              </w:rPr>
              <w:t>454</w:t>
            </w:r>
          </w:p>
        </w:tc>
      </w:tr>
      <w:tr w:rsidR="00000000">
        <w:tc>
          <w:tcPr>
            <w:tcW w:w="3060" w:type="dxa"/>
            <w:tcBorders>
              <w:top w:val="nil"/>
              <w:left w:val="single" w:sz="4" w:space="0" w:color="auto"/>
              <w:bottom w:val="single" w:sz="4" w:space="0" w:color="auto"/>
              <w:right w:val="single" w:sz="4" w:space="0" w:color="auto"/>
            </w:tcBorders>
            <w:noWrap/>
            <w:tcMar>
              <w:top w:w="28" w:type="dxa"/>
              <w:bottom w:w="28" w:type="dxa"/>
            </w:tcMar>
            <w:vAlign w:val="bottom"/>
          </w:tcPr>
          <w:p w:rsidR="00000000" w:rsidRDefault="00000000">
            <w:pPr>
              <w:spacing w:before="40" w:after="40" w:line="216" w:lineRule="auto"/>
            </w:pPr>
            <w:r>
              <w:t>обе стороны:</w:t>
            </w:r>
          </w:p>
        </w:tc>
        <w:tc>
          <w:tcPr>
            <w:tcW w:w="902"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25</w:t>
            </w:r>
          </w:p>
        </w:tc>
        <w:tc>
          <w:tcPr>
            <w:tcW w:w="966"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21</w:t>
            </w:r>
          </w:p>
        </w:tc>
        <w:tc>
          <w:tcPr>
            <w:tcW w:w="965"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10</w:t>
            </w:r>
          </w:p>
        </w:tc>
        <w:tc>
          <w:tcPr>
            <w:tcW w:w="910"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9</w:t>
            </w:r>
          </w:p>
        </w:tc>
        <w:tc>
          <w:tcPr>
            <w:tcW w:w="966"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7</w:t>
            </w:r>
          </w:p>
        </w:tc>
        <w:tc>
          <w:tcPr>
            <w:tcW w:w="910" w:type="dxa"/>
            <w:tcBorders>
              <w:top w:val="nil"/>
              <w:left w:val="nil"/>
              <w:bottom w:val="single" w:sz="4" w:space="0" w:color="auto"/>
              <w:right w:val="single" w:sz="4" w:space="0" w:color="auto"/>
            </w:tcBorders>
            <w:noWrap/>
            <w:tcMar>
              <w:top w:w="28" w:type="dxa"/>
              <w:left w:w="0" w:type="dxa"/>
              <w:bottom w:w="28" w:type="dxa"/>
              <w:right w:w="284" w:type="dxa"/>
            </w:tcMar>
            <w:vAlign w:val="bottom"/>
          </w:tcPr>
          <w:p w:rsidR="00000000" w:rsidRDefault="00000000">
            <w:pPr>
              <w:tabs>
                <w:tab w:val="clear" w:pos="567"/>
                <w:tab w:val="clear" w:pos="1134"/>
                <w:tab w:val="clear" w:pos="1701"/>
                <w:tab w:val="clear" w:pos="2268"/>
              </w:tabs>
              <w:spacing w:before="40" w:after="40" w:line="216" w:lineRule="auto"/>
              <w:jc w:val="right"/>
            </w:pPr>
            <w:r>
              <w:t>8</w:t>
            </w:r>
          </w:p>
        </w:tc>
        <w:tc>
          <w:tcPr>
            <w:tcW w:w="644" w:type="dxa"/>
            <w:tcBorders>
              <w:top w:val="nil"/>
              <w:left w:val="nil"/>
              <w:bottom w:val="single" w:sz="4" w:space="0" w:color="auto"/>
              <w:right w:val="single" w:sz="4" w:space="0" w:color="auto"/>
            </w:tcBorders>
            <w:noWrap/>
            <w:tcMar>
              <w:top w:w="28" w:type="dxa"/>
              <w:left w:w="0" w:type="dxa"/>
              <w:bottom w:w="28" w:type="dxa"/>
              <w:right w:w="170" w:type="dxa"/>
            </w:tcMar>
            <w:vAlign w:val="bottom"/>
          </w:tcPr>
          <w:p w:rsidR="00000000" w:rsidRDefault="00000000">
            <w:pPr>
              <w:tabs>
                <w:tab w:val="clear" w:pos="567"/>
                <w:tab w:val="clear" w:pos="1134"/>
                <w:tab w:val="clear" w:pos="1701"/>
                <w:tab w:val="clear" w:pos="2268"/>
              </w:tabs>
              <w:spacing w:before="40" w:after="40" w:line="216" w:lineRule="auto"/>
              <w:jc w:val="right"/>
              <w:rPr>
                <w:b/>
                <w:bCs/>
              </w:rPr>
            </w:pPr>
            <w:r>
              <w:rPr>
                <w:b/>
                <w:bCs/>
              </w:rPr>
              <w:t>80</w:t>
            </w:r>
          </w:p>
        </w:tc>
      </w:tr>
    </w:tbl>
    <w:p w:rsidR="00000000" w:rsidRDefault="00000000">
      <w:pPr>
        <w:rPr>
          <w:lang w:val="en-US"/>
        </w:rPr>
      </w:pPr>
    </w:p>
    <w:p w:rsidR="00000000" w:rsidRDefault="00000000">
      <w:pPr>
        <w:keepNext/>
        <w:ind w:left="567"/>
        <w:rPr>
          <w:b/>
        </w:rPr>
      </w:pPr>
      <w:r>
        <w:br w:type="page"/>
      </w:r>
      <w:r>
        <w:rPr>
          <w:b/>
        </w:rPr>
        <w:t>4.1</w:t>
      </w:r>
      <w:r>
        <w:rPr>
          <w:b/>
        </w:rPr>
        <w:tab/>
        <w:t>Результаты работы совещаний Трехсторонней комиссии (2006 год)</w:t>
      </w:r>
    </w:p>
    <w:p w:rsidR="00000000" w:rsidRDefault="00000000">
      <w:pPr>
        <w:keepNext/>
        <w:ind w:left="567"/>
        <w:rPr>
          <w:b/>
        </w:rPr>
      </w:pPr>
    </w:p>
    <w:p w:rsidR="00000000" w:rsidRDefault="00000000">
      <w:pPr>
        <w:keepNext/>
        <w:jc w:val="center"/>
        <w:rPr>
          <w:b/>
          <w:bCs/>
        </w:rPr>
      </w:pPr>
      <w:r>
        <w:rPr>
          <w:b/>
          <w:bCs/>
        </w:rPr>
        <w:t>Доклад о деятельности Главного управления по делам труда</w:t>
      </w:r>
    </w:p>
    <w:p w:rsidR="00000000" w:rsidRDefault="00000000">
      <w:pPr>
        <w:keepNext/>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50"/>
        <w:gridCol w:w="1336"/>
        <w:gridCol w:w="1336"/>
        <w:gridCol w:w="1336"/>
        <w:gridCol w:w="1336"/>
      </w:tblGrid>
      <w:tr w:rsidR="00000000">
        <w:tblPrEx>
          <w:tblCellMar>
            <w:top w:w="0" w:type="dxa"/>
            <w:bottom w:w="0" w:type="dxa"/>
          </w:tblCellMar>
        </w:tblPrEx>
        <w:trPr>
          <w:cantSplit/>
          <w:tblHeader/>
        </w:trPr>
        <w:tc>
          <w:tcPr>
            <w:tcW w:w="4150" w:type="dxa"/>
            <w:vMerge w:val="restart"/>
            <w:vAlign w:val="center"/>
          </w:tcPr>
          <w:p w:rsidR="00000000" w:rsidRDefault="00000000">
            <w:pPr>
              <w:keepNext/>
              <w:jc w:val="center"/>
              <w:rPr>
                <w:b/>
              </w:rPr>
            </w:pPr>
            <w:r>
              <w:rPr>
                <w:b/>
                <w:bCs/>
              </w:rPr>
              <w:br w:type="page"/>
            </w:r>
          </w:p>
        </w:tc>
        <w:tc>
          <w:tcPr>
            <w:tcW w:w="5344" w:type="dxa"/>
            <w:gridSpan w:val="4"/>
            <w:vAlign w:val="center"/>
          </w:tcPr>
          <w:p w:rsidR="00000000" w:rsidRDefault="00000000">
            <w:pPr>
              <w:keepNext/>
              <w:jc w:val="center"/>
              <w:rPr>
                <w:b/>
              </w:rPr>
            </w:pPr>
            <w:r>
              <w:rPr>
                <w:b/>
              </w:rPr>
              <w:t>Полученные результаты</w:t>
            </w:r>
          </w:p>
        </w:tc>
      </w:tr>
      <w:tr w:rsidR="00000000">
        <w:tblPrEx>
          <w:tblCellMar>
            <w:top w:w="0" w:type="dxa"/>
            <w:bottom w:w="0" w:type="dxa"/>
          </w:tblCellMar>
        </w:tblPrEx>
        <w:trPr>
          <w:cantSplit/>
          <w:tblHeader/>
        </w:trPr>
        <w:tc>
          <w:tcPr>
            <w:tcW w:w="4150" w:type="dxa"/>
            <w:vMerge/>
            <w:vAlign w:val="center"/>
          </w:tcPr>
          <w:p w:rsidR="00000000" w:rsidRDefault="00000000">
            <w:pPr>
              <w:jc w:val="center"/>
              <w:rPr>
                <w:b/>
              </w:rPr>
            </w:pPr>
          </w:p>
        </w:tc>
        <w:tc>
          <w:tcPr>
            <w:tcW w:w="1336" w:type="dxa"/>
            <w:vAlign w:val="center"/>
          </w:tcPr>
          <w:p w:rsidR="00000000" w:rsidRDefault="00000000">
            <w:pPr>
              <w:jc w:val="center"/>
              <w:rPr>
                <w:b/>
                <w:bCs/>
                <w:szCs w:val="18"/>
              </w:rPr>
            </w:pPr>
            <w:r>
              <w:rPr>
                <w:b/>
                <w:bCs/>
                <w:szCs w:val="18"/>
              </w:rPr>
              <w:t>Январь</w:t>
            </w:r>
          </w:p>
        </w:tc>
        <w:tc>
          <w:tcPr>
            <w:tcW w:w="1336" w:type="dxa"/>
            <w:vAlign w:val="center"/>
          </w:tcPr>
          <w:p w:rsidR="00000000" w:rsidRDefault="00000000">
            <w:pPr>
              <w:jc w:val="center"/>
              <w:rPr>
                <w:b/>
                <w:bCs/>
                <w:szCs w:val="18"/>
              </w:rPr>
            </w:pPr>
            <w:r>
              <w:rPr>
                <w:b/>
                <w:bCs/>
                <w:szCs w:val="18"/>
              </w:rPr>
              <w:t>Февраль</w:t>
            </w:r>
          </w:p>
        </w:tc>
        <w:tc>
          <w:tcPr>
            <w:tcW w:w="1336" w:type="dxa"/>
            <w:vAlign w:val="center"/>
          </w:tcPr>
          <w:p w:rsidR="00000000" w:rsidRDefault="00000000">
            <w:pPr>
              <w:jc w:val="center"/>
              <w:rPr>
                <w:b/>
                <w:bCs/>
                <w:szCs w:val="18"/>
              </w:rPr>
            </w:pPr>
            <w:r>
              <w:rPr>
                <w:b/>
                <w:bCs/>
                <w:szCs w:val="18"/>
              </w:rPr>
              <w:t>Март</w:t>
            </w:r>
          </w:p>
        </w:tc>
        <w:tc>
          <w:tcPr>
            <w:tcW w:w="1336" w:type="dxa"/>
            <w:vAlign w:val="center"/>
          </w:tcPr>
          <w:p w:rsidR="00000000" w:rsidRDefault="00000000">
            <w:pPr>
              <w:jc w:val="center"/>
              <w:rPr>
                <w:b/>
                <w:bCs/>
                <w:szCs w:val="18"/>
              </w:rPr>
            </w:pPr>
            <w:r>
              <w:rPr>
                <w:b/>
                <w:bCs/>
                <w:szCs w:val="18"/>
              </w:rPr>
              <w:t>Всего</w:t>
            </w:r>
          </w:p>
        </w:tc>
      </w:tr>
      <w:tr w:rsidR="00000000">
        <w:tblPrEx>
          <w:tblCellMar>
            <w:top w:w="0" w:type="dxa"/>
            <w:bottom w:w="0" w:type="dxa"/>
          </w:tblCellMar>
        </w:tblPrEx>
        <w:tc>
          <w:tcPr>
            <w:tcW w:w="4150" w:type="dxa"/>
          </w:tcPr>
          <w:p w:rsidR="00000000" w:rsidRDefault="00000000">
            <w:pPr>
              <w:keepNext/>
              <w:rPr>
                <w:b/>
              </w:rPr>
            </w:pPr>
            <w:r>
              <w:rPr>
                <w:b/>
              </w:rPr>
              <w:t>Трехсторонние совещания</w:t>
            </w:r>
          </w:p>
        </w:tc>
        <w:tc>
          <w:tcPr>
            <w:tcW w:w="1336" w:type="dxa"/>
          </w:tcPr>
          <w:p w:rsidR="00000000" w:rsidRDefault="00000000">
            <w:pPr>
              <w:keepNext/>
              <w:tabs>
                <w:tab w:val="decimal" w:pos="650"/>
              </w:tabs>
              <w:rPr>
                <w:b/>
              </w:rPr>
            </w:pPr>
          </w:p>
        </w:tc>
        <w:tc>
          <w:tcPr>
            <w:tcW w:w="1336" w:type="dxa"/>
          </w:tcPr>
          <w:p w:rsidR="00000000" w:rsidRDefault="00000000">
            <w:pPr>
              <w:keepNext/>
              <w:rPr>
                <w:b/>
              </w:rPr>
            </w:pPr>
          </w:p>
        </w:tc>
        <w:tc>
          <w:tcPr>
            <w:tcW w:w="1336" w:type="dxa"/>
          </w:tcPr>
          <w:p w:rsidR="00000000" w:rsidRDefault="00000000">
            <w:pPr>
              <w:keepNext/>
              <w:rPr>
                <w:b/>
              </w:rPr>
            </w:pPr>
          </w:p>
        </w:tc>
        <w:tc>
          <w:tcPr>
            <w:tcW w:w="1336" w:type="dxa"/>
          </w:tcPr>
          <w:p w:rsidR="00000000" w:rsidRDefault="00000000">
            <w:pPr>
              <w:keepNext/>
              <w:rPr>
                <w:b/>
              </w:rPr>
            </w:pPr>
          </w:p>
        </w:tc>
      </w:tr>
      <w:tr w:rsidR="00000000">
        <w:tblPrEx>
          <w:tblCellMar>
            <w:top w:w="0" w:type="dxa"/>
            <w:bottom w:w="0" w:type="dxa"/>
          </w:tblCellMar>
        </w:tblPrEx>
        <w:tc>
          <w:tcPr>
            <w:tcW w:w="4150" w:type="dxa"/>
            <w:vAlign w:val="bottom"/>
          </w:tcPr>
          <w:p w:rsidR="00000000" w:rsidRDefault="00000000">
            <w:r>
              <w:t>Созывы</w:t>
            </w:r>
          </w:p>
        </w:tc>
        <w:tc>
          <w:tcPr>
            <w:tcW w:w="1336" w:type="dxa"/>
            <w:vAlign w:val="bottom"/>
          </w:tcPr>
          <w:p w:rsidR="00000000" w:rsidRDefault="00000000">
            <w:pPr>
              <w:tabs>
                <w:tab w:val="clear" w:pos="567"/>
                <w:tab w:val="clear" w:pos="1134"/>
                <w:tab w:val="clear" w:pos="1701"/>
                <w:tab w:val="clear" w:pos="2268"/>
              </w:tabs>
              <w:ind w:right="376"/>
              <w:jc w:val="right"/>
            </w:pPr>
            <w:r>
              <w:t>24</w:t>
            </w:r>
          </w:p>
        </w:tc>
        <w:tc>
          <w:tcPr>
            <w:tcW w:w="1336" w:type="dxa"/>
            <w:vAlign w:val="bottom"/>
          </w:tcPr>
          <w:p w:rsidR="00000000" w:rsidRDefault="00000000">
            <w:pPr>
              <w:tabs>
                <w:tab w:val="clear" w:pos="567"/>
                <w:tab w:val="clear" w:pos="1134"/>
                <w:tab w:val="clear" w:pos="1701"/>
                <w:tab w:val="clear" w:pos="2268"/>
              </w:tabs>
              <w:ind w:right="376"/>
              <w:jc w:val="right"/>
            </w:pPr>
            <w:r>
              <w:t>33</w:t>
            </w:r>
          </w:p>
        </w:tc>
        <w:tc>
          <w:tcPr>
            <w:tcW w:w="1336" w:type="dxa"/>
            <w:vAlign w:val="bottom"/>
          </w:tcPr>
          <w:p w:rsidR="00000000" w:rsidRDefault="00000000">
            <w:pPr>
              <w:tabs>
                <w:tab w:val="clear" w:pos="567"/>
                <w:tab w:val="clear" w:pos="1134"/>
                <w:tab w:val="clear" w:pos="1701"/>
                <w:tab w:val="clear" w:pos="2268"/>
              </w:tabs>
              <w:ind w:right="376"/>
              <w:jc w:val="right"/>
            </w:pPr>
            <w:r>
              <w:t>33</w:t>
            </w:r>
          </w:p>
        </w:tc>
        <w:tc>
          <w:tcPr>
            <w:tcW w:w="1336" w:type="dxa"/>
            <w:vAlign w:val="bottom"/>
          </w:tcPr>
          <w:p w:rsidR="00000000" w:rsidRDefault="00000000">
            <w:pPr>
              <w:tabs>
                <w:tab w:val="clear" w:pos="567"/>
                <w:tab w:val="clear" w:pos="1134"/>
                <w:tab w:val="clear" w:pos="1701"/>
                <w:tab w:val="clear" w:pos="2268"/>
              </w:tabs>
              <w:ind w:right="376"/>
              <w:jc w:val="right"/>
            </w:pPr>
            <w:r>
              <w:t>90</w:t>
            </w:r>
          </w:p>
        </w:tc>
      </w:tr>
      <w:tr w:rsidR="00000000">
        <w:tblPrEx>
          <w:tblCellMar>
            <w:top w:w="0" w:type="dxa"/>
            <w:bottom w:w="0" w:type="dxa"/>
          </w:tblCellMar>
        </w:tblPrEx>
        <w:tc>
          <w:tcPr>
            <w:tcW w:w="4150" w:type="dxa"/>
            <w:vAlign w:val="bottom"/>
          </w:tcPr>
          <w:p w:rsidR="00000000" w:rsidRDefault="00000000">
            <w:pPr>
              <w:ind w:left="284"/>
            </w:pPr>
            <w:r>
              <w:t>Уведомление</w:t>
            </w:r>
          </w:p>
        </w:tc>
        <w:tc>
          <w:tcPr>
            <w:tcW w:w="1336" w:type="dxa"/>
            <w:vAlign w:val="bottom"/>
          </w:tcPr>
          <w:p w:rsidR="00000000" w:rsidRDefault="00000000">
            <w:pPr>
              <w:tabs>
                <w:tab w:val="clear" w:pos="567"/>
                <w:tab w:val="clear" w:pos="1134"/>
                <w:tab w:val="clear" w:pos="1701"/>
                <w:tab w:val="clear" w:pos="2268"/>
              </w:tabs>
              <w:ind w:right="376"/>
              <w:jc w:val="right"/>
            </w:pPr>
            <w:r>
              <w:t>13</w:t>
            </w:r>
          </w:p>
        </w:tc>
        <w:tc>
          <w:tcPr>
            <w:tcW w:w="1336" w:type="dxa"/>
            <w:vAlign w:val="bottom"/>
          </w:tcPr>
          <w:p w:rsidR="00000000" w:rsidRDefault="00000000">
            <w:pPr>
              <w:tabs>
                <w:tab w:val="clear" w:pos="567"/>
                <w:tab w:val="clear" w:pos="1134"/>
                <w:tab w:val="clear" w:pos="1701"/>
                <w:tab w:val="clear" w:pos="2268"/>
              </w:tabs>
              <w:ind w:right="376"/>
              <w:jc w:val="right"/>
            </w:pPr>
            <w:r>
              <w:t>20</w:t>
            </w:r>
          </w:p>
        </w:tc>
        <w:tc>
          <w:tcPr>
            <w:tcW w:w="1336" w:type="dxa"/>
            <w:vAlign w:val="bottom"/>
          </w:tcPr>
          <w:p w:rsidR="00000000" w:rsidRDefault="00000000">
            <w:pPr>
              <w:tabs>
                <w:tab w:val="clear" w:pos="567"/>
                <w:tab w:val="clear" w:pos="1134"/>
                <w:tab w:val="clear" w:pos="1701"/>
                <w:tab w:val="clear" w:pos="2268"/>
              </w:tabs>
              <w:ind w:right="376"/>
              <w:jc w:val="right"/>
            </w:pPr>
            <w:r>
              <w:t>8</w:t>
            </w:r>
          </w:p>
        </w:tc>
        <w:tc>
          <w:tcPr>
            <w:tcW w:w="1336" w:type="dxa"/>
            <w:vAlign w:val="bottom"/>
          </w:tcPr>
          <w:p w:rsidR="00000000" w:rsidRDefault="00000000">
            <w:pPr>
              <w:tabs>
                <w:tab w:val="clear" w:pos="567"/>
                <w:tab w:val="clear" w:pos="1134"/>
                <w:tab w:val="clear" w:pos="1701"/>
                <w:tab w:val="clear" w:pos="2268"/>
              </w:tabs>
              <w:ind w:right="376"/>
              <w:jc w:val="right"/>
            </w:pPr>
            <w:r>
              <w:t>41</w:t>
            </w:r>
          </w:p>
        </w:tc>
      </w:tr>
      <w:tr w:rsidR="00000000">
        <w:tblPrEx>
          <w:tblCellMar>
            <w:top w:w="0" w:type="dxa"/>
            <w:bottom w:w="0" w:type="dxa"/>
          </w:tblCellMar>
        </w:tblPrEx>
        <w:tc>
          <w:tcPr>
            <w:tcW w:w="4150" w:type="dxa"/>
            <w:vAlign w:val="bottom"/>
          </w:tcPr>
          <w:p w:rsidR="00000000" w:rsidRDefault="00000000">
            <w:pPr>
              <w:ind w:left="284"/>
            </w:pPr>
            <w:r>
              <w:t>Извещение</w:t>
            </w:r>
          </w:p>
        </w:tc>
        <w:tc>
          <w:tcPr>
            <w:tcW w:w="1336" w:type="dxa"/>
            <w:vAlign w:val="bottom"/>
          </w:tcPr>
          <w:p w:rsidR="00000000" w:rsidRDefault="00000000">
            <w:pPr>
              <w:tabs>
                <w:tab w:val="clear" w:pos="567"/>
                <w:tab w:val="clear" w:pos="1134"/>
                <w:tab w:val="clear" w:pos="1701"/>
                <w:tab w:val="clear" w:pos="2268"/>
              </w:tabs>
              <w:ind w:right="376"/>
              <w:jc w:val="right"/>
            </w:pPr>
            <w:r>
              <w:t>1</w:t>
            </w:r>
          </w:p>
        </w:tc>
        <w:tc>
          <w:tcPr>
            <w:tcW w:w="1336" w:type="dxa"/>
            <w:vAlign w:val="bottom"/>
          </w:tcPr>
          <w:p w:rsidR="00000000" w:rsidRDefault="00000000">
            <w:pPr>
              <w:tabs>
                <w:tab w:val="clear" w:pos="567"/>
                <w:tab w:val="clear" w:pos="1134"/>
                <w:tab w:val="clear" w:pos="1701"/>
                <w:tab w:val="clear" w:pos="2268"/>
              </w:tabs>
              <w:ind w:right="376"/>
              <w:jc w:val="right"/>
            </w:pPr>
            <w:r>
              <w:t>5</w:t>
            </w:r>
          </w:p>
        </w:tc>
        <w:tc>
          <w:tcPr>
            <w:tcW w:w="1336" w:type="dxa"/>
            <w:vAlign w:val="bottom"/>
          </w:tcPr>
          <w:p w:rsidR="00000000" w:rsidRDefault="00000000">
            <w:pPr>
              <w:tabs>
                <w:tab w:val="clear" w:pos="567"/>
                <w:tab w:val="clear" w:pos="1134"/>
                <w:tab w:val="clear" w:pos="1701"/>
                <w:tab w:val="clear" w:pos="2268"/>
              </w:tabs>
              <w:ind w:right="376"/>
              <w:jc w:val="right"/>
            </w:pPr>
            <w:r>
              <w:t>5</w:t>
            </w:r>
          </w:p>
        </w:tc>
        <w:tc>
          <w:tcPr>
            <w:tcW w:w="1336" w:type="dxa"/>
            <w:vAlign w:val="bottom"/>
          </w:tcPr>
          <w:p w:rsidR="00000000" w:rsidRDefault="00000000">
            <w:pPr>
              <w:tabs>
                <w:tab w:val="clear" w:pos="567"/>
                <w:tab w:val="clear" w:pos="1134"/>
                <w:tab w:val="clear" w:pos="1701"/>
                <w:tab w:val="clear" w:pos="2268"/>
              </w:tabs>
              <w:ind w:right="376"/>
              <w:jc w:val="right"/>
            </w:pPr>
            <w:r>
              <w:t>11</w:t>
            </w:r>
          </w:p>
        </w:tc>
      </w:tr>
      <w:tr w:rsidR="00000000">
        <w:tblPrEx>
          <w:tblCellMar>
            <w:top w:w="0" w:type="dxa"/>
            <w:bottom w:w="0" w:type="dxa"/>
          </w:tblCellMar>
        </w:tblPrEx>
        <w:tc>
          <w:tcPr>
            <w:tcW w:w="4150" w:type="dxa"/>
            <w:vAlign w:val="bottom"/>
          </w:tcPr>
          <w:p w:rsidR="00000000" w:rsidRDefault="00000000">
            <w:pPr>
              <w:ind w:left="284"/>
            </w:pPr>
            <w:r>
              <w:t>Вызов</w:t>
            </w:r>
          </w:p>
        </w:tc>
        <w:tc>
          <w:tcPr>
            <w:tcW w:w="1336" w:type="dxa"/>
            <w:vAlign w:val="bottom"/>
          </w:tcPr>
          <w:p w:rsidR="00000000" w:rsidRDefault="00000000">
            <w:pPr>
              <w:tabs>
                <w:tab w:val="clear" w:pos="567"/>
                <w:tab w:val="clear" w:pos="1134"/>
                <w:tab w:val="clear" w:pos="1701"/>
                <w:tab w:val="clear" w:pos="2268"/>
              </w:tabs>
              <w:ind w:right="376"/>
              <w:jc w:val="right"/>
            </w:pPr>
            <w:r>
              <w:t>0</w:t>
            </w:r>
          </w:p>
        </w:tc>
        <w:tc>
          <w:tcPr>
            <w:tcW w:w="1336" w:type="dxa"/>
            <w:vAlign w:val="bottom"/>
          </w:tcPr>
          <w:p w:rsidR="00000000" w:rsidRDefault="00000000">
            <w:pPr>
              <w:tabs>
                <w:tab w:val="clear" w:pos="567"/>
                <w:tab w:val="clear" w:pos="1134"/>
                <w:tab w:val="clear" w:pos="1701"/>
                <w:tab w:val="clear" w:pos="2268"/>
              </w:tabs>
              <w:ind w:right="376"/>
              <w:jc w:val="right"/>
            </w:pPr>
            <w:r>
              <w:t>0</w:t>
            </w:r>
          </w:p>
        </w:tc>
        <w:tc>
          <w:tcPr>
            <w:tcW w:w="1336" w:type="dxa"/>
            <w:vAlign w:val="bottom"/>
          </w:tcPr>
          <w:p w:rsidR="00000000" w:rsidRDefault="00000000">
            <w:pPr>
              <w:tabs>
                <w:tab w:val="clear" w:pos="567"/>
                <w:tab w:val="clear" w:pos="1134"/>
                <w:tab w:val="clear" w:pos="1701"/>
                <w:tab w:val="clear" w:pos="2268"/>
              </w:tabs>
              <w:ind w:right="376"/>
              <w:jc w:val="right"/>
            </w:pPr>
            <w:r>
              <w:t>0</w:t>
            </w:r>
          </w:p>
        </w:tc>
        <w:tc>
          <w:tcPr>
            <w:tcW w:w="1336" w:type="dxa"/>
            <w:vAlign w:val="bottom"/>
          </w:tcPr>
          <w:p w:rsidR="00000000" w:rsidRDefault="00000000">
            <w:pPr>
              <w:tabs>
                <w:tab w:val="clear" w:pos="567"/>
                <w:tab w:val="clear" w:pos="1134"/>
                <w:tab w:val="clear" w:pos="1701"/>
                <w:tab w:val="clear" w:pos="2268"/>
              </w:tabs>
              <w:ind w:right="376"/>
              <w:jc w:val="right"/>
            </w:pPr>
            <w:r>
              <w:t>0</w:t>
            </w:r>
          </w:p>
        </w:tc>
      </w:tr>
      <w:tr w:rsidR="00000000">
        <w:tblPrEx>
          <w:tblCellMar>
            <w:top w:w="0" w:type="dxa"/>
            <w:bottom w:w="0" w:type="dxa"/>
          </w:tblCellMar>
        </w:tblPrEx>
        <w:tc>
          <w:tcPr>
            <w:tcW w:w="4150" w:type="dxa"/>
            <w:vAlign w:val="bottom"/>
          </w:tcPr>
          <w:p w:rsidR="00000000" w:rsidRDefault="00000000">
            <w:r>
              <w:t>По виду деятельности и характеру разбирательства</w:t>
            </w:r>
          </w:p>
        </w:tc>
        <w:tc>
          <w:tcPr>
            <w:tcW w:w="1336" w:type="dxa"/>
            <w:vAlign w:val="bottom"/>
          </w:tcPr>
          <w:p w:rsidR="00000000" w:rsidRDefault="00000000">
            <w:pPr>
              <w:tabs>
                <w:tab w:val="clear" w:pos="567"/>
                <w:tab w:val="clear" w:pos="1134"/>
                <w:tab w:val="clear" w:pos="1701"/>
                <w:tab w:val="clear" w:pos="2268"/>
              </w:tabs>
              <w:ind w:right="376"/>
              <w:jc w:val="right"/>
            </w:pPr>
            <w:r>
              <w:t>14</w:t>
            </w:r>
          </w:p>
        </w:tc>
        <w:tc>
          <w:tcPr>
            <w:tcW w:w="1336" w:type="dxa"/>
            <w:vAlign w:val="bottom"/>
          </w:tcPr>
          <w:p w:rsidR="00000000" w:rsidRDefault="00000000">
            <w:pPr>
              <w:tabs>
                <w:tab w:val="clear" w:pos="567"/>
                <w:tab w:val="clear" w:pos="1134"/>
                <w:tab w:val="clear" w:pos="1701"/>
                <w:tab w:val="clear" w:pos="2268"/>
              </w:tabs>
              <w:ind w:right="376"/>
              <w:jc w:val="right"/>
            </w:pPr>
            <w:r>
              <w:t>25</w:t>
            </w:r>
          </w:p>
        </w:tc>
        <w:tc>
          <w:tcPr>
            <w:tcW w:w="1336" w:type="dxa"/>
            <w:vAlign w:val="bottom"/>
          </w:tcPr>
          <w:p w:rsidR="00000000" w:rsidRDefault="00000000">
            <w:pPr>
              <w:tabs>
                <w:tab w:val="clear" w:pos="567"/>
                <w:tab w:val="clear" w:pos="1134"/>
                <w:tab w:val="clear" w:pos="1701"/>
                <w:tab w:val="clear" w:pos="2268"/>
              </w:tabs>
              <w:ind w:right="376"/>
              <w:jc w:val="right"/>
            </w:pPr>
            <w:r>
              <w:t>13</w:t>
            </w:r>
          </w:p>
        </w:tc>
        <w:tc>
          <w:tcPr>
            <w:tcW w:w="1336" w:type="dxa"/>
            <w:vAlign w:val="bottom"/>
          </w:tcPr>
          <w:p w:rsidR="00000000" w:rsidRDefault="00000000">
            <w:pPr>
              <w:tabs>
                <w:tab w:val="clear" w:pos="567"/>
                <w:tab w:val="clear" w:pos="1134"/>
                <w:tab w:val="clear" w:pos="1701"/>
                <w:tab w:val="clear" w:pos="2268"/>
              </w:tabs>
              <w:ind w:right="376"/>
              <w:jc w:val="right"/>
            </w:pPr>
            <w:r>
              <w:t>52</w:t>
            </w:r>
          </w:p>
        </w:tc>
      </w:tr>
      <w:tr w:rsidR="00000000">
        <w:tblPrEx>
          <w:tblCellMar>
            <w:top w:w="0" w:type="dxa"/>
            <w:bottom w:w="0" w:type="dxa"/>
          </w:tblCellMar>
        </w:tblPrEx>
        <w:tc>
          <w:tcPr>
            <w:tcW w:w="4150" w:type="dxa"/>
            <w:vAlign w:val="bottom"/>
          </w:tcPr>
          <w:p w:rsidR="00000000" w:rsidRDefault="00000000">
            <w:pPr>
              <w:ind w:left="284"/>
            </w:pPr>
            <w:r>
              <w:t>Торговля</w:t>
            </w:r>
          </w:p>
        </w:tc>
        <w:tc>
          <w:tcPr>
            <w:tcW w:w="1336" w:type="dxa"/>
            <w:vAlign w:val="bottom"/>
          </w:tcPr>
          <w:p w:rsidR="00000000" w:rsidRDefault="00000000">
            <w:pPr>
              <w:tabs>
                <w:tab w:val="clear" w:pos="567"/>
                <w:tab w:val="clear" w:pos="1134"/>
                <w:tab w:val="clear" w:pos="1701"/>
                <w:tab w:val="clear" w:pos="2268"/>
              </w:tabs>
              <w:ind w:right="376"/>
              <w:jc w:val="right"/>
            </w:pPr>
            <w:r>
              <w:t>0</w:t>
            </w:r>
          </w:p>
        </w:tc>
        <w:tc>
          <w:tcPr>
            <w:tcW w:w="1336" w:type="dxa"/>
            <w:vAlign w:val="bottom"/>
          </w:tcPr>
          <w:p w:rsidR="00000000" w:rsidRDefault="00000000">
            <w:pPr>
              <w:tabs>
                <w:tab w:val="clear" w:pos="567"/>
                <w:tab w:val="clear" w:pos="1134"/>
                <w:tab w:val="clear" w:pos="1701"/>
                <w:tab w:val="clear" w:pos="2268"/>
              </w:tabs>
              <w:ind w:right="376"/>
              <w:jc w:val="right"/>
            </w:pPr>
            <w:r>
              <w:t>0</w:t>
            </w:r>
          </w:p>
        </w:tc>
        <w:tc>
          <w:tcPr>
            <w:tcW w:w="1336" w:type="dxa"/>
            <w:vAlign w:val="bottom"/>
          </w:tcPr>
          <w:p w:rsidR="00000000" w:rsidRDefault="00000000">
            <w:pPr>
              <w:tabs>
                <w:tab w:val="clear" w:pos="567"/>
                <w:tab w:val="clear" w:pos="1134"/>
                <w:tab w:val="clear" w:pos="1701"/>
                <w:tab w:val="clear" w:pos="2268"/>
              </w:tabs>
              <w:ind w:right="376"/>
              <w:jc w:val="right"/>
            </w:pPr>
            <w:r>
              <w:t>0</w:t>
            </w:r>
          </w:p>
        </w:tc>
        <w:tc>
          <w:tcPr>
            <w:tcW w:w="1336" w:type="dxa"/>
            <w:vAlign w:val="bottom"/>
          </w:tcPr>
          <w:p w:rsidR="00000000" w:rsidRDefault="00000000">
            <w:pPr>
              <w:tabs>
                <w:tab w:val="clear" w:pos="567"/>
                <w:tab w:val="clear" w:pos="1134"/>
                <w:tab w:val="clear" w:pos="1701"/>
                <w:tab w:val="clear" w:pos="2268"/>
              </w:tabs>
              <w:ind w:right="376"/>
              <w:jc w:val="right"/>
            </w:pPr>
            <w:r>
              <w:t>0</w:t>
            </w:r>
          </w:p>
        </w:tc>
      </w:tr>
      <w:tr w:rsidR="00000000">
        <w:tblPrEx>
          <w:tblCellMar>
            <w:top w:w="0" w:type="dxa"/>
            <w:bottom w:w="0" w:type="dxa"/>
          </w:tblCellMar>
        </w:tblPrEx>
        <w:tc>
          <w:tcPr>
            <w:tcW w:w="4150" w:type="dxa"/>
            <w:vAlign w:val="bottom"/>
          </w:tcPr>
          <w:p w:rsidR="00000000" w:rsidRDefault="00000000">
            <w:pPr>
              <w:ind w:left="284"/>
            </w:pPr>
            <w:r>
              <w:t>Сфера услуг</w:t>
            </w:r>
          </w:p>
        </w:tc>
        <w:tc>
          <w:tcPr>
            <w:tcW w:w="1336" w:type="dxa"/>
            <w:vAlign w:val="bottom"/>
          </w:tcPr>
          <w:p w:rsidR="00000000" w:rsidRDefault="00000000">
            <w:pPr>
              <w:tabs>
                <w:tab w:val="clear" w:pos="567"/>
                <w:tab w:val="clear" w:pos="1134"/>
                <w:tab w:val="clear" w:pos="1701"/>
                <w:tab w:val="clear" w:pos="2268"/>
              </w:tabs>
              <w:ind w:right="376"/>
              <w:jc w:val="right"/>
            </w:pPr>
            <w:r>
              <w:t>1</w:t>
            </w:r>
          </w:p>
        </w:tc>
        <w:tc>
          <w:tcPr>
            <w:tcW w:w="1336" w:type="dxa"/>
            <w:vAlign w:val="bottom"/>
          </w:tcPr>
          <w:p w:rsidR="00000000" w:rsidRDefault="00000000">
            <w:pPr>
              <w:tabs>
                <w:tab w:val="clear" w:pos="567"/>
                <w:tab w:val="clear" w:pos="1134"/>
                <w:tab w:val="clear" w:pos="1701"/>
                <w:tab w:val="clear" w:pos="2268"/>
              </w:tabs>
              <w:ind w:right="376"/>
              <w:jc w:val="right"/>
            </w:pPr>
            <w:r>
              <w:t>4</w:t>
            </w:r>
          </w:p>
        </w:tc>
        <w:tc>
          <w:tcPr>
            <w:tcW w:w="1336" w:type="dxa"/>
            <w:vAlign w:val="bottom"/>
          </w:tcPr>
          <w:p w:rsidR="00000000" w:rsidRDefault="00000000">
            <w:pPr>
              <w:tabs>
                <w:tab w:val="clear" w:pos="567"/>
                <w:tab w:val="clear" w:pos="1134"/>
                <w:tab w:val="clear" w:pos="1701"/>
                <w:tab w:val="clear" w:pos="2268"/>
              </w:tabs>
              <w:ind w:right="376"/>
              <w:jc w:val="right"/>
            </w:pPr>
            <w:r>
              <w:t>1</w:t>
            </w:r>
          </w:p>
        </w:tc>
        <w:tc>
          <w:tcPr>
            <w:tcW w:w="1336" w:type="dxa"/>
            <w:vAlign w:val="bottom"/>
          </w:tcPr>
          <w:p w:rsidR="00000000" w:rsidRDefault="00000000">
            <w:pPr>
              <w:tabs>
                <w:tab w:val="clear" w:pos="567"/>
                <w:tab w:val="clear" w:pos="1134"/>
                <w:tab w:val="clear" w:pos="1701"/>
                <w:tab w:val="clear" w:pos="2268"/>
              </w:tabs>
              <w:ind w:right="376"/>
              <w:jc w:val="right"/>
            </w:pPr>
            <w:r>
              <w:t>6</w:t>
            </w:r>
          </w:p>
        </w:tc>
      </w:tr>
      <w:tr w:rsidR="00000000">
        <w:tblPrEx>
          <w:tblCellMar>
            <w:top w:w="0" w:type="dxa"/>
            <w:bottom w:w="0" w:type="dxa"/>
          </w:tblCellMar>
        </w:tblPrEx>
        <w:tc>
          <w:tcPr>
            <w:tcW w:w="4150" w:type="dxa"/>
            <w:vAlign w:val="bottom"/>
          </w:tcPr>
          <w:p w:rsidR="00000000" w:rsidRDefault="00000000">
            <w:pPr>
              <w:ind w:left="284"/>
            </w:pPr>
            <w:r>
              <w:t>Промышленность</w:t>
            </w:r>
          </w:p>
        </w:tc>
        <w:tc>
          <w:tcPr>
            <w:tcW w:w="1336" w:type="dxa"/>
            <w:vAlign w:val="bottom"/>
          </w:tcPr>
          <w:p w:rsidR="00000000" w:rsidRDefault="00000000">
            <w:pPr>
              <w:tabs>
                <w:tab w:val="clear" w:pos="567"/>
                <w:tab w:val="clear" w:pos="1134"/>
                <w:tab w:val="clear" w:pos="1701"/>
                <w:tab w:val="clear" w:pos="2268"/>
              </w:tabs>
              <w:ind w:right="376"/>
              <w:jc w:val="right"/>
            </w:pPr>
            <w:r>
              <w:t>4</w:t>
            </w:r>
          </w:p>
        </w:tc>
        <w:tc>
          <w:tcPr>
            <w:tcW w:w="1336" w:type="dxa"/>
            <w:vAlign w:val="bottom"/>
          </w:tcPr>
          <w:p w:rsidR="00000000" w:rsidRDefault="00000000">
            <w:pPr>
              <w:tabs>
                <w:tab w:val="clear" w:pos="567"/>
                <w:tab w:val="clear" w:pos="1134"/>
                <w:tab w:val="clear" w:pos="1701"/>
                <w:tab w:val="clear" w:pos="2268"/>
              </w:tabs>
              <w:ind w:right="376"/>
              <w:jc w:val="right"/>
            </w:pPr>
            <w:r>
              <w:t>5</w:t>
            </w:r>
          </w:p>
        </w:tc>
        <w:tc>
          <w:tcPr>
            <w:tcW w:w="1336" w:type="dxa"/>
            <w:vAlign w:val="bottom"/>
          </w:tcPr>
          <w:p w:rsidR="00000000" w:rsidRDefault="00000000">
            <w:pPr>
              <w:tabs>
                <w:tab w:val="clear" w:pos="567"/>
                <w:tab w:val="clear" w:pos="1134"/>
                <w:tab w:val="clear" w:pos="1701"/>
                <w:tab w:val="clear" w:pos="2268"/>
              </w:tabs>
              <w:ind w:right="376"/>
              <w:jc w:val="right"/>
            </w:pPr>
            <w:r>
              <w:t>0</w:t>
            </w:r>
          </w:p>
        </w:tc>
        <w:tc>
          <w:tcPr>
            <w:tcW w:w="1336" w:type="dxa"/>
            <w:vAlign w:val="bottom"/>
          </w:tcPr>
          <w:p w:rsidR="00000000" w:rsidRDefault="00000000">
            <w:pPr>
              <w:tabs>
                <w:tab w:val="clear" w:pos="567"/>
                <w:tab w:val="clear" w:pos="1134"/>
                <w:tab w:val="clear" w:pos="1701"/>
                <w:tab w:val="clear" w:pos="2268"/>
              </w:tabs>
              <w:ind w:right="376"/>
              <w:jc w:val="right"/>
            </w:pPr>
            <w:r>
              <w:t>9</w:t>
            </w:r>
          </w:p>
        </w:tc>
      </w:tr>
      <w:tr w:rsidR="00000000">
        <w:tblPrEx>
          <w:tblCellMar>
            <w:top w:w="0" w:type="dxa"/>
            <w:bottom w:w="0" w:type="dxa"/>
          </w:tblCellMar>
        </w:tblPrEx>
        <w:tc>
          <w:tcPr>
            <w:tcW w:w="4150" w:type="dxa"/>
            <w:vAlign w:val="bottom"/>
          </w:tcPr>
          <w:p w:rsidR="00000000" w:rsidRDefault="00000000">
            <w:pPr>
              <w:ind w:left="284"/>
            </w:pPr>
            <w:r>
              <w:t>Транспорт</w:t>
            </w:r>
          </w:p>
        </w:tc>
        <w:tc>
          <w:tcPr>
            <w:tcW w:w="1336" w:type="dxa"/>
            <w:vAlign w:val="bottom"/>
          </w:tcPr>
          <w:p w:rsidR="00000000" w:rsidRDefault="00000000">
            <w:pPr>
              <w:tabs>
                <w:tab w:val="clear" w:pos="567"/>
                <w:tab w:val="clear" w:pos="1134"/>
                <w:tab w:val="clear" w:pos="1701"/>
                <w:tab w:val="clear" w:pos="2268"/>
              </w:tabs>
              <w:ind w:right="376"/>
              <w:jc w:val="right"/>
            </w:pPr>
            <w:r>
              <w:t>6</w:t>
            </w:r>
          </w:p>
        </w:tc>
        <w:tc>
          <w:tcPr>
            <w:tcW w:w="1336" w:type="dxa"/>
            <w:vAlign w:val="bottom"/>
          </w:tcPr>
          <w:p w:rsidR="00000000" w:rsidRDefault="00000000">
            <w:pPr>
              <w:tabs>
                <w:tab w:val="clear" w:pos="567"/>
                <w:tab w:val="clear" w:pos="1134"/>
                <w:tab w:val="clear" w:pos="1701"/>
                <w:tab w:val="clear" w:pos="2268"/>
              </w:tabs>
              <w:ind w:right="376"/>
              <w:jc w:val="right"/>
            </w:pPr>
            <w:r>
              <w:t>10</w:t>
            </w:r>
          </w:p>
        </w:tc>
        <w:tc>
          <w:tcPr>
            <w:tcW w:w="1336" w:type="dxa"/>
            <w:vAlign w:val="bottom"/>
          </w:tcPr>
          <w:p w:rsidR="00000000" w:rsidRDefault="00000000">
            <w:pPr>
              <w:tabs>
                <w:tab w:val="clear" w:pos="567"/>
                <w:tab w:val="clear" w:pos="1134"/>
                <w:tab w:val="clear" w:pos="1701"/>
                <w:tab w:val="clear" w:pos="2268"/>
              </w:tabs>
              <w:ind w:right="376"/>
              <w:jc w:val="right"/>
            </w:pPr>
            <w:r>
              <w:t>6</w:t>
            </w:r>
          </w:p>
        </w:tc>
        <w:tc>
          <w:tcPr>
            <w:tcW w:w="1336" w:type="dxa"/>
            <w:vAlign w:val="bottom"/>
          </w:tcPr>
          <w:p w:rsidR="00000000" w:rsidRDefault="00000000">
            <w:pPr>
              <w:tabs>
                <w:tab w:val="clear" w:pos="567"/>
                <w:tab w:val="clear" w:pos="1134"/>
                <w:tab w:val="clear" w:pos="1701"/>
                <w:tab w:val="clear" w:pos="2268"/>
              </w:tabs>
              <w:ind w:right="376"/>
              <w:jc w:val="right"/>
            </w:pPr>
            <w:r>
              <w:t>22</w:t>
            </w:r>
          </w:p>
        </w:tc>
      </w:tr>
      <w:tr w:rsidR="00000000">
        <w:tblPrEx>
          <w:tblCellMar>
            <w:top w:w="0" w:type="dxa"/>
            <w:bottom w:w="0" w:type="dxa"/>
          </w:tblCellMar>
        </w:tblPrEx>
        <w:tc>
          <w:tcPr>
            <w:tcW w:w="4150" w:type="dxa"/>
            <w:vAlign w:val="bottom"/>
          </w:tcPr>
          <w:p w:rsidR="00000000" w:rsidRDefault="00000000">
            <w:pPr>
              <w:ind w:left="284"/>
            </w:pPr>
            <w:r>
              <w:t>Государственная сфера</w:t>
            </w:r>
          </w:p>
        </w:tc>
        <w:tc>
          <w:tcPr>
            <w:tcW w:w="1336" w:type="dxa"/>
            <w:vAlign w:val="bottom"/>
          </w:tcPr>
          <w:p w:rsidR="00000000" w:rsidRDefault="00000000">
            <w:pPr>
              <w:tabs>
                <w:tab w:val="clear" w:pos="567"/>
                <w:tab w:val="clear" w:pos="1134"/>
                <w:tab w:val="clear" w:pos="1701"/>
                <w:tab w:val="clear" w:pos="2268"/>
              </w:tabs>
              <w:ind w:right="376"/>
              <w:jc w:val="right"/>
            </w:pPr>
            <w:r>
              <w:t>3</w:t>
            </w:r>
          </w:p>
        </w:tc>
        <w:tc>
          <w:tcPr>
            <w:tcW w:w="1336" w:type="dxa"/>
            <w:vAlign w:val="bottom"/>
          </w:tcPr>
          <w:p w:rsidR="00000000" w:rsidRDefault="00000000">
            <w:pPr>
              <w:tabs>
                <w:tab w:val="clear" w:pos="567"/>
                <w:tab w:val="clear" w:pos="1134"/>
                <w:tab w:val="clear" w:pos="1701"/>
                <w:tab w:val="clear" w:pos="2268"/>
              </w:tabs>
              <w:ind w:right="376"/>
              <w:jc w:val="right"/>
            </w:pPr>
            <w:r>
              <w:t>6</w:t>
            </w:r>
          </w:p>
        </w:tc>
        <w:tc>
          <w:tcPr>
            <w:tcW w:w="1336" w:type="dxa"/>
            <w:vAlign w:val="bottom"/>
          </w:tcPr>
          <w:p w:rsidR="00000000" w:rsidRDefault="00000000">
            <w:pPr>
              <w:tabs>
                <w:tab w:val="clear" w:pos="567"/>
                <w:tab w:val="clear" w:pos="1134"/>
                <w:tab w:val="clear" w:pos="1701"/>
                <w:tab w:val="clear" w:pos="2268"/>
              </w:tabs>
              <w:ind w:right="376"/>
              <w:jc w:val="right"/>
            </w:pPr>
            <w:r>
              <w:t>6</w:t>
            </w:r>
          </w:p>
        </w:tc>
        <w:tc>
          <w:tcPr>
            <w:tcW w:w="1336" w:type="dxa"/>
            <w:vAlign w:val="bottom"/>
          </w:tcPr>
          <w:p w:rsidR="00000000" w:rsidRDefault="00000000">
            <w:pPr>
              <w:tabs>
                <w:tab w:val="clear" w:pos="567"/>
                <w:tab w:val="clear" w:pos="1134"/>
                <w:tab w:val="clear" w:pos="1701"/>
                <w:tab w:val="clear" w:pos="2268"/>
              </w:tabs>
              <w:ind w:right="376"/>
              <w:jc w:val="right"/>
            </w:pPr>
            <w:r>
              <w:t>15</w:t>
            </w:r>
          </w:p>
        </w:tc>
      </w:tr>
      <w:tr w:rsidR="00000000">
        <w:tblPrEx>
          <w:tblCellMar>
            <w:top w:w="0" w:type="dxa"/>
            <w:bottom w:w="0" w:type="dxa"/>
          </w:tblCellMar>
        </w:tblPrEx>
        <w:tc>
          <w:tcPr>
            <w:tcW w:w="4150" w:type="dxa"/>
            <w:vAlign w:val="bottom"/>
          </w:tcPr>
          <w:p w:rsidR="00000000" w:rsidRDefault="00000000">
            <w:pPr>
              <w:keepNext/>
            </w:pPr>
            <w:r>
              <w:t>По мотивам</w:t>
            </w:r>
          </w:p>
        </w:tc>
        <w:tc>
          <w:tcPr>
            <w:tcW w:w="1336" w:type="dxa"/>
            <w:vAlign w:val="bottom"/>
          </w:tcPr>
          <w:p w:rsidR="00000000" w:rsidRDefault="00000000">
            <w:pPr>
              <w:keepNext/>
              <w:tabs>
                <w:tab w:val="clear" w:pos="567"/>
                <w:tab w:val="clear" w:pos="1134"/>
                <w:tab w:val="clear" w:pos="1701"/>
                <w:tab w:val="clear" w:pos="2268"/>
              </w:tabs>
              <w:ind w:right="376"/>
              <w:jc w:val="right"/>
            </w:pPr>
            <w:r>
              <w:t>14</w:t>
            </w:r>
          </w:p>
        </w:tc>
        <w:tc>
          <w:tcPr>
            <w:tcW w:w="1336" w:type="dxa"/>
            <w:vAlign w:val="bottom"/>
          </w:tcPr>
          <w:p w:rsidR="00000000" w:rsidRDefault="00000000">
            <w:pPr>
              <w:keepNext/>
              <w:tabs>
                <w:tab w:val="clear" w:pos="567"/>
                <w:tab w:val="clear" w:pos="1134"/>
                <w:tab w:val="clear" w:pos="1701"/>
                <w:tab w:val="clear" w:pos="2268"/>
              </w:tabs>
              <w:ind w:right="376"/>
              <w:jc w:val="right"/>
            </w:pPr>
            <w:r>
              <w:t>25</w:t>
            </w:r>
          </w:p>
        </w:tc>
        <w:tc>
          <w:tcPr>
            <w:tcW w:w="1336" w:type="dxa"/>
            <w:vAlign w:val="bottom"/>
          </w:tcPr>
          <w:p w:rsidR="00000000" w:rsidRDefault="00000000">
            <w:pPr>
              <w:keepNext/>
              <w:tabs>
                <w:tab w:val="clear" w:pos="567"/>
                <w:tab w:val="clear" w:pos="1134"/>
                <w:tab w:val="clear" w:pos="1701"/>
                <w:tab w:val="clear" w:pos="2268"/>
              </w:tabs>
              <w:ind w:right="376"/>
              <w:jc w:val="right"/>
            </w:pPr>
            <w:r>
              <w:t>13</w:t>
            </w:r>
          </w:p>
        </w:tc>
        <w:tc>
          <w:tcPr>
            <w:tcW w:w="1336" w:type="dxa"/>
            <w:vAlign w:val="bottom"/>
          </w:tcPr>
          <w:p w:rsidR="00000000" w:rsidRDefault="00000000">
            <w:pPr>
              <w:keepNext/>
              <w:tabs>
                <w:tab w:val="clear" w:pos="567"/>
                <w:tab w:val="clear" w:pos="1134"/>
                <w:tab w:val="clear" w:pos="1701"/>
                <w:tab w:val="clear" w:pos="2268"/>
              </w:tabs>
              <w:ind w:right="376"/>
              <w:jc w:val="right"/>
            </w:pPr>
            <w:r>
              <w:t>52</w:t>
            </w:r>
          </w:p>
        </w:tc>
      </w:tr>
      <w:tr w:rsidR="00000000">
        <w:tblPrEx>
          <w:tblCellMar>
            <w:top w:w="0" w:type="dxa"/>
            <w:bottom w:w="0" w:type="dxa"/>
          </w:tblCellMar>
        </w:tblPrEx>
        <w:tc>
          <w:tcPr>
            <w:tcW w:w="4150" w:type="dxa"/>
            <w:vAlign w:val="bottom"/>
          </w:tcPr>
          <w:p w:rsidR="00000000" w:rsidRDefault="00000000">
            <w:pPr>
              <w:keepNext/>
              <w:ind w:left="284"/>
            </w:pPr>
            <w:r>
              <w:t>Различные вопросы, касающиеся трудовых отношений</w:t>
            </w:r>
          </w:p>
        </w:tc>
        <w:tc>
          <w:tcPr>
            <w:tcW w:w="1336" w:type="dxa"/>
            <w:vAlign w:val="bottom"/>
          </w:tcPr>
          <w:p w:rsidR="00000000" w:rsidRDefault="00000000">
            <w:pPr>
              <w:keepNext/>
              <w:tabs>
                <w:tab w:val="clear" w:pos="567"/>
                <w:tab w:val="clear" w:pos="1134"/>
                <w:tab w:val="clear" w:pos="1701"/>
                <w:tab w:val="clear" w:pos="2268"/>
              </w:tabs>
              <w:ind w:right="376"/>
              <w:jc w:val="right"/>
            </w:pPr>
            <w:r>
              <w:t>13</w:t>
            </w:r>
          </w:p>
        </w:tc>
        <w:tc>
          <w:tcPr>
            <w:tcW w:w="1336" w:type="dxa"/>
            <w:vAlign w:val="bottom"/>
          </w:tcPr>
          <w:p w:rsidR="00000000" w:rsidRDefault="00000000">
            <w:pPr>
              <w:keepNext/>
              <w:tabs>
                <w:tab w:val="clear" w:pos="567"/>
                <w:tab w:val="clear" w:pos="1134"/>
                <w:tab w:val="clear" w:pos="1701"/>
                <w:tab w:val="clear" w:pos="2268"/>
              </w:tabs>
              <w:ind w:right="376"/>
              <w:jc w:val="right"/>
            </w:pPr>
            <w:r>
              <w:t>19</w:t>
            </w:r>
          </w:p>
        </w:tc>
        <w:tc>
          <w:tcPr>
            <w:tcW w:w="1336" w:type="dxa"/>
            <w:vAlign w:val="bottom"/>
          </w:tcPr>
          <w:p w:rsidR="00000000" w:rsidRDefault="00000000">
            <w:pPr>
              <w:keepNext/>
              <w:tabs>
                <w:tab w:val="clear" w:pos="567"/>
                <w:tab w:val="clear" w:pos="1134"/>
                <w:tab w:val="clear" w:pos="1701"/>
                <w:tab w:val="clear" w:pos="2268"/>
              </w:tabs>
              <w:ind w:right="376"/>
              <w:jc w:val="right"/>
            </w:pPr>
            <w:r>
              <w:t>12</w:t>
            </w:r>
          </w:p>
        </w:tc>
        <w:tc>
          <w:tcPr>
            <w:tcW w:w="1336" w:type="dxa"/>
            <w:vAlign w:val="bottom"/>
          </w:tcPr>
          <w:p w:rsidR="00000000" w:rsidRDefault="00000000">
            <w:pPr>
              <w:keepNext/>
              <w:tabs>
                <w:tab w:val="clear" w:pos="567"/>
                <w:tab w:val="clear" w:pos="1134"/>
                <w:tab w:val="clear" w:pos="1701"/>
                <w:tab w:val="clear" w:pos="2268"/>
              </w:tabs>
              <w:ind w:right="376"/>
              <w:jc w:val="right"/>
            </w:pPr>
            <w:r>
              <w:t>44</w:t>
            </w:r>
          </w:p>
        </w:tc>
      </w:tr>
      <w:tr w:rsidR="00000000">
        <w:tblPrEx>
          <w:tblCellMar>
            <w:top w:w="0" w:type="dxa"/>
            <w:bottom w:w="0" w:type="dxa"/>
          </w:tblCellMar>
        </w:tblPrEx>
        <w:tc>
          <w:tcPr>
            <w:tcW w:w="4150" w:type="dxa"/>
            <w:vAlign w:val="bottom"/>
          </w:tcPr>
          <w:p w:rsidR="00000000" w:rsidRDefault="00000000">
            <w:pPr>
              <w:ind w:left="284"/>
            </w:pPr>
            <w:r>
              <w:t>Сообщение о принудительной мере</w:t>
            </w:r>
          </w:p>
        </w:tc>
        <w:tc>
          <w:tcPr>
            <w:tcW w:w="1336" w:type="dxa"/>
            <w:vAlign w:val="bottom"/>
          </w:tcPr>
          <w:p w:rsidR="00000000" w:rsidRDefault="00000000">
            <w:pPr>
              <w:tabs>
                <w:tab w:val="clear" w:pos="567"/>
                <w:tab w:val="clear" w:pos="1134"/>
                <w:tab w:val="clear" w:pos="1701"/>
                <w:tab w:val="clear" w:pos="2268"/>
              </w:tabs>
              <w:ind w:right="376"/>
              <w:jc w:val="right"/>
            </w:pPr>
            <w:r>
              <w:t>1</w:t>
            </w:r>
          </w:p>
        </w:tc>
        <w:tc>
          <w:tcPr>
            <w:tcW w:w="1336" w:type="dxa"/>
            <w:vAlign w:val="bottom"/>
          </w:tcPr>
          <w:p w:rsidR="00000000" w:rsidRDefault="00000000">
            <w:pPr>
              <w:tabs>
                <w:tab w:val="clear" w:pos="567"/>
                <w:tab w:val="clear" w:pos="1134"/>
                <w:tab w:val="clear" w:pos="1701"/>
                <w:tab w:val="clear" w:pos="2268"/>
              </w:tabs>
              <w:ind w:right="376"/>
              <w:jc w:val="right"/>
            </w:pPr>
            <w:r>
              <w:t>6</w:t>
            </w:r>
          </w:p>
        </w:tc>
        <w:tc>
          <w:tcPr>
            <w:tcW w:w="1336" w:type="dxa"/>
            <w:vAlign w:val="bottom"/>
          </w:tcPr>
          <w:p w:rsidR="00000000" w:rsidRDefault="00000000">
            <w:pPr>
              <w:tabs>
                <w:tab w:val="clear" w:pos="567"/>
                <w:tab w:val="clear" w:pos="1134"/>
                <w:tab w:val="clear" w:pos="1701"/>
                <w:tab w:val="clear" w:pos="2268"/>
              </w:tabs>
              <w:ind w:right="376"/>
              <w:jc w:val="right"/>
            </w:pPr>
            <w:r>
              <w:t>1</w:t>
            </w:r>
          </w:p>
        </w:tc>
        <w:tc>
          <w:tcPr>
            <w:tcW w:w="1336" w:type="dxa"/>
            <w:vAlign w:val="bottom"/>
          </w:tcPr>
          <w:p w:rsidR="00000000" w:rsidRDefault="00000000">
            <w:pPr>
              <w:tabs>
                <w:tab w:val="clear" w:pos="567"/>
                <w:tab w:val="clear" w:pos="1134"/>
                <w:tab w:val="clear" w:pos="1701"/>
                <w:tab w:val="clear" w:pos="2268"/>
              </w:tabs>
              <w:ind w:right="376"/>
              <w:jc w:val="right"/>
            </w:pPr>
            <w:r>
              <w:t>8</w:t>
            </w:r>
          </w:p>
        </w:tc>
      </w:tr>
      <w:tr w:rsidR="00000000">
        <w:tblPrEx>
          <w:tblCellMar>
            <w:top w:w="0" w:type="dxa"/>
            <w:bottom w:w="0" w:type="dxa"/>
          </w:tblCellMar>
        </w:tblPrEx>
        <w:tc>
          <w:tcPr>
            <w:tcW w:w="4150" w:type="dxa"/>
            <w:vAlign w:val="bottom"/>
          </w:tcPr>
          <w:p w:rsidR="00000000" w:rsidRDefault="00000000">
            <w:r>
              <w:t>По результатам</w:t>
            </w:r>
          </w:p>
        </w:tc>
        <w:tc>
          <w:tcPr>
            <w:tcW w:w="1336" w:type="dxa"/>
            <w:vAlign w:val="bottom"/>
          </w:tcPr>
          <w:p w:rsidR="00000000" w:rsidRDefault="00000000">
            <w:pPr>
              <w:tabs>
                <w:tab w:val="clear" w:pos="567"/>
                <w:tab w:val="clear" w:pos="1134"/>
                <w:tab w:val="clear" w:pos="1701"/>
                <w:tab w:val="clear" w:pos="2268"/>
              </w:tabs>
              <w:ind w:right="376"/>
              <w:jc w:val="right"/>
            </w:pPr>
            <w:r>
              <w:t>14</w:t>
            </w:r>
          </w:p>
        </w:tc>
        <w:tc>
          <w:tcPr>
            <w:tcW w:w="1336" w:type="dxa"/>
            <w:vAlign w:val="bottom"/>
          </w:tcPr>
          <w:p w:rsidR="00000000" w:rsidRDefault="00000000">
            <w:pPr>
              <w:tabs>
                <w:tab w:val="clear" w:pos="567"/>
                <w:tab w:val="clear" w:pos="1134"/>
                <w:tab w:val="clear" w:pos="1701"/>
                <w:tab w:val="clear" w:pos="2268"/>
              </w:tabs>
              <w:ind w:right="376"/>
              <w:jc w:val="right"/>
            </w:pPr>
            <w:r>
              <w:t>25</w:t>
            </w:r>
          </w:p>
        </w:tc>
        <w:tc>
          <w:tcPr>
            <w:tcW w:w="1336" w:type="dxa"/>
            <w:vAlign w:val="bottom"/>
          </w:tcPr>
          <w:p w:rsidR="00000000" w:rsidRDefault="00000000">
            <w:pPr>
              <w:tabs>
                <w:tab w:val="clear" w:pos="567"/>
                <w:tab w:val="clear" w:pos="1134"/>
                <w:tab w:val="clear" w:pos="1701"/>
                <w:tab w:val="clear" w:pos="2268"/>
              </w:tabs>
              <w:ind w:right="376"/>
              <w:jc w:val="right"/>
            </w:pPr>
            <w:r>
              <w:t>13</w:t>
            </w:r>
          </w:p>
        </w:tc>
        <w:tc>
          <w:tcPr>
            <w:tcW w:w="1336" w:type="dxa"/>
            <w:vAlign w:val="bottom"/>
          </w:tcPr>
          <w:p w:rsidR="00000000" w:rsidRDefault="00000000">
            <w:pPr>
              <w:tabs>
                <w:tab w:val="clear" w:pos="567"/>
                <w:tab w:val="clear" w:pos="1134"/>
                <w:tab w:val="clear" w:pos="1701"/>
                <w:tab w:val="clear" w:pos="2268"/>
              </w:tabs>
              <w:ind w:right="376"/>
              <w:jc w:val="right"/>
            </w:pPr>
            <w:r>
              <w:t>53</w:t>
            </w:r>
          </w:p>
        </w:tc>
      </w:tr>
      <w:tr w:rsidR="00000000">
        <w:tblPrEx>
          <w:tblCellMar>
            <w:top w:w="0" w:type="dxa"/>
            <w:bottom w:w="0" w:type="dxa"/>
          </w:tblCellMar>
        </w:tblPrEx>
        <w:tc>
          <w:tcPr>
            <w:tcW w:w="4150" w:type="dxa"/>
            <w:vAlign w:val="bottom"/>
          </w:tcPr>
          <w:p w:rsidR="00000000" w:rsidRDefault="00000000">
            <w:pPr>
              <w:keepNext/>
            </w:pPr>
            <w:r>
              <w:t>Явка</w:t>
            </w:r>
          </w:p>
        </w:tc>
        <w:tc>
          <w:tcPr>
            <w:tcW w:w="1336" w:type="dxa"/>
            <w:vAlign w:val="bottom"/>
          </w:tcPr>
          <w:p w:rsidR="00000000" w:rsidRDefault="00000000">
            <w:pPr>
              <w:keepNext/>
              <w:tabs>
                <w:tab w:val="clear" w:pos="567"/>
                <w:tab w:val="clear" w:pos="1134"/>
                <w:tab w:val="clear" w:pos="1701"/>
                <w:tab w:val="clear" w:pos="2268"/>
              </w:tabs>
              <w:ind w:right="376"/>
              <w:jc w:val="right"/>
            </w:pPr>
            <w:r>
              <w:t>9</w:t>
            </w:r>
          </w:p>
        </w:tc>
        <w:tc>
          <w:tcPr>
            <w:tcW w:w="1336" w:type="dxa"/>
            <w:vAlign w:val="bottom"/>
          </w:tcPr>
          <w:p w:rsidR="00000000" w:rsidRDefault="00000000">
            <w:pPr>
              <w:keepNext/>
              <w:tabs>
                <w:tab w:val="clear" w:pos="567"/>
                <w:tab w:val="clear" w:pos="1134"/>
                <w:tab w:val="clear" w:pos="1701"/>
                <w:tab w:val="clear" w:pos="2268"/>
              </w:tabs>
              <w:ind w:right="376"/>
              <w:jc w:val="right"/>
            </w:pPr>
            <w:r>
              <w:t>19</w:t>
            </w:r>
          </w:p>
        </w:tc>
        <w:tc>
          <w:tcPr>
            <w:tcW w:w="1336" w:type="dxa"/>
            <w:vAlign w:val="bottom"/>
          </w:tcPr>
          <w:p w:rsidR="00000000" w:rsidRDefault="00000000">
            <w:pPr>
              <w:keepNext/>
              <w:tabs>
                <w:tab w:val="clear" w:pos="567"/>
                <w:tab w:val="clear" w:pos="1134"/>
                <w:tab w:val="clear" w:pos="1701"/>
                <w:tab w:val="clear" w:pos="2268"/>
              </w:tabs>
              <w:ind w:right="376"/>
              <w:jc w:val="right"/>
            </w:pPr>
            <w:r>
              <w:t>10</w:t>
            </w:r>
          </w:p>
        </w:tc>
        <w:tc>
          <w:tcPr>
            <w:tcW w:w="1336" w:type="dxa"/>
            <w:vAlign w:val="bottom"/>
          </w:tcPr>
          <w:p w:rsidR="00000000" w:rsidRDefault="00000000">
            <w:pPr>
              <w:keepNext/>
              <w:tabs>
                <w:tab w:val="clear" w:pos="567"/>
                <w:tab w:val="clear" w:pos="1134"/>
                <w:tab w:val="clear" w:pos="1701"/>
                <w:tab w:val="clear" w:pos="2268"/>
              </w:tabs>
              <w:ind w:right="376"/>
              <w:jc w:val="right"/>
            </w:pPr>
            <w:r>
              <w:t>38</w:t>
            </w:r>
          </w:p>
        </w:tc>
      </w:tr>
      <w:tr w:rsidR="00000000">
        <w:tblPrEx>
          <w:tblCellMar>
            <w:top w:w="0" w:type="dxa"/>
            <w:bottom w:w="0" w:type="dxa"/>
          </w:tblCellMar>
        </w:tblPrEx>
        <w:tc>
          <w:tcPr>
            <w:tcW w:w="4150" w:type="dxa"/>
            <w:vAlign w:val="bottom"/>
          </w:tcPr>
          <w:p w:rsidR="00000000" w:rsidRDefault="00000000">
            <w:pPr>
              <w:keepNext/>
              <w:ind w:left="284"/>
            </w:pPr>
            <w:r>
              <w:t>Урегулировано</w:t>
            </w:r>
          </w:p>
        </w:tc>
        <w:tc>
          <w:tcPr>
            <w:tcW w:w="1336" w:type="dxa"/>
            <w:vAlign w:val="bottom"/>
          </w:tcPr>
          <w:p w:rsidR="00000000" w:rsidRDefault="00000000">
            <w:pPr>
              <w:keepNext/>
              <w:tabs>
                <w:tab w:val="clear" w:pos="567"/>
                <w:tab w:val="clear" w:pos="1134"/>
                <w:tab w:val="clear" w:pos="1701"/>
                <w:tab w:val="clear" w:pos="2268"/>
              </w:tabs>
              <w:ind w:right="376"/>
              <w:jc w:val="right"/>
            </w:pPr>
            <w:r>
              <w:t>5</w:t>
            </w:r>
          </w:p>
        </w:tc>
        <w:tc>
          <w:tcPr>
            <w:tcW w:w="1336" w:type="dxa"/>
            <w:vAlign w:val="bottom"/>
          </w:tcPr>
          <w:p w:rsidR="00000000" w:rsidRDefault="00000000">
            <w:pPr>
              <w:keepNext/>
              <w:tabs>
                <w:tab w:val="clear" w:pos="567"/>
                <w:tab w:val="clear" w:pos="1134"/>
                <w:tab w:val="clear" w:pos="1701"/>
                <w:tab w:val="clear" w:pos="2268"/>
              </w:tabs>
              <w:ind w:right="376"/>
              <w:jc w:val="right"/>
            </w:pPr>
            <w:r>
              <w:t>14</w:t>
            </w:r>
          </w:p>
        </w:tc>
        <w:tc>
          <w:tcPr>
            <w:tcW w:w="1336" w:type="dxa"/>
            <w:vAlign w:val="bottom"/>
          </w:tcPr>
          <w:p w:rsidR="00000000" w:rsidRDefault="00000000">
            <w:pPr>
              <w:keepNext/>
              <w:tabs>
                <w:tab w:val="clear" w:pos="567"/>
                <w:tab w:val="clear" w:pos="1134"/>
                <w:tab w:val="clear" w:pos="1701"/>
                <w:tab w:val="clear" w:pos="2268"/>
              </w:tabs>
              <w:ind w:right="376"/>
              <w:jc w:val="right"/>
            </w:pPr>
            <w:r>
              <w:t>9</w:t>
            </w:r>
          </w:p>
        </w:tc>
        <w:tc>
          <w:tcPr>
            <w:tcW w:w="1336" w:type="dxa"/>
            <w:vAlign w:val="bottom"/>
          </w:tcPr>
          <w:p w:rsidR="00000000" w:rsidRDefault="00000000">
            <w:pPr>
              <w:keepNext/>
              <w:tabs>
                <w:tab w:val="clear" w:pos="567"/>
                <w:tab w:val="clear" w:pos="1134"/>
                <w:tab w:val="clear" w:pos="1701"/>
                <w:tab w:val="clear" w:pos="2268"/>
              </w:tabs>
              <w:ind w:right="376"/>
              <w:jc w:val="right"/>
            </w:pPr>
            <w:r>
              <w:t>28</w:t>
            </w:r>
          </w:p>
        </w:tc>
      </w:tr>
      <w:tr w:rsidR="00000000">
        <w:tblPrEx>
          <w:tblCellMar>
            <w:top w:w="0" w:type="dxa"/>
            <w:bottom w:w="0" w:type="dxa"/>
          </w:tblCellMar>
        </w:tblPrEx>
        <w:tc>
          <w:tcPr>
            <w:tcW w:w="4150" w:type="dxa"/>
            <w:vAlign w:val="bottom"/>
          </w:tcPr>
          <w:p w:rsidR="00000000" w:rsidRDefault="00000000">
            <w:pPr>
              <w:ind w:left="284"/>
            </w:pPr>
            <w:r>
              <w:t>Не урегулировано</w:t>
            </w:r>
          </w:p>
        </w:tc>
        <w:tc>
          <w:tcPr>
            <w:tcW w:w="1336" w:type="dxa"/>
            <w:vAlign w:val="bottom"/>
          </w:tcPr>
          <w:p w:rsidR="00000000" w:rsidRDefault="00000000">
            <w:pPr>
              <w:tabs>
                <w:tab w:val="clear" w:pos="567"/>
                <w:tab w:val="clear" w:pos="1134"/>
                <w:tab w:val="clear" w:pos="1701"/>
                <w:tab w:val="clear" w:pos="2268"/>
              </w:tabs>
              <w:ind w:right="376"/>
              <w:jc w:val="right"/>
            </w:pPr>
            <w:r>
              <w:t>4</w:t>
            </w:r>
          </w:p>
        </w:tc>
        <w:tc>
          <w:tcPr>
            <w:tcW w:w="1336" w:type="dxa"/>
            <w:vAlign w:val="bottom"/>
          </w:tcPr>
          <w:p w:rsidR="00000000" w:rsidRDefault="00000000">
            <w:pPr>
              <w:tabs>
                <w:tab w:val="clear" w:pos="567"/>
                <w:tab w:val="clear" w:pos="1134"/>
                <w:tab w:val="clear" w:pos="1701"/>
                <w:tab w:val="clear" w:pos="2268"/>
              </w:tabs>
              <w:ind w:right="376"/>
              <w:jc w:val="right"/>
            </w:pPr>
            <w:r>
              <w:t>5</w:t>
            </w:r>
          </w:p>
        </w:tc>
        <w:tc>
          <w:tcPr>
            <w:tcW w:w="1336" w:type="dxa"/>
            <w:vAlign w:val="bottom"/>
          </w:tcPr>
          <w:p w:rsidR="00000000" w:rsidRDefault="00000000">
            <w:pPr>
              <w:tabs>
                <w:tab w:val="clear" w:pos="567"/>
                <w:tab w:val="clear" w:pos="1134"/>
                <w:tab w:val="clear" w:pos="1701"/>
                <w:tab w:val="clear" w:pos="2268"/>
              </w:tabs>
              <w:ind w:right="376"/>
              <w:jc w:val="right"/>
            </w:pPr>
            <w:r>
              <w:t>1</w:t>
            </w:r>
          </w:p>
        </w:tc>
        <w:tc>
          <w:tcPr>
            <w:tcW w:w="1336" w:type="dxa"/>
            <w:vAlign w:val="bottom"/>
          </w:tcPr>
          <w:p w:rsidR="00000000" w:rsidRDefault="00000000">
            <w:pPr>
              <w:tabs>
                <w:tab w:val="clear" w:pos="567"/>
                <w:tab w:val="clear" w:pos="1134"/>
                <w:tab w:val="clear" w:pos="1701"/>
                <w:tab w:val="clear" w:pos="2268"/>
              </w:tabs>
              <w:ind w:right="376"/>
              <w:jc w:val="right"/>
            </w:pPr>
            <w:r>
              <w:t>10</w:t>
            </w:r>
          </w:p>
        </w:tc>
      </w:tr>
      <w:tr w:rsidR="00000000">
        <w:tblPrEx>
          <w:tblCellMar>
            <w:top w:w="0" w:type="dxa"/>
            <w:bottom w:w="0" w:type="dxa"/>
          </w:tblCellMar>
        </w:tblPrEx>
        <w:tc>
          <w:tcPr>
            <w:tcW w:w="4150" w:type="dxa"/>
            <w:vAlign w:val="bottom"/>
          </w:tcPr>
          <w:p w:rsidR="00000000" w:rsidRDefault="00000000">
            <w:r>
              <w:t>Неявка</w:t>
            </w:r>
          </w:p>
        </w:tc>
        <w:tc>
          <w:tcPr>
            <w:tcW w:w="1336" w:type="dxa"/>
            <w:vAlign w:val="bottom"/>
          </w:tcPr>
          <w:p w:rsidR="00000000" w:rsidRDefault="00000000">
            <w:pPr>
              <w:tabs>
                <w:tab w:val="clear" w:pos="567"/>
                <w:tab w:val="clear" w:pos="1134"/>
                <w:tab w:val="clear" w:pos="1701"/>
                <w:tab w:val="clear" w:pos="2268"/>
              </w:tabs>
              <w:ind w:right="376"/>
              <w:jc w:val="right"/>
            </w:pPr>
            <w:r>
              <w:t>5</w:t>
            </w:r>
          </w:p>
        </w:tc>
        <w:tc>
          <w:tcPr>
            <w:tcW w:w="1336" w:type="dxa"/>
            <w:vAlign w:val="bottom"/>
          </w:tcPr>
          <w:p w:rsidR="00000000" w:rsidRDefault="00000000">
            <w:pPr>
              <w:tabs>
                <w:tab w:val="clear" w:pos="567"/>
                <w:tab w:val="clear" w:pos="1134"/>
                <w:tab w:val="clear" w:pos="1701"/>
                <w:tab w:val="clear" w:pos="2268"/>
              </w:tabs>
              <w:ind w:right="376"/>
              <w:jc w:val="right"/>
            </w:pPr>
            <w:r>
              <w:t>6</w:t>
            </w:r>
          </w:p>
        </w:tc>
        <w:tc>
          <w:tcPr>
            <w:tcW w:w="1336" w:type="dxa"/>
            <w:vAlign w:val="bottom"/>
          </w:tcPr>
          <w:p w:rsidR="00000000" w:rsidRDefault="00000000">
            <w:pPr>
              <w:tabs>
                <w:tab w:val="clear" w:pos="567"/>
                <w:tab w:val="clear" w:pos="1134"/>
                <w:tab w:val="clear" w:pos="1701"/>
                <w:tab w:val="clear" w:pos="2268"/>
              </w:tabs>
              <w:ind w:right="376"/>
              <w:jc w:val="right"/>
            </w:pPr>
            <w:r>
              <w:t>3</w:t>
            </w:r>
          </w:p>
        </w:tc>
        <w:tc>
          <w:tcPr>
            <w:tcW w:w="1336" w:type="dxa"/>
            <w:vAlign w:val="bottom"/>
          </w:tcPr>
          <w:p w:rsidR="00000000" w:rsidRDefault="00000000">
            <w:pPr>
              <w:tabs>
                <w:tab w:val="clear" w:pos="567"/>
                <w:tab w:val="clear" w:pos="1134"/>
                <w:tab w:val="clear" w:pos="1701"/>
                <w:tab w:val="clear" w:pos="2268"/>
              </w:tabs>
              <w:ind w:right="376"/>
              <w:jc w:val="right"/>
            </w:pPr>
            <w:r>
              <w:t>14</w:t>
            </w:r>
          </w:p>
        </w:tc>
      </w:tr>
      <w:tr w:rsidR="00000000">
        <w:tblPrEx>
          <w:tblCellMar>
            <w:top w:w="0" w:type="dxa"/>
            <w:bottom w:w="0" w:type="dxa"/>
          </w:tblCellMar>
        </w:tblPrEx>
        <w:tc>
          <w:tcPr>
            <w:tcW w:w="4150" w:type="dxa"/>
            <w:vAlign w:val="bottom"/>
          </w:tcPr>
          <w:p w:rsidR="00000000" w:rsidRDefault="00000000">
            <w:pPr>
              <w:ind w:left="284"/>
            </w:pPr>
            <w:r>
              <w:t>Неявка работодателя</w:t>
            </w:r>
          </w:p>
        </w:tc>
        <w:tc>
          <w:tcPr>
            <w:tcW w:w="1336" w:type="dxa"/>
            <w:vAlign w:val="bottom"/>
          </w:tcPr>
          <w:p w:rsidR="00000000" w:rsidRDefault="00000000">
            <w:pPr>
              <w:tabs>
                <w:tab w:val="clear" w:pos="567"/>
                <w:tab w:val="clear" w:pos="1134"/>
                <w:tab w:val="clear" w:pos="1701"/>
                <w:tab w:val="clear" w:pos="2268"/>
              </w:tabs>
              <w:ind w:right="376"/>
              <w:jc w:val="right"/>
            </w:pPr>
            <w:r>
              <w:t>4</w:t>
            </w:r>
          </w:p>
        </w:tc>
        <w:tc>
          <w:tcPr>
            <w:tcW w:w="1336" w:type="dxa"/>
            <w:vAlign w:val="bottom"/>
          </w:tcPr>
          <w:p w:rsidR="00000000" w:rsidRDefault="00000000">
            <w:pPr>
              <w:tabs>
                <w:tab w:val="clear" w:pos="567"/>
                <w:tab w:val="clear" w:pos="1134"/>
                <w:tab w:val="clear" w:pos="1701"/>
                <w:tab w:val="clear" w:pos="2268"/>
              </w:tabs>
              <w:ind w:right="376"/>
              <w:jc w:val="right"/>
            </w:pPr>
            <w:r>
              <w:t>4</w:t>
            </w:r>
          </w:p>
        </w:tc>
        <w:tc>
          <w:tcPr>
            <w:tcW w:w="1336" w:type="dxa"/>
            <w:vAlign w:val="bottom"/>
          </w:tcPr>
          <w:p w:rsidR="00000000" w:rsidRDefault="00000000">
            <w:pPr>
              <w:tabs>
                <w:tab w:val="clear" w:pos="567"/>
                <w:tab w:val="clear" w:pos="1134"/>
                <w:tab w:val="clear" w:pos="1701"/>
                <w:tab w:val="clear" w:pos="2268"/>
              </w:tabs>
              <w:ind w:right="376"/>
              <w:jc w:val="right"/>
            </w:pPr>
            <w:r>
              <w:t>2</w:t>
            </w:r>
          </w:p>
        </w:tc>
        <w:tc>
          <w:tcPr>
            <w:tcW w:w="1336" w:type="dxa"/>
            <w:vAlign w:val="bottom"/>
          </w:tcPr>
          <w:p w:rsidR="00000000" w:rsidRDefault="00000000">
            <w:pPr>
              <w:tabs>
                <w:tab w:val="clear" w:pos="567"/>
                <w:tab w:val="clear" w:pos="1134"/>
                <w:tab w:val="clear" w:pos="1701"/>
                <w:tab w:val="clear" w:pos="2268"/>
              </w:tabs>
              <w:ind w:right="376"/>
              <w:jc w:val="right"/>
            </w:pPr>
            <w:r>
              <w:t>10</w:t>
            </w:r>
          </w:p>
        </w:tc>
      </w:tr>
      <w:tr w:rsidR="00000000">
        <w:tblPrEx>
          <w:tblCellMar>
            <w:top w:w="0" w:type="dxa"/>
            <w:bottom w:w="0" w:type="dxa"/>
          </w:tblCellMar>
        </w:tblPrEx>
        <w:tc>
          <w:tcPr>
            <w:tcW w:w="4150" w:type="dxa"/>
            <w:vAlign w:val="bottom"/>
          </w:tcPr>
          <w:p w:rsidR="00000000" w:rsidRDefault="00000000">
            <w:pPr>
              <w:ind w:left="284"/>
            </w:pPr>
            <w:r>
              <w:t>Неявка профсоюза</w:t>
            </w:r>
          </w:p>
        </w:tc>
        <w:tc>
          <w:tcPr>
            <w:tcW w:w="1336" w:type="dxa"/>
            <w:vAlign w:val="bottom"/>
          </w:tcPr>
          <w:p w:rsidR="00000000" w:rsidRDefault="00000000">
            <w:pPr>
              <w:tabs>
                <w:tab w:val="clear" w:pos="567"/>
                <w:tab w:val="clear" w:pos="1134"/>
                <w:tab w:val="clear" w:pos="1701"/>
                <w:tab w:val="clear" w:pos="2268"/>
              </w:tabs>
              <w:ind w:right="376"/>
              <w:jc w:val="right"/>
            </w:pPr>
            <w:r>
              <w:t>0</w:t>
            </w:r>
          </w:p>
        </w:tc>
        <w:tc>
          <w:tcPr>
            <w:tcW w:w="1336" w:type="dxa"/>
            <w:vAlign w:val="bottom"/>
          </w:tcPr>
          <w:p w:rsidR="00000000" w:rsidRDefault="00000000">
            <w:pPr>
              <w:tabs>
                <w:tab w:val="clear" w:pos="567"/>
                <w:tab w:val="clear" w:pos="1134"/>
                <w:tab w:val="clear" w:pos="1701"/>
                <w:tab w:val="clear" w:pos="2268"/>
              </w:tabs>
              <w:ind w:right="376"/>
              <w:jc w:val="right"/>
            </w:pPr>
            <w:r>
              <w:t>0</w:t>
            </w:r>
          </w:p>
        </w:tc>
        <w:tc>
          <w:tcPr>
            <w:tcW w:w="1336" w:type="dxa"/>
            <w:vAlign w:val="bottom"/>
          </w:tcPr>
          <w:p w:rsidR="00000000" w:rsidRDefault="00000000">
            <w:pPr>
              <w:tabs>
                <w:tab w:val="clear" w:pos="567"/>
                <w:tab w:val="clear" w:pos="1134"/>
                <w:tab w:val="clear" w:pos="1701"/>
                <w:tab w:val="clear" w:pos="2268"/>
              </w:tabs>
              <w:ind w:right="376"/>
              <w:jc w:val="right"/>
            </w:pPr>
            <w:r>
              <w:t>0</w:t>
            </w:r>
          </w:p>
        </w:tc>
        <w:tc>
          <w:tcPr>
            <w:tcW w:w="1336" w:type="dxa"/>
            <w:vAlign w:val="bottom"/>
          </w:tcPr>
          <w:p w:rsidR="00000000" w:rsidRDefault="00000000">
            <w:pPr>
              <w:tabs>
                <w:tab w:val="clear" w:pos="567"/>
                <w:tab w:val="clear" w:pos="1134"/>
                <w:tab w:val="clear" w:pos="1701"/>
                <w:tab w:val="clear" w:pos="2268"/>
              </w:tabs>
              <w:ind w:right="376"/>
              <w:jc w:val="right"/>
            </w:pPr>
            <w:r>
              <w:t>0</w:t>
            </w:r>
          </w:p>
        </w:tc>
      </w:tr>
      <w:tr w:rsidR="00000000">
        <w:tblPrEx>
          <w:tblCellMar>
            <w:top w:w="0" w:type="dxa"/>
            <w:bottom w:w="0" w:type="dxa"/>
          </w:tblCellMar>
        </w:tblPrEx>
        <w:tc>
          <w:tcPr>
            <w:tcW w:w="4150" w:type="dxa"/>
            <w:vAlign w:val="bottom"/>
          </w:tcPr>
          <w:p w:rsidR="00000000" w:rsidRDefault="00000000">
            <w:pPr>
              <w:ind w:left="284"/>
            </w:pPr>
            <w:r>
              <w:t>Неявка обеих сторон</w:t>
            </w:r>
          </w:p>
        </w:tc>
        <w:tc>
          <w:tcPr>
            <w:tcW w:w="1336" w:type="dxa"/>
            <w:vAlign w:val="bottom"/>
          </w:tcPr>
          <w:p w:rsidR="00000000" w:rsidRDefault="00000000">
            <w:pPr>
              <w:tabs>
                <w:tab w:val="clear" w:pos="567"/>
                <w:tab w:val="clear" w:pos="1134"/>
                <w:tab w:val="clear" w:pos="1701"/>
                <w:tab w:val="clear" w:pos="2268"/>
              </w:tabs>
              <w:ind w:right="376"/>
              <w:jc w:val="right"/>
            </w:pPr>
            <w:r>
              <w:t>1</w:t>
            </w:r>
          </w:p>
        </w:tc>
        <w:tc>
          <w:tcPr>
            <w:tcW w:w="1336" w:type="dxa"/>
            <w:vAlign w:val="bottom"/>
          </w:tcPr>
          <w:p w:rsidR="00000000" w:rsidRDefault="00000000">
            <w:pPr>
              <w:tabs>
                <w:tab w:val="clear" w:pos="567"/>
                <w:tab w:val="clear" w:pos="1134"/>
                <w:tab w:val="clear" w:pos="1701"/>
                <w:tab w:val="clear" w:pos="2268"/>
              </w:tabs>
              <w:ind w:right="376"/>
              <w:jc w:val="right"/>
            </w:pPr>
            <w:r>
              <w:t>2</w:t>
            </w:r>
          </w:p>
        </w:tc>
        <w:tc>
          <w:tcPr>
            <w:tcW w:w="1336" w:type="dxa"/>
            <w:vAlign w:val="bottom"/>
          </w:tcPr>
          <w:p w:rsidR="00000000" w:rsidRDefault="00000000">
            <w:pPr>
              <w:tabs>
                <w:tab w:val="clear" w:pos="567"/>
                <w:tab w:val="clear" w:pos="1134"/>
                <w:tab w:val="clear" w:pos="1701"/>
                <w:tab w:val="clear" w:pos="2268"/>
              </w:tabs>
              <w:ind w:right="376"/>
              <w:jc w:val="right"/>
            </w:pPr>
            <w:r>
              <w:t>1</w:t>
            </w:r>
          </w:p>
        </w:tc>
        <w:tc>
          <w:tcPr>
            <w:tcW w:w="1336" w:type="dxa"/>
            <w:vAlign w:val="bottom"/>
          </w:tcPr>
          <w:p w:rsidR="00000000" w:rsidRDefault="00000000">
            <w:pPr>
              <w:tabs>
                <w:tab w:val="clear" w:pos="567"/>
                <w:tab w:val="clear" w:pos="1134"/>
                <w:tab w:val="clear" w:pos="1701"/>
                <w:tab w:val="clear" w:pos="2268"/>
              </w:tabs>
              <w:ind w:right="376"/>
              <w:jc w:val="right"/>
            </w:pPr>
            <w:r>
              <w:t>4</w:t>
            </w:r>
          </w:p>
        </w:tc>
      </w:tr>
    </w:tbl>
    <w:p w:rsidR="00000000" w:rsidRDefault="00000000">
      <w:pPr>
        <w:rPr>
          <w:i/>
          <w:iCs/>
        </w:rPr>
      </w:pPr>
    </w:p>
    <w:p w:rsidR="00000000" w:rsidRDefault="00000000">
      <w:pPr>
        <w:rPr>
          <w:bCs/>
        </w:rPr>
      </w:pPr>
      <w:r>
        <w:rPr>
          <w:i/>
          <w:iCs/>
        </w:rPr>
        <w:t>Источник:</w:t>
      </w:r>
      <w:r>
        <w:t xml:space="preserve">  Главное управление по делам труда, Асунсьон, 4 апреля 2006 года.</w:t>
      </w:r>
    </w:p>
    <w:p w:rsidR="00000000" w:rsidRDefault="00000000">
      <w:pPr>
        <w:rPr>
          <w:bCs/>
        </w:rPr>
      </w:pPr>
    </w:p>
    <w:p w:rsidR="00000000" w:rsidRDefault="00000000">
      <w:pPr>
        <w:keepNext/>
        <w:tabs>
          <w:tab w:val="clear" w:pos="1701"/>
        </w:tabs>
        <w:ind w:left="567"/>
        <w:rPr>
          <w:b/>
        </w:rPr>
      </w:pPr>
      <w:r>
        <w:rPr>
          <w:b/>
        </w:rPr>
        <w:t>4.1.1</w:t>
      </w:r>
      <w:r>
        <w:rPr>
          <w:b/>
        </w:rPr>
        <w:tab/>
        <w:t xml:space="preserve">  Диаграмма результатов работы Трехсторонней комиссии</w:t>
      </w:r>
    </w:p>
    <w:p w:rsidR="00000000" w:rsidRDefault="00000000">
      <w:pPr>
        <w:keepNext/>
        <w:ind w:left="1134"/>
        <w:rPr>
          <w:b/>
        </w:rPr>
      </w:pPr>
    </w:p>
    <w:tbl>
      <w:tblPr>
        <w:tblW w:w="0" w:type="auto"/>
        <w:tblInd w:w="669" w:type="dxa"/>
        <w:tblLayout w:type="fixed"/>
        <w:tblLook w:val="0000" w:firstRow="0" w:lastRow="0" w:firstColumn="0" w:lastColumn="0" w:noHBand="0" w:noVBand="0"/>
      </w:tblPr>
      <w:tblGrid>
        <w:gridCol w:w="4394"/>
        <w:gridCol w:w="4395"/>
      </w:tblGrid>
      <w:tr w:rsidR="00000000">
        <w:tblPrEx>
          <w:tblCellMar>
            <w:top w:w="0" w:type="dxa"/>
            <w:bottom w:w="0" w:type="dxa"/>
          </w:tblCellMar>
        </w:tblPrEx>
        <w:tc>
          <w:tcPr>
            <w:tcW w:w="4394" w:type="dxa"/>
          </w:tcPr>
          <w:p w:rsidR="00000000" w:rsidRDefault="00000000">
            <w:pPr>
              <w:keepNext/>
              <w:ind w:left="1134"/>
              <w:rPr>
                <w:b/>
              </w:rPr>
            </w:pPr>
          </w:p>
          <w:bookmarkStart w:id="46" w:name="_MON_1236162313"/>
          <w:bookmarkStart w:id="47" w:name="_MON_1236162415"/>
          <w:bookmarkStart w:id="48" w:name="_MON_1236162454"/>
          <w:bookmarkStart w:id="49" w:name="_MON_1236162478"/>
          <w:bookmarkStart w:id="50" w:name="_MON_1246089281"/>
          <w:bookmarkStart w:id="51" w:name="_MON_1246104471"/>
          <w:bookmarkStart w:id="52" w:name="_MON_1246107633"/>
          <w:bookmarkEnd w:id="46"/>
          <w:bookmarkEnd w:id="47"/>
          <w:bookmarkEnd w:id="48"/>
          <w:bookmarkEnd w:id="49"/>
          <w:bookmarkEnd w:id="50"/>
          <w:bookmarkEnd w:id="51"/>
          <w:bookmarkEnd w:id="52"/>
          <w:p w:rsidR="00000000" w:rsidRDefault="00000000">
            <w:pPr>
              <w:keepNext/>
              <w:rPr>
                <w:b/>
              </w:rPr>
            </w:pPr>
            <w:r>
              <w:object w:dxaOrig="3986" w:dyaOrig="2279">
                <v:shape id="_x0000_i1031" type="#_x0000_t75" style="width:199.5pt;height:114pt" o:ole="">
                  <v:imagedata r:id="rId35" o:title=""/>
                </v:shape>
                <o:OLEObject Type="Embed" ProgID="Word.Picture.8" ShapeID="_x0000_i1031" DrawAspect="Content" ObjectID="_1394904856" r:id="rId36"/>
              </w:object>
            </w:r>
          </w:p>
        </w:tc>
        <w:tc>
          <w:tcPr>
            <w:tcW w:w="4395" w:type="dxa"/>
          </w:tcPr>
          <w:p w:rsidR="00000000" w:rsidRDefault="00000000">
            <w:pPr>
              <w:keepNext/>
            </w:pPr>
          </w:p>
          <w:bookmarkStart w:id="53" w:name="_MON_1246104490"/>
          <w:bookmarkEnd w:id="53"/>
          <w:p w:rsidR="00000000" w:rsidRDefault="00000000">
            <w:pPr>
              <w:keepNext/>
              <w:rPr>
                <w:b/>
              </w:rPr>
            </w:pPr>
            <w:r>
              <w:object w:dxaOrig="3970" w:dyaOrig="2295">
                <v:shape id="_x0000_i1032" type="#_x0000_t75" style="width:198.75pt;height:114.75pt" o:ole="">
                  <v:imagedata r:id="rId37" o:title=""/>
                </v:shape>
                <o:OLEObject Type="Embed" ProgID="Word.Picture.8" ShapeID="_x0000_i1032" DrawAspect="Content" ObjectID="_1394904857" r:id="rId38"/>
              </w:object>
            </w:r>
          </w:p>
        </w:tc>
      </w:tr>
    </w:tbl>
    <w:p w:rsidR="00000000" w:rsidRDefault="00000000"/>
    <w:bookmarkStart w:id="54" w:name="_MON_1236162687"/>
    <w:bookmarkStart w:id="55" w:name="_MON_1236162825"/>
    <w:bookmarkStart w:id="56" w:name="_MON_1236163046"/>
    <w:bookmarkStart w:id="57" w:name="_MON_1246090757"/>
    <w:bookmarkStart w:id="58" w:name="_MON_1246107649"/>
    <w:bookmarkEnd w:id="54"/>
    <w:bookmarkEnd w:id="55"/>
    <w:bookmarkEnd w:id="56"/>
    <w:bookmarkEnd w:id="57"/>
    <w:bookmarkEnd w:id="58"/>
    <w:p w:rsidR="00000000" w:rsidRDefault="00000000">
      <w:pPr>
        <w:ind w:left="567"/>
      </w:pPr>
      <w:r>
        <w:object w:dxaOrig="6280" w:dyaOrig="2345">
          <v:shape id="_x0000_i1033" type="#_x0000_t75" style="width:314.25pt;height:117pt" o:ole="">
            <v:imagedata r:id="rId39" o:title=""/>
          </v:shape>
          <o:OLEObject Type="Embed" ProgID="Word.Picture.8" ShapeID="_x0000_i1033" DrawAspect="Content" ObjectID="_1394904858" r:id="rId40"/>
        </w:object>
      </w:r>
    </w:p>
    <w:p w:rsidR="00000000" w:rsidRDefault="00000000"/>
    <w:bookmarkStart w:id="59" w:name="_MON_1236162833"/>
    <w:bookmarkStart w:id="60" w:name="_MON_1236163028"/>
    <w:bookmarkStart w:id="61" w:name="_MON_1246090849"/>
    <w:bookmarkStart w:id="62" w:name="_MON_1246104425"/>
    <w:bookmarkStart w:id="63" w:name="_MON_1246104442"/>
    <w:bookmarkEnd w:id="59"/>
    <w:bookmarkEnd w:id="60"/>
    <w:bookmarkEnd w:id="61"/>
    <w:bookmarkEnd w:id="62"/>
    <w:bookmarkEnd w:id="63"/>
    <w:p w:rsidR="00000000" w:rsidRDefault="00000000">
      <w:r>
        <w:object w:dxaOrig="3936" w:dyaOrig="2261">
          <v:shape id="_x0000_i1034" type="#_x0000_t75" style="width:196.5pt;height:113.25pt" o:ole="">
            <v:imagedata r:id="rId41" o:title=""/>
          </v:shape>
          <o:OLEObject Type="Embed" ProgID="Word.Picture.8" ShapeID="_x0000_i1034" DrawAspect="Content" ObjectID="_1394904859" r:id="rId42"/>
        </w:object>
      </w:r>
    </w:p>
    <w:p w:rsidR="00000000" w:rsidRDefault="00000000">
      <w:pPr>
        <w:rPr>
          <w:lang w:val="en-US"/>
        </w:rPr>
      </w:pPr>
    </w:p>
    <w:p w:rsidR="00000000" w:rsidRDefault="00000000">
      <w:pPr>
        <w:shd w:val="clear" w:color="auto" w:fill="FFFFFF"/>
        <w:tabs>
          <w:tab w:val="left" w:pos="567"/>
          <w:tab w:val="left" w:pos="1134"/>
          <w:tab w:val="left" w:pos="1701"/>
          <w:tab w:val="left" w:pos="2268"/>
          <w:tab w:val="left" w:pos="7938"/>
        </w:tabs>
        <w:ind w:left="1134" w:hanging="1134"/>
        <w:rPr>
          <w:b/>
          <w:bCs/>
        </w:rPr>
      </w:pPr>
      <w:r>
        <w:rPr>
          <w:b/>
          <w:bCs/>
          <w:szCs w:val="26"/>
          <w:lang w:val="en-US"/>
        </w:rPr>
        <w:tab/>
      </w:r>
      <w:r>
        <w:rPr>
          <w:b/>
          <w:bCs/>
          <w:szCs w:val="26"/>
        </w:rPr>
        <w:t>4.2</w:t>
      </w:r>
      <w:r>
        <w:rPr>
          <w:b/>
          <w:bCs/>
          <w:szCs w:val="26"/>
        </w:rPr>
        <w:tab/>
        <w:t>Национальный план по обеспечению равных возможностей для женщин </w:t>
      </w:r>
      <w:r>
        <w:rPr>
          <w:b/>
          <w:bCs/>
          <w:szCs w:val="26"/>
        </w:rPr>
        <w:noBreakHyphen/>
        <w:t xml:space="preserve"> сфера трудовой деятельности</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szCs w:val="26"/>
        </w:rPr>
        <w:t>212.</w:t>
      </w:r>
      <w:r>
        <w:rPr>
          <w:szCs w:val="26"/>
        </w:rPr>
        <w:tab/>
        <w:t>Применительно к трудовой деятельности этот план преследует цель добиться равенства возможностей в плане доступа к</w:t>
      </w:r>
      <w:r>
        <w:rPr>
          <w:i/>
          <w:iCs/>
          <w:szCs w:val="26"/>
        </w:rPr>
        <w:t xml:space="preserve"> </w:t>
      </w:r>
      <w:r>
        <w:rPr>
          <w:szCs w:val="26"/>
        </w:rPr>
        <w:t>экономическим ресурсам, особенно к труду, с тем чтобы снизить уровень бедности среди женщин и обеспечить им лучшее качество жизни.  Планом предусматривается, среди прочего:</w:t>
      </w:r>
    </w:p>
    <w:p w:rsidR="00000000" w:rsidRDefault="00000000">
      <w:pPr>
        <w:shd w:val="clear" w:color="auto" w:fill="FFFFFF"/>
        <w:tabs>
          <w:tab w:val="left" w:pos="567"/>
          <w:tab w:val="left" w:pos="1134"/>
          <w:tab w:val="left" w:pos="1701"/>
          <w:tab w:val="left" w:pos="2268"/>
          <w:tab w:val="left" w:pos="7938"/>
        </w:tabs>
      </w:pPr>
    </w:p>
    <w:p w:rsidR="00000000" w:rsidRDefault="00000000">
      <w:pPr>
        <w:numPr>
          <w:ilvl w:val="0"/>
          <w:numId w:val="106"/>
        </w:numPr>
        <w:shd w:val="clear" w:color="auto" w:fill="FFFFFF"/>
        <w:tabs>
          <w:tab w:val="left" w:pos="567"/>
          <w:tab w:val="left" w:pos="1701"/>
          <w:tab w:val="left" w:pos="2268"/>
          <w:tab w:val="left" w:pos="7938"/>
        </w:tabs>
        <w:rPr>
          <w:szCs w:val="26"/>
        </w:rPr>
      </w:pPr>
      <w:r>
        <w:rPr>
          <w:szCs w:val="26"/>
        </w:rPr>
        <w:t>расширить деятельность по просвещению и профориентации, с тем чтобы улучшить ситуацию с доступом, закреплением и положением женщин на рынке труда;</w:t>
      </w:r>
    </w:p>
    <w:p w:rsidR="00000000" w:rsidRDefault="00000000">
      <w:pPr>
        <w:shd w:val="clear" w:color="auto" w:fill="FFFFFF"/>
        <w:tabs>
          <w:tab w:val="left" w:pos="567"/>
          <w:tab w:val="left" w:pos="1134"/>
          <w:tab w:val="left" w:pos="1701"/>
          <w:tab w:val="left" w:pos="2268"/>
          <w:tab w:val="left" w:pos="7938"/>
        </w:tabs>
        <w:ind w:left="1134" w:hanging="1134"/>
      </w:pPr>
    </w:p>
    <w:p w:rsidR="00000000" w:rsidRDefault="00000000">
      <w:pPr>
        <w:numPr>
          <w:ilvl w:val="0"/>
          <w:numId w:val="106"/>
        </w:numPr>
        <w:shd w:val="clear" w:color="auto" w:fill="FFFFFF"/>
        <w:tabs>
          <w:tab w:val="left" w:pos="567"/>
          <w:tab w:val="left" w:pos="1701"/>
          <w:tab w:val="left" w:pos="2268"/>
          <w:tab w:val="left" w:pos="7938"/>
        </w:tabs>
        <w:rPr>
          <w:szCs w:val="26"/>
        </w:rPr>
      </w:pPr>
      <w:r>
        <w:rPr>
          <w:szCs w:val="26"/>
        </w:rPr>
        <w:t>обеспечить женщинам профессиональную подготовку, отвечающую потребностям рынка и условиям трудовой деятельности;</w:t>
      </w:r>
    </w:p>
    <w:p w:rsidR="00000000" w:rsidRDefault="00000000">
      <w:pPr>
        <w:shd w:val="clear" w:color="auto" w:fill="FFFFFF"/>
        <w:tabs>
          <w:tab w:val="left" w:pos="567"/>
          <w:tab w:val="left" w:pos="1134"/>
          <w:tab w:val="left" w:pos="1701"/>
          <w:tab w:val="left" w:pos="2268"/>
          <w:tab w:val="left" w:pos="7938"/>
        </w:tabs>
        <w:ind w:left="1134" w:hanging="1134"/>
      </w:pPr>
    </w:p>
    <w:p w:rsidR="00000000" w:rsidRDefault="00000000">
      <w:pPr>
        <w:numPr>
          <w:ilvl w:val="0"/>
          <w:numId w:val="106"/>
        </w:numPr>
        <w:shd w:val="clear" w:color="auto" w:fill="FFFFFF"/>
        <w:tabs>
          <w:tab w:val="left" w:pos="567"/>
          <w:tab w:val="left" w:pos="1701"/>
          <w:tab w:val="left" w:pos="2268"/>
          <w:tab w:val="left" w:pos="7938"/>
        </w:tabs>
        <w:rPr>
          <w:szCs w:val="26"/>
        </w:rPr>
      </w:pPr>
      <w:r>
        <w:rPr>
          <w:szCs w:val="26"/>
        </w:rPr>
        <w:t>улучшить качество трудовой занятости женщин;</w:t>
      </w:r>
    </w:p>
    <w:p w:rsidR="00000000" w:rsidRDefault="00000000">
      <w:pPr>
        <w:shd w:val="clear" w:color="auto" w:fill="FFFFFF"/>
        <w:tabs>
          <w:tab w:val="left" w:pos="567"/>
          <w:tab w:val="left" w:pos="1134"/>
          <w:tab w:val="left" w:pos="1701"/>
          <w:tab w:val="left" w:pos="2268"/>
          <w:tab w:val="left" w:pos="7938"/>
        </w:tabs>
        <w:ind w:left="1134" w:hanging="1134"/>
      </w:pPr>
    </w:p>
    <w:p w:rsidR="00000000" w:rsidRDefault="00000000">
      <w:pPr>
        <w:numPr>
          <w:ilvl w:val="0"/>
          <w:numId w:val="106"/>
        </w:numPr>
        <w:shd w:val="clear" w:color="auto" w:fill="FFFFFF"/>
        <w:tabs>
          <w:tab w:val="left" w:pos="567"/>
          <w:tab w:val="left" w:pos="1701"/>
          <w:tab w:val="left" w:pos="2268"/>
          <w:tab w:val="left" w:pos="7938"/>
        </w:tabs>
        <w:rPr>
          <w:szCs w:val="26"/>
        </w:rPr>
      </w:pPr>
      <w:r>
        <w:rPr>
          <w:szCs w:val="26"/>
        </w:rPr>
        <w:t>гарантировать надлежащий охват трудящихся женщин системой социального страхования;</w:t>
      </w:r>
    </w:p>
    <w:p w:rsidR="00000000" w:rsidRDefault="00000000">
      <w:pPr>
        <w:shd w:val="clear" w:color="auto" w:fill="FFFFFF"/>
        <w:tabs>
          <w:tab w:val="left" w:pos="567"/>
          <w:tab w:val="left" w:pos="1134"/>
          <w:tab w:val="left" w:pos="1701"/>
          <w:tab w:val="left" w:pos="2268"/>
          <w:tab w:val="left" w:pos="7938"/>
        </w:tabs>
        <w:ind w:left="1134" w:hanging="1134"/>
      </w:pPr>
    </w:p>
    <w:p w:rsidR="00000000" w:rsidRDefault="00000000">
      <w:pPr>
        <w:numPr>
          <w:ilvl w:val="0"/>
          <w:numId w:val="106"/>
        </w:numPr>
        <w:shd w:val="clear" w:color="auto" w:fill="FFFFFF"/>
        <w:tabs>
          <w:tab w:val="left" w:pos="567"/>
          <w:tab w:val="left" w:pos="1701"/>
          <w:tab w:val="left" w:pos="2268"/>
          <w:tab w:val="left" w:pos="7938"/>
        </w:tabs>
        <w:rPr>
          <w:szCs w:val="26"/>
        </w:rPr>
      </w:pPr>
      <w:r>
        <w:rPr>
          <w:szCs w:val="26"/>
        </w:rPr>
        <w:t>поддерживать развитие у женщин предпринимательских качеств;</w:t>
      </w:r>
    </w:p>
    <w:p w:rsidR="00000000" w:rsidRDefault="00000000">
      <w:pPr>
        <w:shd w:val="clear" w:color="auto" w:fill="FFFFFF"/>
        <w:tabs>
          <w:tab w:val="left" w:pos="567"/>
          <w:tab w:val="left" w:pos="1134"/>
          <w:tab w:val="left" w:pos="1701"/>
          <w:tab w:val="left" w:pos="2268"/>
          <w:tab w:val="left" w:pos="7938"/>
        </w:tabs>
        <w:ind w:left="1134" w:hanging="1134"/>
      </w:pPr>
    </w:p>
    <w:p w:rsidR="00000000" w:rsidRDefault="00000000">
      <w:pPr>
        <w:numPr>
          <w:ilvl w:val="0"/>
          <w:numId w:val="106"/>
        </w:numPr>
        <w:shd w:val="clear" w:color="auto" w:fill="FFFFFF"/>
        <w:tabs>
          <w:tab w:val="left" w:pos="567"/>
          <w:tab w:val="left" w:pos="1701"/>
          <w:tab w:val="left" w:pos="2268"/>
          <w:tab w:val="left" w:pos="7938"/>
        </w:tabs>
        <w:rPr>
          <w:szCs w:val="26"/>
        </w:rPr>
      </w:pPr>
      <w:r>
        <w:rPr>
          <w:szCs w:val="26"/>
        </w:rPr>
        <w:t>содействовать равному распределению семейных обязанностей;</w:t>
      </w:r>
    </w:p>
    <w:p w:rsidR="00000000" w:rsidRDefault="00000000">
      <w:pPr>
        <w:shd w:val="clear" w:color="auto" w:fill="FFFFFF"/>
        <w:tabs>
          <w:tab w:val="left" w:pos="567"/>
          <w:tab w:val="left" w:pos="1134"/>
          <w:tab w:val="left" w:pos="1701"/>
          <w:tab w:val="left" w:pos="2268"/>
          <w:tab w:val="left" w:pos="7938"/>
        </w:tabs>
        <w:ind w:left="1134" w:hanging="1134"/>
      </w:pPr>
    </w:p>
    <w:p w:rsidR="00000000" w:rsidRDefault="00000000">
      <w:pPr>
        <w:numPr>
          <w:ilvl w:val="0"/>
          <w:numId w:val="106"/>
        </w:numPr>
        <w:shd w:val="clear" w:color="auto" w:fill="FFFFFF"/>
        <w:tabs>
          <w:tab w:val="left" w:pos="567"/>
          <w:tab w:val="left" w:pos="1701"/>
          <w:tab w:val="left" w:pos="2268"/>
          <w:tab w:val="left" w:pos="7938"/>
        </w:tabs>
        <w:rPr>
          <w:szCs w:val="26"/>
        </w:rPr>
      </w:pPr>
      <w:r>
        <w:rPr>
          <w:szCs w:val="26"/>
        </w:rPr>
        <w:t>расширить возможности доступа сельских женщин к производственным ресурсам и услугам;</w:t>
      </w:r>
    </w:p>
    <w:p w:rsidR="00000000" w:rsidRDefault="00000000">
      <w:pPr>
        <w:shd w:val="clear" w:color="auto" w:fill="FFFFFF"/>
        <w:tabs>
          <w:tab w:val="left" w:pos="567"/>
          <w:tab w:val="left" w:pos="1134"/>
          <w:tab w:val="left" w:pos="1701"/>
          <w:tab w:val="left" w:pos="2268"/>
          <w:tab w:val="left" w:pos="7938"/>
        </w:tabs>
        <w:ind w:left="1134" w:hanging="1134"/>
      </w:pPr>
    </w:p>
    <w:p w:rsidR="00000000" w:rsidRDefault="00000000">
      <w:pPr>
        <w:numPr>
          <w:ilvl w:val="0"/>
          <w:numId w:val="106"/>
        </w:numPr>
        <w:shd w:val="clear" w:color="auto" w:fill="FFFFFF"/>
        <w:tabs>
          <w:tab w:val="left" w:pos="567"/>
          <w:tab w:val="left" w:pos="1701"/>
          <w:tab w:val="left" w:pos="2268"/>
          <w:tab w:val="left" w:pos="7938"/>
        </w:tabs>
        <w:rPr>
          <w:szCs w:val="26"/>
        </w:rPr>
      </w:pPr>
      <w:r>
        <w:rPr>
          <w:szCs w:val="26"/>
        </w:rPr>
        <w:t>снизить порог бедности среди женщин, уделяя особое внимание домохозяйкам.</w:t>
      </w:r>
    </w:p>
    <w:p w:rsidR="00000000" w:rsidRDefault="00000000">
      <w:pPr>
        <w:shd w:val="clear" w:color="auto" w:fill="FFFFFF"/>
        <w:tabs>
          <w:tab w:val="left" w:pos="567"/>
          <w:tab w:val="left" w:pos="1134"/>
          <w:tab w:val="left" w:pos="1701"/>
          <w:tab w:val="left" w:pos="2268"/>
          <w:tab w:val="left" w:pos="7938"/>
        </w:tabs>
        <w:ind w:left="1134" w:hanging="1134"/>
      </w:pPr>
    </w:p>
    <w:p w:rsidR="00000000" w:rsidRDefault="00000000">
      <w:pPr>
        <w:shd w:val="clear" w:color="auto" w:fill="FFFFFF"/>
        <w:tabs>
          <w:tab w:val="left" w:pos="567"/>
          <w:tab w:val="left" w:pos="1134"/>
          <w:tab w:val="left" w:pos="1701"/>
          <w:tab w:val="left" w:pos="2268"/>
          <w:tab w:val="left" w:pos="7938"/>
        </w:tabs>
      </w:pPr>
      <w:r>
        <w:rPr>
          <w:szCs w:val="26"/>
        </w:rPr>
        <w:t>213.</w:t>
      </w:r>
      <w:r>
        <w:rPr>
          <w:szCs w:val="26"/>
        </w:rPr>
        <w:tab/>
        <w:t>Это - общенациональный план, который подлежит реализации и исполнению всеми государственными учреждениями и частными предприятиями, которых он затрагивает.  Министерство юстиции и труда обеспечивает его выполнение посредством конкретных мероприятий, проводимых Управлением по улучшению положения</w:t>
      </w:r>
      <w:r>
        <w:t xml:space="preserve"> </w:t>
      </w:r>
      <w:r>
        <w:rPr>
          <w:szCs w:val="26"/>
        </w:rPr>
        <w:t>трудящихся женщин и Национальной трехсторонней комиссией в рамках Годового плана работы и Программы действий за достойный труд для парагвайской женщины.</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szCs w:val="26"/>
        </w:rPr>
        <w:t>214.</w:t>
      </w:r>
      <w:r>
        <w:rPr>
          <w:szCs w:val="26"/>
        </w:rPr>
        <w:tab/>
        <w:t xml:space="preserve">С другой стороны, существует действующий Закон № 1725 "Устав педагога", в статьях 23-29 главы </w:t>
      </w:r>
      <w:r>
        <w:rPr>
          <w:szCs w:val="26"/>
          <w:lang w:val="en-US"/>
        </w:rPr>
        <w:t>V</w:t>
      </w:r>
      <w:r>
        <w:rPr>
          <w:szCs w:val="26"/>
        </w:rPr>
        <w:t xml:space="preserve"> "Оплата труда" которого констатируется, что работникам (мужчинам и женщинам) сферы образования как государственного, так и частного сектора должна выплачиваться заработная плата, реально отвечающая сложности и специфике их учебно-воспитательных, технических и административных функций, согласно нормам, закрепленным в Национальном бюджете для каждой должностной категории.</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b/>
          <w:bCs/>
          <w:szCs w:val="26"/>
          <w:lang w:val="en-US"/>
        </w:rPr>
        <w:tab/>
      </w:r>
      <w:r>
        <w:rPr>
          <w:b/>
          <w:bCs/>
          <w:szCs w:val="26"/>
        </w:rPr>
        <w:t>4.3</w:t>
      </w:r>
      <w:r>
        <w:rPr>
          <w:b/>
          <w:bCs/>
          <w:szCs w:val="26"/>
        </w:rPr>
        <w:tab/>
        <w:t>Другие конкретные меры</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szCs w:val="26"/>
        </w:rPr>
      </w:pPr>
      <w:r>
        <w:rPr>
          <w:szCs w:val="26"/>
        </w:rPr>
        <w:t>215.</w:t>
      </w:r>
      <w:r>
        <w:rPr>
          <w:szCs w:val="26"/>
        </w:rPr>
        <w:tab/>
        <w:t>Центр подготовки женщин-лидеров, созданный по инициативе Секретариата по делам женщин, призван формировать в женщинах дух гражданского правосознания, с тем чтобы они добивались равных с мужчинами возможностей при назначении на должности, связанные с принятием решений, а также занимали посты в органах власти.  Другая его цель - помочь женщинам объединяться и создавать стратегические союзы в борьбе за свои общие интересы.  На этот год было запланировано провести обучение 1 000 женщин по различным темам, наиболее актуальным для нашей действительности, однако план был перевыполнен, и реально обучение прошли 1 800 женщин, представляющих самые разные политические партии и общественные организации.</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216.</w:t>
      </w:r>
      <w:r>
        <w:rPr>
          <w:szCs w:val="26"/>
        </w:rPr>
        <w:tab/>
        <w:t>Также действует Женский парламент, в рамках которого 125 женщин-лидеров из всех политических партий получают теоретические знания и практические навыки работы в парламентских структурах, изучают вопросы подготовки и представления законопроектов.</w:t>
      </w:r>
    </w:p>
    <w:p w:rsidR="00000000" w:rsidRDefault="00000000">
      <w:pPr>
        <w:shd w:val="clear" w:color="auto" w:fill="FFFFFF"/>
        <w:tabs>
          <w:tab w:val="left" w:pos="567"/>
          <w:tab w:val="left" w:pos="1134"/>
          <w:tab w:val="left" w:pos="1701"/>
          <w:tab w:val="left" w:pos="2268"/>
          <w:tab w:val="left" w:pos="7938"/>
        </w:tabs>
        <w:rPr>
          <w:b/>
          <w:bCs/>
          <w:szCs w:val="26"/>
        </w:rPr>
      </w:pPr>
    </w:p>
    <w:p w:rsidR="00000000" w:rsidRDefault="00000000">
      <w:pPr>
        <w:shd w:val="clear" w:color="auto" w:fill="FFFFFF"/>
        <w:tabs>
          <w:tab w:val="left" w:pos="567"/>
          <w:tab w:val="left" w:pos="1134"/>
          <w:tab w:val="left" w:pos="1701"/>
          <w:tab w:val="left" w:pos="2268"/>
          <w:tab w:val="left" w:pos="7938"/>
        </w:tabs>
        <w:jc w:val="center"/>
      </w:pPr>
      <w:r>
        <w:rPr>
          <w:b/>
          <w:bCs/>
          <w:szCs w:val="26"/>
        </w:rPr>
        <w:t>В.</w:t>
      </w:r>
      <w:r>
        <w:rPr>
          <w:b/>
          <w:bCs/>
          <w:szCs w:val="26"/>
        </w:rPr>
        <w:tab/>
        <w:t>Охрана здоровья и безопасность труда</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szCs w:val="26"/>
        </w:rPr>
        <w:t>217.</w:t>
      </w:r>
      <w:r>
        <w:rPr>
          <w:szCs w:val="26"/>
        </w:rPr>
        <w:tab/>
        <w:t xml:space="preserve">Что касается административных и других мер, связанных с соблюдением элементарных норм по охране здоровья на рабочем месте и безопасности труда, то можно привести выдержки из действующего законодательства, которое предусматривает и вводит механизмы, обеспечивающие соблюдение минимальных требований в отношении охраны здоровья и безопасности труда.  В пункте 2 статьи 91 Конституции страны говорится о том, что "...закон устанавливает более благоприятный график при выполнении вредных для здоровья, опасных, тяжелых работ и работ в ночное время или работ, которые ведутся непрерывно или посменно".  Согласно пункту 2 статьи 92, "...устанавливаются более высокая заработная плата за время, отработанное в нездоровых или опасных условиях, сверхурочные, оплата за работу в ночное время и в праздники".  Статья 198 Трудового кодекса гласит:  "Продолжительность работы, выполняемой во вредных условиях или в условиях, представляющих опасность для здоровья или жизни работников, либо во время сменной или непрерывной работы, не должна превышать 6 часов ежедневно или 36 часов </w:t>
      </w:r>
      <w:r>
        <w:rPr>
          <w:szCs w:val="24"/>
        </w:rPr>
        <w:t>в неделю, при этом заработная плата должна соответствовать восьмичасовому рабочему дню".  Кроме того, статья 272 Трудового кодекса предусматривает, что "работник при выполнении своих профессиональных обязанностей имеет право на эффективную охрану своего здоровья, безопасность и гигиену труда".  А в статье 273 говорится:  "...политика в области предупреждения профессиональных рисков основывается на безопасности, гигиене и медицине труда...".</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szCs w:val="24"/>
        </w:rPr>
        <w:t>218.</w:t>
      </w:r>
      <w:r>
        <w:rPr>
          <w:szCs w:val="24"/>
        </w:rPr>
        <w:tab/>
        <w:t xml:space="preserve">Другие законодательные нормы закреплены в Конституции Республики (статьи 47, 48 и 89), в Трудовом кодексе (статьи 272-282 Главы </w:t>
      </w:r>
      <w:r>
        <w:rPr>
          <w:szCs w:val="24"/>
          <w:lang w:val="en-US"/>
        </w:rPr>
        <w:t>V</w:t>
      </w:r>
      <w:r>
        <w:rPr>
          <w:szCs w:val="24"/>
        </w:rPr>
        <w:t xml:space="preserve"> "О безопасности, гигиене и удобстве труда";  утвержден Законом № 213/93 с добавлениями и изменениями согласно Закону № 496/95) и в Законе № 1626/00 "О государственной службе".</w:t>
      </w:r>
    </w:p>
    <w:p w:rsidR="00000000" w:rsidRDefault="00000000">
      <w:pPr>
        <w:shd w:val="clear" w:color="auto" w:fill="FFFFFF"/>
        <w:tabs>
          <w:tab w:val="left" w:pos="567"/>
          <w:tab w:val="left" w:pos="1134"/>
          <w:tab w:val="left" w:pos="1701"/>
          <w:tab w:val="left" w:pos="2268"/>
          <w:tab w:val="left" w:pos="7938"/>
        </w:tabs>
      </w:pPr>
    </w:p>
    <w:p w:rsidR="00000000" w:rsidRDefault="00000000">
      <w:pPr>
        <w:keepNext/>
        <w:shd w:val="clear" w:color="auto" w:fill="FFFFFF"/>
        <w:tabs>
          <w:tab w:val="left" w:pos="567"/>
          <w:tab w:val="left" w:pos="1134"/>
          <w:tab w:val="left" w:pos="1701"/>
          <w:tab w:val="left" w:pos="2268"/>
          <w:tab w:val="left" w:pos="7938"/>
        </w:tabs>
      </w:pPr>
      <w:r>
        <w:rPr>
          <w:b/>
          <w:bCs/>
          <w:szCs w:val="24"/>
        </w:rPr>
        <w:t>1.</w:t>
      </w:r>
      <w:r>
        <w:rPr>
          <w:b/>
          <w:bCs/>
          <w:szCs w:val="24"/>
        </w:rPr>
        <w:tab/>
        <w:t>Специальные меры по защите трудящихся</w:t>
      </w:r>
    </w:p>
    <w:p w:rsidR="00000000" w:rsidRDefault="00000000">
      <w:pPr>
        <w:keepNext/>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szCs w:val="24"/>
        </w:rPr>
      </w:pPr>
      <w:r>
        <w:rPr>
          <w:szCs w:val="26"/>
        </w:rPr>
        <w:t>219.</w:t>
      </w:r>
      <w:r>
        <w:rPr>
          <w:szCs w:val="26"/>
        </w:rPr>
        <w:tab/>
      </w:r>
      <w:r>
        <w:rPr>
          <w:szCs w:val="24"/>
        </w:rPr>
        <w:t>Трудовой кодекс устанавливает специальные меры по безопасности и гигиене труда женщин, которые не могут привлекаться к опасным и вредным для их здоровья работам, к тяжелым работам в ночное время, работам после 10 часов вечера на торговых предприятиях, в том числе к сверхурочной работе, когда существует угроза здоровью матери или вынашиваемого ею ребенка либо в период грудного вскармливания.  Не разрешено использовать женщин на вредных работах, которые по своему характеру, физическим, химическим и биологическим условиям среды, в которых они производятся, или по составу используемого сырья могут оказать негативное воздействие на психическое состояние, физическое здоровье и даже жизнь женщины или ее ребенка.  Запрещено использовать лиц моложе 18 лет на таких работах, как:  а)  розничная торговля спиртными напитками;  b)  занятия или услуги, способные подорвать моральный облик или оскорбить нравственность;  с)  работа в качестве бродячего торговца без специального разрешения;  d)  опасные или вредные производства;  е)  работы, длительность которых превышает установленные нормы, а также работы, превосходящие физические возможности молодого человека или способные остановить либо затормозить его умственное и физическое развитие;  f)  работы в ночное время.</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left" w:pos="567"/>
          <w:tab w:val="left" w:pos="1134"/>
          <w:tab w:val="left" w:pos="1701"/>
          <w:tab w:val="left" w:pos="2268"/>
          <w:tab w:val="left" w:pos="7938"/>
        </w:tabs>
        <w:rPr>
          <w:szCs w:val="24"/>
        </w:rPr>
      </w:pPr>
      <w:r>
        <w:rPr>
          <w:szCs w:val="24"/>
        </w:rPr>
        <w:t>220.</w:t>
      </w:r>
      <w:r>
        <w:rPr>
          <w:szCs w:val="24"/>
        </w:rPr>
        <w:tab/>
        <w:t>Парагвай является государством-участником Конвенции № 138 МОТ о минимальном возрасте для приема на работу</w:t>
      </w:r>
      <w:r>
        <w:rPr>
          <w:b/>
          <w:vertAlign w:val="superscript"/>
        </w:rPr>
        <w:footnoteReference w:id="21"/>
      </w:r>
      <w:r>
        <w:rPr>
          <w:szCs w:val="24"/>
        </w:rPr>
        <w:t>, устанавливающей такой возраст в 14 лет.  Кроме того, Парагвай ратифицировал Конвенцию о правах ребенка и два протокола к ней</w:t>
      </w:r>
      <w:r>
        <w:rPr>
          <w:b/>
          <w:vertAlign w:val="superscript"/>
        </w:rPr>
        <w:footnoteReference w:id="22"/>
      </w:r>
      <w:r>
        <w:rPr>
          <w:szCs w:val="24"/>
        </w:rPr>
        <w:t>.  Эти документы пополнили национальную юридическую базу и, таким образом, подняли на более высокий уровень защиту детей от трудовой эксплуатации и наихудших форм труда.  По этому поводу, в частности, статья 58 Кодекса о детях и подростках в качестве дополнительной меры защиты предусматривает следующее:  "Трудящийся подросток в возрасте от 14 до 16 лет не должен работать более 4 часов ежедневно или 24 часов в неделю".  Следовательно, предельный возраст, до достижения которого запрещена наемная оплачиваемая работа, составляет 13 лет.</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left" w:pos="567"/>
          <w:tab w:val="left" w:pos="1134"/>
          <w:tab w:val="left" w:pos="1701"/>
          <w:tab w:val="left" w:pos="2268"/>
          <w:tab w:val="left" w:pos="7938"/>
        </w:tabs>
        <w:rPr>
          <w:szCs w:val="24"/>
        </w:rPr>
      </w:pPr>
      <w:r>
        <w:rPr>
          <w:szCs w:val="24"/>
        </w:rPr>
        <w:t>221.</w:t>
      </w:r>
      <w:r>
        <w:rPr>
          <w:szCs w:val="24"/>
        </w:rPr>
        <w:tab/>
        <w:t>Также для обеспечения охраны здоровья работников и безопасности труда наряду с Регламентом по охране здоровья и труда на производстве существуют и другие законодательные нормы.  Кроме того, в составе министерства юстиции и труда имеется Управление по вопросам охраны здоровья, гигиены и безопасности труда.</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left" w:pos="567"/>
          <w:tab w:val="left" w:pos="1134"/>
          <w:tab w:val="left" w:pos="1701"/>
          <w:tab w:val="left" w:pos="2268"/>
          <w:tab w:val="left" w:pos="7938"/>
        </w:tabs>
        <w:rPr>
          <w:szCs w:val="24"/>
        </w:rPr>
      </w:pPr>
      <w:r>
        <w:rPr>
          <w:szCs w:val="24"/>
        </w:rPr>
        <w:t>222.</w:t>
      </w:r>
      <w:r>
        <w:rPr>
          <w:szCs w:val="24"/>
        </w:rPr>
        <w:tab/>
        <w:t>Применительно к затронутой теме приведем статью 274 Трудового кодекса, которая устанавливает:  "Работодатель обязан обеспечить работникам в процессе трудовой деятельности надлежащие условия по охране здоровья, безопасности и гигиене труда.  С этой целью он должен принимать все необходимые меры, включая просвещение, подготовку персонала, профилактику рисков и использование соответствующей организации или средств.  Мероприятия по обеспечению безопасности и гигиены труда не должны никоим образом экономически обременять работников".  В статье 278 также отмечается:  "Неисполнение работником и работодателем своих обязанностей, связанных с охраной здоровья, безопасностью и гигиеной труда, считается серьезным нарушением, которое подлежит наказанию согласно настоящему Кодексу".</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jc w:val="center"/>
      </w:pPr>
      <w:r>
        <w:rPr>
          <w:b/>
          <w:bCs/>
          <w:szCs w:val="26"/>
        </w:rPr>
        <w:t>С.</w:t>
      </w:r>
      <w:r>
        <w:rPr>
          <w:b/>
          <w:bCs/>
          <w:szCs w:val="26"/>
        </w:rPr>
        <w:tab/>
        <w:t>Оплачиваемый отпуск и отдых</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szCs w:val="26"/>
        </w:rPr>
        <w:t>223.</w:t>
      </w:r>
      <w:r>
        <w:rPr>
          <w:szCs w:val="26"/>
        </w:rPr>
        <w:tab/>
        <w:t>Трудовой кодекс устанавливает как минимум 10-часовой непрерывный отдых по окончании рабочего дня.  Кроме того, каждый трудящийся имеет право на один день отдыха в неделю, который приходится, как правило, на воскресенье.  Секретариат по делам женщин постоянно направляет свои предложения Национальному секретариату по делам государственной службы, в том что касается снижения продолжительности рабочего дня до 6 часов, предоставления специальных отпусков женщинам, ухаживающим за инвалидами и престарелыми, женщинам-главам семей, людям с неизлечимыми заболеваниями и т.д.</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b/>
          <w:bCs/>
          <w:szCs w:val="26"/>
        </w:rPr>
        <w:t>1.</w:t>
      </w:r>
      <w:r>
        <w:rPr>
          <w:b/>
          <w:bCs/>
          <w:szCs w:val="26"/>
        </w:rPr>
        <w:tab/>
        <w:t>Предоставление обязательного отпуска</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b/>
          <w:bCs/>
          <w:szCs w:val="26"/>
          <w:lang w:val="en-US"/>
        </w:rPr>
        <w:tab/>
      </w:r>
      <w:r>
        <w:rPr>
          <w:b/>
          <w:bCs/>
          <w:szCs w:val="26"/>
        </w:rPr>
        <w:t>1.1</w:t>
      </w:r>
      <w:r>
        <w:rPr>
          <w:b/>
          <w:bCs/>
          <w:szCs w:val="26"/>
        </w:rPr>
        <w:tab/>
        <w:t>Трудовой кодекс</w:t>
      </w:r>
    </w:p>
    <w:p w:rsidR="00000000" w:rsidRDefault="00000000"/>
    <w:p w:rsidR="00000000" w:rsidRDefault="00000000">
      <w:pPr>
        <w:numPr>
          <w:ilvl w:val="0"/>
          <w:numId w:val="107"/>
        </w:numPr>
        <w:shd w:val="clear" w:color="auto" w:fill="FFFFFF"/>
        <w:tabs>
          <w:tab w:val="clear" w:pos="1134"/>
          <w:tab w:val="left" w:pos="567"/>
          <w:tab w:val="left" w:pos="1701"/>
          <w:tab w:val="left" w:pos="2268"/>
          <w:tab w:val="left" w:pos="7938"/>
        </w:tabs>
        <w:ind w:left="1701"/>
        <w:rPr>
          <w:b/>
          <w:bCs/>
          <w:szCs w:val="24"/>
        </w:rPr>
      </w:pPr>
      <w:r>
        <w:rPr>
          <w:b/>
          <w:bCs/>
          <w:szCs w:val="24"/>
        </w:rPr>
        <w:t xml:space="preserve">Статья 67:  </w:t>
      </w:r>
      <w:r>
        <w:rPr>
          <w:szCs w:val="24"/>
        </w:rPr>
        <w:t xml:space="preserve">Трудящиеся имеют следующие права:  </w:t>
      </w:r>
      <w:r>
        <w:rPr>
          <w:b/>
          <w:bCs/>
          <w:szCs w:val="24"/>
          <w:lang w:val="en-US"/>
        </w:rPr>
        <w:t>b</w:t>
      </w:r>
      <w:r>
        <w:rPr>
          <w:b/>
          <w:bCs/>
          <w:szCs w:val="24"/>
        </w:rPr>
        <w:t>)</w:t>
      </w:r>
      <w:r>
        <w:rPr>
          <w:b/>
          <w:bCs/>
          <w:szCs w:val="24"/>
          <w:lang w:val="en-US"/>
        </w:rPr>
        <w:t>  </w:t>
      </w:r>
      <w:r>
        <w:rPr>
          <w:szCs w:val="24"/>
        </w:rPr>
        <w:t>пользоваться обязательными отпусками, установленными настоящим Кодексом.</w:t>
      </w:r>
    </w:p>
    <w:p w:rsidR="00000000" w:rsidRDefault="00000000">
      <w:pPr>
        <w:shd w:val="clear" w:color="auto" w:fill="FFFFFF"/>
        <w:tabs>
          <w:tab w:val="clear" w:pos="1134"/>
          <w:tab w:val="left" w:pos="567"/>
          <w:tab w:val="left" w:pos="1701"/>
          <w:tab w:val="left" w:pos="2268"/>
          <w:tab w:val="left" w:pos="7938"/>
        </w:tabs>
        <w:ind w:left="1701"/>
        <w:rPr>
          <w:b/>
          <w:bCs/>
          <w:szCs w:val="24"/>
        </w:rPr>
      </w:pPr>
    </w:p>
    <w:p w:rsidR="00000000" w:rsidRDefault="00000000">
      <w:pPr>
        <w:numPr>
          <w:ilvl w:val="0"/>
          <w:numId w:val="107"/>
        </w:numPr>
        <w:shd w:val="clear" w:color="auto" w:fill="FFFFFF"/>
        <w:tabs>
          <w:tab w:val="clear" w:pos="1134"/>
          <w:tab w:val="left" w:pos="567"/>
          <w:tab w:val="left" w:pos="1701"/>
          <w:tab w:val="left" w:pos="2268"/>
          <w:tab w:val="left" w:pos="7938"/>
        </w:tabs>
        <w:ind w:left="1701"/>
        <w:rPr>
          <w:szCs w:val="24"/>
        </w:rPr>
      </w:pPr>
      <w:r>
        <w:rPr>
          <w:b/>
          <w:bCs/>
          <w:szCs w:val="24"/>
        </w:rPr>
        <w:t xml:space="preserve">Статья 62:  </w:t>
      </w:r>
      <w:r>
        <w:rPr>
          <w:szCs w:val="24"/>
        </w:rPr>
        <w:t>Обязанности работодателей:</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clear" w:pos="1134"/>
          <w:tab w:val="left" w:pos="567"/>
          <w:tab w:val="left" w:pos="1701"/>
          <w:tab w:val="left" w:pos="2268"/>
          <w:tab w:val="left" w:pos="7938"/>
        </w:tabs>
        <w:ind w:left="2268" w:hanging="2268"/>
      </w:pPr>
      <w:r>
        <w:rPr>
          <w:szCs w:val="24"/>
        </w:rPr>
        <w:tab/>
      </w:r>
      <w:r>
        <w:rPr>
          <w:szCs w:val="24"/>
        </w:rPr>
        <w:tab/>
      </w:r>
      <w:r>
        <w:rPr>
          <w:szCs w:val="24"/>
          <w:lang w:val="fr-FR"/>
        </w:rPr>
        <w:t>h</w:t>
      </w:r>
      <w:r>
        <w:rPr>
          <w:szCs w:val="24"/>
        </w:rPr>
        <w:t>)</w:t>
      </w:r>
      <w:r>
        <w:rPr>
          <w:szCs w:val="24"/>
        </w:rPr>
        <w:tab/>
        <w:t>предоставлять работникам отпуск (отгул), необходимый им для выполнения своих личных гражданских обязанностей, предусмотренных законами или правительственными постановлениями.  При этом работодатель вправе предоставлять по данным причинам не более двух оплачиваемых свободных дней в каждом календарном месяце, и в любом случае не более 15 дней в течение одного года;</w:t>
      </w:r>
    </w:p>
    <w:p w:rsidR="00000000" w:rsidRDefault="00000000">
      <w:pPr>
        <w:shd w:val="clear" w:color="auto" w:fill="FFFFFF"/>
        <w:tabs>
          <w:tab w:val="clear" w:pos="1134"/>
          <w:tab w:val="left" w:pos="567"/>
          <w:tab w:val="left" w:pos="1701"/>
          <w:tab w:val="left" w:pos="2268"/>
          <w:tab w:val="left" w:pos="7938"/>
        </w:tabs>
        <w:ind w:left="2268" w:hanging="2268"/>
      </w:pPr>
    </w:p>
    <w:p w:rsidR="00000000" w:rsidRDefault="00000000">
      <w:pPr>
        <w:shd w:val="clear" w:color="auto" w:fill="FFFFFF"/>
        <w:tabs>
          <w:tab w:val="clear" w:pos="1134"/>
          <w:tab w:val="left" w:pos="567"/>
          <w:tab w:val="left" w:pos="1701"/>
          <w:tab w:val="left" w:pos="2268"/>
          <w:tab w:val="left" w:pos="7938"/>
        </w:tabs>
        <w:ind w:left="2268" w:hanging="2268"/>
      </w:pPr>
      <w:r>
        <w:rPr>
          <w:szCs w:val="24"/>
        </w:rPr>
        <w:tab/>
      </w:r>
      <w:r>
        <w:rPr>
          <w:szCs w:val="24"/>
        </w:rPr>
        <w:tab/>
      </w:r>
      <w:r>
        <w:rPr>
          <w:szCs w:val="24"/>
          <w:lang w:val="fr-FR"/>
        </w:rPr>
        <w:t>j</w:t>
      </w:r>
      <w:r>
        <w:rPr>
          <w:szCs w:val="24"/>
        </w:rPr>
        <w:t>)</w:t>
      </w:r>
      <w:r>
        <w:rPr>
          <w:szCs w:val="24"/>
        </w:rPr>
        <w:tab/>
        <w:t>предоставлять работнику по его заявлению 3-дневный оплачиваемый отпуск для бракосочетания, 2-дневный отпуск при рождении ребенка и 4</w:t>
      </w:r>
      <w:r>
        <w:rPr>
          <w:szCs w:val="24"/>
        </w:rPr>
        <w:noBreakHyphen/>
        <w:t>дневный отпуск в случае смерти супруга, детей, родителей, бабушки и дедушки, родных братьев.</w:t>
      </w:r>
    </w:p>
    <w:p w:rsidR="00000000" w:rsidRDefault="00000000">
      <w:pPr>
        <w:shd w:val="clear" w:color="auto" w:fill="FFFFFF"/>
        <w:tabs>
          <w:tab w:val="left" w:pos="567"/>
          <w:tab w:val="left" w:pos="1134"/>
          <w:tab w:val="left" w:pos="1701"/>
          <w:tab w:val="left" w:pos="2268"/>
          <w:tab w:val="left" w:pos="7938"/>
        </w:tabs>
      </w:pPr>
    </w:p>
    <w:p w:rsidR="00000000" w:rsidRDefault="00000000">
      <w:pPr>
        <w:numPr>
          <w:ilvl w:val="0"/>
          <w:numId w:val="108"/>
        </w:numPr>
        <w:shd w:val="clear" w:color="auto" w:fill="FFFFFF"/>
        <w:tabs>
          <w:tab w:val="clear" w:pos="1134"/>
          <w:tab w:val="left" w:pos="567"/>
          <w:tab w:val="left" w:pos="1701"/>
          <w:tab w:val="left" w:pos="2268"/>
          <w:tab w:val="left" w:pos="7938"/>
        </w:tabs>
        <w:ind w:left="1701"/>
      </w:pPr>
      <w:r>
        <w:rPr>
          <w:b/>
          <w:bCs/>
          <w:szCs w:val="24"/>
        </w:rPr>
        <w:t xml:space="preserve">Статья 133:  </w:t>
      </w:r>
      <w:r>
        <w:rPr>
          <w:szCs w:val="24"/>
        </w:rPr>
        <w:t>Любая работница имеет право прекратить работу, предъявив медицинскую справку, выданную или завизированную Институтом социального обеспечения, либо министерством здравоохранения и социального обеспечения, где указано, что она родит ребенка предположительно в предстоящие шесть недель.  В отсутствие медицинского свидетельства женщинам не разрешается работать в течение шести недель после рождения ребенка.  Во время своего отсутствия в связи с отпуском по материнству или в течение любого другого дополнительного периода между предполагаемым сроком и фактической датой рождения ребенка работница получает достаточную медицинскую помощь и пособие за счет системы социального обеспечения.</w:t>
      </w:r>
    </w:p>
    <w:p w:rsidR="00000000" w:rsidRDefault="00000000">
      <w:pPr>
        <w:shd w:val="clear" w:color="auto" w:fill="FFFFFF"/>
        <w:tabs>
          <w:tab w:val="clear" w:pos="1134"/>
          <w:tab w:val="left" w:pos="567"/>
          <w:tab w:val="left" w:pos="1701"/>
          <w:tab w:val="left" w:pos="2268"/>
          <w:tab w:val="left" w:pos="7938"/>
        </w:tabs>
        <w:ind w:left="1701" w:hanging="567"/>
      </w:pPr>
    </w:p>
    <w:p w:rsidR="00000000" w:rsidRDefault="00000000">
      <w:pPr>
        <w:numPr>
          <w:ilvl w:val="0"/>
          <w:numId w:val="108"/>
        </w:numPr>
        <w:shd w:val="clear" w:color="auto" w:fill="FFFFFF"/>
        <w:tabs>
          <w:tab w:val="clear" w:pos="1134"/>
          <w:tab w:val="left" w:pos="567"/>
          <w:tab w:val="left" w:pos="1701"/>
          <w:tab w:val="left" w:pos="2268"/>
          <w:tab w:val="left" w:pos="7938"/>
        </w:tabs>
        <w:ind w:left="1701"/>
        <w:rPr>
          <w:szCs w:val="24"/>
        </w:rPr>
      </w:pPr>
      <w:r>
        <w:rPr>
          <w:b/>
          <w:bCs/>
          <w:szCs w:val="24"/>
        </w:rPr>
        <w:t xml:space="preserve">Статья 134:  </w:t>
      </w:r>
      <w:r>
        <w:rPr>
          <w:szCs w:val="24"/>
        </w:rPr>
        <w:t>В период грудного вскармливания младенца женщины-работницы имеют право на два дополнительных перерыва в день продолжительностью полчаса каждый для кормления ребенка.  Эти перерывы включаются в рабочее время с сохранением зарплаты.  Кроме того, промышленные или коммерческие предприятия, на которых трудятся более 50 женщин, обязаны оборудовать комнаты матери и ребенка для детей в возрасте до 2 лет, где они будут находиться под присмотром, пока их матери работают.  Данное обязательство утрачивает силу, когда заботу о детях берут на себя органы социального страхования.</w:t>
      </w:r>
    </w:p>
    <w:p w:rsidR="00000000" w:rsidRDefault="00000000">
      <w:pPr>
        <w:shd w:val="clear" w:color="auto" w:fill="FFFFFF"/>
        <w:tabs>
          <w:tab w:val="clear" w:pos="1134"/>
          <w:tab w:val="left" w:pos="567"/>
          <w:tab w:val="left" w:pos="1701"/>
          <w:tab w:val="left" w:pos="2268"/>
          <w:tab w:val="left" w:pos="7938"/>
        </w:tabs>
        <w:ind w:left="1701" w:hanging="567"/>
        <w:rPr>
          <w:szCs w:val="24"/>
        </w:rPr>
      </w:pPr>
    </w:p>
    <w:p w:rsidR="00000000" w:rsidRDefault="00000000">
      <w:pPr>
        <w:numPr>
          <w:ilvl w:val="0"/>
          <w:numId w:val="108"/>
        </w:numPr>
        <w:shd w:val="clear" w:color="auto" w:fill="FFFFFF"/>
        <w:tabs>
          <w:tab w:val="clear" w:pos="1134"/>
          <w:tab w:val="left" w:pos="567"/>
          <w:tab w:val="left" w:pos="1701"/>
          <w:tab w:val="left" w:pos="2268"/>
          <w:tab w:val="left" w:pos="7938"/>
        </w:tabs>
        <w:ind w:left="1701"/>
      </w:pPr>
      <w:r>
        <w:rPr>
          <w:b/>
          <w:bCs/>
          <w:szCs w:val="24"/>
        </w:rPr>
        <w:t xml:space="preserve">Статья 135:  </w:t>
      </w:r>
      <w:r>
        <w:rPr>
          <w:szCs w:val="24"/>
        </w:rPr>
        <w:t>В течение трех месяцев, предшествующих родам, беременных женщин нельзя привлекать к выполнению любой работы, требующей значительных физических усилий.  Если по окончании послеродового отпуска женщина не в состоянии возобновить работу вследствие осложненной беременности или родов, она имеет право получить дополнительный отпуск на весь период, необходимый для восстановления здоровья, причем за ней сохраняются рабочее место и права, оговоренные в действующем трудовом соглашении.</w:t>
      </w:r>
    </w:p>
    <w:p w:rsidR="00000000" w:rsidRDefault="00000000">
      <w:pPr>
        <w:shd w:val="clear" w:color="auto" w:fill="FFFFFF"/>
        <w:tabs>
          <w:tab w:val="clear" w:pos="1134"/>
          <w:tab w:val="left" w:pos="567"/>
          <w:tab w:val="left" w:pos="1701"/>
          <w:tab w:val="left" w:pos="2268"/>
          <w:tab w:val="left" w:pos="7938"/>
        </w:tabs>
        <w:ind w:left="1701" w:hanging="567"/>
      </w:pPr>
    </w:p>
    <w:p w:rsidR="00000000" w:rsidRDefault="00000000">
      <w:pPr>
        <w:numPr>
          <w:ilvl w:val="0"/>
          <w:numId w:val="108"/>
        </w:numPr>
        <w:shd w:val="clear" w:color="auto" w:fill="FFFFFF"/>
        <w:tabs>
          <w:tab w:val="clear" w:pos="1134"/>
          <w:tab w:val="left" w:pos="567"/>
          <w:tab w:val="left" w:pos="1701"/>
          <w:tab w:val="left" w:pos="2268"/>
          <w:tab w:val="left" w:pos="7938"/>
        </w:tabs>
        <w:ind w:left="1701"/>
        <w:rPr>
          <w:szCs w:val="24"/>
        </w:rPr>
      </w:pPr>
      <w:r>
        <w:rPr>
          <w:b/>
          <w:bCs/>
          <w:szCs w:val="24"/>
        </w:rPr>
        <w:t>Статья 136:</w:t>
      </w:r>
      <w:r>
        <w:rPr>
          <w:szCs w:val="24"/>
        </w:rPr>
        <w:t xml:space="preserve">  С того момента, как работодатель был поставлен в известность о беременности женщины-работницы, а также в течение всего периода ее отпуска по беременности и родам женщине не может быть направлено уведомление о предстоящем увольнении и не может быть произведено само увольнение по инициативе работодателя.</w:t>
      </w:r>
    </w:p>
    <w:p w:rsidR="00000000" w:rsidRDefault="00000000">
      <w:pPr>
        <w:shd w:val="clear" w:color="auto" w:fill="FFFFFF"/>
        <w:tabs>
          <w:tab w:val="clear" w:pos="1134"/>
          <w:tab w:val="left" w:pos="567"/>
          <w:tab w:val="left" w:pos="1701"/>
          <w:tab w:val="left" w:pos="2268"/>
          <w:tab w:val="left" w:pos="7938"/>
        </w:tabs>
        <w:ind w:left="1701" w:hanging="567"/>
        <w:rPr>
          <w:szCs w:val="24"/>
        </w:rPr>
      </w:pPr>
    </w:p>
    <w:p w:rsidR="00000000" w:rsidRDefault="00000000">
      <w:pPr>
        <w:numPr>
          <w:ilvl w:val="0"/>
          <w:numId w:val="108"/>
        </w:numPr>
        <w:shd w:val="clear" w:color="auto" w:fill="FFFFFF"/>
        <w:tabs>
          <w:tab w:val="clear" w:pos="1134"/>
          <w:tab w:val="left" w:pos="567"/>
          <w:tab w:val="left" w:pos="1701"/>
          <w:tab w:val="left" w:pos="2268"/>
          <w:tab w:val="left" w:pos="7938"/>
        </w:tabs>
        <w:ind w:left="1701"/>
        <w:rPr>
          <w:szCs w:val="24"/>
        </w:rPr>
      </w:pPr>
      <w:r>
        <w:rPr>
          <w:b/>
          <w:bCs/>
          <w:szCs w:val="24"/>
        </w:rPr>
        <w:t>Статья 154:</w:t>
      </w:r>
      <w:r>
        <w:rPr>
          <w:szCs w:val="24"/>
        </w:rPr>
        <w:t xml:space="preserve">  Работники, занятые в качестве домашней прислуги, по договоренности с нанимателем могут работать в выходные и праздничные дни, установленные законодательством, но при этом им должен предоставляться:</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left" w:pos="567"/>
          <w:tab w:val="left" w:pos="1134"/>
          <w:tab w:val="left" w:pos="1701"/>
          <w:tab w:val="left" w:pos="2268"/>
          <w:tab w:val="left" w:pos="7938"/>
        </w:tabs>
        <w:ind w:left="2268" w:hanging="2268"/>
        <w:rPr>
          <w:szCs w:val="24"/>
          <w:lang w:val="en-US"/>
        </w:rPr>
      </w:pPr>
      <w:r>
        <w:rPr>
          <w:szCs w:val="24"/>
          <w:lang w:val="en-US"/>
        </w:rPr>
        <w:tab/>
      </w:r>
      <w:r>
        <w:rPr>
          <w:szCs w:val="24"/>
        </w:rPr>
        <w:tab/>
      </w:r>
      <w:r>
        <w:rPr>
          <w:szCs w:val="24"/>
        </w:rPr>
        <w:tab/>
      </w:r>
      <w:r>
        <w:rPr>
          <w:bCs/>
          <w:szCs w:val="24"/>
        </w:rPr>
        <w:t>а)</w:t>
      </w:r>
      <w:r>
        <w:rPr>
          <w:szCs w:val="24"/>
        </w:rPr>
        <w:tab/>
        <w:t xml:space="preserve">ежедневный обязательный отдых в течение 12 часов.  Прислуге, постоянно проживающей в доме нанимателя, должно отводиться по крайней мере 10 часов для сна и 2 часа - для приема пищи; </w:t>
      </w:r>
    </w:p>
    <w:p w:rsidR="00000000" w:rsidRDefault="00000000">
      <w:pPr>
        <w:shd w:val="clear" w:color="auto" w:fill="FFFFFF"/>
        <w:tabs>
          <w:tab w:val="left" w:pos="567"/>
          <w:tab w:val="left" w:pos="1134"/>
          <w:tab w:val="left" w:pos="1701"/>
          <w:tab w:val="left" w:pos="2268"/>
          <w:tab w:val="left" w:pos="7938"/>
        </w:tabs>
        <w:ind w:left="1701" w:hanging="1701"/>
        <w:rPr>
          <w:szCs w:val="24"/>
          <w:lang w:val="en-US"/>
        </w:rPr>
      </w:pPr>
    </w:p>
    <w:p w:rsidR="00000000" w:rsidRDefault="00000000">
      <w:pPr>
        <w:shd w:val="clear" w:color="auto" w:fill="FFFFFF"/>
        <w:tabs>
          <w:tab w:val="left" w:pos="567"/>
          <w:tab w:val="left" w:pos="1134"/>
          <w:tab w:val="left" w:pos="1701"/>
          <w:tab w:val="left" w:pos="2268"/>
          <w:tab w:val="left" w:pos="7938"/>
        </w:tabs>
        <w:ind w:left="2268" w:hanging="2268"/>
      </w:pPr>
      <w:r>
        <w:rPr>
          <w:szCs w:val="24"/>
          <w:lang w:val="en-US"/>
        </w:rPr>
        <w:tab/>
      </w:r>
      <w:r>
        <w:rPr>
          <w:szCs w:val="24"/>
          <w:lang w:val="en-US"/>
        </w:rPr>
        <w:tab/>
      </w:r>
      <w:r>
        <w:rPr>
          <w:szCs w:val="24"/>
          <w:lang w:val="en-US"/>
        </w:rPr>
        <w:tab/>
      </w:r>
      <w:r>
        <w:rPr>
          <w:bCs/>
          <w:szCs w:val="24"/>
          <w:lang w:val="en-US"/>
        </w:rPr>
        <w:t>b</w:t>
      </w:r>
      <w:r>
        <w:rPr>
          <w:bCs/>
          <w:szCs w:val="24"/>
        </w:rPr>
        <w:t>)</w:t>
      </w:r>
      <w:r>
        <w:rPr>
          <w:bCs/>
          <w:szCs w:val="24"/>
        </w:rPr>
        <w:tab/>
      </w:r>
      <w:r>
        <w:rPr>
          <w:szCs w:val="24"/>
        </w:rPr>
        <w:t>ежегодный оплачиваемый отпуск продолжительностью как у всех трудящихся и с выплатой отпускных наличными.</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szCs w:val="24"/>
        </w:rPr>
        <w:t>224.</w:t>
      </w:r>
      <w:r>
        <w:rPr>
          <w:szCs w:val="24"/>
        </w:rPr>
        <w:tab/>
        <w:t>Кроме того, в отношении установленного отдыха Трудовым кодексом предусматривается следующее:</w:t>
      </w:r>
    </w:p>
    <w:p w:rsidR="00000000" w:rsidRDefault="00000000">
      <w:pPr>
        <w:shd w:val="clear" w:color="auto" w:fill="FFFFFF"/>
        <w:tabs>
          <w:tab w:val="left" w:pos="567"/>
          <w:tab w:val="left" w:pos="1134"/>
          <w:tab w:val="left" w:pos="1701"/>
          <w:tab w:val="left" w:pos="2268"/>
          <w:tab w:val="left" w:pos="7938"/>
        </w:tabs>
      </w:pPr>
    </w:p>
    <w:p w:rsidR="00000000" w:rsidRDefault="00000000">
      <w:pPr>
        <w:numPr>
          <w:ilvl w:val="0"/>
          <w:numId w:val="109"/>
        </w:numPr>
        <w:shd w:val="clear" w:color="auto" w:fill="FFFFFF"/>
        <w:tabs>
          <w:tab w:val="left" w:pos="567"/>
          <w:tab w:val="left" w:pos="1701"/>
          <w:tab w:val="left" w:pos="2268"/>
          <w:tab w:val="left" w:pos="7938"/>
        </w:tabs>
        <w:rPr>
          <w:szCs w:val="24"/>
        </w:rPr>
      </w:pPr>
      <w:r>
        <w:rPr>
          <w:b/>
          <w:bCs/>
          <w:szCs w:val="24"/>
        </w:rPr>
        <w:t>Статья 212:</w:t>
      </w:r>
      <w:r>
        <w:rPr>
          <w:szCs w:val="24"/>
        </w:rPr>
        <w:t xml:space="preserve">  По окончании трудового дня работник имеет право на непрерывный, по меньшей мере десятичасовой, отдых.</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numPr>
          <w:ilvl w:val="0"/>
          <w:numId w:val="109"/>
        </w:numPr>
        <w:shd w:val="clear" w:color="auto" w:fill="FFFFFF"/>
        <w:tabs>
          <w:tab w:val="left" w:pos="567"/>
          <w:tab w:val="left" w:pos="1701"/>
          <w:tab w:val="left" w:pos="2268"/>
          <w:tab w:val="left" w:pos="7938"/>
        </w:tabs>
      </w:pPr>
      <w:r>
        <w:rPr>
          <w:b/>
          <w:bCs/>
          <w:szCs w:val="24"/>
        </w:rPr>
        <w:t>Статья 213:</w:t>
      </w:r>
      <w:r>
        <w:rPr>
          <w:szCs w:val="24"/>
        </w:rPr>
        <w:t xml:space="preserve">  Каждый работник имеет право на один день отдыха в неделю, как правило, в воскресенье.  Вместо воскресного отдыха может предусматриваться непрерывный отдых в течение 24 часов во внерабочие дни и на следующей неделе в следующих исключительных случаях:</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ind w:left="1701" w:hanging="1701"/>
        <w:rPr>
          <w:szCs w:val="24"/>
        </w:rPr>
      </w:pPr>
      <w:r>
        <w:rPr>
          <w:szCs w:val="24"/>
        </w:rPr>
        <w:tab/>
      </w:r>
      <w:r>
        <w:rPr>
          <w:szCs w:val="24"/>
        </w:rPr>
        <w:tab/>
      </w:r>
      <w:r>
        <w:rPr>
          <w:bCs/>
          <w:szCs w:val="24"/>
          <w:lang w:val="en-US"/>
        </w:rPr>
        <w:t>a</w:t>
      </w:r>
      <w:r>
        <w:rPr>
          <w:bCs/>
          <w:szCs w:val="24"/>
        </w:rPr>
        <w:t>)</w:t>
      </w:r>
      <w:r>
        <w:rPr>
          <w:bCs/>
          <w:szCs w:val="24"/>
        </w:rPr>
        <w:tab/>
      </w:r>
      <w:r>
        <w:rPr>
          <w:szCs w:val="24"/>
        </w:rPr>
        <w:t>при выполнении работ, которые нельзя прервать в силу характера удовлетворяемых потребностей, по техническим причинам или по причинам, которые представляют серьезную опасность государственным интересам или самому предприятию;</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left" w:pos="567"/>
          <w:tab w:val="left" w:pos="1134"/>
          <w:tab w:val="left" w:pos="1701"/>
          <w:tab w:val="left" w:pos="2268"/>
          <w:tab w:val="left" w:pos="7938"/>
        </w:tabs>
        <w:ind w:left="1701" w:hanging="1701"/>
        <w:rPr>
          <w:szCs w:val="24"/>
        </w:rPr>
      </w:pPr>
      <w:r>
        <w:rPr>
          <w:szCs w:val="24"/>
        </w:rPr>
        <w:tab/>
      </w:r>
      <w:r>
        <w:rPr>
          <w:szCs w:val="24"/>
        </w:rPr>
        <w:tab/>
      </w:r>
      <w:r>
        <w:rPr>
          <w:bCs/>
          <w:szCs w:val="24"/>
          <w:lang w:val="en-US"/>
        </w:rPr>
        <w:t>b</w:t>
      </w:r>
      <w:r>
        <w:rPr>
          <w:bCs/>
          <w:szCs w:val="24"/>
        </w:rPr>
        <w:t>)</w:t>
      </w:r>
      <w:r>
        <w:rPr>
          <w:bCs/>
          <w:szCs w:val="24"/>
        </w:rPr>
        <w:tab/>
      </w:r>
      <w:r>
        <w:rPr>
          <w:szCs w:val="24"/>
        </w:rPr>
        <w:t>при ремонте или чистке оборудования, установок или производственных и коммерческих помещений, которые необходимы для того, чтобы не прерывать выполнение еженедельных задач;  и</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left" w:pos="567"/>
          <w:tab w:val="left" w:pos="1134"/>
          <w:tab w:val="left" w:pos="1701"/>
          <w:tab w:val="left" w:pos="2268"/>
          <w:tab w:val="left" w:pos="7938"/>
        </w:tabs>
        <w:ind w:left="1701" w:hanging="1701"/>
      </w:pPr>
      <w:r>
        <w:rPr>
          <w:szCs w:val="24"/>
        </w:rPr>
        <w:tab/>
      </w:r>
      <w:r>
        <w:rPr>
          <w:szCs w:val="24"/>
        </w:rPr>
        <w:tab/>
        <w:t>с)</w:t>
      </w:r>
      <w:r>
        <w:rPr>
          <w:b/>
          <w:bCs/>
          <w:szCs w:val="24"/>
        </w:rPr>
        <w:tab/>
      </w:r>
      <w:r>
        <w:rPr>
          <w:szCs w:val="24"/>
        </w:rPr>
        <w:t>при выполнении любых совершенно неотложных заданий вследствие неотвратимой опасности ущерба, аварии, непредвиденных ситуаций, форс-мажорных обстоятельств</w:t>
      </w:r>
      <w:r>
        <w:rPr>
          <w:szCs w:val="26"/>
        </w:rPr>
        <w:t xml:space="preserve"> или каких-либо иных временных неотложных обстоятельств, которые требуют действий.</w:t>
      </w:r>
    </w:p>
    <w:p w:rsidR="00000000" w:rsidRDefault="00000000">
      <w:pPr>
        <w:shd w:val="clear" w:color="auto" w:fill="FFFFFF"/>
        <w:tabs>
          <w:tab w:val="left" w:pos="567"/>
          <w:tab w:val="left" w:pos="1134"/>
          <w:tab w:val="left" w:pos="1701"/>
          <w:tab w:val="left" w:pos="2268"/>
          <w:tab w:val="left" w:pos="7938"/>
        </w:tabs>
      </w:pPr>
    </w:p>
    <w:p w:rsidR="00000000" w:rsidRDefault="00000000">
      <w:pPr>
        <w:numPr>
          <w:ilvl w:val="0"/>
          <w:numId w:val="110"/>
        </w:numPr>
        <w:shd w:val="clear" w:color="auto" w:fill="FFFFFF"/>
        <w:tabs>
          <w:tab w:val="left" w:pos="567"/>
          <w:tab w:val="left" w:pos="1701"/>
          <w:tab w:val="left" w:pos="2268"/>
          <w:tab w:val="left" w:pos="7938"/>
        </w:tabs>
        <w:rPr>
          <w:szCs w:val="26"/>
        </w:rPr>
      </w:pPr>
      <w:r>
        <w:rPr>
          <w:b/>
          <w:bCs/>
          <w:szCs w:val="26"/>
        </w:rPr>
        <w:t xml:space="preserve">Статья 217:  </w:t>
      </w:r>
      <w:r>
        <w:rPr>
          <w:szCs w:val="26"/>
        </w:rPr>
        <w:t>Все установленные законом государственные праздники также считаются днями отдыха.</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numPr>
          <w:ilvl w:val="0"/>
          <w:numId w:val="110"/>
        </w:numPr>
        <w:shd w:val="clear" w:color="auto" w:fill="FFFFFF"/>
        <w:tabs>
          <w:tab w:val="left" w:pos="567"/>
          <w:tab w:val="left" w:pos="1701"/>
          <w:tab w:val="left" w:pos="2268"/>
          <w:tab w:val="left" w:pos="7938"/>
        </w:tabs>
        <w:rPr>
          <w:szCs w:val="26"/>
        </w:rPr>
      </w:pPr>
      <w:r>
        <w:rPr>
          <w:b/>
          <w:bCs/>
          <w:szCs w:val="26"/>
        </w:rPr>
        <w:t xml:space="preserve">Статья 218:  </w:t>
      </w:r>
      <w:r>
        <w:rPr>
          <w:szCs w:val="26"/>
        </w:rPr>
        <w:t>Каждый работник имеет право на оплачиваемый отпуск после одного года непрерывной работы у одного и того же нанимателя продолжительностью не менее:  </w:t>
      </w:r>
    </w:p>
    <w:p w:rsidR="00000000" w:rsidRDefault="00000000">
      <w:pPr>
        <w:shd w:val="clear" w:color="auto" w:fill="FFFFFF"/>
        <w:tabs>
          <w:tab w:val="clear" w:pos="1134"/>
          <w:tab w:val="left" w:pos="567"/>
          <w:tab w:val="left" w:pos="1701"/>
          <w:tab w:val="left" w:pos="2268"/>
          <w:tab w:val="left" w:pos="7938"/>
        </w:tabs>
        <w:rPr>
          <w:szCs w:val="26"/>
        </w:rPr>
      </w:pPr>
    </w:p>
    <w:p w:rsidR="00000000" w:rsidRDefault="00000000">
      <w:pPr>
        <w:shd w:val="clear" w:color="auto" w:fill="FFFFFF"/>
        <w:tabs>
          <w:tab w:val="left" w:pos="567"/>
          <w:tab w:val="left" w:pos="1701"/>
          <w:tab w:val="left" w:pos="2268"/>
          <w:tab w:val="left" w:pos="7938"/>
        </w:tabs>
        <w:ind w:left="1701" w:hanging="1701"/>
        <w:rPr>
          <w:szCs w:val="26"/>
        </w:rPr>
      </w:pPr>
      <w:r>
        <w:rPr>
          <w:b/>
          <w:bCs/>
          <w:szCs w:val="26"/>
          <w:lang w:val="en-US"/>
        </w:rPr>
        <w:tab/>
      </w:r>
      <w:r>
        <w:rPr>
          <w:bCs/>
          <w:szCs w:val="26"/>
          <w:lang w:val="en-US"/>
        </w:rPr>
        <w:tab/>
      </w:r>
      <w:r>
        <w:rPr>
          <w:bCs/>
          <w:szCs w:val="26"/>
        </w:rPr>
        <w:t>а)</w:t>
      </w:r>
      <w:r>
        <w:rPr>
          <w:szCs w:val="26"/>
        </w:rPr>
        <w:tab/>
        <w:t>12 дней подряд для работников с пятилетним стажем;</w:t>
      </w:r>
    </w:p>
    <w:p w:rsidR="00000000" w:rsidRDefault="00000000">
      <w:pPr>
        <w:shd w:val="clear" w:color="auto" w:fill="FFFFFF"/>
        <w:tabs>
          <w:tab w:val="left" w:pos="567"/>
          <w:tab w:val="left" w:pos="1701"/>
          <w:tab w:val="left" w:pos="2268"/>
          <w:tab w:val="left" w:pos="7938"/>
        </w:tabs>
        <w:ind w:left="1701" w:hanging="1701"/>
        <w:rPr>
          <w:szCs w:val="26"/>
        </w:rPr>
      </w:pPr>
    </w:p>
    <w:p w:rsidR="00000000" w:rsidRDefault="00000000">
      <w:pPr>
        <w:shd w:val="clear" w:color="auto" w:fill="FFFFFF"/>
        <w:tabs>
          <w:tab w:val="left" w:pos="567"/>
          <w:tab w:val="left" w:pos="1701"/>
          <w:tab w:val="left" w:pos="2268"/>
          <w:tab w:val="left" w:pos="7938"/>
        </w:tabs>
        <w:ind w:left="1701" w:hanging="1701"/>
        <w:rPr>
          <w:szCs w:val="26"/>
        </w:rPr>
      </w:pPr>
      <w:r>
        <w:rPr>
          <w:szCs w:val="26"/>
        </w:rPr>
        <w:tab/>
      </w:r>
      <w:r>
        <w:rPr>
          <w:szCs w:val="26"/>
        </w:rPr>
        <w:tab/>
      </w:r>
      <w:r>
        <w:rPr>
          <w:bCs/>
          <w:szCs w:val="26"/>
          <w:lang w:val="en-US"/>
        </w:rPr>
        <w:t>b</w:t>
      </w:r>
      <w:r>
        <w:rPr>
          <w:bCs/>
          <w:szCs w:val="26"/>
        </w:rPr>
        <w:t>)</w:t>
      </w:r>
      <w:r>
        <w:rPr>
          <w:bCs/>
          <w:szCs w:val="26"/>
        </w:rPr>
        <w:tab/>
      </w:r>
      <w:r>
        <w:rPr>
          <w:szCs w:val="26"/>
        </w:rPr>
        <w:t>18 дней подряд для работников со стажем от 5 до 10 лет;  и</w:t>
      </w:r>
    </w:p>
    <w:p w:rsidR="00000000" w:rsidRDefault="00000000">
      <w:pPr>
        <w:shd w:val="clear" w:color="auto" w:fill="FFFFFF"/>
        <w:tabs>
          <w:tab w:val="left" w:pos="567"/>
          <w:tab w:val="left" w:pos="1701"/>
          <w:tab w:val="left" w:pos="2268"/>
          <w:tab w:val="left" w:pos="7938"/>
        </w:tabs>
        <w:ind w:left="1701" w:hanging="1701"/>
        <w:rPr>
          <w:szCs w:val="26"/>
        </w:rPr>
      </w:pPr>
    </w:p>
    <w:p w:rsidR="00000000" w:rsidRDefault="00000000">
      <w:pPr>
        <w:shd w:val="clear" w:color="auto" w:fill="FFFFFF"/>
        <w:tabs>
          <w:tab w:val="left" w:pos="567"/>
          <w:tab w:val="left" w:pos="1701"/>
          <w:tab w:val="left" w:pos="2268"/>
          <w:tab w:val="left" w:pos="7938"/>
        </w:tabs>
        <w:ind w:left="1701" w:hanging="1701"/>
        <w:rPr>
          <w:szCs w:val="26"/>
        </w:rPr>
      </w:pPr>
      <w:r>
        <w:rPr>
          <w:szCs w:val="26"/>
        </w:rPr>
        <w:tab/>
      </w:r>
      <w:r>
        <w:rPr>
          <w:szCs w:val="26"/>
        </w:rPr>
        <w:tab/>
      </w:r>
      <w:r>
        <w:rPr>
          <w:bCs/>
          <w:szCs w:val="26"/>
        </w:rPr>
        <w:t>с)</w:t>
      </w:r>
      <w:r>
        <w:rPr>
          <w:bCs/>
          <w:szCs w:val="26"/>
        </w:rPr>
        <w:tab/>
      </w:r>
      <w:r>
        <w:rPr>
          <w:szCs w:val="26"/>
        </w:rPr>
        <w:t>30 дней подряд для работников со стажем свыше 10 лет.</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ind w:left="1134" w:hanging="1134"/>
      </w:pPr>
      <w:r>
        <w:rPr>
          <w:b/>
          <w:bCs/>
          <w:szCs w:val="26"/>
          <w:lang w:val="en-US"/>
        </w:rPr>
        <w:tab/>
      </w:r>
      <w:r>
        <w:rPr>
          <w:b/>
          <w:bCs/>
          <w:szCs w:val="26"/>
        </w:rPr>
        <w:t>1.2</w:t>
      </w:r>
      <w:r>
        <w:rPr>
          <w:b/>
          <w:bCs/>
          <w:szCs w:val="26"/>
        </w:rPr>
        <w:tab/>
        <w:t>Трудности, препятствующие полной реализации права на оплачиваемый отпуск</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szCs w:val="26"/>
        </w:rPr>
        <w:t>225.</w:t>
      </w:r>
      <w:r>
        <w:rPr>
          <w:szCs w:val="26"/>
        </w:rPr>
        <w:tab/>
        <w:t>Ежегодно поступают жалобы о невыплате отпускных, хотя после обращения в согласительную комиссию 80% таких случаев разрешаются положительно на уровне Административного управления труда.</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b/>
          <w:bCs/>
          <w:szCs w:val="26"/>
        </w:rPr>
        <w:t>2.</w:t>
      </w:r>
      <w:r>
        <w:rPr>
          <w:b/>
          <w:bCs/>
          <w:szCs w:val="26"/>
        </w:rPr>
        <w:tab/>
        <w:t>Отпуск по беременности и родам</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szCs w:val="26"/>
        </w:rPr>
        <w:t>226.</w:t>
      </w:r>
      <w:r>
        <w:rPr>
          <w:szCs w:val="26"/>
        </w:rPr>
        <w:tab/>
        <w:t>Аналогичным образом, Трудовой кодекс устанавливает: отпуск по беременности и родам продолжительностью не менее 12 недель; отпуск по уходу за грудным ребенком;  дополнительные перерывы в течение рабочего дня, причем все они оплачиваемые.  В течение трех месяцев, предшествующих родам, беременных женщин запрещено привлекать к выполнению любой работы, требующей значительных физических усилий.  Если по окончании послеродового отпуска женщина не в состоянии возобновить работу, она имеет право получить дополнительный отпуск, причем за ней сохраняются рабочее место и права, оговоренные в трудовом соглашении.  Запрещается направлять уведомление о предстоящем увольнении либо увольнять женщину, начиная с того момента, как работодатель извещен о беременности.  Также предписывается оборудовать комнаты матери и ребенка на предприятиях, где работают как минимум 50 женщин.  Эти нормы вступили в силу в 1993 году и были уточнены в 1995 году.  С 2004 года Секретариат по делам женщин дал ход предложению "О предоставлении отпуска по беременности и родам женщинам, занимающим выборные должности".  В настоящее время оно получило одобрение в Палате депутатов.</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jc w:val="center"/>
      </w:pPr>
      <w:r>
        <w:rPr>
          <w:b/>
          <w:bCs/>
          <w:szCs w:val="26"/>
          <w:lang w:val="fr-FR"/>
        </w:rPr>
        <w:t>D</w:t>
      </w:r>
      <w:r>
        <w:rPr>
          <w:b/>
          <w:bCs/>
          <w:szCs w:val="26"/>
        </w:rPr>
        <w:t>.</w:t>
      </w:r>
      <w:r>
        <w:rPr>
          <w:b/>
          <w:bCs/>
          <w:szCs w:val="26"/>
        </w:rPr>
        <w:tab/>
        <w:t>Достижения в области трудовых прав</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szCs w:val="26"/>
        </w:rPr>
        <w:t>227.</w:t>
      </w:r>
      <w:r>
        <w:rPr>
          <w:szCs w:val="26"/>
        </w:rPr>
        <w:tab/>
        <w:t xml:space="preserve">Что касается трудового права, то после принятия Конституции 1992 года в законодательстве произошли значительные изменения, и появился новый Трудовой кодекс, введенный в действие Законом № 213 от 29 октября 1993 года и несколько </w:t>
      </w:r>
      <w:r>
        <w:rPr>
          <w:szCs w:val="24"/>
        </w:rPr>
        <w:t>измененный Законом № 495 от 1995 года.  Именно этот нормативно-законодательный документ и действует в настоящее время.</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b/>
          <w:bCs/>
          <w:szCs w:val="24"/>
        </w:rPr>
        <w:t>1.</w:t>
      </w:r>
      <w:r>
        <w:rPr>
          <w:b/>
          <w:bCs/>
          <w:szCs w:val="24"/>
        </w:rPr>
        <w:tab/>
        <w:t>Государственный сектор</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szCs w:val="24"/>
        </w:rPr>
      </w:pPr>
      <w:r>
        <w:rPr>
          <w:szCs w:val="24"/>
        </w:rPr>
        <w:t>228.</w:t>
      </w:r>
      <w:r>
        <w:rPr>
          <w:szCs w:val="24"/>
        </w:rPr>
        <w:tab/>
        <w:t>Наиболее заметные изменения, в том что касается трудового законодательства, произошли в государственном секторе и изначально связаны с принятием Закона</w:t>
      </w:r>
      <w:r>
        <w:rPr>
          <w:szCs w:val="24"/>
          <w:lang w:val="en-US"/>
        </w:rPr>
        <w:t> </w:t>
      </w:r>
      <w:r>
        <w:rPr>
          <w:szCs w:val="24"/>
        </w:rPr>
        <w:t>№ 508/94 о коллективных договорах на предприятиях и учреждениях государственного сектора.  Документ узаконил деятельность данного института, который в период диктатуры был под запретом.  Затем был принят новый Закон № 1626/2000 "О государственной службе", который отменил прежний Закон № 200 "Устав государственного служащего", запрещавший профсоюзную деятельность, а также право на забастовки, на заключение коллективных договоров и другие основные права, признанные соответствующими международными конвенциями.  Если говорить более конкретно, то с принятием в 1992 году Конституции Республики Парагвай, в которой за государственными служащими признавались все эти права, сложилась ситуация, в которой они действительно стали осуществляться на практике.  В государственных учреждениях и на предприятиях выросло число профсоюзных организаций, профцентры получили официальное признание, стали практиковаться заключение коллективных договоров и проведение забастовок, причем вся эта деятельность нашла отражение в Трудовом кодексе вплоть до принятия нового Закона "О государственной службе".</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left" w:pos="567"/>
          <w:tab w:val="left" w:pos="1134"/>
          <w:tab w:val="left" w:pos="1701"/>
          <w:tab w:val="left" w:pos="2268"/>
          <w:tab w:val="left" w:pos="7938"/>
        </w:tabs>
      </w:pPr>
      <w:r>
        <w:rPr>
          <w:szCs w:val="24"/>
        </w:rPr>
        <w:t>229.</w:t>
      </w:r>
      <w:r>
        <w:rPr>
          <w:szCs w:val="24"/>
        </w:rPr>
        <w:tab/>
        <w:t>Наконец, в Законе № 1626 от 2000 года органы государственной власти попытались регламентировать осуществление прав, провозглашенных Конституцией.  Как следствие, многие из норм, содержащихся в этом законе, были объявлены профсоюзными кругами антиконституционными.  Это привело к тому, что Верховный суд в нескольких случаях давал свои разъяснения, в частности по процедурным вопросам, хотя и не затрагивал существо проблемы.  В настоящее время явная тенденция к внесению изменений в упомянутый закон наблюдается и на уровне парламента, который изучает новый законопроект.</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szCs w:val="24"/>
        </w:rPr>
        <w:t>230.</w:t>
      </w:r>
      <w:r>
        <w:rPr>
          <w:szCs w:val="24"/>
        </w:rPr>
        <w:tab/>
        <w:t>Тем не менее именно в государственном секторе можно наблюдать явное стремление к приданию трудовому законодательству большей гибкости, особенно в вопросе о заключении коллективных трудовых договоров.</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b/>
          <w:bCs/>
          <w:szCs w:val="24"/>
        </w:rPr>
        <w:t>2.</w:t>
      </w:r>
      <w:r>
        <w:rPr>
          <w:b/>
          <w:bCs/>
          <w:szCs w:val="24"/>
        </w:rPr>
        <w:tab/>
        <w:t>Изменения в действующем Трудовом кодексе</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szCs w:val="24"/>
        </w:rPr>
        <w:t>231.</w:t>
      </w:r>
      <w:r>
        <w:rPr>
          <w:szCs w:val="24"/>
        </w:rPr>
        <w:tab/>
        <w:t>Что касается изменений, внесенных в Закон № 495 от 1995 года, то нужно упомянуть следующие:</w:t>
      </w:r>
    </w:p>
    <w:p w:rsidR="00000000" w:rsidRDefault="00000000">
      <w:pPr>
        <w:shd w:val="clear" w:color="auto" w:fill="FFFFFF"/>
        <w:tabs>
          <w:tab w:val="left" w:pos="567"/>
          <w:tab w:val="left" w:pos="1134"/>
          <w:tab w:val="left" w:pos="1701"/>
          <w:tab w:val="left" w:pos="2268"/>
          <w:tab w:val="left" w:pos="7938"/>
        </w:tabs>
      </w:pPr>
    </w:p>
    <w:p w:rsidR="00000000" w:rsidRDefault="00000000">
      <w:pPr>
        <w:numPr>
          <w:ilvl w:val="1"/>
          <w:numId w:val="105"/>
        </w:numPr>
        <w:shd w:val="clear" w:color="auto" w:fill="FFFFFF"/>
        <w:tabs>
          <w:tab w:val="clear" w:pos="2214"/>
          <w:tab w:val="clear" w:pos="2268"/>
          <w:tab w:val="left" w:pos="567"/>
          <w:tab w:val="left" w:pos="1701"/>
          <w:tab w:val="left" w:pos="7938"/>
        </w:tabs>
        <w:ind w:left="1134"/>
      </w:pPr>
      <w:r>
        <w:rPr>
          <w:szCs w:val="24"/>
        </w:rPr>
        <w:t>Закон № 285/1993 - регламентирует порядок исполнения статьи 93 Конституции Республики;</w:t>
      </w:r>
    </w:p>
    <w:p w:rsidR="00000000" w:rsidRDefault="00000000">
      <w:pPr>
        <w:shd w:val="clear" w:color="auto" w:fill="FFFFFF"/>
        <w:tabs>
          <w:tab w:val="clear" w:pos="2268"/>
          <w:tab w:val="left" w:pos="567"/>
          <w:tab w:val="left" w:pos="1134"/>
          <w:tab w:val="left" w:pos="1701"/>
          <w:tab w:val="left" w:pos="7938"/>
        </w:tabs>
        <w:ind w:left="1134" w:hanging="567"/>
      </w:pPr>
    </w:p>
    <w:p w:rsidR="00000000" w:rsidRDefault="00000000">
      <w:pPr>
        <w:numPr>
          <w:ilvl w:val="1"/>
          <w:numId w:val="105"/>
        </w:numPr>
        <w:shd w:val="clear" w:color="auto" w:fill="FFFFFF"/>
        <w:tabs>
          <w:tab w:val="clear" w:pos="2214"/>
          <w:tab w:val="clear" w:pos="2268"/>
          <w:tab w:val="left" w:pos="567"/>
          <w:tab w:val="left" w:pos="1701"/>
          <w:tab w:val="left" w:pos="7938"/>
        </w:tabs>
        <w:ind w:left="1134"/>
        <w:rPr>
          <w:szCs w:val="26"/>
        </w:rPr>
      </w:pPr>
      <w:r>
        <w:rPr>
          <w:szCs w:val="26"/>
        </w:rPr>
        <w:t>Закон № 1416/1999 - регулирует условия труда на наземном транспорте;</w:t>
      </w:r>
    </w:p>
    <w:p w:rsidR="00000000" w:rsidRDefault="00000000">
      <w:pPr>
        <w:shd w:val="clear" w:color="auto" w:fill="FFFFFF"/>
        <w:tabs>
          <w:tab w:val="clear" w:pos="2268"/>
          <w:tab w:val="left" w:pos="567"/>
          <w:tab w:val="left" w:pos="1134"/>
          <w:tab w:val="left" w:pos="1701"/>
          <w:tab w:val="left" w:pos="7938"/>
        </w:tabs>
        <w:ind w:left="1134" w:hanging="567"/>
        <w:rPr>
          <w:szCs w:val="26"/>
        </w:rPr>
      </w:pPr>
    </w:p>
    <w:p w:rsidR="00000000" w:rsidRDefault="00000000">
      <w:pPr>
        <w:numPr>
          <w:ilvl w:val="1"/>
          <w:numId w:val="105"/>
        </w:numPr>
        <w:shd w:val="clear" w:color="auto" w:fill="FFFFFF"/>
        <w:tabs>
          <w:tab w:val="clear" w:pos="2214"/>
          <w:tab w:val="clear" w:pos="2268"/>
          <w:tab w:val="left" w:pos="567"/>
          <w:tab w:val="left" w:pos="1701"/>
          <w:tab w:val="left" w:pos="7938"/>
        </w:tabs>
        <w:ind w:left="1134"/>
        <w:rPr>
          <w:szCs w:val="26"/>
        </w:rPr>
      </w:pPr>
      <w:r>
        <w:rPr>
          <w:szCs w:val="26"/>
        </w:rPr>
        <w:t>Закон № 1542/2000 - вводит процедуру квалификации забастовок;</w:t>
      </w:r>
    </w:p>
    <w:p w:rsidR="00000000" w:rsidRDefault="00000000">
      <w:pPr>
        <w:shd w:val="clear" w:color="auto" w:fill="FFFFFF"/>
        <w:tabs>
          <w:tab w:val="clear" w:pos="2268"/>
          <w:tab w:val="left" w:pos="567"/>
          <w:tab w:val="left" w:pos="1134"/>
          <w:tab w:val="left" w:pos="1701"/>
          <w:tab w:val="left" w:pos="7938"/>
        </w:tabs>
        <w:ind w:left="1134" w:hanging="567"/>
        <w:rPr>
          <w:szCs w:val="26"/>
        </w:rPr>
      </w:pPr>
    </w:p>
    <w:p w:rsidR="00000000" w:rsidRDefault="00000000">
      <w:pPr>
        <w:numPr>
          <w:ilvl w:val="1"/>
          <w:numId w:val="105"/>
        </w:numPr>
        <w:shd w:val="clear" w:color="auto" w:fill="FFFFFF"/>
        <w:tabs>
          <w:tab w:val="clear" w:pos="2214"/>
          <w:tab w:val="clear" w:pos="2268"/>
          <w:tab w:val="left" w:pos="567"/>
          <w:tab w:val="left" w:pos="1701"/>
          <w:tab w:val="left" w:pos="7938"/>
        </w:tabs>
        <w:ind w:left="1134"/>
        <w:rPr>
          <w:szCs w:val="26"/>
        </w:rPr>
      </w:pPr>
      <w:r>
        <w:rPr>
          <w:szCs w:val="26"/>
        </w:rPr>
        <w:t>Закон № 1652/2000 - создает Систему профессиональной подготовки и повышения квалификации;</w:t>
      </w:r>
    </w:p>
    <w:p w:rsidR="00000000" w:rsidRDefault="00000000">
      <w:pPr>
        <w:shd w:val="clear" w:color="auto" w:fill="FFFFFF"/>
        <w:tabs>
          <w:tab w:val="clear" w:pos="2268"/>
          <w:tab w:val="left" w:pos="567"/>
          <w:tab w:val="left" w:pos="1134"/>
          <w:tab w:val="left" w:pos="1701"/>
          <w:tab w:val="left" w:pos="7938"/>
        </w:tabs>
        <w:ind w:left="1134" w:hanging="567"/>
        <w:rPr>
          <w:szCs w:val="26"/>
        </w:rPr>
      </w:pPr>
    </w:p>
    <w:p w:rsidR="00000000" w:rsidRDefault="00000000">
      <w:pPr>
        <w:numPr>
          <w:ilvl w:val="1"/>
          <w:numId w:val="105"/>
        </w:numPr>
        <w:shd w:val="clear" w:color="auto" w:fill="FFFFFF"/>
        <w:tabs>
          <w:tab w:val="clear" w:pos="2214"/>
          <w:tab w:val="clear" w:pos="2268"/>
          <w:tab w:val="left" w:pos="567"/>
          <w:tab w:val="left" w:pos="1701"/>
          <w:tab w:val="left" w:pos="7938"/>
        </w:tabs>
        <w:ind w:left="1134"/>
        <w:rPr>
          <w:szCs w:val="26"/>
        </w:rPr>
      </w:pPr>
      <w:r>
        <w:rPr>
          <w:szCs w:val="26"/>
        </w:rPr>
        <w:t>Закон № 1680/2001 - вводит в действие Кодекс о детях и подростках, изменяющий соответствующие статьи Трудового кодекса;</w:t>
      </w:r>
    </w:p>
    <w:p w:rsidR="00000000" w:rsidRDefault="00000000">
      <w:pPr>
        <w:shd w:val="clear" w:color="auto" w:fill="FFFFFF"/>
        <w:tabs>
          <w:tab w:val="clear" w:pos="2268"/>
          <w:tab w:val="left" w:pos="567"/>
          <w:tab w:val="left" w:pos="1134"/>
          <w:tab w:val="left" w:pos="1701"/>
          <w:tab w:val="left" w:pos="7938"/>
        </w:tabs>
        <w:ind w:left="1134" w:hanging="567"/>
        <w:rPr>
          <w:szCs w:val="26"/>
        </w:rPr>
      </w:pPr>
    </w:p>
    <w:p w:rsidR="00000000" w:rsidRDefault="00000000">
      <w:pPr>
        <w:numPr>
          <w:ilvl w:val="1"/>
          <w:numId w:val="105"/>
        </w:numPr>
        <w:shd w:val="clear" w:color="auto" w:fill="FFFFFF"/>
        <w:tabs>
          <w:tab w:val="clear" w:pos="2214"/>
          <w:tab w:val="clear" w:pos="2268"/>
          <w:tab w:val="left" w:pos="567"/>
          <w:tab w:val="left" w:pos="1701"/>
          <w:tab w:val="left" w:pos="7938"/>
        </w:tabs>
        <w:ind w:left="1134"/>
        <w:rPr>
          <w:szCs w:val="26"/>
        </w:rPr>
      </w:pPr>
      <w:r>
        <w:rPr>
          <w:szCs w:val="26"/>
        </w:rPr>
        <w:t>Закон № 1702/2001 - определяет понятия "ребенок", "подросток", "юноша";</w:t>
      </w:r>
    </w:p>
    <w:p w:rsidR="00000000" w:rsidRDefault="00000000">
      <w:pPr>
        <w:shd w:val="clear" w:color="auto" w:fill="FFFFFF"/>
        <w:tabs>
          <w:tab w:val="clear" w:pos="2268"/>
          <w:tab w:val="left" w:pos="567"/>
          <w:tab w:val="left" w:pos="1134"/>
          <w:tab w:val="left" w:pos="1701"/>
          <w:tab w:val="left" w:pos="7938"/>
        </w:tabs>
        <w:ind w:left="1134" w:hanging="567"/>
        <w:rPr>
          <w:szCs w:val="26"/>
        </w:rPr>
      </w:pPr>
    </w:p>
    <w:p w:rsidR="00000000" w:rsidRDefault="00000000">
      <w:pPr>
        <w:numPr>
          <w:ilvl w:val="1"/>
          <w:numId w:val="105"/>
        </w:numPr>
        <w:shd w:val="clear" w:color="auto" w:fill="FFFFFF"/>
        <w:tabs>
          <w:tab w:val="clear" w:pos="2214"/>
          <w:tab w:val="clear" w:pos="2268"/>
          <w:tab w:val="left" w:pos="567"/>
          <w:tab w:val="left" w:pos="1701"/>
          <w:tab w:val="left" w:pos="7938"/>
        </w:tabs>
        <w:ind w:left="1134"/>
        <w:rPr>
          <w:szCs w:val="26"/>
        </w:rPr>
      </w:pPr>
      <w:r>
        <w:rPr>
          <w:szCs w:val="26"/>
        </w:rPr>
        <w:t>Закон № 1725/2001 - вводит в действие Устав педагога;</w:t>
      </w:r>
    </w:p>
    <w:p w:rsidR="00000000" w:rsidRDefault="00000000">
      <w:pPr>
        <w:shd w:val="clear" w:color="auto" w:fill="FFFFFF"/>
        <w:tabs>
          <w:tab w:val="clear" w:pos="2268"/>
          <w:tab w:val="left" w:pos="567"/>
          <w:tab w:val="left" w:pos="1134"/>
          <w:tab w:val="left" w:pos="1701"/>
          <w:tab w:val="left" w:pos="7938"/>
        </w:tabs>
        <w:ind w:left="1134" w:hanging="567"/>
        <w:rPr>
          <w:szCs w:val="26"/>
        </w:rPr>
      </w:pPr>
    </w:p>
    <w:p w:rsidR="00000000" w:rsidRDefault="00000000">
      <w:pPr>
        <w:numPr>
          <w:ilvl w:val="1"/>
          <w:numId w:val="105"/>
        </w:numPr>
        <w:shd w:val="clear" w:color="auto" w:fill="FFFFFF"/>
        <w:tabs>
          <w:tab w:val="clear" w:pos="2214"/>
          <w:tab w:val="clear" w:pos="2268"/>
          <w:tab w:val="left" w:pos="567"/>
          <w:tab w:val="left" w:pos="1701"/>
          <w:tab w:val="left" w:pos="7938"/>
        </w:tabs>
        <w:ind w:left="1134"/>
        <w:rPr>
          <w:szCs w:val="26"/>
        </w:rPr>
      </w:pPr>
      <w:r>
        <w:rPr>
          <w:szCs w:val="26"/>
        </w:rPr>
        <w:t>Закон № 1980/2002 - касается вопросов трудоустройства на первом месте работы;</w:t>
      </w:r>
    </w:p>
    <w:p w:rsidR="00000000" w:rsidRDefault="00000000">
      <w:pPr>
        <w:shd w:val="clear" w:color="auto" w:fill="FFFFFF"/>
        <w:tabs>
          <w:tab w:val="clear" w:pos="2268"/>
          <w:tab w:val="left" w:pos="567"/>
          <w:tab w:val="left" w:pos="1134"/>
          <w:tab w:val="left" w:pos="1701"/>
          <w:tab w:val="left" w:pos="7938"/>
        </w:tabs>
        <w:ind w:left="1134" w:hanging="567"/>
        <w:rPr>
          <w:szCs w:val="26"/>
        </w:rPr>
      </w:pPr>
    </w:p>
    <w:p w:rsidR="00000000" w:rsidRDefault="00000000">
      <w:pPr>
        <w:numPr>
          <w:ilvl w:val="1"/>
          <w:numId w:val="105"/>
        </w:numPr>
        <w:shd w:val="clear" w:color="auto" w:fill="FFFFFF"/>
        <w:tabs>
          <w:tab w:val="clear" w:pos="2214"/>
          <w:tab w:val="clear" w:pos="2268"/>
          <w:tab w:val="left" w:pos="567"/>
          <w:tab w:val="left" w:pos="1701"/>
          <w:tab w:val="left" w:pos="7938"/>
        </w:tabs>
        <w:ind w:left="1134"/>
        <w:rPr>
          <w:szCs w:val="26"/>
        </w:rPr>
      </w:pPr>
      <w:r>
        <w:rPr>
          <w:szCs w:val="26"/>
        </w:rPr>
        <w:t>Закон № 2332/2003 - вводит в действие на территории страны Конвенцию</w:t>
      </w:r>
      <w:r>
        <w:rPr>
          <w:szCs w:val="26"/>
          <w:lang w:val="en-US"/>
        </w:rPr>
        <w:t> </w:t>
      </w:r>
      <w:r>
        <w:rPr>
          <w:szCs w:val="26"/>
        </w:rPr>
        <w:t>№ 138 МОТ о минимальном возрасте для приема на работу (1973</w:t>
      </w:r>
      <w:r>
        <w:rPr>
          <w:szCs w:val="26"/>
          <w:lang w:val="en-US"/>
        </w:rPr>
        <w:t> </w:t>
      </w:r>
      <w:r>
        <w:rPr>
          <w:szCs w:val="26"/>
        </w:rPr>
        <w:t>года);</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pPr>
      <w:r>
        <w:rPr>
          <w:szCs w:val="26"/>
        </w:rPr>
        <w:tab/>
      </w:r>
      <w:r>
        <w:rPr>
          <w:szCs w:val="26"/>
        </w:rPr>
        <w:tab/>
        <w:t>также заслуживает внимания</w:t>
      </w:r>
    </w:p>
    <w:p w:rsidR="00000000" w:rsidRDefault="00000000">
      <w:pPr>
        <w:shd w:val="clear" w:color="auto" w:fill="FFFFFF"/>
        <w:tabs>
          <w:tab w:val="left" w:pos="567"/>
          <w:tab w:val="left" w:pos="1134"/>
          <w:tab w:val="left" w:pos="1701"/>
          <w:tab w:val="left" w:pos="2268"/>
          <w:tab w:val="left" w:pos="7938"/>
        </w:tabs>
      </w:pPr>
    </w:p>
    <w:p w:rsidR="00000000" w:rsidRDefault="00000000">
      <w:pPr>
        <w:numPr>
          <w:ilvl w:val="1"/>
          <w:numId w:val="105"/>
        </w:numPr>
        <w:shd w:val="clear" w:color="auto" w:fill="FFFFFF"/>
        <w:tabs>
          <w:tab w:val="clear" w:pos="2214"/>
          <w:tab w:val="clear" w:pos="2268"/>
          <w:tab w:val="left" w:pos="567"/>
          <w:tab w:val="left" w:pos="1701"/>
          <w:tab w:val="left" w:pos="7938"/>
        </w:tabs>
        <w:ind w:left="1134"/>
      </w:pPr>
      <w:r>
        <w:rPr>
          <w:szCs w:val="26"/>
        </w:rPr>
        <w:t>Закон № 1626 "О государственной службе" в части, касающейся применения Трудового кодекса на государственных предприятиях и прав на заключение коллективных договоров по новым нормам.</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b/>
          <w:bCs/>
        </w:rPr>
      </w:pPr>
      <w:r>
        <w:rPr>
          <w:b/>
          <w:bCs/>
          <w:szCs w:val="26"/>
        </w:rPr>
        <w:t>3.</w:t>
      </w:r>
      <w:r>
        <w:rPr>
          <w:b/>
          <w:bCs/>
          <w:szCs w:val="26"/>
        </w:rPr>
        <w:tab/>
        <w:t>Административно-трудовые отношения</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szCs w:val="26"/>
        </w:rPr>
        <w:t>232.</w:t>
      </w:r>
      <w:r>
        <w:rPr>
          <w:szCs w:val="26"/>
        </w:rPr>
        <w:tab/>
        <w:t>В сфере регулирования административно-трудовых отношений издается множество распоряжений, как, например Указ № 8421 от 1991 года, который определяет обязанности государственного министра труда и социального обеспечения;  Уках № 10047 от 1995 года, который регламентирует порядок внесения в Реестр предпринимателей министерства труда;  Указ № 15030 от 2001 года, который устанавливает административные процедуры определения временно безработных по причине разрыва трудовых отношений, регламентирует деятельность предприятий централизованной и децентрализованной форм управления;  Указ № 17781 от 2002 года, который регламентирует вопросы проведения административного расследования, предусмотренного Законом о государственной службе;  Указ № 468 от 2003 года, определяющий порядок применения Устава педагога.</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szCs w:val="24"/>
        </w:rPr>
        <w:t>233.</w:t>
      </w:r>
      <w:r>
        <w:rPr>
          <w:szCs w:val="24"/>
        </w:rPr>
        <w:tab/>
        <w:t>Кроме того, следует упомянуть руководства, касающиеся регистрации предпринимательской деятельности и документов, которые должны представляться, а также регламент по применению санкций.</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b/>
          <w:bCs/>
          <w:szCs w:val="24"/>
        </w:rPr>
        <w:t>4.</w:t>
      </w:r>
      <w:r>
        <w:rPr>
          <w:b/>
          <w:bCs/>
          <w:szCs w:val="24"/>
        </w:rPr>
        <w:tab/>
        <w:t>Процессуальные аспекты</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szCs w:val="24"/>
        </w:rPr>
      </w:pPr>
      <w:r>
        <w:rPr>
          <w:szCs w:val="24"/>
        </w:rPr>
        <w:t>234.</w:t>
      </w:r>
      <w:r>
        <w:rPr>
          <w:szCs w:val="24"/>
        </w:rPr>
        <w:tab/>
        <w:t>Что касается процессуальных аспектов разрешения трудовых споров в частном секторе, то они регулируются прежним Процессуальным трудовым кодексом, действующим с 1961 года без каких-либо значительных изменений, за исключением упразднения Постоянного согласительного и арбитражного совета в составе министерства труда, который в обязательном порядке задействовался в случаях возникновения коллективных трудовых конфликтов.  Это требование было изменено новой Конституцией, которая отменила обязательность его привлечения к разрешению трудовых споров, введя принцип добровольности, т.е. оставив разрешение трудовых конфликтов и их урегулирование на усмотрение сторон, участвующих в споре.</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left" w:pos="567"/>
          <w:tab w:val="left" w:pos="1134"/>
          <w:tab w:val="left" w:pos="1701"/>
          <w:tab w:val="left" w:pos="2268"/>
          <w:tab w:val="left" w:pos="7938"/>
        </w:tabs>
        <w:rPr>
          <w:szCs w:val="24"/>
        </w:rPr>
      </w:pPr>
      <w:r>
        <w:rPr>
          <w:szCs w:val="24"/>
        </w:rPr>
        <w:t>235.</w:t>
      </w:r>
      <w:r>
        <w:rPr>
          <w:szCs w:val="24"/>
        </w:rPr>
        <w:tab/>
        <w:t>В отношении государственных служащих административное законодательство содержит ряд спорных моментов.  Закон № 1626 вызвал некоторую путаницу в нормативно-правовых вопросах, касающихся наемных работников, не входящих в постоянный штат организаций, а также работников низшего разряда, в некоторых случаях назначаемых на должности более высоких категорий.</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left" w:pos="567"/>
          <w:tab w:val="left" w:pos="1134"/>
          <w:tab w:val="left" w:pos="1701"/>
          <w:tab w:val="left" w:pos="2268"/>
          <w:tab w:val="left" w:pos="7938"/>
        </w:tabs>
        <w:rPr>
          <w:szCs w:val="24"/>
        </w:rPr>
      </w:pPr>
      <w:r>
        <w:rPr>
          <w:szCs w:val="24"/>
        </w:rPr>
        <w:t>236.</w:t>
      </w:r>
      <w:r>
        <w:rPr>
          <w:szCs w:val="24"/>
        </w:rPr>
        <w:tab/>
        <w:t>Также следует указать, что Конституция страны в статье 296 устанавливает обязательность устного судебного разбирательства при разрешении трудовых споров, что до сих пор не осуществлялось на практике за исключением дел, рассматриваемых непосредственно второй палатой Суда по трудовым спорам столицы. С другой стороны, экономический кризис спровоцировал высокую степень конфликтности, что видно на примере большого числа судебных слушаний по трудовым спорам, проходящих в судах общей компетенции и арбитражных судах.</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left" w:pos="567"/>
          <w:tab w:val="left" w:pos="1134"/>
          <w:tab w:val="left" w:pos="1701"/>
          <w:tab w:val="left" w:pos="2268"/>
          <w:tab w:val="left" w:pos="7938"/>
        </w:tabs>
        <w:rPr>
          <w:szCs w:val="24"/>
        </w:rPr>
      </w:pPr>
      <w:r>
        <w:rPr>
          <w:szCs w:val="24"/>
        </w:rPr>
        <w:t>237.</w:t>
      </w:r>
      <w:r>
        <w:rPr>
          <w:szCs w:val="24"/>
        </w:rPr>
        <w:tab/>
        <w:t>Если говорить о решениях органов судебной власти в области трудовых отношений, то можно наблюдать многочисленные случаи, когда забастовки объявляются незаконными, в результате чего участвовавших в них рабочих увольняют.  В то же самое время со стороны ряда должностных лиц органов суда и прокуратуры просматривается тенденция к более гибкому подходу к разрешению споров в трудовой сфере.  В этом отношении уместно заметить, что даже Конституционная палата Верховного суда недавно обнародовала постановление, направленное на постепенное урегулирование права на стабильность по месту работы, которое в Парагвае появляется после 10 лет трудового стажа.</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left" w:pos="567"/>
          <w:tab w:val="left" w:pos="1134"/>
          <w:tab w:val="left" w:pos="1701"/>
          <w:tab w:val="left" w:pos="2268"/>
          <w:tab w:val="left" w:pos="7938"/>
        </w:tabs>
      </w:pPr>
      <w:r>
        <w:rPr>
          <w:szCs w:val="24"/>
        </w:rPr>
        <w:t>238.</w:t>
      </w:r>
      <w:r>
        <w:rPr>
          <w:szCs w:val="24"/>
        </w:rPr>
        <w:tab/>
        <w:t xml:space="preserve">В целом, именно суды по трудовым спорам и арбитражные суды - вследствие отсутствия профсоюзных организаций, способных взять на себя данную функцию, а также </w:t>
      </w:r>
      <w:r>
        <w:rPr>
          <w:szCs w:val="26"/>
        </w:rPr>
        <w:t>ввиду слабого участия государственных административных органов в решении этих вопросов - стремятся защитить потерпевших в случаях нарушения законных прав и коллективных договоров, которые выносятся на их рассмотрение.</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b/>
          <w:bCs/>
          <w:szCs w:val="26"/>
        </w:rPr>
        <w:t>5.</w:t>
      </w:r>
      <w:r>
        <w:rPr>
          <w:b/>
          <w:bCs/>
          <w:szCs w:val="26"/>
        </w:rPr>
        <w:tab/>
        <w:t>Административно-трудовая инстанция</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clear" w:pos="567"/>
          <w:tab w:val="left" w:pos="561"/>
          <w:tab w:val="left" w:pos="1134"/>
          <w:tab w:val="left" w:pos="1701"/>
          <w:tab w:val="left" w:pos="2268"/>
          <w:tab w:val="left" w:pos="7938"/>
        </w:tabs>
        <w:rPr>
          <w:szCs w:val="26"/>
        </w:rPr>
      </w:pPr>
      <w:r>
        <w:rPr>
          <w:szCs w:val="26"/>
        </w:rPr>
        <w:t>239.</w:t>
      </w:r>
      <w:r>
        <w:rPr>
          <w:szCs w:val="26"/>
        </w:rPr>
        <w:tab/>
        <w:t>В плане решения административных вопросов и реализации политики в области трудовых отношений, что относится к компетенции министерства труда, произошли позитивные сдвиги.  Так, деятельность в качестве примирительной инстанции (особенно большое практическое значение этот факт имеет в сфере индивидуального трудового права, поскольку трудящиеся в случае увольнения привыкли обращаться в данное ведомство, хотя оно и не обладает юрисдикцией судебного органа) обусловила подготовку законопроекта, предусматривающего обязательное участие представителей министерства в разрешении трудового конфликта до передачи его в судебную инстанцию.</w:t>
      </w:r>
    </w:p>
    <w:p w:rsidR="00000000" w:rsidRDefault="00000000">
      <w:pPr>
        <w:shd w:val="clear" w:color="auto" w:fill="FFFFFF"/>
        <w:tabs>
          <w:tab w:val="clear" w:pos="567"/>
          <w:tab w:val="left" w:pos="1134"/>
          <w:tab w:val="left" w:pos="1701"/>
          <w:tab w:val="left" w:pos="2268"/>
          <w:tab w:val="left" w:pos="7938"/>
        </w:tabs>
        <w:rPr>
          <w:szCs w:val="26"/>
        </w:rPr>
      </w:pPr>
    </w:p>
    <w:p w:rsidR="00000000" w:rsidRDefault="00000000">
      <w:pPr>
        <w:shd w:val="clear" w:color="auto" w:fill="FFFFFF"/>
        <w:tabs>
          <w:tab w:val="clear" w:pos="567"/>
          <w:tab w:val="left" w:pos="561"/>
          <w:tab w:val="left" w:pos="1134"/>
          <w:tab w:val="left" w:pos="1701"/>
          <w:tab w:val="left" w:pos="2268"/>
          <w:tab w:val="left" w:pos="7938"/>
        </w:tabs>
        <w:rPr>
          <w:szCs w:val="26"/>
        </w:rPr>
      </w:pPr>
      <w:r>
        <w:rPr>
          <w:szCs w:val="26"/>
        </w:rPr>
        <w:t>240.</w:t>
      </w:r>
      <w:r>
        <w:rPr>
          <w:szCs w:val="26"/>
        </w:rPr>
        <w:tab/>
        <w:t>В области коллективных прав после роспуска Постоянного согласительного и арбитражного совета деятельность министерства труда свелась к участию в трехсторонних слушаниях по примирению конфликтующих сторон.  В действительности это имеет незначительную практическую ценность, хотя министерство и сохраняет некоторые полномочия в том, что касается прекращения действия трудовых договоров и закрытия предприятий;  согласно действующему законодательству в таком случае требуется предварительное разрешение министерства труда, выданное в присутствии заинтересованных сторон.</w:t>
      </w:r>
    </w:p>
    <w:p w:rsidR="00000000" w:rsidRDefault="00000000">
      <w:pPr>
        <w:shd w:val="clear" w:color="auto" w:fill="FFFFFF"/>
        <w:tabs>
          <w:tab w:val="clear"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jc w:val="center"/>
        <w:rPr>
          <w:b/>
          <w:bCs/>
          <w:szCs w:val="26"/>
        </w:rPr>
      </w:pPr>
      <w:r>
        <w:rPr>
          <w:b/>
          <w:bCs/>
          <w:szCs w:val="26"/>
        </w:rPr>
        <w:t>Статистические данные по мерам посредничества</w:t>
      </w:r>
    </w:p>
    <w:p w:rsidR="00000000" w:rsidRDefault="00000000">
      <w:pPr>
        <w:shd w:val="clear" w:color="auto" w:fill="FFFFFF"/>
        <w:tabs>
          <w:tab w:val="left" w:pos="567"/>
          <w:tab w:val="left" w:pos="1134"/>
          <w:tab w:val="left" w:pos="1701"/>
          <w:tab w:val="left" w:pos="2268"/>
          <w:tab w:val="left" w:pos="7938"/>
        </w:tabs>
        <w:jc w:val="center"/>
      </w:pPr>
    </w:p>
    <w:tbl>
      <w:tblPr>
        <w:tblW w:w="941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722"/>
        <w:gridCol w:w="1538"/>
        <w:gridCol w:w="1561"/>
        <w:gridCol w:w="1593"/>
      </w:tblGrid>
      <w:tr w:rsidR="00000000">
        <w:tblPrEx>
          <w:tblCellMar>
            <w:top w:w="0" w:type="dxa"/>
            <w:bottom w:w="0" w:type="dxa"/>
          </w:tblCellMar>
        </w:tblPrEx>
        <w:trPr>
          <w:cantSplit/>
        </w:trPr>
        <w:tc>
          <w:tcPr>
            <w:tcW w:w="4722" w:type="dxa"/>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jc w:val="center"/>
            </w:pPr>
          </w:p>
        </w:tc>
        <w:tc>
          <w:tcPr>
            <w:tcW w:w="1538" w:type="dxa"/>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jc w:val="center"/>
            </w:pPr>
            <w:r>
              <w:rPr>
                <w:b/>
                <w:bCs/>
                <w:szCs w:val="24"/>
              </w:rPr>
              <w:t>2004 год</w:t>
            </w:r>
          </w:p>
        </w:tc>
        <w:tc>
          <w:tcPr>
            <w:tcW w:w="1561" w:type="dxa"/>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jc w:val="center"/>
            </w:pPr>
            <w:r>
              <w:rPr>
                <w:b/>
                <w:bCs/>
                <w:szCs w:val="24"/>
              </w:rPr>
              <w:t>2005 год</w:t>
            </w:r>
          </w:p>
        </w:tc>
        <w:tc>
          <w:tcPr>
            <w:tcW w:w="1593" w:type="dxa"/>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jc w:val="center"/>
            </w:pPr>
            <w:r>
              <w:rPr>
                <w:b/>
                <w:bCs/>
                <w:szCs w:val="24"/>
              </w:rPr>
              <w:t>2006 год</w:t>
            </w:r>
          </w:p>
        </w:tc>
      </w:tr>
      <w:tr w:rsidR="00000000">
        <w:tblPrEx>
          <w:tblCellMar>
            <w:top w:w="0" w:type="dxa"/>
            <w:bottom w:w="0" w:type="dxa"/>
          </w:tblCellMar>
        </w:tblPrEx>
        <w:trPr>
          <w:cantSplit/>
        </w:trPr>
        <w:tc>
          <w:tcPr>
            <w:tcW w:w="4722" w:type="dxa"/>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Жалобы</w:t>
            </w:r>
          </w:p>
        </w:tc>
        <w:tc>
          <w:tcPr>
            <w:tcW w:w="1538"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3 108</w:t>
            </w:r>
          </w:p>
        </w:tc>
        <w:tc>
          <w:tcPr>
            <w:tcW w:w="1561"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3 100</w:t>
            </w:r>
          </w:p>
        </w:tc>
        <w:tc>
          <w:tcPr>
            <w:tcW w:w="1593"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1 145</w:t>
            </w:r>
          </w:p>
        </w:tc>
      </w:tr>
      <w:tr w:rsidR="00000000">
        <w:tblPrEx>
          <w:tblCellMar>
            <w:top w:w="0" w:type="dxa"/>
            <w:bottom w:w="0" w:type="dxa"/>
          </w:tblCellMar>
        </w:tblPrEx>
        <w:trPr>
          <w:cantSplit/>
        </w:trPr>
        <w:tc>
          <w:tcPr>
            <w:tcW w:w="4722" w:type="dxa"/>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Результаты согласительных процедур</w:t>
            </w:r>
          </w:p>
        </w:tc>
        <w:tc>
          <w:tcPr>
            <w:tcW w:w="1538"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3 108</w:t>
            </w:r>
          </w:p>
        </w:tc>
        <w:tc>
          <w:tcPr>
            <w:tcW w:w="1561"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3 100</w:t>
            </w:r>
          </w:p>
        </w:tc>
        <w:tc>
          <w:tcPr>
            <w:tcW w:w="1593"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1 145</w:t>
            </w:r>
          </w:p>
        </w:tc>
      </w:tr>
      <w:tr w:rsidR="00000000">
        <w:tblPrEx>
          <w:tblCellMar>
            <w:top w:w="0" w:type="dxa"/>
            <w:bottom w:w="0" w:type="dxa"/>
          </w:tblCellMar>
        </w:tblPrEx>
        <w:trPr>
          <w:cantSplit/>
        </w:trPr>
        <w:tc>
          <w:tcPr>
            <w:tcW w:w="4722" w:type="dxa"/>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ind w:firstLine="567"/>
            </w:pPr>
            <w:r>
              <w:rPr>
                <w:szCs w:val="24"/>
              </w:rPr>
              <w:t>Урегулировано</w:t>
            </w:r>
          </w:p>
        </w:tc>
        <w:tc>
          <w:tcPr>
            <w:tcW w:w="1538"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636</w:t>
            </w:r>
          </w:p>
        </w:tc>
        <w:tc>
          <w:tcPr>
            <w:tcW w:w="1561"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1063</w:t>
            </w:r>
          </w:p>
        </w:tc>
        <w:tc>
          <w:tcPr>
            <w:tcW w:w="1593"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388</w:t>
            </w:r>
          </w:p>
        </w:tc>
      </w:tr>
      <w:tr w:rsidR="00000000">
        <w:tblPrEx>
          <w:tblCellMar>
            <w:top w:w="0" w:type="dxa"/>
            <w:bottom w:w="0" w:type="dxa"/>
          </w:tblCellMar>
        </w:tblPrEx>
        <w:trPr>
          <w:cantSplit/>
        </w:trPr>
        <w:tc>
          <w:tcPr>
            <w:tcW w:w="4722" w:type="dxa"/>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ind w:firstLine="567"/>
            </w:pPr>
            <w:r>
              <w:rPr>
                <w:szCs w:val="24"/>
              </w:rPr>
              <w:t>Не урегулировано</w:t>
            </w:r>
          </w:p>
        </w:tc>
        <w:tc>
          <w:tcPr>
            <w:tcW w:w="1538"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566</w:t>
            </w:r>
          </w:p>
        </w:tc>
        <w:tc>
          <w:tcPr>
            <w:tcW w:w="1561"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735</w:t>
            </w:r>
          </w:p>
        </w:tc>
        <w:tc>
          <w:tcPr>
            <w:tcW w:w="1593"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248</w:t>
            </w:r>
          </w:p>
        </w:tc>
      </w:tr>
      <w:tr w:rsidR="00000000">
        <w:tblPrEx>
          <w:tblCellMar>
            <w:top w:w="0" w:type="dxa"/>
            <w:bottom w:w="0" w:type="dxa"/>
          </w:tblCellMar>
        </w:tblPrEx>
        <w:trPr>
          <w:cantSplit/>
        </w:trPr>
        <w:tc>
          <w:tcPr>
            <w:tcW w:w="4722" w:type="dxa"/>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ind w:firstLine="567"/>
            </w:pPr>
            <w:r>
              <w:rPr>
                <w:szCs w:val="24"/>
                <w:lang w:val="en-US"/>
              </w:rPr>
              <w:t>I</w:t>
            </w:r>
            <w:r>
              <w:rPr>
                <w:szCs w:val="24"/>
              </w:rPr>
              <w:t xml:space="preserve">. </w:t>
            </w:r>
            <w:r>
              <w:rPr>
                <w:szCs w:val="24"/>
              </w:rPr>
              <w:tab/>
              <w:t>Работодатель</w:t>
            </w:r>
          </w:p>
        </w:tc>
        <w:tc>
          <w:tcPr>
            <w:tcW w:w="1538"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1006</w:t>
            </w:r>
          </w:p>
        </w:tc>
        <w:tc>
          <w:tcPr>
            <w:tcW w:w="1561"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662</w:t>
            </w:r>
          </w:p>
        </w:tc>
        <w:tc>
          <w:tcPr>
            <w:tcW w:w="1593"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247</w:t>
            </w:r>
          </w:p>
        </w:tc>
      </w:tr>
      <w:tr w:rsidR="00000000">
        <w:tblPrEx>
          <w:tblCellMar>
            <w:top w:w="0" w:type="dxa"/>
            <w:bottom w:w="0" w:type="dxa"/>
          </w:tblCellMar>
        </w:tblPrEx>
        <w:trPr>
          <w:cantSplit/>
        </w:trPr>
        <w:tc>
          <w:tcPr>
            <w:tcW w:w="4722" w:type="dxa"/>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ind w:firstLine="567"/>
            </w:pPr>
            <w:r>
              <w:rPr>
                <w:szCs w:val="24"/>
                <w:lang w:val="en-US"/>
              </w:rPr>
              <w:t>I</w:t>
            </w:r>
            <w:r>
              <w:rPr>
                <w:szCs w:val="24"/>
              </w:rPr>
              <w:t xml:space="preserve">. </w:t>
            </w:r>
            <w:r>
              <w:rPr>
                <w:szCs w:val="24"/>
              </w:rPr>
              <w:tab/>
              <w:t>Трудящийся</w:t>
            </w:r>
          </w:p>
        </w:tc>
        <w:tc>
          <w:tcPr>
            <w:tcW w:w="1538"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66</w:t>
            </w:r>
          </w:p>
        </w:tc>
        <w:tc>
          <w:tcPr>
            <w:tcW w:w="1561"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86</w:t>
            </w:r>
          </w:p>
        </w:tc>
        <w:tc>
          <w:tcPr>
            <w:tcW w:w="1593"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32</w:t>
            </w:r>
          </w:p>
        </w:tc>
      </w:tr>
      <w:tr w:rsidR="00000000">
        <w:tblPrEx>
          <w:tblCellMar>
            <w:top w:w="0" w:type="dxa"/>
            <w:bottom w:w="0" w:type="dxa"/>
          </w:tblCellMar>
        </w:tblPrEx>
        <w:trPr>
          <w:cantSplit/>
        </w:trPr>
        <w:tc>
          <w:tcPr>
            <w:tcW w:w="4722" w:type="dxa"/>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ind w:firstLine="567"/>
            </w:pPr>
            <w:r>
              <w:rPr>
                <w:szCs w:val="24"/>
                <w:lang w:val="es-ES_tradnl"/>
              </w:rPr>
              <w:t xml:space="preserve">D. </w:t>
            </w:r>
            <w:r>
              <w:rPr>
                <w:szCs w:val="24"/>
              </w:rPr>
              <w:tab/>
              <w:t>Мера</w:t>
            </w:r>
          </w:p>
        </w:tc>
        <w:tc>
          <w:tcPr>
            <w:tcW w:w="1538"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189</w:t>
            </w:r>
          </w:p>
        </w:tc>
        <w:tc>
          <w:tcPr>
            <w:tcW w:w="1561"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210</w:t>
            </w:r>
          </w:p>
        </w:tc>
        <w:tc>
          <w:tcPr>
            <w:tcW w:w="1593"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78</w:t>
            </w:r>
          </w:p>
        </w:tc>
      </w:tr>
      <w:tr w:rsidR="00000000">
        <w:tblPrEx>
          <w:tblCellMar>
            <w:top w:w="0" w:type="dxa"/>
            <w:bottom w:w="0" w:type="dxa"/>
          </w:tblCellMar>
        </w:tblPrEx>
        <w:trPr>
          <w:cantSplit/>
        </w:trPr>
        <w:tc>
          <w:tcPr>
            <w:tcW w:w="4722" w:type="dxa"/>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ind w:firstLine="567"/>
            </w:pPr>
            <w:r>
              <w:rPr>
                <w:szCs w:val="24"/>
                <w:lang w:val="es-ES_tradnl"/>
              </w:rPr>
              <w:t xml:space="preserve">D. </w:t>
            </w:r>
            <w:r>
              <w:rPr>
                <w:szCs w:val="24"/>
              </w:rPr>
              <w:tab/>
              <w:t>По инстанции</w:t>
            </w:r>
          </w:p>
        </w:tc>
        <w:tc>
          <w:tcPr>
            <w:tcW w:w="1538"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645</w:t>
            </w:r>
          </w:p>
        </w:tc>
        <w:tc>
          <w:tcPr>
            <w:tcW w:w="1561"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344</w:t>
            </w:r>
          </w:p>
        </w:tc>
        <w:tc>
          <w:tcPr>
            <w:tcW w:w="1593"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122</w:t>
            </w:r>
          </w:p>
        </w:tc>
      </w:tr>
      <w:tr w:rsidR="00000000">
        <w:tblPrEx>
          <w:tblCellMar>
            <w:top w:w="0" w:type="dxa"/>
            <w:bottom w:w="0" w:type="dxa"/>
          </w:tblCellMar>
        </w:tblPrEx>
        <w:trPr>
          <w:cantSplit/>
        </w:trPr>
        <w:tc>
          <w:tcPr>
            <w:tcW w:w="4722" w:type="dxa"/>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ind w:firstLine="567"/>
            </w:pPr>
            <w:r>
              <w:rPr>
                <w:szCs w:val="24"/>
              </w:rPr>
              <w:t>Делопроизводство ведется</w:t>
            </w:r>
          </w:p>
        </w:tc>
        <w:tc>
          <w:tcPr>
            <w:tcW w:w="1538"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0</w:t>
            </w:r>
          </w:p>
        </w:tc>
        <w:tc>
          <w:tcPr>
            <w:tcW w:w="1561"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0</w:t>
            </w:r>
          </w:p>
        </w:tc>
        <w:tc>
          <w:tcPr>
            <w:tcW w:w="1593"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31</w:t>
            </w:r>
          </w:p>
        </w:tc>
      </w:tr>
      <w:tr w:rsidR="00000000">
        <w:tblPrEx>
          <w:tblCellMar>
            <w:top w:w="0" w:type="dxa"/>
            <w:bottom w:w="0" w:type="dxa"/>
          </w:tblCellMar>
        </w:tblPrEx>
        <w:trPr>
          <w:cantSplit/>
        </w:trPr>
        <w:tc>
          <w:tcPr>
            <w:tcW w:w="4722" w:type="dxa"/>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Проведенные слушания</w:t>
            </w:r>
          </w:p>
        </w:tc>
        <w:tc>
          <w:tcPr>
            <w:tcW w:w="1538"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2 359</w:t>
            </w:r>
          </w:p>
        </w:tc>
        <w:tc>
          <w:tcPr>
            <w:tcW w:w="1561"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2 540</w:t>
            </w:r>
          </w:p>
        </w:tc>
        <w:tc>
          <w:tcPr>
            <w:tcW w:w="1593"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938</w:t>
            </w:r>
          </w:p>
        </w:tc>
      </w:tr>
      <w:tr w:rsidR="00000000">
        <w:tblPrEx>
          <w:tblCellMar>
            <w:top w:w="0" w:type="dxa"/>
            <w:bottom w:w="0" w:type="dxa"/>
          </w:tblCellMar>
        </w:tblPrEx>
        <w:trPr>
          <w:cantSplit/>
        </w:trPr>
        <w:tc>
          <w:tcPr>
            <w:tcW w:w="4722" w:type="dxa"/>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Подготовка второго уведомления</w:t>
            </w:r>
          </w:p>
        </w:tc>
        <w:tc>
          <w:tcPr>
            <w:tcW w:w="1538"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1 657</w:t>
            </w:r>
          </w:p>
        </w:tc>
        <w:tc>
          <w:tcPr>
            <w:tcW w:w="1561"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882</w:t>
            </w:r>
          </w:p>
        </w:tc>
        <w:tc>
          <w:tcPr>
            <w:tcW w:w="1593"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326</w:t>
            </w:r>
          </w:p>
        </w:tc>
      </w:tr>
      <w:tr w:rsidR="00000000">
        <w:tblPrEx>
          <w:tblCellMar>
            <w:top w:w="0" w:type="dxa"/>
            <w:bottom w:w="0" w:type="dxa"/>
          </w:tblCellMar>
        </w:tblPrEx>
        <w:trPr>
          <w:cantSplit/>
        </w:trPr>
        <w:tc>
          <w:tcPr>
            <w:tcW w:w="4722" w:type="dxa"/>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Второе уведомление</w:t>
            </w:r>
          </w:p>
        </w:tc>
        <w:tc>
          <w:tcPr>
            <w:tcW w:w="1538"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1657</w:t>
            </w:r>
          </w:p>
        </w:tc>
        <w:tc>
          <w:tcPr>
            <w:tcW w:w="1561"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882</w:t>
            </w:r>
          </w:p>
        </w:tc>
        <w:tc>
          <w:tcPr>
            <w:tcW w:w="1593" w:type="dxa"/>
            <w:shd w:val="clear" w:color="auto" w:fill="FFFFFF"/>
            <w:tcMar>
              <w:right w:w="369" w:type="dxa"/>
            </w:tcMar>
            <w:vAlign w:val="bottom"/>
          </w:tcPr>
          <w:p w:rsidR="00000000" w:rsidRDefault="00000000">
            <w:pPr>
              <w:shd w:val="clear" w:color="auto" w:fill="FFFFFF"/>
              <w:tabs>
                <w:tab w:val="left" w:pos="567"/>
                <w:tab w:val="left" w:pos="1134"/>
                <w:tab w:val="left" w:pos="1701"/>
                <w:tab w:val="left" w:pos="2268"/>
                <w:tab w:val="left" w:pos="7938"/>
              </w:tabs>
              <w:spacing w:line="240" w:lineRule="auto"/>
              <w:jc w:val="right"/>
            </w:pPr>
            <w:r>
              <w:rPr>
                <w:szCs w:val="24"/>
              </w:rPr>
              <w:t>326</w:t>
            </w:r>
          </w:p>
        </w:tc>
      </w:tr>
    </w:tbl>
    <w:p w:rsidR="00000000" w:rsidRDefault="00000000">
      <w:pPr>
        <w:shd w:val="clear" w:color="auto" w:fill="FFFFFF"/>
        <w:tabs>
          <w:tab w:val="left" w:pos="567"/>
          <w:tab w:val="left" w:pos="1134"/>
          <w:tab w:val="left" w:pos="1701"/>
          <w:tab w:val="left" w:pos="2268"/>
          <w:tab w:val="left" w:pos="7938"/>
        </w:tabs>
        <w:rPr>
          <w:b/>
          <w:bCs/>
          <w:szCs w:val="24"/>
        </w:rPr>
      </w:pPr>
    </w:p>
    <w:p w:rsidR="00000000" w:rsidRDefault="00000000">
      <w:pPr>
        <w:shd w:val="clear" w:color="auto" w:fill="FFFFFF"/>
        <w:tabs>
          <w:tab w:val="left" w:pos="567"/>
          <w:tab w:val="left" w:pos="1134"/>
          <w:tab w:val="left" w:pos="1701"/>
          <w:tab w:val="left" w:pos="2268"/>
          <w:tab w:val="left" w:pos="7938"/>
        </w:tabs>
      </w:pPr>
      <w:r>
        <w:rPr>
          <w:b/>
          <w:bCs/>
          <w:szCs w:val="24"/>
        </w:rPr>
        <w:t>Статья 8</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szCs w:val="24"/>
        </w:rPr>
        <w:t>241.</w:t>
      </w:r>
      <w:r>
        <w:rPr>
          <w:szCs w:val="24"/>
        </w:rPr>
        <w:tab/>
        <w:t>Парагвай является участником следующих международных документов, касающихся защиты трудовых прав и имеющих отношение к области применения настоящей статьи:</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szCs w:val="24"/>
        </w:rPr>
        <w:tab/>
        <w:t>-</w:t>
      </w:r>
      <w:r>
        <w:rPr>
          <w:szCs w:val="24"/>
        </w:rPr>
        <w:tab/>
      </w:r>
      <w:r>
        <w:rPr>
          <w:b/>
          <w:bCs/>
          <w:szCs w:val="24"/>
        </w:rPr>
        <w:t>Международный пакт о гражданских и политических правах</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ind w:left="1134"/>
        <w:rPr>
          <w:szCs w:val="24"/>
        </w:rPr>
      </w:pPr>
      <w:r>
        <w:rPr>
          <w:szCs w:val="24"/>
        </w:rPr>
        <w:t xml:space="preserve">Дата присоединения: 10 июня 1992 года. </w:t>
      </w:r>
    </w:p>
    <w:p w:rsidR="00000000" w:rsidRDefault="00000000">
      <w:pPr>
        <w:shd w:val="clear" w:color="auto" w:fill="FFFFFF"/>
        <w:tabs>
          <w:tab w:val="left" w:pos="567"/>
          <w:tab w:val="left" w:pos="1134"/>
          <w:tab w:val="left" w:pos="1701"/>
          <w:tab w:val="left" w:pos="2268"/>
          <w:tab w:val="left" w:pos="7938"/>
        </w:tabs>
        <w:ind w:left="1134"/>
        <w:rPr>
          <w:szCs w:val="24"/>
        </w:rPr>
      </w:pPr>
      <w:r>
        <w:rPr>
          <w:szCs w:val="24"/>
        </w:rPr>
        <w:t xml:space="preserve">Ратифицирован Законом № 5/92 от 9 апреля 1992 года. </w:t>
      </w:r>
    </w:p>
    <w:p w:rsidR="00000000" w:rsidRDefault="00000000">
      <w:pPr>
        <w:shd w:val="clear" w:color="auto" w:fill="FFFFFF"/>
        <w:tabs>
          <w:tab w:val="left" w:pos="567"/>
          <w:tab w:val="left" w:pos="1134"/>
          <w:tab w:val="left" w:pos="1701"/>
          <w:tab w:val="left" w:pos="2268"/>
          <w:tab w:val="left" w:pos="7938"/>
        </w:tabs>
        <w:ind w:left="1134"/>
      </w:pPr>
      <w:r>
        <w:rPr>
          <w:szCs w:val="24"/>
        </w:rPr>
        <w:t>Дата вступления в силу для Парагвая:  10 ноября 1992 года.</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ind w:left="1134" w:hanging="1134"/>
      </w:pPr>
      <w:r>
        <w:rPr>
          <w:szCs w:val="24"/>
        </w:rPr>
        <w:tab/>
        <w:t>-</w:t>
      </w:r>
      <w:r>
        <w:rPr>
          <w:szCs w:val="24"/>
        </w:rPr>
        <w:tab/>
      </w:r>
      <w:r>
        <w:rPr>
          <w:b/>
          <w:bCs/>
          <w:szCs w:val="24"/>
        </w:rPr>
        <w:t>Конвенция № 87 о свободе объединений и защите права объединяться в профсоюзы</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ind w:left="1134"/>
      </w:pPr>
      <w:r>
        <w:rPr>
          <w:szCs w:val="24"/>
        </w:rPr>
        <w:t>Ратифицирована Законом № 748 от 31 августа 1961 года.</w:t>
      </w:r>
    </w:p>
    <w:p w:rsidR="00000000" w:rsidRDefault="00000000">
      <w:pPr>
        <w:shd w:val="clear" w:color="auto" w:fill="FFFFFF"/>
        <w:tabs>
          <w:tab w:val="left" w:pos="567"/>
          <w:tab w:val="left" w:pos="1134"/>
          <w:tab w:val="left" w:pos="1701"/>
          <w:tab w:val="left" w:pos="2268"/>
          <w:tab w:val="left" w:pos="7938"/>
        </w:tabs>
        <w:ind w:left="1134"/>
      </w:pPr>
      <w:r>
        <w:rPr>
          <w:szCs w:val="24"/>
        </w:rPr>
        <w:t>Дата сдачи документа о ратификации: 28 июня 1962 года, Женева.</w:t>
      </w:r>
    </w:p>
    <w:p w:rsidR="00000000" w:rsidRDefault="00000000">
      <w:pPr>
        <w:shd w:val="clear" w:color="auto" w:fill="FFFFFF"/>
        <w:tabs>
          <w:tab w:val="left" w:pos="567"/>
          <w:tab w:val="left" w:pos="1134"/>
          <w:tab w:val="left" w:pos="1701"/>
          <w:tab w:val="left" w:pos="2268"/>
          <w:tab w:val="left" w:pos="7938"/>
        </w:tabs>
        <w:ind w:left="1134"/>
      </w:pPr>
      <w:r>
        <w:rPr>
          <w:szCs w:val="24"/>
        </w:rPr>
        <w:t>Дата вступления в силу для Парагвая: 28 июня 1963 года.</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ind w:left="1134" w:hanging="1134"/>
      </w:pPr>
      <w:r>
        <w:rPr>
          <w:szCs w:val="24"/>
        </w:rPr>
        <w:tab/>
        <w:t>-</w:t>
      </w:r>
      <w:r>
        <w:rPr>
          <w:szCs w:val="24"/>
        </w:rPr>
        <w:tab/>
      </w:r>
      <w:r>
        <w:rPr>
          <w:b/>
          <w:bCs/>
          <w:szCs w:val="24"/>
        </w:rPr>
        <w:t>Конвенция № 98 о применении принципов права на объединение в профсоюзы и на ведение коллективных переговоров</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ind w:left="1134"/>
      </w:pPr>
      <w:r>
        <w:rPr>
          <w:szCs w:val="24"/>
        </w:rPr>
        <w:t>Ратифицирована Законом № 977 от 31 августа 1964 года.</w:t>
      </w:r>
    </w:p>
    <w:p w:rsidR="00000000" w:rsidRDefault="00000000">
      <w:pPr>
        <w:shd w:val="clear" w:color="auto" w:fill="FFFFFF"/>
        <w:tabs>
          <w:tab w:val="left" w:pos="567"/>
          <w:tab w:val="left" w:pos="1134"/>
          <w:tab w:val="left" w:pos="1701"/>
          <w:tab w:val="left" w:pos="2268"/>
          <w:tab w:val="left" w:pos="7938"/>
        </w:tabs>
        <w:ind w:left="1134"/>
      </w:pPr>
      <w:r>
        <w:rPr>
          <w:szCs w:val="24"/>
        </w:rPr>
        <w:t>Дата сдачи документа о ратификации: 21 марта 1966 года, Женева.</w:t>
      </w:r>
    </w:p>
    <w:p w:rsidR="00000000" w:rsidRDefault="00000000">
      <w:pPr>
        <w:shd w:val="clear" w:color="auto" w:fill="FFFFFF"/>
        <w:tabs>
          <w:tab w:val="left" w:pos="567"/>
          <w:tab w:val="left" w:pos="1134"/>
          <w:tab w:val="left" w:pos="1701"/>
          <w:tab w:val="left" w:pos="2268"/>
          <w:tab w:val="left" w:pos="7938"/>
        </w:tabs>
        <w:ind w:left="1134"/>
      </w:pPr>
      <w:r>
        <w:rPr>
          <w:szCs w:val="24"/>
        </w:rPr>
        <w:t>Дата вступления в силу для Парагвая: 21 марта 1967 года.</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jc w:val="center"/>
      </w:pPr>
      <w:r>
        <w:rPr>
          <w:b/>
          <w:bCs/>
          <w:szCs w:val="24"/>
        </w:rPr>
        <w:t>А.</w:t>
      </w:r>
      <w:r>
        <w:rPr>
          <w:b/>
          <w:bCs/>
          <w:szCs w:val="24"/>
        </w:rPr>
        <w:tab/>
        <w:t>Права профсоюзов</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szCs w:val="24"/>
        </w:rPr>
        <w:t>242.</w:t>
      </w:r>
      <w:r>
        <w:rPr>
          <w:szCs w:val="24"/>
        </w:rPr>
        <w:tab/>
        <w:t>Ниже раскрываются изложенные в Трудовом кодексе нормативно-правовые условия вступления в члены профсоюзной организации, а также требования к образованию профсоюзов некоторых категорий.</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b/>
          <w:bCs/>
          <w:szCs w:val="24"/>
        </w:rPr>
        <w:t>1.</w:t>
      </w:r>
      <w:r>
        <w:rPr>
          <w:b/>
          <w:bCs/>
          <w:szCs w:val="24"/>
        </w:rPr>
        <w:tab/>
        <w:t>Свобода ассоциации</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2805"/>
          <w:tab w:val="left" w:pos="7938"/>
        </w:tabs>
        <w:ind w:left="1134" w:hanging="1134"/>
      </w:pPr>
      <w:r>
        <w:rPr>
          <w:b/>
          <w:bCs/>
          <w:szCs w:val="24"/>
        </w:rPr>
        <w:tab/>
        <w:t>-</w:t>
      </w:r>
      <w:r>
        <w:rPr>
          <w:b/>
          <w:bCs/>
          <w:szCs w:val="24"/>
        </w:rPr>
        <w:tab/>
        <w:t xml:space="preserve">Статья 283:  </w:t>
      </w:r>
      <w:r>
        <w:rPr>
          <w:szCs w:val="24"/>
        </w:rPr>
        <w:t>За всеми трудящимися и работодателями без различия по признаку пола или национальности законом признается право свободного создания - без необходимости получения предварительного разрешения - организаций, целью которых является изучение, защита, развитие и отстаивание профессиональных интересов, а также улучшение социальных и экономических условий и культурное и нравственное развитие членов такой организации.  Согласно положениям статьи 2 настоящего Кодекса, правом на объединение в профсоюзы наделены и трудящиеся, и служащие государственного сектора.</w:t>
      </w:r>
    </w:p>
    <w:p w:rsidR="00000000" w:rsidRDefault="00000000">
      <w:pPr>
        <w:shd w:val="clear" w:color="auto" w:fill="FFFFFF"/>
        <w:tabs>
          <w:tab w:val="left" w:pos="567"/>
          <w:tab w:val="left" w:pos="1134"/>
          <w:tab w:val="left" w:pos="1701"/>
          <w:tab w:val="left" w:pos="2268"/>
          <w:tab w:val="left" w:pos="2805"/>
          <w:tab w:val="left" w:pos="7938"/>
        </w:tabs>
        <w:ind w:left="1134" w:hanging="1134"/>
      </w:pPr>
    </w:p>
    <w:p w:rsidR="00000000" w:rsidRDefault="00000000">
      <w:pPr>
        <w:shd w:val="clear" w:color="auto" w:fill="FFFFFF"/>
        <w:tabs>
          <w:tab w:val="left" w:pos="567"/>
          <w:tab w:val="left" w:pos="1134"/>
          <w:tab w:val="left" w:pos="1701"/>
          <w:tab w:val="left" w:pos="2268"/>
          <w:tab w:val="left" w:pos="2805"/>
          <w:tab w:val="left" w:pos="7938"/>
        </w:tabs>
        <w:ind w:left="1134" w:hanging="1134"/>
        <w:rPr>
          <w:szCs w:val="24"/>
        </w:rPr>
      </w:pPr>
      <w:r>
        <w:tab/>
        <w:t>-</w:t>
      </w:r>
      <w:r>
        <w:tab/>
      </w:r>
      <w:r>
        <w:rPr>
          <w:b/>
          <w:bCs/>
          <w:szCs w:val="24"/>
        </w:rPr>
        <w:t xml:space="preserve">Статья 284:  </w:t>
      </w:r>
      <w:r>
        <w:rPr>
          <w:szCs w:val="24"/>
        </w:rPr>
        <w:t>Любой работодатель частного сектора, работник по найму и государственный служащий имеет право, за исключением специально оговоренных случаев, вступать в профсоюзную организацию, к которой он имеет отношение, или выходить из нее.</w:t>
      </w:r>
    </w:p>
    <w:p w:rsidR="00000000" w:rsidRDefault="00000000">
      <w:pPr>
        <w:shd w:val="clear" w:color="auto" w:fill="FFFFFF"/>
        <w:tabs>
          <w:tab w:val="left" w:pos="567"/>
          <w:tab w:val="left" w:pos="1134"/>
          <w:tab w:val="left" w:pos="1701"/>
          <w:tab w:val="left" w:pos="2268"/>
          <w:tab w:val="left" w:pos="2805"/>
          <w:tab w:val="left" w:pos="7938"/>
        </w:tabs>
        <w:ind w:left="1134" w:hanging="1134"/>
        <w:rPr>
          <w:szCs w:val="24"/>
        </w:rPr>
      </w:pPr>
    </w:p>
    <w:p w:rsidR="00000000" w:rsidRDefault="00000000">
      <w:pPr>
        <w:shd w:val="clear" w:color="auto" w:fill="FFFFFF"/>
        <w:tabs>
          <w:tab w:val="left" w:pos="567"/>
          <w:tab w:val="left" w:pos="1134"/>
          <w:tab w:val="left" w:pos="1701"/>
          <w:tab w:val="left" w:pos="2268"/>
          <w:tab w:val="left" w:pos="2805"/>
          <w:tab w:val="left" w:pos="7938"/>
        </w:tabs>
        <w:ind w:left="1134" w:hanging="1134"/>
        <w:rPr>
          <w:szCs w:val="24"/>
        </w:rPr>
      </w:pPr>
      <w:r>
        <w:rPr>
          <w:szCs w:val="24"/>
        </w:rPr>
        <w:tab/>
        <w:t>-</w:t>
      </w:r>
      <w:r>
        <w:rPr>
          <w:szCs w:val="24"/>
        </w:rPr>
        <w:tab/>
      </w:r>
      <w:r>
        <w:rPr>
          <w:b/>
          <w:bCs/>
          <w:szCs w:val="24"/>
        </w:rPr>
        <w:t xml:space="preserve">Статья 285:  </w:t>
      </w:r>
      <w:r>
        <w:rPr>
          <w:szCs w:val="24"/>
        </w:rPr>
        <w:t>Профсоюзные организации трудящихся и нанимателей имеют право разрабатывать свои уставы и административные правила, свободно избирать свои руководящие органы и представителей, организовывать свое управление и законную деятельность. Государственные органы власти воздерживаются от какого бы то ни было вмешательства, направленного на ограничение этого права или создание помех его осуществлению.</w:t>
      </w:r>
    </w:p>
    <w:p w:rsidR="00000000" w:rsidRDefault="00000000">
      <w:pPr>
        <w:shd w:val="clear" w:color="auto" w:fill="FFFFFF"/>
        <w:tabs>
          <w:tab w:val="left" w:pos="567"/>
          <w:tab w:val="left" w:pos="1134"/>
          <w:tab w:val="left" w:pos="1701"/>
          <w:tab w:val="left" w:pos="2268"/>
          <w:tab w:val="left" w:pos="2805"/>
          <w:tab w:val="left" w:pos="7938"/>
        </w:tabs>
        <w:ind w:left="1134" w:hanging="1134"/>
        <w:rPr>
          <w:szCs w:val="24"/>
        </w:rPr>
      </w:pPr>
    </w:p>
    <w:p w:rsidR="00000000" w:rsidRDefault="00000000">
      <w:pPr>
        <w:shd w:val="clear" w:color="auto" w:fill="FFFFFF"/>
        <w:tabs>
          <w:tab w:val="left" w:pos="567"/>
          <w:tab w:val="left" w:pos="1134"/>
          <w:tab w:val="left" w:pos="1701"/>
          <w:tab w:val="left" w:pos="2268"/>
          <w:tab w:val="left" w:pos="2805"/>
          <w:tab w:val="left" w:pos="7938"/>
        </w:tabs>
        <w:ind w:left="1134" w:hanging="1134"/>
        <w:rPr>
          <w:szCs w:val="24"/>
        </w:rPr>
      </w:pPr>
      <w:r>
        <w:rPr>
          <w:szCs w:val="24"/>
        </w:rPr>
        <w:tab/>
        <w:t>-</w:t>
      </w:r>
      <w:r>
        <w:rPr>
          <w:szCs w:val="24"/>
        </w:rPr>
        <w:tab/>
      </w:r>
      <w:r>
        <w:rPr>
          <w:b/>
          <w:bCs/>
          <w:szCs w:val="24"/>
        </w:rPr>
        <w:t xml:space="preserve">Статья 286:  </w:t>
      </w:r>
      <w:r>
        <w:rPr>
          <w:szCs w:val="24"/>
        </w:rPr>
        <w:t>Профсоюзные организации трудящихся и нанимателей пользуются правом на соответствующую защиту от любого вмешательства одних в дела других.</w:t>
      </w:r>
    </w:p>
    <w:p w:rsidR="00000000" w:rsidRDefault="00000000">
      <w:pPr>
        <w:shd w:val="clear" w:color="auto" w:fill="FFFFFF"/>
        <w:tabs>
          <w:tab w:val="left" w:pos="567"/>
          <w:tab w:val="left" w:pos="1134"/>
          <w:tab w:val="left" w:pos="1701"/>
          <w:tab w:val="left" w:pos="2268"/>
          <w:tab w:val="left" w:pos="2805"/>
          <w:tab w:val="left" w:pos="7938"/>
        </w:tabs>
        <w:ind w:left="1134" w:hanging="1134"/>
        <w:rPr>
          <w:szCs w:val="24"/>
        </w:rPr>
      </w:pPr>
    </w:p>
    <w:p w:rsidR="00000000" w:rsidRDefault="00000000">
      <w:pPr>
        <w:shd w:val="clear" w:color="auto" w:fill="FFFFFF"/>
        <w:tabs>
          <w:tab w:val="left" w:pos="567"/>
          <w:tab w:val="left" w:pos="1134"/>
          <w:tab w:val="left" w:pos="1701"/>
          <w:tab w:val="left" w:pos="2268"/>
          <w:tab w:val="left" w:pos="2805"/>
          <w:tab w:val="left" w:pos="7938"/>
        </w:tabs>
        <w:ind w:left="1134" w:hanging="1134"/>
        <w:rPr>
          <w:szCs w:val="24"/>
        </w:rPr>
      </w:pPr>
      <w:r>
        <w:rPr>
          <w:szCs w:val="24"/>
        </w:rPr>
        <w:tab/>
      </w:r>
      <w:r>
        <w:rPr>
          <w:szCs w:val="24"/>
        </w:rPr>
        <w:tab/>
        <w:t>Актом вмешательства считаются главным образом действия, направленные на стимулирование создания профсоюзной организации трудящихся, находящейся в полном подчинении нанимателя или организации нанимателей, а также экономическая или иная поддержка профорганизаций трудящихся с целью поставить их под контроль нанимателя либо организации нанимателей.</w:t>
      </w:r>
    </w:p>
    <w:p w:rsidR="00000000" w:rsidRDefault="00000000">
      <w:pPr>
        <w:shd w:val="clear" w:color="auto" w:fill="FFFFFF"/>
        <w:tabs>
          <w:tab w:val="left" w:pos="567"/>
          <w:tab w:val="left" w:pos="1134"/>
          <w:tab w:val="left" w:pos="1701"/>
          <w:tab w:val="left" w:pos="2268"/>
          <w:tab w:val="left" w:pos="2805"/>
          <w:tab w:val="left" w:pos="7938"/>
        </w:tabs>
        <w:ind w:left="1134" w:hanging="1134"/>
        <w:rPr>
          <w:szCs w:val="24"/>
        </w:rPr>
      </w:pPr>
    </w:p>
    <w:p w:rsidR="00000000" w:rsidRDefault="00000000">
      <w:pPr>
        <w:shd w:val="clear" w:color="auto" w:fill="FFFFFF"/>
        <w:tabs>
          <w:tab w:val="left" w:pos="567"/>
          <w:tab w:val="left" w:pos="1134"/>
          <w:tab w:val="left" w:pos="1701"/>
          <w:tab w:val="left" w:pos="2268"/>
          <w:tab w:val="left" w:pos="2805"/>
          <w:tab w:val="left" w:pos="7938"/>
        </w:tabs>
        <w:ind w:left="1134" w:hanging="1134"/>
      </w:pPr>
      <w:r>
        <w:rPr>
          <w:b/>
          <w:bCs/>
          <w:szCs w:val="24"/>
        </w:rPr>
        <w:tab/>
        <w:t>-</w:t>
      </w:r>
      <w:r>
        <w:rPr>
          <w:b/>
          <w:bCs/>
          <w:szCs w:val="24"/>
        </w:rPr>
        <w:tab/>
        <w:t xml:space="preserve">Статья 287:  </w:t>
      </w:r>
      <w:r>
        <w:rPr>
          <w:szCs w:val="24"/>
        </w:rPr>
        <w:t>Профсоюзные организации трудящихся и нанимателей определяют свои соответствующие позиции в отношении политических партий и религиозных организаций, причем данные позиции не должны затрагивать экономические и социальные функции этих партий и организаций.</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b/>
          <w:bCs/>
          <w:szCs w:val="24"/>
        </w:rPr>
        <w:tab/>
        <w:t>1.2</w:t>
      </w:r>
      <w:r>
        <w:rPr>
          <w:b/>
          <w:bCs/>
          <w:szCs w:val="24"/>
        </w:rPr>
        <w:tab/>
        <w:t>Образование профсоюзов</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r>
        <w:rPr>
          <w:b/>
          <w:bCs/>
          <w:szCs w:val="24"/>
        </w:rPr>
        <w:tab/>
      </w:r>
      <w:r>
        <w:rPr>
          <w:b/>
          <w:bCs/>
          <w:szCs w:val="24"/>
        </w:rPr>
        <w:tab/>
        <w:t>-</w:t>
      </w:r>
      <w:r>
        <w:rPr>
          <w:b/>
          <w:bCs/>
          <w:szCs w:val="24"/>
        </w:rPr>
        <w:tab/>
        <w:t xml:space="preserve">Статья 288:  </w:t>
      </w:r>
      <w:r>
        <w:rPr>
          <w:szCs w:val="24"/>
        </w:rPr>
        <w:t xml:space="preserve">Профсоюз - это ассоциация людей, работающих на одном предприятии, учреждении или производстве и принадлежащих к одному ремеслу или профессии либо аналогичным или смежным профессиям, которая создана исключительно для целей, означенных в статье 284 настоящего Кодекса. </w:t>
      </w:r>
    </w:p>
    <w:p w:rsidR="00000000" w:rsidRDefault="00000000">
      <w:pPr>
        <w:shd w:val="clear" w:color="auto" w:fill="FFFFFF"/>
        <w:tabs>
          <w:tab w:val="left" w:pos="567"/>
          <w:tab w:val="left" w:pos="1134"/>
          <w:tab w:val="left" w:pos="1701"/>
          <w:tab w:val="left" w:pos="2268"/>
          <w:tab w:val="left" w:pos="7938"/>
        </w:tabs>
        <w:ind w:left="1701" w:hanging="1701"/>
        <w:rPr>
          <w:szCs w:val="24"/>
        </w:rPr>
      </w:pP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r>
        <w:rPr>
          <w:szCs w:val="24"/>
        </w:rPr>
        <w:tab/>
      </w:r>
      <w:r>
        <w:rPr>
          <w:szCs w:val="24"/>
        </w:rPr>
        <w:tab/>
        <w:t>-</w:t>
      </w:r>
      <w:r>
        <w:rPr>
          <w:szCs w:val="24"/>
        </w:rPr>
        <w:tab/>
      </w:r>
      <w:r>
        <w:rPr>
          <w:b/>
          <w:bCs/>
          <w:szCs w:val="24"/>
        </w:rPr>
        <w:t xml:space="preserve">Статья 289:  </w:t>
      </w:r>
      <w:r>
        <w:rPr>
          <w:szCs w:val="24"/>
        </w:rPr>
        <w:t>Профсоюзы могут быть образованы работниками и нанимателями.  Профсоюзы наемных работников организуются по цехам, предприятиям или отраслям.  Профсоюзы нанимателей могут создаваться по отраслям промышленности, областям торговли или сфере оказания услуг.  Цеховые профсоюзы включают работников одной профессии, ремесла либо специальности.  Профсоюзы предприятий состоят из работников различных профессий, ремесел, занятий или специальностей, трудящихся в данном учреждении или заведении.  Отраслевой профсоюз создается работниками, которые трудятся на различных предприятиях одной отрасли промышленности.  Крупные цеховые профсоюзы могут иметь освобожденного представителя (местного делегата), избранного сослуживцами.</w:t>
      </w: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p>
    <w:p w:rsidR="00000000" w:rsidRDefault="00000000">
      <w:pPr>
        <w:keepLines/>
        <w:shd w:val="clear" w:color="auto" w:fill="FFFFFF"/>
        <w:tabs>
          <w:tab w:val="left" w:pos="567"/>
          <w:tab w:val="left" w:pos="1134"/>
          <w:tab w:val="left" w:pos="1701"/>
          <w:tab w:val="left" w:pos="2268"/>
          <w:tab w:val="left" w:pos="2805"/>
          <w:tab w:val="left" w:pos="3366"/>
          <w:tab w:val="left" w:pos="7938"/>
        </w:tabs>
        <w:ind w:left="1701" w:hanging="1701"/>
        <w:rPr>
          <w:szCs w:val="24"/>
        </w:rPr>
      </w:pPr>
      <w:r>
        <w:rPr>
          <w:szCs w:val="24"/>
        </w:rPr>
        <w:tab/>
      </w:r>
      <w:r>
        <w:rPr>
          <w:szCs w:val="24"/>
        </w:rPr>
        <w:tab/>
        <w:t>-</w:t>
      </w:r>
      <w:r>
        <w:rPr>
          <w:szCs w:val="24"/>
        </w:rPr>
        <w:tab/>
      </w:r>
      <w:r>
        <w:rPr>
          <w:b/>
          <w:bCs/>
          <w:szCs w:val="24"/>
        </w:rPr>
        <w:t xml:space="preserve">Статья 292:  </w:t>
      </w:r>
      <w:r>
        <w:rPr>
          <w:szCs w:val="24"/>
        </w:rPr>
        <w:t>Профсоюзы нанимателей могут состоять не менее чем из трех членов.  Профсоюзы трудящихся могут состоять не менее чем из 20 основателей в случае создания профсоюза на предприятии, не менее 30 - в случае цехового профсоюза и не менее 300 - в случае отраслевого профсоюза.  Профсоюзы трудящихся государственного сектора могут объединять не менее 20% из 500 работников, не менее 10% из 1 000 работников и не менее 5% из более чем 1 000 работников.</w:t>
      </w: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r>
        <w:rPr>
          <w:szCs w:val="24"/>
        </w:rPr>
        <w:tab/>
      </w:r>
      <w:r>
        <w:rPr>
          <w:szCs w:val="24"/>
        </w:rPr>
        <w:tab/>
        <w:t>-</w:t>
      </w:r>
      <w:r>
        <w:rPr>
          <w:szCs w:val="24"/>
        </w:rPr>
        <w:tab/>
      </w:r>
      <w:r>
        <w:rPr>
          <w:b/>
          <w:bCs/>
          <w:szCs w:val="24"/>
        </w:rPr>
        <w:t xml:space="preserve">Статья 293:  </w:t>
      </w:r>
      <w:r>
        <w:rPr>
          <w:szCs w:val="24"/>
        </w:rPr>
        <w:t xml:space="preserve">Членами профессиональных союзов могут быть:  а)  трудящиеся мужчины и женщины старше 18 лет, как граждане, так и иностранцы;  </w:t>
      </w:r>
      <w:r>
        <w:rPr>
          <w:szCs w:val="24"/>
          <w:lang w:val="en-US"/>
        </w:rPr>
        <w:t>b</w:t>
      </w:r>
      <w:r>
        <w:rPr>
          <w:szCs w:val="24"/>
        </w:rPr>
        <w:t xml:space="preserve">)  все трудящиеся, не являющиеся представителями предприятия согласно статье 25 настоящего Кодекса;  с)  каждый трудящийся может быть членом только одного профессионального союза своего предприятия, отрасли, профессии, ремесла или организации;  и  </w:t>
      </w:r>
      <w:r>
        <w:rPr>
          <w:szCs w:val="24"/>
          <w:lang w:val="en-US"/>
        </w:rPr>
        <w:t>d</w:t>
      </w:r>
      <w:r>
        <w:rPr>
          <w:szCs w:val="24"/>
        </w:rPr>
        <w:t>)  в состав руководства профсоюзной организации могут входить совершеннолетние лица, являющиеся активными членами профсоюза.</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left" w:pos="567"/>
          <w:tab w:val="left" w:pos="1134"/>
          <w:tab w:val="left" w:pos="1701"/>
          <w:tab w:val="left" w:pos="2268"/>
          <w:tab w:val="left" w:pos="7938"/>
        </w:tabs>
      </w:pPr>
      <w:r>
        <w:rPr>
          <w:b/>
          <w:bCs/>
          <w:szCs w:val="24"/>
        </w:rPr>
        <w:tab/>
        <w:t>1.3</w:t>
      </w:r>
      <w:r>
        <w:rPr>
          <w:b/>
          <w:bCs/>
          <w:szCs w:val="24"/>
        </w:rPr>
        <w:tab/>
        <w:t>Регистрация создания профсоюза</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pPr>
      <w:r>
        <w:rPr>
          <w:b/>
          <w:bCs/>
          <w:szCs w:val="24"/>
        </w:rPr>
        <w:tab/>
      </w:r>
      <w:r>
        <w:rPr>
          <w:b/>
          <w:bCs/>
          <w:szCs w:val="24"/>
        </w:rPr>
        <w:tab/>
        <w:t>-</w:t>
      </w:r>
      <w:r>
        <w:rPr>
          <w:b/>
          <w:bCs/>
          <w:szCs w:val="24"/>
        </w:rPr>
        <w:tab/>
        <w:t xml:space="preserve">Статья 294:  </w:t>
      </w:r>
      <w:r>
        <w:rPr>
          <w:szCs w:val="24"/>
        </w:rPr>
        <w:t xml:space="preserve">Для целей легализации документов и регистрации профсоюза инициаторы или организаторы должны представить Административному управлению труда следующие документы:  а)  оригинал и заверенную копию учредительного акта;  </w:t>
      </w:r>
      <w:r>
        <w:rPr>
          <w:szCs w:val="24"/>
          <w:lang w:val="en-US"/>
        </w:rPr>
        <w:t>b</w:t>
      </w:r>
      <w:r>
        <w:rPr>
          <w:szCs w:val="24"/>
        </w:rPr>
        <w:t>)  экземпляр устава, утвержденного собранием;  и  с)  список учредителей с соответствующими подписями.</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b/>
          <w:bCs/>
          <w:szCs w:val="24"/>
        </w:rPr>
        <w:tab/>
        <w:t>1.4</w:t>
      </w:r>
      <w:r>
        <w:rPr>
          <w:b/>
          <w:bCs/>
          <w:szCs w:val="24"/>
        </w:rPr>
        <w:tab/>
        <w:t>Федерации и конфедерации профсоюзов</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r>
        <w:rPr>
          <w:b/>
          <w:bCs/>
          <w:szCs w:val="24"/>
        </w:rPr>
        <w:tab/>
      </w:r>
      <w:r>
        <w:rPr>
          <w:b/>
          <w:bCs/>
          <w:szCs w:val="24"/>
        </w:rPr>
        <w:tab/>
        <w:t>-</w:t>
      </w:r>
      <w:r>
        <w:rPr>
          <w:b/>
          <w:bCs/>
          <w:szCs w:val="24"/>
        </w:rPr>
        <w:tab/>
        <w:t xml:space="preserve">Статья 306:  </w:t>
      </w:r>
      <w:r>
        <w:rPr>
          <w:szCs w:val="24"/>
        </w:rPr>
        <w:t>Должным образом зарегистрированные профессиональные союзы трудящихся могут создавать национальные или международные федерации и конфедерации и являться их членами. Профсоюзы рабочих и служащих государственного сектора, наделенных правом объединяться в профсоюзы, также могут создавать федерации и конфедерации.</w:t>
      </w: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r>
        <w:rPr>
          <w:szCs w:val="24"/>
        </w:rPr>
        <w:tab/>
      </w:r>
      <w:r>
        <w:rPr>
          <w:szCs w:val="24"/>
        </w:rPr>
        <w:tab/>
        <w:t>-</w:t>
      </w:r>
      <w:r>
        <w:rPr>
          <w:szCs w:val="24"/>
        </w:rPr>
        <w:tab/>
      </w:r>
      <w:r>
        <w:rPr>
          <w:b/>
          <w:bCs/>
          <w:szCs w:val="24"/>
        </w:rPr>
        <w:t xml:space="preserve">Статья 307:  </w:t>
      </w:r>
      <w:r>
        <w:rPr>
          <w:szCs w:val="24"/>
        </w:rPr>
        <w:t>Любой профессиональный союз-член может выходить из федерации по своему желанию независимо от какого-либо положения, предусматривающего иное.  Такое же право имеет федерация по отношению к конфедерации.</w:t>
      </w: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r>
        <w:rPr>
          <w:szCs w:val="24"/>
        </w:rPr>
        <w:tab/>
      </w:r>
      <w:r>
        <w:rPr>
          <w:szCs w:val="24"/>
        </w:rPr>
        <w:tab/>
        <w:t>-</w:t>
      </w:r>
      <w:r>
        <w:rPr>
          <w:szCs w:val="24"/>
        </w:rPr>
        <w:tab/>
      </w:r>
      <w:r>
        <w:rPr>
          <w:b/>
          <w:bCs/>
          <w:szCs w:val="24"/>
        </w:rPr>
        <w:t xml:space="preserve">Статья 308:  </w:t>
      </w:r>
      <w:r>
        <w:rPr>
          <w:szCs w:val="24"/>
        </w:rPr>
        <w:t>Положения настоящего Кодекса, касающиеся профсоюзов, применяются по мере возможности к федерациям и конфедерациям.</w:t>
      </w: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pPr>
      <w:r>
        <w:rPr>
          <w:szCs w:val="24"/>
        </w:rPr>
        <w:tab/>
      </w:r>
      <w:r>
        <w:rPr>
          <w:b/>
          <w:bCs/>
          <w:szCs w:val="24"/>
        </w:rPr>
        <w:t>1.5</w:t>
      </w:r>
      <w:r>
        <w:rPr>
          <w:b/>
          <w:bCs/>
          <w:szCs w:val="24"/>
        </w:rPr>
        <w:tab/>
        <w:t>Ликвидация и роспуск профсоюзов</w:t>
      </w: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pP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r>
        <w:rPr>
          <w:b/>
          <w:bCs/>
          <w:szCs w:val="24"/>
        </w:rPr>
        <w:tab/>
      </w:r>
      <w:r>
        <w:rPr>
          <w:b/>
          <w:bCs/>
          <w:szCs w:val="24"/>
        </w:rPr>
        <w:tab/>
        <w:t>-</w:t>
      </w:r>
      <w:r>
        <w:rPr>
          <w:b/>
          <w:bCs/>
          <w:szCs w:val="24"/>
        </w:rPr>
        <w:tab/>
        <w:t xml:space="preserve">Статья 309:  </w:t>
      </w:r>
      <w:r>
        <w:rPr>
          <w:szCs w:val="24"/>
        </w:rPr>
        <w:t>Никакой профсоюз не может быть образован, если число его членов меньше, чем это установлено в статье 292 настоящего Кодекса.</w:t>
      </w: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r>
        <w:rPr>
          <w:szCs w:val="24"/>
        </w:rPr>
        <w:tab/>
      </w:r>
      <w:r>
        <w:rPr>
          <w:szCs w:val="24"/>
        </w:rPr>
        <w:tab/>
        <w:t>-</w:t>
      </w:r>
      <w:r>
        <w:rPr>
          <w:szCs w:val="24"/>
        </w:rPr>
        <w:tab/>
      </w:r>
      <w:r>
        <w:rPr>
          <w:b/>
          <w:bCs/>
          <w:szCs w:val="24"/>
        </w:rPr>
        <w:t xml:space="preserve">Статья 310:  </w:t>
      </w:r>
      <w:r>
        <w:rPr>
          <w:szCs w:val="24"/>
        </w:rPr>
        <w:t>Причиной ликвидации и роспуска профсоюза предприятия является ликвидация и окончательное закрытие соответствующего предприятия.</w:t>
      </w: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r>
        <w:rPr>
          <w:szCs w:val="24"/>
        </w:rPr>
        <w:tab/>
      </w:r>
      <w:r>
        <w:rPr>
          <w:szCs w:val="24"/>
        </w:rPr>
        <w:tab/>
        <w:t>-</w:t>
      </w:r>
      <w:r>
        <w:rPr>
          <w:szCs w:val="24"/>
        </w:rPr>
        <w:tab/>
      </w:r>
      <w:r>
        <w:rPr>
          <w:b/>
          <w:bCs/>
          <w:szCs w:val="24"/>
        </w:rPr>
        <w:t xml:space="preserve">Статья 311:  </w:t>
      </w:r>
      <w:r>
        <w:rPr>
          <w:szCs w:val="24"/>
        </w:rPr>
        <w:t>Регистрация профессиональных союзов, федераций и конфедераций может быть аннулирована с последующим отзывом профсоюзного статуса, если они на практике занимаются деятельностью, не совместимой с заявленной в уставе, либо не выполняют обязанностей или не соблюдают ограничений, предусмотренных законодательством или коллективными трудовыми соглашениями.  Требование об отзыве статуса профсоюзной организации инициируется Управлением труда и представляется в суд по трудовым спорам соответствующей инстанции. Если речь идет о федерации либо конфедерации, то представление о ее ликвидации и роспуске направляет в суд непосредственно министерство юстиции и труда.</w:t>
      </w: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r>
        <w:rPr>
          <w:szCs w:val="24"/>
        </w:rPr>
        <w:tab/>
      </w:r>
      <w:r>
        <w:rPr>
          <w:szCs w:val="24"/>
        </w:rPr>
        <w:tab/>
        <w:t>-</w:t>
      </w:r>
      <w:r>
        <w:rPr>
          <w:szCs w:val="24"/>
        </w:rPr>
        <w:tab/>
      </w:r>
      <w:r>
        <w:rPr>
          <w:b/>
          <w:bCs/>
          <w:szCs w:val="24"/>
        </w:rPr>
        <w:t xml:space="preserve">Статья 312:  </w:t>
      </w:r>
      <w:r>
        <w:rPr>
          <w:szCs w:val="24"/>
        </w:rPr>
        <w:t>Профсоюзные организации нанимателей и трудящихся не могут входить в состав политических партий или ассоциаций - как национальных, так и зарубежных - либо объединяться с ними, в противном случае им угрожает роспуск в соответствии с законом.</w:t>
      </w: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r>
        <w:rPr>
          <w:szCs w:val="24"/>
        </w:rPr>
        <w:tab/>
      </w:r>
      <w:r>
        <w:rPr>
          <w:szCs w:val="24"/>
        </w:rPr>
        <w:tab/>
        <w:t>-</w:t>
      </w:r>
      <w:r>
        <w:rPr>
          <w:szCs w:val="24"/>
        </w:rPr>
        <w:tab/>
      </w:r>
      <w:r>
        <w:rPr>
          <w:b/>
          <w:bCs/>
          <w:szCs w:val="24"/>
        </w:rPr>
        <w:t xml:space="preserve">Статья 313:  </w:t>
      </w:r>
      <w:r>
        <w:rPr>
          <w:szCs w:val="24"/>
        </w:rPr>
        <w:t>Ассоциация считается распущенной после аннулирования ее регистрации, произведенной по окончательному постановлению судебного органа.</w:t>
      </w: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r>
        <w:rPr>
          <w:szCs w:val="24"/>
        </w:rPr>
        <w:tab/>
      </w:r>
      <w:r>
        <w:rPr>
          <w:szCs w:val="24"/>
        </w:rPr>
        <w:tab/>
        <w:t>-</w:t>
      </w:r>
      <w:r>
        <w:rPr>
          <w:szCs w:val="24"/>
        </w:rPr>
        <w:tab/>
      </w:r>
      <w:r>
        <w:rPr>
          <w:b/>
          <w:bCs/>
          <w:szCs w:val="24"/>
        </w:rPr>
        <w:t xml:space="preserve">Статья 314:  </w:t>
      </w:r>
      <w:r>
        <w:rPr>
          <w:szCs w:val="24"/>
        </w:rPr>
        <w:t>Кроме того, профсоюзные организации нанимателей и трудящихся могут быть распущены по причинам, оговоренным в их уставах.</w:t>
      </w: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p>
    <w:p w:rsidR="00000000" w:rsidRDefault="00000000">
      <w:pPr>
        <w:shd w:val="clear" w:color="auto" w:fill="FFFFFF"/>
        <w:tabs>
          <w:tab w:val="left" w:pos="567"/>
          <w:tab w:val="left" w:pos="1134"/>
          <w:tab w:val="left" w:pos="1701"/>
          <w:tab w:val="left" w:pos="2268"/>
          <w:tab w:val="left" w:pos="2805"/>
          <w:tab w:val="left" w:pos="3366"/>
          <w:tab w:val="left" w:pos="7938"/>
        </w:tabs>
        <w:ind w:left="1701" w:hanging="1701"/>
        <w:rPr>
          <w:szCs w:val="24"/>
        </w:rPr>
      </w:pPr>
      <w:r>
        <w:rPr>
          <w:szCs w:val="24"/>
        </w:rPr>
        <w:tab/>
      </w:r>
      <w:r>
        <w:rPr>
          <w:szCs w:val="24"/>
        </w:rPr>
        <w:tab/>
        <w:t>-</w:t>
      </w:r>
      <w:r>
        <w:rPr>
          <w:szCs w:val="24"/>
        </w:rPr>
        <w:tab/>
      </w:r>
      <w:r>
        <w:rPr>
          <w:b/>
          <w:bCs/>
          <w:szCs w:val="24"/>
        </w:rPr>
        <w:t xml:space="preserve">Статья 315:  </w:t>
      </w:r>
      <w:r>
        <w:rPr>
          <w:szCs w:val="24"/>
        </w:rPr>
        <w:t>В случае ликвидации какого-либо профсоюза оставшиеся активы передаются, если его уставом не предусмотрено иное, в качестве безвозмездной помощи благотворительным организациям или учреждениям социального обеспечения либо другим официально созданным профсоюзным организациям.</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 w:rsidR="00000000" w:rsidRDefault="00000000">
      <w:pPr>
        <w:shd w:val="clear" w:color="auto" w:fill="FFFFFF"/>
        <w:tabs>
          <w:tab w:val="left" w:pos="567"/>
          <w:tab w:val="left" w:pos="1134"/>
          <w:tab w:val="left" w:pos="1701"/>
          <w:tab w:val="left" w:pos="2268"/>
          <w:tab w:val="left" w:pos="7938"/>
        </w:tabs>
        <w:ind w:left="1701" w:hanging="1134"/>
        <w:rPr>
          <w:szCs w:val="24"/>
        </w:rPr>
      </w:pPr>
      <w:r>
        <w:rPr>
          <w:szCs w:val="24"/>
          <w:lang w:val="en-US"/>
        </w:rPr>
        <w:tab/>
      </w:r>
      <w:r>
        <w:rPr>
          <w:szCs w:val="24"/>
        </w:rPr>
        <w:t>-</w:t>
      </w:r>
      <w:r>
        <w:rPr>
          <w:szCs w:val="24"/>
        </w:rPr>
        <w:tab/>
      </w:r>
      <w:r>
        <w:rPr>
          <w:b/>
          <w:bCs/>
          <w:szCs w:val="24"/>
        </w:rPr>
        <w:t>Статья 316:</w:t>
      </w:r>
      <w:r>
        <w:rPr>
          <w:szCs w:val="24"/>
        </w:rPr>
        <w:t xml:space="preserve">  Ликвидация и распоряжение общественными активами профсоюзного объединения производятся по решению суда.</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b/>
          <w:bCs/>
          <w:szCs w:val="24"/>
        </w:rPr>
      </w:pPr>
      <w:r>
        <w:rPr>
          <w:b/>
          <w:bCs/>
          <w:szCs w:val="24"/>
        </w:rPr>
        <w:t>2.</w:t>
      </w:r>
      <w:r>
        <w:rPr>
          <w:b/>
          <w:bCs/>
          <w:szCs w:val="24"/>
        </w:rPr>
        <w:tab/>
        <w:t>Право на забастовку</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szCs w:val="24"/>
        </w:rPr>
      </w:pPr>
      <w:r>
        <w:rPr>
          <w:szCs w:val="24"/>
        </w:rPr>
        <w:t>243.</w:t>
      </w:r>
      <w:r>
        <w:rPr>
          <w:szCs w:val="24"/>
        </w:rPr>
        <w:tab/>
        <w:t>В отношении права на забастовку Трудовым кодексом предусматривается следующее:</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ind w:left="1134" w:hanging="567"/>
        <w:rPr>
          <w:szCs w:val="24"/>
        </w:rPr>
      </w:pPr>
      <w:r>
        <w:rPr>
          <w:b/>
          <w:bCs/>
          <w:szCs w:val="24"/>
        </w:rPr>
        <w:t>-</w:t>
      </w:r>
      <w:r>
        <w:rPr>
          <w:b/>
          <w:bCs/>
          <w:szCs w:val="24"/>
        </w:rPr>
        <w:tab/>
        <w:t>Статья 358:</w:t>
      </w:r>
      <w:r>
        <w:rPr>
          <w:szCs w:val="24"/>
        </w:rPr>
        <w:t xml:space="preserve">  Под забастовкой понимается временное, коллективное, согласованное прекращение работы по инициативе трудящихся в целях непосредственной исключительной защиты своих профессиональных интересов.</w:t>
      </w:r>
    </w:p>
    <w:p w:rsidR="00000000" w:rsidRDefault="00000000">
      <w:pPr>
        <w:shd w:val="clear" w:color="auto" w:fill="FFFFFF"/>
        <w:tabs>
          <w:tab w:val="left" w:pos="567"/>
          <w:tab w:val="left" w:pos="1134"/>
          <w:tab w:val="left" w:pos="1701"/>
          <w:tab w:val="left" w:pos="2268"/>
          <w:tab w:val="left" w:pos="7938"/>
        </w:tabs>
        <w:ind w:left="1134" w:hanging="567"/>
        <w:rPr>
          <w:szCs w:val="24"/>
        </w:rPr>
      </w:pPr>
    </w:p>
    <w:p w:rsidR="00000000" w:rsidRDefault="00000000">
      <w:pPr>
        <w:shd w:val="clear" w:color="auto" w:fill="FFFFFF"/>
        <w:tabs>
          <w:tab w:val="left" w:pos="567"/>
          <w:tab w:val="left" w:pos="1134"/>
          <w:tab w:val="left" w:pos="1701"/>
          <w:tab w:val="left" w:pos="2268"/>
          <w:tab w:val="left" w:pos="7938"/>
        </w:tabs>
        <w:ind w:left="1134" w:hanging="567"/>
        <w:rPr>
          <w:szCs w:val="24"/>
        </w:rPr>
      </w:pPr>
      <w:r>
        <w:rPr>
          <w:szCs w:val="24"/>
        </w:rPr>
        <w:t>-</w:t>
      </w:r>
      <w:r>
        <w:rPr>
          <w:szCs w:val="24"/>
        </w:rPr>
        <w:tab/>
      </w:r>
      <w:r>
        <w:rPr>
          <w:b/>
          <w:bCs/>
          <w:szCs w:val="24"/>
        </w:rPr>
        <w:t xml:space="preserve">Статья 359:  </w:t>
      </w:r>
      <w:r>
        <w:rPr>
          <w:szCs w:val="24"/>
        </w:rPr>
        <w:t>Все трудящиеся имеют право объявлять забастовку в соответствии с положениями Конституции страны.</w:t>
      </w:r>
    </w:p>
    <w:p w:rsidR="00000000" w:rsidRDefault="00000000">
      <w:pPr>
        <w:shd w:val="clear" w:color="auto" w:fill="FFFFFF"/>
        <w:tabs>
          <w:tab w:val="left" w:pos="567"/>
          <w:tab w:val="left" w:pos="1134"/>
          <w:tab w:val="left" w:pos="1701"/>
          <w:tab w:val="left" w:pos="2268"/>
          <w:tab w:val="left" w:pos="7938"/>
        </w:tabs>
        <w:ind w:left="1134" w:hanging="567"/>
        <w:rPr>
          <w:szCs w:val="24"/>
        </w:rPr>
      </w:pPr>
    </w:p>
    <w:p w:rsidR="00000000" w:rsidRDefault="00000000">
      <w:pPr>
        <w:shd w:val="clear" w:color="auto" w:fill="FFFFFF"/>
        <w:tabs>
          <w:tab w:val="left" w:pos="567"/>
          <w:tab w:val="left" w:pos="1134"/>
          <w:tab w:val="left" w:pos="1701"/>
          <w:tab w:val="left" w:pos="2268"/>
          <w:tab w:val="left" w:pos="7938"/>
        </w:tabs>
        <w:ind w:left="1134" w:hanging="567"/>
        <w:rPr>
          <w:szCs w:val="24"/>
        </w:rPr>
      </w:pPr>
      <w:r>
        <w:rPr>
          <w:szCs w:val="24"/>
        </w:rPr>
        <w:t>-</w:t>
      </w:r>
      <w:r>
        <w:rPr>
          <w:szCs w:val="24"/>
        </w:rPr>
        <w:tab/>
      </w:r>
      <w:r>
        <w:rPr>
          <w:b/>
          <w:bCs/>
          <w:szCs w:val="24"/>
        </w:rPr>
        <w:t xml:space="preserve">Статья 360:  </w:t>
      </w:r>
      <w:r>
        <w:rPr>
          <w:szCs w:val="24"/>
        </w:rPr>
        <w:t>Право на забастовку имеют работники, занятые на производстве.  Это право не распространяется на военнослужащих и сотрудников полиции.</w:t>
      </w:r>
    </w:p>
    <w:p w:rsidR="00000000" w:rsidRDefault="00000000">
      <w:pPr>
        <w:shd w:val="clear" w:color="auto" w:fill="FFFFFF"/>
        <w:tabs>
          <w:tab w:val="left" w:pos="567"/>
          <w:tab w:val="left" w:pos="1134"/>
          <w:tab w:val="left" w:pos="1701"/>
          <w:tab w:val="left" w:pos="2268"/>
          <w:tab w:val="left" w:pos="7938"/>
        </w:tabs>
        <w:ind w:left="1134" w:hanging="567"/>
        <w:rPr>
          <w:b/>
          <w:bCs/>
          <w:szCs w:val="24"/>
        </w:rPr>
      </w:pPr>
    </w:p>
    <w:p w:rsidR="00000000" w:rsidRDefault="00000000">
      <w:pPr>
        <w:shd w:val="clear" w:color="auto" w:fill="FFFFFF"/>
        <w:tabs>
          <w:tab w:val="left" w:pos="567"/>
          <w:tab w:val="left" w:pos="1134"/>
          <w:tab w:val="left" w:pos="1701"/>
          <w:tab w:val="left" w:pos="2268"/>
          <w:tab w:val="left" w:pos="7938"/>
        </w:tabs>
        <w:ind w:left="1134" w:hanging="567"/>
        <w:rPr>
          <w:szCs w:val="24"/>
        </w:rPr>
      </w:pPr>
      <w:r>
        <w:rPr>
          <w:szCs w:val="24"/>
        </w:rPr>
        <w:t>-</w:t>
      </w:r>
      <w:r>
        <w:rPr>
          <w:szCs w:val="24"/>
        </w:rPr>
        <w:tab/>
      </w:r>
      <w:r>
        <w:rPr>
          <w:b/>
          <w:bCs/>
          <w:szCs w:val="24"/>
        </w:rPr>
        <w:t xml:space="preserve">Статья 361:  </w:t>
      </w:r>
      <w:r>
        <w:rPr>
          <w:szCs w:val="24"/>
        </w:rPr>
        <w:t>Осуществление права на забастовку должно быть мирным и заключаться в прекращении работы соответствующими работниками без занятия рабочих мест или подсобных помещений.</w:t>
      </w:r>
    </w:p>
    <w:p w:rsidR="00000000" w:rsidRDefault="00000000">
      <w:pPr>
        <w:shd w:val="clear" w:color="auto" w:fill="FFFFFF"/>
        <w:tabs>
          <w:tab w:val="left" w:pos="567"/>
          <w:tab w:val="left" w:pos="1134"/>
          <w:tab w:val="left" w:pos="1701"/>
          <w:tab w:val="left" w:pos="2268"/>
          <w:tab w:val="left" w:pos="7938"/>
        </w:tabs>
        <w:ind w:left="1134" w:hanging="567"/>
        <w:rPr>
          <w:szCs w:val="24"/>
        </w:rPr>
      </w:pPr>
    </w:p>
    <w:p w:rsidR="00000000" w:rsidRDefault="00000000">
      <w:pPr>
        <w:shd w:val="clear" w:color="auto" w:fill="FFFFFF"/>
        <w:tabs>
          <w:tab w:val="left" w:pos="567"/>
          <w:tab w:val="left" w:pos="1134"/>
          <w:tab w:val="left" w:pos="1701"/>
          <w:tab w:val="left" w:pos="2268"/>
          <w:tab w:val="left" w:pos="7938"/>
        </w:tabs>
        <w:ind w:left="1134" w:hanging="567"/>
        <w:rPr>
          <w:szCs w:val="24"/>
        </w:rPr>
      </w:pPr>
      <w:r>
        <w:rPr>
          <w:szCs w:val="24"/>
        </w:rPr>
        <w:t>-</w:t>
      </w:r>
      <w:r>
        <w:rPr>
          <w:szCs w:val="24"/>
        </w:rPr>
        <w:tab/>
      </w:r>
      <w:r>
        <w:rPr>
          <w:b/>
          <w:bCs/>
          <w:szCs w:val="24"/>
        </w:rPr>
        <w:t xml:space="preserve">Статья 362:  </w:t>
      </w:r>
      <w:r>
        <w:rPr>
          <w:szCs w:val="24"/>
        </w:rPr>
        <w:t>Если забастовку проводит персонал больниц, служб водо- и электроснабжения, то в силу жизненной необходимости их услуг для общества населению должно быть гарантировано их предоставление хотя бы в минимальном объеме.  Больницы должны обеспечивать оказание первой медицинской помощи и предоставление всех услуг, необходимых для того, чтобы жизни граждан не создавалась опасность.</w:t>
      </w:r>
    </w:p>
    <w:p w:rsidR="00000000" w:rsidRDefault="00000000">
      <w:pPr>
        <w:shd w:val="clear" w:color="auto" w:fill="FFFFFF"/>
        <w:tabs>
          <w:tab w:val="left" w:pos="567"/>
          <w:tab w:val="left" w:pos="1134"/>
          <w:tab w:val="left" w:pos="1701"/>
          <w:tab w:val="left" w:pos="2268"/>
          <w:tab w:val="left" w:pos="7938"/>
        </w:tabs>
        <w:ind w:left="1134" w:hanging="567"/>
        <w:rPr>
          <w:szCs w:val="24"/>
        </w:rPr>
      </w:pPr>
    </w:p>
    <w:p w:rsidR="00000000" w:rsidRDefault="00000000">
      <w:pPr>
        <w:keepLines/>
        <w:shd w:val="clear" w:color="auto" w:fill="FFFFFF"/>
        <w:tabs>
          <w:tab w:val="left" w:pos="567"/>
          <w:tab w:val="left" w:pos="1134"/>
          <w:tab w:val="left" w:pos="1701"/>
          <w:tab w:val="left" w:pos="2268"/>
          <w:tab w:val="left" w:pos="7938"/>
        </w:tabs>
        <w:ind w:left="1134" w:hanging="567"/>
        <w:rPr>
          <w:szCs w:val="24"/>
        </w:rPr>
      </w:pPr>
      <w:r>
        <w:rPr>
          <w:b/>
          <w:bCs/>
          <w:szCs w:val="24"/>
        </w:rPr>
        <w:t>-</w:t>
      </w:r>
      <w:r>
        <w:rPr>
          <w:b/>
          <w:bCs/>
          <w:szCs w:val="24"/>
        </w:rPr>
        <w:tab/>
        <w:t xml:space="preserve">Статья 363:  </w:t>
      </w:r>
      <w:r>
        <w:rPr>
          <w:szCs w:val="24"/>
        </w:rPr>
        <w:t>Забастовка может объявляться только самими работниками предприятия по форме, указанной в статье 298.  Объявлять о забастовке должно собрание, и, если работники не организованы в профсоюз, назначается забастовочный комитет в составе пяти членов, который должен вести переговоры и заниматься поиском решения в связи с конфликтом.</w:t>
      </w:r>
    </w:p>
    <w:p w:rsidR="00000000" w:rsidRDefault="00000000">
      <w:pPr>
        <w:shd w:val="clear" w:color="auto" w:fill="FFFFFF"/>
        <w:tabs>
          <w:tab w:val="left" w:pos="567"/>
          <w:tab w:val="left" w:pos="1134"/>
          <w:tab w:val="left" w:pos="1701"/>
          <w:tab w:val="left" w:pos="2268"/>
          <w:tab w:val="left" w:pos="7938"/>
        </w:tabs>
        <w:ind w:left="1134" w:hanging="567"/>
        <w:rPr>
          <w:szCs w:val="24"/>
        </w:rPr>
      </w:pPr>
    </w:p>
    <w:p w:rsidR="00000000" w:rsidRDefault="00000000">
      <w:pPr>
        <w:shd w:val="clear" w:color="auto" w:fill="FFFFFF"/>
        <w:tabs>
          <w:tab w:val="left" w:pos="567"/>
          <w:tab w:val="left" w:pos="1134"/>
          <w:tab w:val="left" w:pos="1701"/>
          <w:tab w:val="left" w:pos="2268"/>
          <w:tab w:val="left" w:pos="7938"/>
        </w:tabs>
        <w:ind w:left="1134" w:hanging="567"/>
        <w:rPr>
          <w:szCs w:val="24"/>
        </w:rPr>
      </w:pPr>
      <w:r>
        <w:rPr>
          <w:b/>
          <w:bCs/>
          <w:szCs w:val="24"/>
        </w:rPr>
        <w:t>-</w:t>
      </w:r>
      <w:r>
        <w:rPr>
          <w:b/>
          <w:bCs/>
          <w:szCs w:val="24"/>
        </w:rPr>
        <w:tab/>
        <w:t xml:space="preserve">Статья 364:  </w:t>
      </w:r>
      <w:r>
        <w:rPr>
          <w:szCs w:val="24"/>
        </w:rPr>
        <w:t>Постановление об объявлении забастовки, содержание протокола собрания и подписи присутствующих на этом собрании вместе с кандидатурами тех, кто будет вести переговоры, и членами забастовочного комитета должны представляться компетентному органу по крайней мере за 72 часа до начала забастовки.  Наниматель также заблаговременно должен быть уведомлен о забастовке с указанием фамилий лиц, которые будут вести переговоры, либо членов забастовочного комитета, целей забастовки и ее продолжительности.  После уведомления о забастовке создается двусторонний комитет, который будет заниматься примирением интересов.</w:t>
      </w:r>
    </w:p>
    <w:p w:rsidR="00000000" w:rsidRDefault="00000000">
      <w:pPr>
        <w:shd w:val="clear" w:color="auto" w:fill="FFFFFF"/>
        <w:tabs>
          <w:tab w:val="left" w:pos="567"/>
          <w:tab w:val="left" w:pos="1134"/>
          <w:tab w:val="left" w:pos="1701"/>
          <w:tab w:val="left" w:pos="2268"/>
          <w:tab w:val="left" w:pos="7938"/>
        </w:tabs>
        <w:ind w:left="1134" w:hanging="567"/>
      </w:pPr>
    </w:p>
    <w:p w:rsidR="00000000" w:rsidRDefault="00000000">
      <w:pPr>
        <w:shd w:val="clear" w:color="auto" w:fill="FFFFFF"/>
        <w:tabs>
          <w:tab w:val="left" w:pos="567"/>
          <w:tab w:val="left" w:pos="1134"/>
          <w:tab w:val="left" w:pos="1701"/>
          <w:tab w:val="left" w:pos="2268"/>
          <w:tab w:val="left" w:pos="7938"/>
        </w:tabs>
        <w:ind w:left="1134" w:hanging="567"/>
        <w:rPr>
          <w:szCs w:val="24"/>
        </w:rPr>
      </w:pPr>
      <w:r>
        <w:rPr>
          <w:b/>
          <w:bCs/>
          <w:szCs w:val="24"/>
        </w:rPr>
        <w:t>-</w:t>
      </w:r>
      <w:r>
        <w:rPr>
          <w:b/>
          <w:bCs/>
          <w:szCs w:val="24"/>
        </w:rPr>
        <w:tab/>
        <w:t xml:space="preserve">Статья 365:  </w:t>
      </w:r>
      <w:r>
        <w:rPr>
          <w:szCs w:val="24"/>
        </w:rPr>
        <w:t>Членами забастовочного комитета могут быть исключительно трудящиеся предприятия, на котором она проводится.  Им может оказываться консультативная помощь по правовым и профсоюзным вопросам.</w:t>
      </w:r>
    </w:p>
    <w:p w:rsidR="00000000" w:rsidRDefault="00000000">
      <w:pPr>
        <w:shd w:val="clear" w:color="auto" w:fill="FFFFFF"/>
        <w:tabs>
          <w:tab w:val="left" w:pos="567"/>
          <w:tab w:val="left" w:pos="1134"/>
          <w:tab w:val="left" w:pos="1701"/>
          <w:tab w:val="left" w:pos="2268"/>
          <w:tab w:val="left" w:pos="7938"/>
        </w:tabs>
        <w:ind w:left="1134" w:hanging="567"/>
        <w:rPr>
          <w:szCs w:val="24"/>
        </w:rPr>
      </w:pPr>
    </w:p>
    <w:p w:rsidR="00000000" w:rsidRDefault="00000000">
      <w:pPr>
        <w:shd w:val="clear" w:color="auto" w:fill="FFFFFF"/>
        <w:tabs>
          <w:tab w:val="left" w:pos="567"/>
          <w:tab w:val="left" w:pos="1134"/>
          <w:tab w:val="left" w:pos="1701"/>
          <w:tab w:val="left" w:pos="2268"/>
          <w:tab w:val="left" w:pos="7938"/>
        </w:tabs>
        <w:ind w:left="1134" w:hanging="567"/>
        <w:rPr>
          <w:szCs w:val="24"/>
        </w:rPr>
      </w:pPr>
      <w:r>
        <w:rPr>
          <w:b/>
          <w:bCs/>
          <w:szCs w:val="24"/>
        </w:rPr>
        <w:t>-</w:t>
      </w:r>
      <w:r>
        <w:rPr>
          <w:b/>
          <w:bCs/>
          <w:szCs w:val="24"/>
        </w:rPr>
        <w:tab/>
        <w:t xml:space="preserve">Статья 366:  </w:t>
      </w:r>
      <w:r>
        <w:rPr>
          <w:szCs w:val="24"/>
        </w:rPr>
        <w:t>Считается незаконной любая забастовка, объявленная во время действия коллективного договора без всякой ссылки на невыполнение нанимателем какого-либо положения договора, за исключением забастовок солидарности или общих забастовок.</w:t>
      </w:r>
    </w:p>
    <w:p w:rsidR="00000000" w:rsidRDefault="00000000">
      <w:pPr>
        <w:shd w:val="clear" w:color="auto" w:fill="FFFFFF"/>
        <w:tabs>
          <w:tab w:val="left" w:pos="567"/>
          <w:tab w:val="left" w:pos="1134"/>
          <w:tab w:val="left" w:pos="1701"/>
          <w:tab w:val="left" w:pos="2268"/>
          <w:tab w:val="left" w:pos="7938"/>
        </w:tabs>
        <w:ind w:left="1134" w:hanging="567"/>
        <w:rPr>
          <w:szCs w:val="24"/>
        </w:rPr>
      </w:pPr>
    </w:p>
    <w:p w:rsidR="00000000" w:rsidRDefault="00000000">
      <w:pPr>
        <w:shd w:val="clear" w:color="auto" w:fill="FFFFFF"/>
        <w:tabs>
          <w:tab w:val="left" w:pos="567"/>
          <w:tab w:val="left" w:pos="1134"/>
          <w:tab w:val="left" w:pos="1701"/>
          <w:tab w:val="left" w:pos="2268"/>
          <w:tab w:val="left" w:pos="7938"/>
        </w:tabs>
        <w:ind w:left="1134" w:hanging="567"/>
        <w:rPr>
          <w:szCs w:val="24"/>
        </w:rPr>
      </w:pPr>
      <w:r>
        <w:rPr>
          <w:b/>
          <w:bCs/>
          <w:szCs w:val="24"/>
        </w:rPr>
        <w:t>-</w:t>
      </w:r>
      <w:r>
        <w:rPr>
          <w:b/>
          <w:bCs/>
          <w:szCs w:val="24"/>
        </w:rPr>
        <w:tab/>
        <w:t xml:space="preserve">Статья 367:  </w:t>
      </w:r>
      <w:r>
        <w:rPr>
          <w:szCs w:val="24"/>
        </w:rPr>
        <w:t>На период сохранения трудового конфликта интересы трудящихся, участвующих в забастовке, должен представлять профсоюз или, в его отсутствие, забастовочный комитет.</w:t>
      </w:r>
    </w:p>
    <w:p w:rsidR="00000000" w:rsidRDefault="00000000">
      <w:pPr>
        <w:shd w:val="clear" w:color="auto" w:fill="FFFFFF"/>
        <w:tabs>
          <w:tab w:val="left" w:pos="567"/>
          <w:tab w:val="left" w:pos="1134"/>
          <w:tab w:val="left" w:pos="1701"/>
          <w:tab w:val="left" w:pos="2268"/>
          <w:tab w:val="left" w:pos="7938"/>
        </w:tabs>
        <w:ind w:left="1134" w:hanging="567"/>
        <w:rPr>
          <w:szCs w:val="24"/>
        </w:rPr>
      </w:pPr>
    </w:p>
    <w:p w:rsidR="00000000" w:rsidRDefault="00000000">
      <w:pPr>
        <w:shd w:val="clear" w:color="auto" w:fill="FFFFFF"/>
        <w:tabs>
          <w:tab w:val="left" w:pos="567"/>
          <w:tab w:val="left" w:pos="1134"/>
          <w:tab w:val="left" w:pos="1701"/>
          <w:tab w:val="left" w:pos="2268"/>
          <w:tab w:val="left" w:pos="7938"/>
        </w:tabs>
        <w:ind w:left="1134" w:hanging="567"/>
        <w:rPr>
          <w:szCs w:val="24"/>
        </w:rPr>
      </w:pPr>
      <w:r>
        <w:rPr>
          <w:b/>
          <w:bCs/>
          <w:szCs w:val="24"/>
        </w:rPr>
        <w:t>-</w:t>
      </w:r>
      <w:r>
        <w:rPr>
          <w:b/>
          <w:bCs/>
          <w:szCs w:val="24"/>
        </w:rPr>
        <w:tab/>
        <w:t xml:space="preserve">Статья 368:  </w:t>
      </w:r>
      <w:r>
        <w:rPr>
          <w:szCs w:val="24"/>
        </w:rPr>
        <w:t>Если забастовка не объявлена незаконной, наниматель не может заменять бастующих другими трудящимися, не работающими на предприятии.</w:t>
      </w:r>
    </w:p>
    <w:p w:rsidR="00000000" w:rsidRDefault="00000000">
      <w:pPr>
        <w:shd w:val="clear" w:color="auto" w:fill="FFFFFF"/>
        <w:tabs>
          <w:tab w:val="left" w:pos="567"/>
          <w:tab w:val="left" w:pos="1134"/>
          <w:tab w:val="left" w:pos="1701"/>
          <w:tab w:val="left" w:pos="2268"/>
          <w:tab w:val="left" w:pos="7938"/>
        </w:tabs>
        <w:ind w:left="1134" w:hanging="567"/>
        <w:rPr>
          <w:szCs w:val="24"/>
        </w:rPr>
      </w:pPr>
    </w:p>
    <w:p w:rsidR="00000000" w:rsidRDefault="00000000">
      <w:pPr>
        <w:shd w:val="clear" w:color="auto" w:fill="FFFFFF"/>
        <w:tabs>
          <w:tab w:val="left" w:pos="567"/>
          <w:tab w:val="left" w:pos="1134"/>
          <w:tab w:val="left" w:pos="1701"/>
          <w:tab w:val="left" w:pos="2268"/>
          <w:tab w:val="left" w:pos="7938"/>
        </w:tabs>
        <w:ind w:left="1134" w:hanging="567"/>
        <w:rPr>
          <w:szCs w:val="24"/>
        </w:rPr>
      </w:pPr>
      <w:r>
        <w:rPr>
          <w:b/>
          <w:bCs/>
          <w:szCs w:val="24"/>
        </w:rPr>
        <w:t>-</w:t>
      </w:r>
      <w:r>
        <w:rPr>
          <w:b/>
          <w:bCs/>
          <w:szCs w:val="24"/>
        </w:rPr>
        <w:tab/>
        <w:t xml:space="preserve">Статья 369:  </w:t>
      </w:r>
      <w:r>
        <w:rPr>
          <w:szCs w:val="24"/>
        </w:rPr>
        <w:t>Трудящимся, не участвующим в забастовке, гарантируется свобода труда.  Наниматели и трудящиеся могут использовать все имеющиеся правовые средства для осуществления этой конституционной гарантии.  Бастующим работникам запрещается заявлять о намерении или препятствовать каким бы то ни было образом доступу к рабочим местам либо вывозу готовой продукции с предприятия, за исключением случая несоблюдения со стороны нанимателя положений статьи 368.</w:t>
      </w:r>
    </w:p>
    <w:p w:rsidR="00000000" w:rsidRDefault="00000000">
      <w:pPr>
        <w:shd w:val="clear" w:color="auto" w:fill="FFFFFF"/>
        <w:tabs>
          <w:tab w:val="left" w:pos="567"/>
          <w:tab w:val="left" w:pos="1134"/>
          <w:tab w:val="left" w:pos="1701"/>
          <w:tab w:val="left" w:pos="2268"/>
          <w:tab w:val="left" w:pos="7938"/>
        </w:tabs>
        <w:ind w:left="1134" w:hanging="567"/>
        <w:rPr>
          <w:szCs w:val="24"/>
        </w:rPr>
      </w:pPr>
    </w:p>
    <w:p w:rsidR="00000000" w:rsidRDefault="00000000">
      <w:pPr>
        <w:shd w:val="clear" w:color="auto" w:fill="FFFFFF"/>
        <w:tabs>
          <w:tab w:val="left" w:pos="567"/>
          <w:tab w:val="left" w:pos="1134"/>
          <w:tab w:val="left" w:pos="1701"/>
          <w:tab w:val="left" w:pos="2268"/>
          <w:tab w:val="left" w:pos="7938"/>
        </w:tabs>
        <w:ind w:left="1134" w:hanging="567"/>
        <w:rPr>
          <w:szCs w:val="24"/>
        </w:rPr>
      </w:pPr>
      <w:r>
        <w:rPr>
          <w:b/>
          <w:bCs/>
          <w:szCs w:val="24"/>
        </w:rPr>
        <w:t>-</w:t>
      </w:r>
      <w:r>
        <w:rPr>
          <w:b/>
          <w:bCs/>
          <w:szCs w:val="24"/>
        </w:rPr>
        <w:tab/>
        <w:t xml:space="preserve">Статья 370:  </w:t>
      </w:r>
      <w:r>
        <w:rPr>
          <w:szCs w:val="24"/>
        </w:rPr>
        <w:t>Профсоюз или, в его отсутствие, забастовочный комитет гарантирует предоставление жизненно необходимых услуг, о которых говорится в Конституции страны, если охваченное конфликтом предприятие оказывает их в соответствии со статьей 362.</w:t>
      </w:r>
    </w:p>
    <w:p w:rsidR="00000000" w:rsidRDefault="00000000">
      <w:pPr>
        <w:shd w:val="clear" w:color="auto" w:fill="FFFFFF"/>
        <w:tabs>
          <w:tab w:val="left" w:pos="567"/>
          <w:tab w:val="left" w:pos="1134"/>
          <w:tab w:val="left" w:pos="1701"/>
          <w:tab w:val="left" w:pos="2268"/>
          <w:tab w:val="left" w:pos="7938"/>
        </w:tabs>
        <w:ind w:left="1134" w:hanging="567"/>
        <w:rPr>
          <w:szCs w:val="24"/>
        </w:rPr>
      </w:pPr>
    </w:p>
    <w:p w:rsidR="00000000" w:rsidRDefault="00000000">
      <w:pPr>
        <w:shd w:val="clear" w:color="auto" w:fill="FFFFFF"/>
        <w:tabs>
          <w:tab w:val="left" w:pos="567"/>
          <w:tab w:val="left" w:pos="1134"/>
          <w:tab w:val="left" w:pos="1701"/>
          <w:tab w:val="left" w:pos="2268"/>
          <w:tab w:val="left" w:pos="7938"/>
        </w:tabs>
        <w:ind w:left="1134" w:hanging="567"/>
        <w:rPr>
          <w:szCs w:val="24"/>
        </w:rPr>
      </w:pPr>
      <w:r>
        <w:rPr>
          <w:b/>
          <w:bCs/>
          <w:szCs w:val="24"/>
        </w:rPr>
        <w:t>-</w:t>
      </w:r>
      <w:r>
        <w:rPr>
          <w:b/>
          <w:bCs/>
          <w:szCs w:val="24"/>
        </w:rPr>
        <w:tab/>
        <w:t xml:space="preserve">Статья 371:  </w:t>
      </w:r>
      <w:r>
        <w:rPr>
          <w:szCs w:val="24"/>
        </w:rPr>
        <w:t>Бастующие трудящиеся могут мирным образом пропагандировать забастовку, а также собирать средства на ее проведение.  Никто не может принуждаться к сдаче средств против своей воли.</w:t>
      </w:r>
    </w:p>
    <w:p w:rsidR="00000000" w:rsidRDefault="00000000">
      <w:pPr>
        <w:shd w:val="clear" w:color="auto" w:fill="FFFFFF"/>
        <w:tabs>
          <w:tab w:val="left" w:pos="567"/>
          <w:tab w:val="left" w:pos="1134"/>
          <w:tab w:val="left" w:pos="1701"/>
          <w:tab w:val="left" w:pos="2268"/>
          <w:tab w:val="left" w:pos="7938"/>
        </w:tabs>
        <w:ind w:left="1134" w:hanging="567"/>
        <w:rPr>
          <w:szCs w:val="24"/>
        </w:rPr>
      </w:pPr>
    </w:p>
    <w:p w:rsidR="00000000" w:rsidRDefault="00000000">
      <w:pPr>
        <w:shd w:val="clear" w:color="auto" w:fill="FFFFFF"/>
        <w:tabs>
          <w:tab w:val="left" w:pos="567"/>
          <w:tab w:val="left" w:pos="1134"/>
          <w:tab w:val="left" w:pos="1701"/>
          <w:tab w:val="left" w:pos="2268"/>
          <w:tab w:val="left" w:pos="7938"/>
        </w:tabs>
        <w:ind w:left="1134" w:hanging="567"/>
        <w:rPr>
          <w:szCs w:val="24"/>
        </w:rPr>
      </w:pPr>
      <w:r>
        <w:rPr>
          <w:b/>
          <w:bCs/>
          <w:szCs w:val="24"/>
        </w:rPr>
        <w:t>-</w:t>
      </w:r>
      <w:r>
        <w:rPr>
          <w:b/>
          <w:bCs/>
          <w:szCs w:val="24"/>
        </w:rPr>
        <w:tab/>
        <w:t xml:space="preserve">Статья 372:  </w:t>
      </w:r>
      <w:r>
        <w:rPr>
          <w:szCs w:val="24"/>
        </w:rPr>
        <w:t>Законно объявленная забастовка не имеет целью прекращать трудовые отношения и не предусматривает никаких санкций.</w:t>
      </w:r>
    </w:p>
    <w:p w:rsidR="00000000" w:rsidRDefault="00000000">
      <w:pPr>
        <w:shd w:val="clear" w:color="auto" w:fill="FFFFFF"/>
        <w:tabs>
          <w:tab w:val="left" w:pos="567"/>
          <w:tab w:val="left" w:pos="1134"/>
          <w:tab w:val="left" w:pos="1701"/>
          <w:tab w:val="left" w:pos="2268"/>
          <w:tab w:val="left" w:pos="7938"/>
        </w:tabs>
        <w:ind w:left="1134" w:hanging="567"/>
        <w:rPr>
          <w:szCs w:val="24"/>
        </w:rPr>
      </w:pPr>
    </w:p>
    <w:p w:rsidR="00000000" w:rsidRDefault="00000000">
      <w:pPr>
        <w:shd w:val="clear" w:color="auto" w:fill="FFFFFF"/>
        <w:tabs>
          <w:tab w:val="left" w:pos="567"/>
          <w:tab w:val="left" w:pos="1134"/>
          <w:tab w:val="left" w:pos="1701"/>
          <w:tab w:val="left" w:pos="2268"/>
          <w:tab w:val="left" w:pos="7938"/>
        </w:tabs>
        <w:ind w:left="1134" w:hanging="567"/>
        <w:rPr>
          <w:szCs w:val="26"/>
        </w:rPr>
      </w:pPr>
      <w:r>
        <w:rPr>
          <w:b/>
          <w:bCs/>
          <w:szCs w:val="24"/>
        </w:rPr>
        <w:t>-</w:t>
      </w:r>
      <w:r>
        <w:rPr>
          <w:b/>
          <w:bCs/>
          <w:szCs w:val="24"/>
        </w:rPr>
        <w:tab/>
        <w:t xml:space="preserve">Статья 373:  </w:t>
      </w:r>
      <w:r>
        <w:rPr>
          <w:szCs w:val="24"/>
        </w:rPr>
        <w:t xml:space="preserve">На период забастовки действие трудового договора приостанавливается, причем работник не имеет права на получение заработной платы за время, </w:t>
      </w:r>
      <w:r>
        <w:rPr>
          <w:szCs w:val="26"/>
        </w:rPr>
        <w:t>приходящееся на забастовку.  Если в результате забастовки стороны приходят к договоренности, разрешающей трудовой конфликт, то допускается возможность согласования условий для полного или частичного возмещения недополученной заработной платы, а также полной или частичной компенсации потерянных часов рабочего времени.</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ind w:left="1134" w:hanging="567"/>
        <w:rPr>
          <w:szCs w:val="26"/>
        </w:rPr>
      </w:pPr>
      <w:r>
        <w:rPr>
          <w:b/>
          <w:bCs/>
          <w:szCs w:val="24"/>
        </w:rPr>
        <w:t>-</w:t>
      </w:r>
      <w:r>
        <w:rPr>
          <w:b/>
          <w:bCs/>
          <w:szCs w:val="24"/>
        </w:rPr>
        <w:tab/>
        <w:t>Статья</w:t>
      </w:r>
      <w:r>
        <w:rPr>
          <w:b/>
          <w:bCs/>
          <w:szCs w:val="26"/>
        </w:rPr>
        <w:t xml:space="preserve"> 374:  </w:t>
      </w:r>
      <w:r>
        <w:rPr>
          <w:szCs w:val="26"/>
        </w:rPr>
        <w:t>После объявления о забастовке в распоряжении двустороннего комитета, созданного согласно статье</w:t>
      </w:r>
      <w:r>
        <w:rPr>
          <w:szCs w:val="26"/>
          <w:lang w:val="en-US"/>
        </w:rPr>
        <w:t> </w:t>
      </w:r>
      <w:r>
        <w:rPr>
          <w:szCs w:val="26"/>
        </w:rPr>
        <w:t>364, имеется 72</w:t>
      </w:r>
      <w:r>
        <w:rPr>
          <w:szCs w:val="26"/>
          <w:lang w:val="en-US"/>
        </w:rPr>
        <w:t> </w:t>
      </w:r>
      <w:r>
        <w:rPr>
          <w:szCs w:val="26"/>
        </w:rPr>
        <w:t>часа для достижения соглашения между сторонами.  Вынесенные им рекомендации могут быть отклонены любой из сторон.</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shd w:val="clear" w:color="auto" w:fill="FFFFFF"/>
        <w:tabs>
          <w:tab w:val="left" w:pos="567"/>
          <w:tab w:val="left" w:pos="1134"/>
          <w:tab w:val="left" w:pos="1701"/>
          <w:tab w:val="left" w:pos="2268"/>
          <w:tab w:val="left" w:pos="7938"/>
        </w:tabs>
        <w:ind w:left="1134" w:hanging="567"/>
        <w:rPr>
          <w:szCs w:val="26"/>
        </w:rPr>
      </w:pPr>
      <w:r>
        <w:rPr>
          <w:b/>
          <w:bCs/>
          <w:szCs w:val="24"/>
        </w:rPr>
        <w:t>-</w:t>
      </w:r>
      <w:r>
        <w:rPr>
          <w:b/>
          <w:bCs/>
          <w:szCs w:val="24"/>
        </w:rPr>
        <w:tab/>
        <w:t>Статья</w:t>
      </w:r>
      <w:r>
        <w:rPr>
          <w:b/>
          <w:bCs/>
          <w:szCs w:val="26"/>
        </w:rPr>
        <w:t xml:space="preserve"> 375:  </w:t>
      </w:r>
      <w:r>
        <w:rPr>
          <w:szCs w:val="26"/>
        </w:rPr>
        <w:t>Ни до, ни после начала забастовки ни один правительственный орган не может объявить забастовку незаконной.</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shd w:val="clear" w:color="auto" w:fill="FFFFFF"/>
        <w:tabs>
          <w:tab w:val="left" w:pos="567"/>
          <w:tab w:val="left" w:pos="1134"/>
          <w:tab w:val="left" w:pos="1701"/>
          <w:tab w:val="left" w:pos="2268"/>
          <w:tab w:val="left" w:pos="7938"/>
        </w:tabs>
        <w:ind w:left="1134" w:hanging="567"/>
        <w:rPr>
          <w:szCs w:val="26"/>
        </w:rPr>
      </w:pPr>
      <w:r>
        <w:rPr>
          <w:b/>
          <w:bCs/>
          <w:szCs w:val="24"/>
        </w:rPr>
        <w:t>-</w:t>
      </w:r>
      <w:r>
        <w:rPr>
          <w:b/>
          <w:bCs/>
          <w:szCs w:val="24"/>
        </w:rPr>
        <w:tab/>
        <w:t>Статья</w:t>
      </w:r>
      <w:r>
        <w:rPr>
          <w:b/>
          <w:bCs/>
          <w:szCs w:val="26"/>
        </w:rPr>
        <w:t xml:space="preserve"> 376:  </w:t>
      </w:r>
      <w:r>
        <w:rPr>
          <w:szCs w:val="26"/>
        </w:rPr>
        <w:t xml:space="preserve">Забастовка считается незаконной:  а)  когда мотивы или цели забастовки не имеют никакого отношения к осуществлению или защите интересов трудящихся;  </w:t>
      </w:r>
      <w:r>
        <w:rPr>
          <w:szCs w:val="26"/>
          <w:lang w:val="en-US"/>
        </w:rPr>
        <w:t>b</w:t>
      </w:r>
      <w:r>
        <w:rPr>
          <w:szCs w:val="26"/>
        </w:rPr>
        <w:t>)  когда забастовка объявляется или проводится исключительно по политическим мотивам или когда она непосредственно направлена на оказание давления на государственные власти;  с)  когда работники соответствующих государственных служб не гарантируют предоставление жизненно необходимых услуг (оговоренных в статье</w:t>
      </w:r>
      <w:r>
        <w:rPr>
          <w:szCs w:val="26"/>
          <w:lang w:val="en-US"/>
        </w:rPr>
        <w:t> </w:t>
      </w:r>
      <w:r>
        <w:rPr>
          <w:szCs w:val="26"/>
        </w:rPr>
        <w:t xml:space="preserve">362) населению хотя бы в минимальном объеме; и  </w:t>
      </w:r>
      <w:r>
        <w:rPr>
          <w:szCs w:val="26"/>
          <w:lang w:val="en-US"/>
        </w:rPr>
        <w:t>d</w:t>
      </w:r>
      <w:r>
        <w:rPr>
          <w:szCs w:val="26"/>
        </w:rPr>
        <w:t>)  в ситуации, предусмотренной статьей</w:t>
      </w:r>
      <w:r>
        <w:rPr>
          <w:szCs w:val="26"/>
          <w:lang w:val="en-US"/>
        </w:rPr>
        <w:t> </w:t>
      </w:r>
      <w:r>
        <w:rPr>
          <w:szCs w:val="26"/>
        </w:rPr>
        <w:t>366.</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shd w:val="clear" w:color="auto" w:fill="FFFFFF"/>
        <w:tabs>
          <w:tab w:val="left" w:pos="567"/>
          <w:tab w:val="left" w:pos="1134"/>
          <w:tab w:val="left" w:pos="1701"/>
          <w:tab w:val="left" w:pos="2268"/>
          <w:tab w:val="left" w:pos="7938"/>
        </w:tabs>
        <w:ind w:left="1134" w:hanging="567"/>
        <w:rPr>
          <w:szCs w:val="26"/>
        </w:rPr>
      </w:pPr>
      <w:r>
        <w:rPr>
          <w:b/>
          <w:bCs/>
          <w:szCs w:val="24"/>
        </w:rPr>
        <w:t>-</w:t>
      </w:r>
      <w:r>
        <w:rPr>
          <w:b/>
          <w:bCs/>
          <w:szCs w:val="24"/>
        </w:rPr>
        <w:tab/>
        <w:t>Статья</w:t>
      </w:r>
      <w:r>
        <w:rPr>
          <w:b/>
          <w:bCs/>
          <w:szCs w:val="26"/>
        </w:rPr>
        <w:t xml:space="preserve"> 377:  </w:t>
      </w:r>
      <w:r>
        <w:rPr>
          <w:szCs w:val="26"/>
        </w:rPr>
        <w:t>Участие в незаконной забастовке, а также отказ предоставлять услуги в жизненно необходимых сферах деятельности, оговоренных в статье 362, может караться увольнением работника.</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shd w:val="clear" w:color="auto" w:fill="FFFFFF"/>
        <w:tabs>
          <w:tab w:val="left" w:pos="567"/>
          <w:tab w:val="left" w:pos="1134"/>
          <w:tab w:val="left" w:pos="1701"/>
          <w:tab w:val="left" w:pos="2268"/>
          <w:tab w:val="left" w:pos="7938"/>
        </w:tabs>
        <w:ind w:left="1134" w:hanging="567"/>
        <w:rPr>
          <w:szCs w:val="26"/>
        </w:rPr>
      </w:pPr>
      <w:r>
        <w:rPr>
          <w:b/>
          <w:bCs/>
          <w:szCs w:val="24"/>
        </w:rPr>
        <w:t>-</w:t>
      </w:r>
      <w:r>
        <w:rPr>
          <w:b/>
          <w:bCs/>
          <w:szCs w:val="24"/>
        </w:rPr>
        <w:tab/>
        <w:t>Статья</w:t>
      </w:r>
      <w:r>
        <w:rPr>
          <w:b/>
          <w:bCs/>
          <w:szCs w:val="26"/>
        </w:rPr>
        <w:t xml:space="preserve"> 378:  </w:t>
      </w:r>
      <w:r>
        <w:rPr>
          <w:szCs w:val="26"/>
        </w:rPr>
        <w:t>Любой суд по трудовым спорам правомочен объявить забастовку законной или незаконной.</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244.</w:t>
      </w:r>
      <w:r>
        <w:rPr>
          <w:szCs w:val="26"/>
        </w:rPr>
        <w:tab/>
        <w:t>Аналогичным образом парагвайский Трудовой кодекс предусматривает возможность локаутов, а именно:</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ind w:left="1134" w:hanging="567"/>
        <w:rPr>
          <w:szCs w:val="26"/>
        </w:rPr>
      </w:pPr>
      <w:r>
        <w:rPr>
          <w:b/>
          <w:bCs/>
          <w:szCs w:val="24"/>
        </w:rPr>
        <w:t>-</w:t>
      </w:r>
      <w:r>
        <w:rPr>
          <w:b/>
          <w:bCs/>
          <w:szCs w:val="24"/>
        </w:rPr>
        <w:tab/>
        <w:t>Статья</w:t>
      </w:r>
      <w:r>
        <w:rPr>
          <w:b/>
          <w:bCs/>
          <w:szCs w:val="26"/>
        </w:rPr>
        <w:t xml:space="preserve"> 379:  </w:t>
      </w:r>
      <w:r>
        <w:rPr>
          <w:szCs w:val="26"/>
        </w:rPr>
        <w:t>Право нанимателей на локаут гарантируется в соответствии со статьей</w:t>
      </w:r>
      <w:r>
        <w:rPr>
          <w:szCs w:val="26"/>
          <w:lang w:val="en-US"/>
        </w:rPr>
        <w:t> </w:t>
      </w:r>
      <w:r>
        <w:rPr>
          <w:szCs w:val="26"/>
        </w:rPr>
        <w:t>97 Конституции страны.</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shd w:val="clear" w:color="auto" w:fill="FFFFFF"/>
        <w:tabs>
          <w:tab w:val="left" w:pos="567"/>
          <w:tab w:val="left" w:pos="1134"/>
          <w:tab w:val="left" w:pos="1701"/>
          <w:tab w:val="left" w:pos="2268"/>
          <w:tab w:val="left" w:pos="7938"/>
        </w:tabs>
        <w:ind w:left="1134" w:hanging="567"/>
        <w:rPr>
          <w:szCs w:val="26"/>
        </w:rPr>
      </w:pPr>
      <w:r>
        <w:rPr>
          <w:b/>
          <w:bCs/>
          <w:szCs w:val="24"/>
        </w:rPr>
        <w:t>-</w:t>
      </w:r>
      <w:r>
        <w:rPr>
          <w:b/>
          <w:bCs/>
          <w:szCs w:val="24"/>
        </w:rPr>
        <w:tab/>
        <w:t>Статья</w:t>
      </w:r>
      <w:r>
        <w:rPr>
          <w:b/>
          <w:bCs/>
          <w:szCs w:val="26"/>
        </w:rPr>
        <w:t xml:space="preserve"> 380:  </w:t>
      </w:r>
      <w:r>
        <w:rPr>
          <w:szCs w:val="26"/>
        </w:rPr>
        <w:t>Локаут считается законным, если:  а)  он осуществляется с целью</w:t>
      </w:r>
      <w:r>
        <w:rPr>
          <w:szCs w:val="26"/>
          <w:lang w:val="es-ES_tradnl"/>
        </w:rPr>
        <w:t xml:space="preserve"> </w:t>
      </w:r>
      <w:r>
        <w:rPr>
          <w:szCs w:val="26"/>
        </w:rPr>
        <w:t xml:space="preserve">предотвратить угрозу насилия в отношении людей или причинения вреда имуществу;  </w:t>
      </w:r>
      <w:r>
        <w:rPr>
          <w:szCs w:val="26"/>
          <w:lang w:val="en-US"/>
        </w:rPr>
        <w:t>b</w:t>
      </w:r>
      <w:r>
        <w:rPr>
          <w:szCs w:val="26"/>
        </w:rPr>
        <w:t xml:space="preserve">)  он проводится для освобождения предприятия или какого-либо из его помещений от захвативших его лиц;  с)  он организуется ввиду невозможности поддерживать производственный процесс в условиях сложившейся конкуренции;  </w:t>
      </w:r>
      <w:r>
        <w:rPr>
          <w:szCs w:val="26"/>
          <w:lang w:val="fr-FR"/>
        </w:rPr>
        <w:t>d</w:t>
      </w:r>
      <w:r>
        <w:rPr>
          <w:szCs w:val="26"/>
        </w:rPr>
        <w:t>)  имеет место неоднократное нарушение коллективного договора со стороны работников;  е)  проводится в защиту любых законных интересов.</w:t>
      </w:r>
    </w:p>
    <w:p w:rsidR="00000000" w:rsidRDefault="00000000">
      <w:pPr>
        <w:shd w:val="clear" w:color="auto" w:fill="FFFFFF"/>
        <w:tabs>
          <w:tab w:val="left" w:pos="567"/>
          <w:tab w:val="left" w:pos="1134"/>
          <w:tab w:val="left" w:pos="1701"/>
          <w:tab w:val="left" w:pos="2268"/>
          <w:tab w:val="left" w:pos="7938"/>
        </w:tabs>
        <w:ind w:left="1134" w:hanging="567"/>
      </w:pPr>
    </w:p>
    <w:p w:rsidR="00000000" w:rsidRDefault="00000000">
      <w:pPr>
        <w:shd w:val="clear" w:color="auto" w:fill="FFFFFF"/>
        <w:tabs>
          <w:tab w:val="left" w:pos="567"/>
          <w:tab w:val="left" w:pos="1134"/>
          <w:tab w:val="left" w:pos="1701"/>
          <w:tab w:val="left" w:pos="2268"/>
          <w:tab w:val="left" w:pos="7938"/>
        </w:tabs>
        <w:ind w:left="1134" w:hanging="567"/>
        <w:rPr>
          <w:szCs w:val="26"/>
        </w:rPr>
      </w:pPr>
      <w:r>
        <w:rPr>
          <w:szCs w:val="26"/>
        </w:rPr>
        <w:t>-</w:t>
      </w:r>
      <w:r>
        <w:rPr>
          <w:szCs w:val="26"/>
        </w:rPr>
        <w:tab/>
      </w:r>
      <w:r>
        <w:rPr>
          <w:b/>
          <w:bCs/>
          <w:szCs w:val="24"/>
        </w:rPr>
        <w:t>Статья</w:t>
      </w:r>
      <w:r>
        <w:rPr>
          <w:b/>
          <w:bCs/>
          <w:szCs w:val="26"/>
        </w:rPr>
        <w:t xml:space="preserve"> 381:  </w:t>
      </w:r>
      <w:r>
        <w:rPr>
          <w:szCs w:val="26"/>
        </w:rPr>
        <w:t>Локаут, признанный судьей первой инстанции законным, освобождает работодателя от обязанности выплачивать персоналу заработную плату в течение всего периода его действия.  Любой локаут, признанный судьей первой инстанции незаконным, не освобождает работодателя от обязанности выплачивать персоналу заработную плату в течение всего времени его действия.</w:t>
      </w:r>
    </w:p>
    <w:p w:rsidR="00000000" w:rsidRDefault="00000000">
      <w:pPr>
        <w:shd w:val="clear" w:color="auto" w:fill="FFFFFF"/>
        <w:tabs>
          <w:tab w:val="left" w:pos="567"/>
          <w:tab w:val="left" w:pos="1134"/>
          <w:tab w:val="left" w:pos="1701"/>
          <w:tab w:val="left" w:pos="2268"/>
          <w:tab w:val="left" w:pos="7938"/>
        </w:tabs>
        <w:ind w:left="1134" w:hanging="567"/>
      </w:pPr>
    </w:p>
    <w:p w:rsidR="00000000" w:rsidRDefault="00000000">
      <w:pPr>
        <w:shd w:val="clear" w:color="auto" w:fill="FFFFFF"/>
        <w:tabs>
          <w:tab w:val="left" w:pos="567"/>
          <w:tab w:val="left" w:pos="1134"/>
          <w:tab w:val="left" w:pos="1701"/>
          <w:tab w:val="left" w:pos="2268"/>
          <w:tab w:val="left" w:pos="7938"/>
        </w:tabs>
        <w:ind w:left="1134" w:hanging="1134"/>
        <w:rPr>
          <w:b/>
          <w:bCs/>
          <w:szCs w:val="26"/>
        </w:rPr>
      </w:pPr>
      <w:r>
        <w:rPr>
          <w:b/>
          <w:bCs/>
          <w:szCs w:val="26"/>
          <w:lang w:val="en-US"/>
        </w:rPr>
        <w:tab/>
      </w:r>
      <w:r>
        <w:rPr>
          <w:b/>
          <w:bCs/>
          <w:szCs w:val="26"/>
        </w:rPr>
        <w:t>1.4</w:t>
      </w:r>
      <w:r>
        <w:rPr>
          <w:b/>
          <w:bCs/>
          <w:szCs w:val="26"/>
        </w:rPr>
        <w:tab/>
        <w:t>Ограничения права на забастовку для личного состава вооруженных сил и сотрудников национальной полиции</w:t>
      </w:r>
    </w:p>
    <w:p w:rsidR="00000000" w:rsidRDefault="00000000">
      <w:pPr>
        <w:shd w:val="clear" w:color="auto" w:fill="FFFFFF"/>
        <w:tabs>
          <w:tab w:val="left" w:pos="567"/>
          <w:tab w:val="left" w:pos="1134"/>
          <w:tab w:val="left" w:pos="1701"/>
          <w:tab w:val="left" w:pos="2268"/>
          <w:tab w:val="left" w:pos="7938"/>
        </w:tabs>
        <w:ind w:left="567" w:hanging="567"/>
      </w:pPr>
    </w:p>
    <w:p w:rsidR="00000000" w:rsidRDefault="00000000">
      <w:pPr>
        <w:shd w:val="clear" w:color="auto" w:fill="FFFFFF"/>
        <w:tabs>
          <w:tab w:val="left" w:pos="567"/>
          <w:tab w:val="left" w:pos="1134"/>
          <w:tab w:val="left" w:pos="1701"/>
          <w:tab w:val="left" w:pos="2268"/>
          <w:tab w:val="left" w:pos="7938"/>
        </w:tabs>
        <w:rPr>
          <w:szCs w:val="26"/>
        </w:rPr>
      </w:pPr>
      <w:r>
        <w:rPr>
          <w:szCs w:val="26"/>
        </w:rPr>
        <w:t>245.</w:t>
      </w:r>
      <w:r>
        <w:rPr>
          <w:szCs w:val="26"/>
        </w:rPr>
        <w:tab/>
        <w:t>Аналогично ограничениям прав в трудовой сфере, упомянутым выше в статье 362 (если забастовку проводит персонал больниц, служб водо- и электроснабжения...), подобные изъятия существуют также для личного состава вооруженных сил и сотрудников национальной полиции.  В этом отношении Конституция страны гласит:</w:t>
      </w:r>
    </w:p>
    <w:p w:rsidR="00000000" w:rsidRDefault="00000000">
      <w:pPr>
        <w:shd w:val="clear" w:color="auto" w:fill="FFFFFF"/>
        <w:tabs>
          <w:tab w:val="left" w:pos="567"/>
          <w:tab w:val="left" w:pos="1134"/>
          <w:tab w:val="left" w:pos="1701"/>
          <w:tab w:val="left" w:pos="2268"/>
          <w:tab w:val="left" w:pos="7938"/>
        </w:tabs>
      </w:pPr>
    </w:p>
    <w:p w:rsidR="00000000" w:rsidRDefault="00000000">
      <w:pPr>
        <w:keepLines/>
        <w:shd w:val="clear" w:color="auto" w:fill="FFFFFF"/>
        <w:tabs>
          <w:tab w:val="left" w:pos="567"/>
          <w:tab w:val="left" w:pos="1134"/>
          <w:tab w:val="left" w:pos="1701"/>
          <w:tab w:val="left" w:pos="2268"/>
          <w:tab w:val="left" w:pos="7938"/>
        </w:tabs>
        <w:ind w:left="1134" w:hanging="567"/>
        <w:rPr>
          <w:szCs w:val="26"/>
        </w:rPr>
      </w:pPr>
      <w:r>
        <w:rPr>
          <w:b/>
          <w:bCs/>
          <w:szCs w:val="24"/>
        </w:rPr>
        <w:t>-</w:t>
      </w:r>
      <w:r>
        <w:rPr>
          <w:b/>
          <w:bCs/>
          <w:szCs w:val="24"/>
        </w:rPr>
        <w:tab/>
        <w:t>Статья</w:t>
      </w:r>
      <w:r>
        <w:rPr>
          <w:b/>
          <w:bCs/>
          <w:szCs w:val="26"/>
        </w:rPr>
        <w:t xml:space="preserve"> 96:  </w:t>
      </w:r>
      <w:r>
        <w:rPr>
          <w:szCs w:val="26"/>
        </w:rPr>
        <w:t xml:space="preserve">О свободе профсоюзной деятельности:  Все трудящиеся как государственного, так и частного секторов имеют право объединяться в профессиональные союзы, для чего не требуется предварительного разрешения.  </w:t>
      </w:r>
      <w:r>
        <w:rPr>
          <w:i/>
          <w:iCs/>
          <w:szCs w:val="26"/>
        </w:rPr>
        <w:t>Исключение составляют военнослужащие вооруженных сил и сотрудники национальной полиции.</w:t>
      </w:r>
      <w:r>
        <w:rPr>
          <w:szCs w:val="26"/>
        </w:rPr>
        <w:t xml:space="preserve">  Работодатели имеют аналогичную свободу на создание своей организации.  Никого нельзя обязать вступать в члены какого бы то ни было профсоюза.</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shd w:val="clear" w:color="auto" w:fill="FFFFFF"/>
        <w:tabs>
          <w:tab w:val="left" w:pos="567"/>
          <w:tab w:val="left" w:pos="1134"/>
          <w:tab w:val="left" w:pos="1701"/>
          <w:tab w:val="left" w:pos="2268"/>
          <w:tab w:val="left" w:pos="7938"/>
        </w:tabs>
        <w:ind w:left="1134" w:hanging="567"/>
        <w:rPr>
          <w:szCs w:val="26"/>
        </w:rPr>
      </w:pPr>
      <w:r>
        <w:rPr>
          <w:b/>
          <w:bCs/>
          <w:szCs w:val="24"/>
        </w:rPr>
        <w:t>-</w:t>
      </w:r>
      <w:r>
        <w:rPr>
          <w:b/>
          <w:bCs/>
          <w:szCs w:val="24"/>
        </w:rPr>
        <w:tab/>
        <w:t>Статья</w:t>
      </w:r>
      <w:r>
        <w:rPr>
          <w:b/>
          <w:bCs/>
          <w:szCs w:val="26"/>
        </w:rPr>
        <w:t xml:space="preserve"> 98:  </w:t>
      </w:r>
      <w:r>
        <w:rPr>
          <w:szCs w:val="26"/>
        </w:rPr>
        <w:t xml:space="preserve">О праве на забастовку и локаут:  Все трудящиеся как государственного, так и частного секторов имеют право прибегнуть к забастовке в случае конфликта интересов.  Работодатели имеют право на локаут по той же причине.  </w:t>
      </w:r>
      <w:r>
        <w:rPr>
          <w:i/>
          <w:iCs/>
          <w:szCs w:val="26"/>
        </w:rPr>
        <w:t xml:space="preserve">Право на забастовку и локаут не распространяется на военнослужащих вооруженных сил страны и сотрудников национальной полиции.  </w:t>
      </w:r>
      <w:r>
        <w:rPr>
          <w:szCs w:val="26"/>
        </w:rPr>
        <w:t>Законодательство регулирует осуществление данных прав таким образом, чтобы это не сказывалось на предоставлении населению жизненно важных услуг.</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szCs w:val="24"/>
        </w:rPr>
      </w:pPr>
      <w:r>
        <w:rPr>
          <w:szCs w:val="26"/>
        </w:rPr>
        <w:t>246.</w:t>
      </w:r>
      <w:r>
        <w:rPr>
          <w:szCs w:val="26"/>
        </w:rPr>
        <w:tab/>
        <w:t>Названные ограничения, касающиеся военнослужащих вооруженных сил и сотрудников национальной полиции, отвечают необходимости поддержания общественного порядка и ни в коем случае не являются обременением.  В этом отношении можно утверждать, что военнослужащие и сотрудники национальной полиции не пользуются правом на забастовку в силу того, что они выполняют функцию органов общественной безопасности и в</w:t>
      </w:r>
      <w:r>
        <w:rPr>
          <w:szCs w:val="24"/>
        </w:rPr>
        <w:t xml:space="preserve"> этом качестве обязаны непрерывно обеспечивать безопасность общества.  Задача вооруженных сил заключается в защите территориальной целостности страны и законно сформированных органов власти.  Следует заметить, что все изложенное в вышеприведенных статьях касательно права военнослужащих и сотрудников национальной полиции на забастовку неуклонно проводится в жизнь при исполнении ими военных и полицейских функций в рамках положений Конституции страны.</w:t>
      </w:r>
    </w:p>
    <w:p w:rsidR="00000000" w:rsidRDefault="00000000">
      <w:pPr>
        <w:shd w:val="clear" w:color="auto" w:fill="FFFFFF"/>
        <w:tabs>
          <w:tab w:val="left" w:pos="567"/>
          <w:tab w:val="left" w:pos="1134"/>
          <w:tab w:val="left" w:pos="1701"/>
          <w:tab w:val="left" w:pos="2268"/>
          <w:tab w:val="left" w:pos="7938"/>
        </w:tabs>
      </w:pPr>
    </w:p>
    <w:p w:rsidR="00000000" w:rsidRDefault="00000000">
      <w:pPr>
        <w:pageBreakBefore/>
        <w:shd w:val="clear" w:color="auto" w:fill="FFFFFF"/>
        <w:tabs>
          <w:tab w:val="left" w:pos="567"/>
          <w:tab w:val="left" w:pos="1134"/>
          <w:tab w:val="left" w:pos="1701"/>
          <w:tab w:val="left" w:pos="2268"/>
          <w:tab w:val="left" w:pos="7938"/>
        </w:tabs>
        <w:spacing w:line="240" w:lineRule="auto"/>
        <w:rPr>
          <w:b/>
          <w:bCs/>
          <w:szCs w:val="24"/>
        </w:rPr>
      </w:pPr>
      <w:r>
        <w:rPr>
          <w:b/>
          <w:bCs/>
          <w:szCs w:val="24"/>
        </w:rPr>
        <w:t>Статья 9</w:t>
      </w:r>
    </w:p>
    <w:p w:rsidR="00000000" w:rsidRDefault="00000000">
      <w:pPr>
        <w:shd w:val="clear" w:color="auto" w:fill="FFFFFF"/>
        <w:tabs>
          <w:tab w:val="left" w:pos="567"/>
          <w:tab w:val="left" w:pos="1134"/>
          <w:tab w:val="left" w:pos="1701"/>
          <w:tab w:val="left" w:pos="2268"/>
          <w:tab w:val="left" w:pos="7938"/>
        </w:tabs>
        <w:spacing w:line="240" w:lineRule="auto"/>
      </w:pPr>
    </w:p>
    <w:p w:rsidR="00000000" w:rsidRDefault="00000000">
      <w:pPr>
        <w:shd w:val="clear" w:color="auto" w:fill="FFFFFF"/>
        <w:tabs>
          <w:tab w:val="left" w:pos="567"/>
          <w:tab w:val="left" w:pos="1134"/>
          <w:tab w:val="left" w:pos="1701"/>
          <w:tab w:val="left" w:pos="2268"/>
          <w:tab w:val="left" w:pos="7938"/>
        </w:tabs>
        <w:spacing w:line="240" w:lineRule="auto"/>
        <w:jc w:val="center"/>
        <w:rPr>
          <w:b/>
          <w:bCs/>
          <w:szCs w:val="24"/>
        </w:rPr>
      </w:pPr>
      <w:r>
        <w:rPr>
          <w:b/>
          <w:bCs/>
          <w:szCs w:val="24"/>
        </w:rPr>
        <w:t>А.</w:t>
      </w:r>
      <w:r>
        <w:rPr>
          <w:b/>
          <w:bCs/>
          <w:szCs w:val="24"/>
        </w:rPr>
        <w:tab/>
        <w:t>Социальное страхование</w:t>
      </w:r>
    </w:p>
    <w:p w:rsidR="00000000" w:rsidRDefault="00000000">
      <w:pPr>
        <w:shd w:val="clear" w:color="auto" w:fill="FFFFFF"/>
        <w:tabs>
          <w:tab w:val="left" w:pos="567"/>
          <w:tab w:val="left" w:pos="1134"/>
          <w:tab w:val="left" w:pos="1701"/>
          <w:tab w:val="left" w:pos="2268"/>
          <w:tab w:val="left" w:pos="7938"/>
        </w:tabs>
        <w:spacing w:line="240" w:lineRule="auto"/>
      </w:pPr>
    </w:p>
    <w:p w:rsidR="00000000" w:rsidRDefault="00000000">
      <w:pPr>
        <w:shd w:val="clear" w:color="auto" w:fill="FFFFFF"/>
        <w:tabs>
          <w:tab w:val="left" w:pos="567"/>
          <w:tab w:val="left" w:pos="1134"/>
          <w:tab w:val="left" w:pos="1701"/>
          <w:tab w:val="left" w:pos="2268"/>
          <w:tab w:val="left" w:pos="7938"/>
        </w:tabs>
        <w:rPr>
          <w:szCs w:val="24"/>
        </w:rPr>
      </w:pPr>
      <w:r>
        <w:rPr>
          <w:szCs w:val="24"/>
        </w:rPr>
        <w:t>247.</w:t>
      </w:r>
      <w:r>
        <w:rPr>
          <w:szCs w:val="24"/>
        </w:rPr>
        <w:tab/>
        <w:t>Национальным законодательством Парагвая предусмотрены следующие виды</w:t>
      </w:r>
      <w:r>
        <w:rPr>
          <w:szCs w:val="24"/>
        </w:rPr>
        <w:br/>
        <w:t>социального страхования</w:t>
      </w:r>
      <w:r>
        <w:rPr>
          <w:rStyle w:val="FootnoteReference"/>
          <w:szCs w:val="24"/>
        </w:rPr>
        <w:footnoteReference w:id="23"/>
      </w:r>
      <w:r>
        <w:rPr>
          <w:szCs w:val="24"/>
        </w:rPr>
        <w:t>:</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ind w:left="1134" w:hanging="567"/>
        <w:rPr>
          <w:szCs w:val="24"/>
        </w:rPr>
      </w:pPr>
      <w:r>
        <w:rPr>
          <w:szCs w:val="24"/>
        </w:rPr>
        <w:t>1.</w:t>
      </w:r>
      <w:r>
        <w:rPr>
          <w:b/>
          <w:bCs/>
          <w:szCs w:val="24"/>
        </w:rPr>
        <w:tab/>
        <w:t xml:space="preserve">Медицинское страхование:  </w:t>
      </w:r>
      <w:r>
        <w:rPr>
          <w:szCs w:val="24"/>
        </w:rPr>
        <w:t>введено Законом № 2053/05 "Общегосударственный бюджет.  Расходная часть", где говорится: "...установить на уровне 85 000 гуарани размер ежемесячной государственной помощи, выделяемой по целевой расходной статье 191 "Пособие на здравоохранение" каждому служащему или работнику органов исполнительной власти, судебной власти, центральных контрольно-ревизионных органов Республики, а также децентрализованных предприятий, служащие и рабочие которых не охватываются медицинским страхованием по линии Института социального обеспечения или в рамках другого специального режима".</w:t>
      </w:r>
    </w:p>
    <w:p w:rsidR="00000000" w:rsidRDefault="00000000">
      <w:pPr>
        <w:shd w:val="clear" w:color="auto" w:fill="FFFFFF"/>
        <w:tabs>
          <w:tab w:val="left" w:pos="567"/>
          <w:tab w:val="left" w:pos="1134"/>
          <w:tab w:val="left" w:pos="1701"/>
          <w:tab w:val="left" w:pos="2268"/>
          <w:tab w:val="left" w:pos="7938"/>
        </w:tabs>
        <w:ind w:left="1134" w:hanging="567"/>
      </w:pPr>
    </w:p>
    <w:p w:rsidR="00000000" w:rsidRDefault="00000000">
      <w:pPr>
        <w:shd w:val="clear" w:color="auto" w:fill="FFFFFF"/>
        <w:tabs>
          <w:tab w:val="left" w:pos="567"/>
          <w:tab w:val="left" w:pos="1134"/>
          <w:tab w:val="left" w:pos="1701"/>
          <w:tab w:val="left" w:pos="2268"/>
          <w:tab w:val="left" w:pos="7938"/>
        </w:tabs>
        <w:rPr>
          <w:szCs w:val="26"/>
        </w:rPr>
      </w:pPr>
      <w:r>
        <w:rPr>
          <w:szCs w:val="24"/>
        </w:rPr>
        <w:t>248.</w:t>
      </w:r>
      <w:r>
        <w:rPr>
          <w:szCs w:val="24"/>
        </w:rPr>
        <w:tab/>
        <w:t xml:space="preserve">Медицинское страхование распространяется на определенные риски:  общие заболевания и несчастные случаи;  профессиональные заболевания и несчастные случаи на производстве;  беременность и роды.  Риск общих заболеваний или несчастных случаев:  несчастные случаи общего характера - это случайные и непредсказуемые события, происходящие вне места работы, которые наносят физический или психический ущерб застрахованному работнику и требуют медицинской помощи.  Общие заболевания - это те, которые не вызваны условиями работы.  Общие заболевания и несчастные случаи дают застрахованному работнику право на медицинскую, хирургическую, стоматологическую, медикаментозную помощь и госпитализацию, а также право на </w:t>
      </w:r>
      <w:r>
        <w:rPr>
          <w:szCs w:val="26"/>
        </w:rPr>
        <w:t>получение пособия в течение всего периода, пока он не имеет возможности работать, либо, если он потерял трудоспособность полностью, на пенсию по инвалидности вследствие общего заболевания или несчастного случая.</w:t>
      </w:r>
    </w:p>
    <w:p w:rsidR="00000000" w:rsidRDefault="00000000">
      <w:pPr>
        <w:shd w:val="clear" w:color="auto" w:fill="FFFFFF"/>
        <w:tabs>
          <w:tab w:val="left" w:pos="567"/>
          <w:tab w:val="left" w:pos="1134"/>
          <w:tab w:val="left" w:pos="1701"/>
          <w:tab w:val="left" w:pos="2268"/>
          <w:tab w:val="left" w:pos="7938"/>
        </w:tabs>
      </w:pPr>
    </w:p>
    <w:p w:rsidR="00000000" w:rsidRDefault="00000000">
      <w:pPr>
        <w:keepLines/>
        <w:shd w:val="clear" w:color="auto" w:fill="FFFFFF"/>
        <w:tabs>
          <w:tab w:val="left" w:pos="567"/>
          <w:tab w:val="left" w:pos="1134"/>
          <w:tab w:val="left" w:pos="1701"/>
          <w:tab w:val="left" w:pos="2268"/>
          <w:tab w:val="left" w:pos="7938"/>
        </w:tabs>
        <w:ind w:left="1134" w:hanging="1134"/>
        <w:rPr>
          <w:szCs w:val="26"/>
        </w:rPr>
      </w:pPr>
      <w:r>
        <w:rPr>
          <w:b/>
          <w:bCs/>
          <w:szCs w:val="26"/>
        </w:rPr>
        <w:tab/>
      </w:r>
      <w:r>
        <w:rPr>
          <w:szCs w:val="26"/>
        </w:rPr>
        <w:t>2.</w:t>
      </w:r>
      <w:r>
        <w:rPr>
          <w:b/>
          <w:bCs/>
          <w:szCs w:val="26"/>
        </w:rPr>
        <w:tab/>
        <w:t xml:space="preserve">Страхование или пособие на случай болезни:  </w:t>
      </w:r>
      <w:r>
        <w:rPr>
          <w:szCs w:val="26"/>
        </w:rPr>
        <w:t xml:space="preserve">В статье 30 Закона № 375/56 "Об Институте социального обеспечения" с уточнениями и изменениями, внесенными законами № 1085/65, 427/73 и 98/92, устанавливается следующее:  "...в случае непрофессиональной болезни или несчастного случая, не связанного с работой, Институт социального обеспечения должен обеспечивать застрахованным:  а)  медицинскую, хирургическую, стоматологическую, медикаментозную помощь и госпитализацию...;  </w:t>
      </w:r>
      <w:r>
        <w:rPr>
          <w:szCs w:val="26"/>
          <w:lang w:val="en-US"/>
        </w:rPr>
        <w:t>b</w:t>
      </w:r>
      <w:r>
        <w:rPr>
          <w:szCs w:val="26"/>
        </w:rPr>
        <w:t>)  выдачу денежного пособия застрахованным из числа работающих, которые проходят медицинское лечение во время болезни...;  с)  предоставление протезов и ортопедических аппаратов в соответствии с регламентом...".  В статье 32 оговаривается размер назначаемого пособия по болезни.</w:t>
      </w:r>
    </w:p>
    <w:p w:rsidR="00000000" w:rsidRDefault="00000000">
      <w:pPr>
        <w:shd w:val="clear" w:color="auto" w:fill="FFFFFF"/>
        <w:tabs>
          <w:tab w:val="left" w:pos="567"/>
          <w:tab w:val="left" w:pos="1134"/>
          <w:tab w:val="left" w:pos="1701"/>
          <w:tab w:val="left" w:pos="2268"/>
          <w:tab w:val="left" w:pos="7938"/>
        </w:tabs>
        <w:ind w:left="1134" w:hanging="1134"/>
      </w:pPr>
    </w:p>
    <w:p w:rsidR="00000000" w:rsidRDefault="00000000">
      <w:pPr>
        <w:shd w:val="clear" w:color="auto" w:fill="FFFFFF"/>
        <w:tabs>
          <w:tab w:val="left" w:pos="567"/>
          <w:tab w:val="left" w:pos="1134"/>
          <w:tab w:val="left" w:pos="1701"/>
          <w:tab w:val="left" w:pos="2268"/>
          <w:tab w:val="left" w:pos="7938"/>
        </w:tabs>
        <w:rPr>
          <w:szCs w:val="26"/>
        </w:rPr>
      </w:pPr>
      <w:r>
        <w:rPr>
          <w:szCs w:val="26"/>
        </w:rPr>
        <w:t>249.</w:t>
      </w:r>
      <w:r>
        <w:rPr>
          <w:szCs w:val="26"/>
        </w:rPr>
        <w:tab/>
        <w:t>Профессиональными считаются те заболевания, которые вызваны условиями работы.  Несчастные случаи на производстве и профессиональные заболевания дают застрахованному работнику право на медицинскую, хирургическую, стоматологическую, медикаментозную помощь и госпитализацию, а также право на получение пособия в течение всего периода, пока он временно не работает, либо, если он потерял трудоспособность частично или полностью, на пенсию по инвалидности вследствие несчастного случая на работе или профессионального заболевания.  Распространяется на застрахованных лиц из числа работающих, которые проходят медицинское лечение с освобождением от работы вследствие заболевания общего характера.  Выплачивается со дня, следующего за днем возникновения нетрудоспособности, и в течение всего периода болезни при условии, что бенефициар проходит лечение по линии Института социального обеспечения.</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ind w:left="1134" w:hanging="567"/>
        <w:rPr>
          <w:szCs w:val="26"/>
        </w:rPr>
      </w:pPr>
      <w:r>
        <w:rPr>
          <w:szCs w:val="26"/>
        </w:rPr>
        <w:t>3.</w:t>
      </w:r>
      <w:r>
        <w:rPr>
          <w:b/>
          <w:bCs/>
          <w:szCs w:val="26"/>
        </w:rPr>
        <w:tab/>
        <w:t xml:space="preserve">Пособие по материнству:  </w:t>
      </w:r>
      <w:r>
        <w:rPr>
          <w:szCs w:val="26"/>
        </w:rPr>
        <w:t xml:space="preserve">В статьях 36-39 Закона № 375/56 "Об Институте социального обеспечения" с уточнениями и изменениями, внесенными законами № 1085/65, 427/73 и 98/92, устанавливаются льготы и пособия, обеспечиваемые по линии Института социального обеспечения застрахованным женщинам в течение периода беременности, во время родов и в послеродовой период.  Статьей 37 предусматривается "... а)  выплата денежного пособия в течение трех недель до предполагаемого срока и шести недель после фактической даты рождения ребенка;  </w:t>
      </w:r>
      <w:r>
        <w:rPr>
          <w:szCs w:val="26"/>
          <w:lang w:val="en-US"/>
        </w:rPr>
        <w:t>b</w:t>
      </w:r>
      <w:r>
        <w:rPr>
          <w:szCs w:val="26"/>
        </w:rPr>
        <w:t>)  предоставление молока для ребенка, если женщина не в состоянии вскармливать его грудью согласно заключению специалиста...".</w:t>
      </w:r>
    </w:p>
    <w:p w:rsidR="00000000" w:rsidRDefault="00000000">
      <w:pPr>
        <w:shd w:val="clear" w:color="auto" w:fill="FFFFFF"/>
        <w:tabs>
          <w:tab w:val="left" w:pos="567"/>
          <w:tab w:val="left" w:pos="1134"/>
          <w:tab w:val="left" w:pos="1701"/>
          <w:tab w:val="left" w:pos="2268"/>
          <w:tab w:val="left" w:pos="7938"/>
        </w:tabs>
        <w:ind w:left="1134" w:hanging="567"/>
      </w:pPr>
    </w:p>
    <w:p w:rsidR="00000000" w:rsidRDefault="00000000">
      <w:pPr>
        <w:shd w:val="clear" w:color="auto" w:fill="FFFFFF"/>
        <w:tabs>
          <w:tab w:val="left" w:pos="567"/>
          <w:tab w:val="left" w:pos="1134"/>
          <w:tab w:val="left" w:pos="1701"/>
          <w:tab w:val="left" w:pos="2268"/>
          <w:tab w:val="left" w:pos="7938"/>
        </w:tabs>
        <w:rPr>
          <w:szCs w:val="26"/>
        </w:rPr>
      </w:pPr>
      <w:r>
        <w:rPr>
          <w:szCs w:val="26"/>
        </w:rPr>
        <w:t>250.</w:t>
      </w:r>
      <w:r>
        <w:rPr>
          <w:szCs w:val="26"/>
        </w:rPr>
        <w:tab/>
        <w:t>Страхование риска по беременности и родам:  Во время беременности, родов и в послеродовой период Институт социального обеспечения предоставляет застрахованной работнице, супруге либо сожительнице застрахованного работника или пенсионера установленную законом медицинскую помощь, а также обязательный дородовой и послеродовой отпуск, денежное пособие и необходимое количество молока, если она сама не может вскармливать ребенка грудью.  Дочь застрахованного работника или пенсионера, хотя и является членом его семьи, не имеет право на пособие по беременности и родам.  Страхование риска по беременности и родам предусматривает выдачу застрахованным пособия и оказание соответствующих услуг во время беременности, родов и в послеродовой период.  Состав социальных льгот следующий:  медицинская, хирургическая, стоматологическая, медикаментозная помощь и госпитализация в соответствии с нормами, установленными Институтом социального обеспечения.  Такие же права распространяются на супруга (супругу) застрахованной (застрахованного) либо на сожителя (сожительницу) соответственно, с которым они открыто, постоянно и однозначно прожили не менее двух (2) лет, предшествовавших наступлению страхового случая.</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ind w:left="1134" w:hanging="567"/>
        <w:rPr>
          <w:b/>
          <w:bCs/>
          <w:szCs w:val="26"/>
        </w:rPr>
      </w:pPr>
      <w:r>
        <w:rPr>
          <w:szCs w:val="26"/>
        </w:rPr>
        <w:t>4.</w:t>
      </w:r>
      <w:r>
        <w:rPr>
          <w:b/>
          <w:bCs/>
          <w:szCs w:val="26"/>
        </w:rPr>
        <w:tab/>
        <w:t xml:space="preserve">Семейное страхование или пособие:  </w:t>
      </w:r>
      <w:r>
        <w:rPr>
          <w:szCs w:val="26"/>
        </w:rPr>
        <w:t>Семейное страхование установлено Законом № 2053/05 "Общегосударственный бюджет.  Расходная часть", в статье</w:t>
      </w:r>
      <w:r>
        <w:rPr>
          <w:szCs w:val="26"/>
          <w:lang w:val="en-US"/>
        </w:rPr>
        <w:t> </w:t>
      </w:r>
      <w:r>
        <w:rPr>
          <w:szCs w:val="26"/>
        </w:rPr>
        <w:t>49 которого говорится:  "...установить на уровне 35 000 гуарани размер семейного пособия на каждого ребенка моложе 18 лет, но не более чем на троих детей в семье, выдаваемого государственному служащему, получающему до 1 000 000 гуарани в месяц".  Условия получения семейного пособия изложены в статьях 261-271 Трудового кодекса.</w:t>
      </w:r>
    </w:p>
    <w:p w:rsidR="00000000" w:rsidRDefault="00000000">
      <w:pPr>
        <w:shd w:val="clear" w:color="auto" w:fill="FFFFFF"/>
        <w:tabs>
          <w:tab w:val="left" w:pos="567"/>
          <w:tab w:val="left" w:pos="1134"/>
          <w:tab w:val="left" w:pos="1701"/>
          <w:tab w:val="left" w:pos="2268"/>
          <w:tab w:val="left" w:pos="7938"/>
        </w:tabs>
        <w:rPr>
          <w:b/>
          <w:bCs/>
          <w:szCs w:val="26"/>
        </w:rPr>
      </w:pPr>
    </w:p>
    <w:p w:rsidR="00000000" w:rsidRDefault="00000000">
      <w:pPr>
        <w:shd w:val="clear" w:color="auto" w:fill="FFFFFF"/>
        <w:tabs>
          <w:tab w:val="left" w:pos="567"/>
          <w:tab w:val="left" w:pos="1134"/>
          <w:tab w:val="left" w:pos="1701"/>
          <w:tab w:val="left" w:pos="2268"/>
          <w:tab w:val="left" w:pos="7938"/>
        </w:tabs>
        <w:ind w:left="1134" w:hanging="1134"/>
        <w:rPr>
          <w:b/>
          <w:bCs/>
          <w:szCs w:val="26"/>
        </w:rPr>
      </w:pPr>
      <w:r>
        <w:rPr>
          <w:b/>
          <w:bCs/>
          <w:szCs w:val="26"/>
        </w:rPr>
        <w:tab/>
      </w:r>
      <w:r>
        <w:rPr>
          <w:szCs w:val="26"/>
        </w:rPr>
        <w:t>5.</w:t>
      </w:r>
      <w:r>
        <w:rPr>
          <w:b/>
          <w:bCs/>
          <w:szCs w:val="26"/>
        </w:rPr>
        <w:tab/>
        <w:t xml:space="preserve">Страхование или пенсия по старости:  </w:t>
      </w:r>
      <w:r>
        <w:rPr>
          <w:szCs w:val="26"/>
        </w:rPr>
        <w:t>Статья 103 Конституции страны гласит:  "...в рамках общей системы социального обеспечения должны законодательно регулироваться вопросы пенсионного обеспечения государственных служащих и работников с учетом того, что созданные для этой цели автономные организации будут принимать пенсионные взносы и распоряжаться этими средствами под государственным контролем.  Пенсионным обеспечением должны быть охвачены все, кто в той или иной форме находился на государственной службе.  Закон должен обеспечить индексацию пенсий соразмерно увеличению денежного содержания действующих государственных служащих".  Закон № 375/56 "Об Институте социального обеспечения" с уточнениями и изменениями, внесенными законами № 1085/65, 427/73 и 98/92, в своей статье 60 устанавливает право выхода на пенсию или на страхование по старости:  "...застрахованному, которому исполнилось 60 лет и который имеет как минимум 25 лет подтвержденной выслуги...".</w:t>
      </w:r>
    </w:p>
    <w:p w:rsidR="00000000" w:rsidRDefault="00000000"/>
    <w:p w:rsidR="00000000" w:rsidRDefault="00000000">
      <w:pPr>
        <w:shd w:val="clear" w:color="auto" w:fill="FFFFFF"/>
        <w:tabs>
          <w:tab w:val="left" w:pos="567"/>
          <w:tab w:val="left" w:pos="1134"/>
          <w:tab w:val="left" w:pos="1701"/>
          <w:tab w:val="left" w:pos="2268"/>
          <w:tab w:val="left" w:pos="7938"/>
        </w:tabs>
        <w:ind w:left="1134" w:hanging="1134"/>
        <w:rPr>
          <w:szCs w:val="26"/>
        </w:rPr>
      </w:pPr>
      <w:r>
        <w:rPr>
          <w:szCs w:val="26"/>
        </w:rPr>
        <w:tab/>
        <w:t>6.</w:t>
      </w:r>
      <w:r>
        <w:rPr>
          <w:b/>
          <w:bCs/>
          <w:szCs w:val="26"/>
        </w:rPr>
        <w:tab/>
        <w:t xml:space="preserve">Страхование или пенсия по инвалидности вследствие несчастного случая на производстве.  </w:t>
      </w:r>
      <w:r>
        <w:rPr>
          <w:szCs w:val="26"/>
        </w:rPr>
        <w:t>Закон № 375/56 "Об Институте социального обеспечения" с уточнениями и изменениями, внесенными законами № 1085/65, 427/73 и 98/92, в статье 61 устанавливает право на пенсию по инвалидности в силу общего заболевания, трудового увечья или профессиональной болезни, которая "...включает базовую сумму, эквивалентную 50% среднемесячной зарплаты за последние 36 месяцев, предшествовавших заключению об инвалидности...".</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ind w:left="1134" w:hanging="1134"/>
        <w:rPr>
          <w:szCs w:val="26"/>
        </w:rPr>
      </w:pPr>
      <w:r>
        <w:rPr>
          <w:szCs w:val="26"/>
        </w:rPr>
        <w:tab/>
        <w:t>7.</w:t>
      </w:r>
      <w:r>
        <w:rPr>
          <w:b/>
          <w:bCs/>
          <w:szCs w:val="26"/>
        </w:rPr>
        <w:tab/>
        <w:t xml:space="preserve">Страхование на случай потери трудоспособности.  </w:t>
      </w:r>
      <w:r>
        <w:rPr>
          <w:szCs w:val="26"/>
        </w:rPr>
        <w:t>Случается, что вследствие несчастного случая на производстве работник теряет частично или полностью свою трудоспособность.  Временная нетрудоспособность может длиться от 3 дней до 52 недель и дает право на получение денежного пособия, равного 75% среднемесячной зарплаты за последние четыре месяца.  Если же в результате несчастного случая на производстве работник теряет трудоспособность сразу и полностью или его нетрудоспособность сохраняется по истечении 52 недель, он имеет право на ежемесячное пособие, которое рассчитывается в зависимости от причиненного ущерба или степени полученной нетрудоспособности.  Нетрудоспособность не следует путать с инвалидностью.  Риск нетрудоспособности покрывается пособием, рассчитанным на основе таблицы оценки нетрудоспособности.</w:t>
      </w:r>
    </w:p>
    <w:p w:rsidR="00000000" w:rsidRDefault="00000000">
      <w:pPr>
        <w:shd w:val="clear" w:color="auto" w:fill="FFFFFF"/>
        <w:tabs>
          <w:tab w:val="left" w:pos="567"/>
          <w:tab w:val="left" w:pos="1134"/>
          <w:tab w:val="left" w:pos="1701"/>
          <w:tab w:val="left" w:pos="2268"/>
          <w:tab w:val="left" w:pos="7938"/>
        </w:tabs>
        <w:ind w:left="567" w:hanging="567"/>
      </w:pPr>
    </w:p>
    <w:p w:rsidR="00000000" w:rsidRDefault="00000000">
      <w:pPr>
        <w:shd w:val="clear" w:color="auto" w:fill="FFFFFF"/>
        <w:tabs>
          <w:tab w:val="left" w:pos="567"/>
          <w:tab w:val="left" w:pos="1134"/>
          <w:tab w:val="left" w:pos="1701"/>
          <w:tab w:val="left" w:pos="2268"/>
          <w:tab w:val="left" w:pos="7938"/>
        </w:tabs>
        <w:ind w:left="1134" w:hanging="1134"/>
        <w:rPr>
          <w:szCs w:val="26"/>
        </w:rPr>
      </w:pPr>
      <w:r>
        <w:rPr>
          <w:szCs w:val="26"/>
        </w:rPr>
        <w:tab/>
        <w:t>8.</w:t>
      </w:r>
      <w:r>
        <w:rPr>
          <w:b/>
          <w:bCs/>
          <w:szCs w:val="26"/>
        </w:rPr>
        <w:tab/>
        <w:t xml:space="preserve">Страхование на случай инвалидности.  </w:t>
      </w:r>
      <w:r>
        <w:rPr>
          <w:szCs w:val="26"/>
        </w:rPr>
        <w:t>Для Института социального обеспечения застрахованное лицо считается инвалидом, если в результате непрофессионального заболевания, старческого слабоумия или преждевременного старения либо несчастного случая, не связанного с работой, оно, выполняя работу, соответствующую его силам, умениям и профессиональной подготовке, теряет способность зарабатывать по меньшей мере треть от суммы, которую обычно получает в том же регионе работник того же пола, имеющий схожую квалификацию и профессиональную подготовку.  В этом случае для приобретения застрахованным права на получение пенсий по инвалидности должны быть выполнены следующие требования:  а)  наличие заключения об инвалидности согласно определению, приводимому в предшествующем пункте, выданного комиссией в составе трех специально назначенных врачей Института;  b)  не менее 150 недель выплаты взносов, когда застрахованному во время получения инвалидности менее 55</w:t>
      </w:r>
      <w:r>
        <w:t> </w:t>
      </w:r>
      <w:r>
        <w:rPr>
          <w:szCs w:val="26"/>
        </w:rPr>
        <w:t>лет, или 150</w:t>
      </w:r>
      <w:r>
        <w:rPr>
          <w:szCs w:val="26"/>
        </w:rPr>
        <w:noBreakHyphen/>
        <w:t>250 недель выплаты взносов, когда застрахованному менее 60 лет, или 250</w:t>
      </w:r>
      <w:r>
        <w:rPr>
          <w:szCs w:val="26"/>
        </w:rPr>
        <w:noBreakHyphen/>
        <w:t>400 недель выплаты взносов и возраст менее 65 лет.  Пенсия по инвалидности не назначается, если наступление страхового случая явилось следствием умышленного или преступного действия застрахованного.</w:t>
      </w:r>
    </w:p>
    <w:p w:rsidR="00000000" w:rsidRDefault="00000000">
      <w:pPr>
        <w:shd w:val="clear" w:color="auto" w:fill="FFFFFF"/>
        <w:tabs>
          <w:tab w:val="left" w:pos="567"/>
          <w:tab w:val="left" w:pos="1134"/>
          <w:tab w:val="left" w:pos="1701"/>
          <w:tab w:val="left" w:pos="2268"/>
          <w:tab w:val="left" w:pos="7938"/>
        </w:tabs>
        <w:ind w:left="567" w:hanging="567"/>
      </w:pPr>
    </w:p>
    <w:p w:rsidR="00000000" w:rsidRDefault="00000000">
      <w:pPr>
        <w:shd w:val="clear" w:color="auto" w:fill="FFFFFF"/>
        <w:tabs>
          <w:tab w:val="left" w:pos="567"/>
          <w:tab w:val="left" w:pos="1134"/>
          <w:tab w:val="left" w:pos="1701"/>
          <w:tab w:val="left" w:pos="2268"/>
          <w:tab w:val="left" w:pos="7938"/>
        </w:tabs>
        <w:rPr>
          <w:szCs w:val="26"/>
        </w:rPr>
      </w:pPr>
      <w:r>
        <w:rPr>
          <w:szCs w:val="26"/>
        </w:rPr>
        <w:t xml:space="preserve">251. </w:t>
      </w:r>
      <w:r>
        <w:rPr>
          <w:szCs w:val="26"/>
        </w:rPr>
        <w:tab/>
        <w:t>Пенсии по инвалидности могут устанавливаться как временно - на срок до пяти лет, в течение которых бенефициары обязаны проходить назначаемые им курсы лечения и медицинские осмотры, - так и постоянно, если инвалидность носит или приобретает необратимый характер, но в любом случае по прошествии пяти лет.</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szCs w:val="26"/>
        </w:rPr>
      </w:pPr>
      <w:r>
        <w:rPr>
          <w:szCs w:val="26"/>
        </w:rPr>
        <w:t>252.</w:t>
      </w:r>
      <w:r>
        <w:rPr>
          <w:szCs w:val="26"/>
        </w:rPr>
        <w:tab/>
        <w:t>Бенефициар в возрасте менее 60 лет, восстановивший более чем на 50% свою трудоспособность, перестает получать пенсию по инвалидности.  Тем не менее Институт социального обеспечения может продолжать выплачивать ему пенсию еще в течение шести месяцев, если это будет способствовать лучшей адаптации застрахованного к работе. Институт вправе проводить один раз в год проверку с целью подтверждения присвоенной степени нетрудоспособности, даже если бенефициару установлена окончательная пенсия, а последний обязан проходить медицинское лечение, которое ему назначено.</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253.</w:t>
      </w:r>
      <w:r>
        <w:rPr>
          <w:szCs w:val="26"/>
        </w:rPr>
        <w:tab/>
        <w:t>Пенсии по инвалидности выплачиваются в конце каждого месяца, считая с момента наступления инвалидности или со дня поступления просьбы от застрахованного, если она приходится на более поздний период.</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254.</w:t>
      </w:r>
      <w:r>
        <w:rPr>
          <w:szCs w:val="26"/>
        </w:rPr>
        <w:tab/>
        <w:t>Вместе с тем Институт может отсрочить момент начисления пенсии, если застрахованный имеет право на получение пособия по больничному листу.</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255.</w:t>
      </w:r>
      <w:r>
        <w:rPr>
          <w:szCs w:val="26"/>
        </w:rPr>
        <w:tab/>
        <w:t>Ежемесячная пенсия по инвалидности составляет базовую сумму, эквивалентную 42,5% среднемесячной зарплаты за три года, предшествующих наступлению инвалидности, и надбавкам в размере 1,5% этой базовой суммы за каждые 50 недель выплаты взносов свыше первых 750 недель.</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256.</w:t>
      </w:r>
      <w:r>
        <w:rPr>
          <w:szCs w:val="26"/>
        </w:rPr>
        <w:tab/>
        <w:t>Среднемесячная зарплата исчисляется путем деления общей суммы заработной платы, соответствующей выплатам за три года, указанным в предшествующем пункте, на тридцать шесть (36).  Если в течение означенных трех лет застрахованный в какой-либо период получал пособие или пенсию по инвалидности, то среднемесячная зарплата рассчитывается с учетом размера таких пособий или пенсионных выплат.</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ind w:left="1134" w:hanging="1134"/>
        <w:rPr>
          <w:szCs w:val="26"/>
        </w:rPr>
      </w:pPr>
      <w:r>
        <w:rPr>
          <w:b/>
          <w:bCs/>
          <w:szCs w:val="26"/>
        </w:rPr>
        <w:tab/>
      </w:r>
      <w:r>
        <w:rPr>
          <w:szCs w:val="26"/>
        </w:rPr>
        <w:t>9.</w:t>
      </w:r>
      <w:r>
        <w:rPr>
          <w:b/>
          <w:bCs/>
          <w:szCs w:val="26"/>
        </w:rPr>
        <w:tab/>
        <w:t xml:space="preserve">Страхование на случай инвалидности в силу общего заболевания: </w:t>
      </w:r>
      <w:r>
        <w:rPr>
          <w:szCs w:val="26"/>
        </w:rPr>
        <w:t>Выплачиваемая застрахованным по линии Института социального обеспечения ежемесячная пенсия по инвалидности в силу общего заболевания составляет базовую сумму, эквивалентную 50% среднемесячной зарплаты за последние 36 месяцев, предшествующих заключению об инвалидности, и надбавкам в размере 1,5% этой суммы за каждые 50 недель выплаты взносов свыше 150 недель с максимальной выплатой до 100%.</w:t>
      </w:r>
    </w:p>
    <w:p w:rsidR="00000000" w:rsidRDefault="00000000">
      <w:pPr>
        <w:shd w:val="clear" w:color="auto" w:fill="FFFFFF"/>
        <w:tabs>
          <w:tab w:val="left" w:pos="567"/>
          <w:tab w:val="left" w:pos="1134"/>
          <w:tab w:val="left" w:pos="1701"/>
          <w:tab w:val="left" w:pos="2268"/>
          <w:tab w:val="left" w:pos="7938"/>
        </w:tabs>
        <w:ind w:left="567" w:hanging="567"/>
      </w:pPr>
    </w:p>
    <w:p w:rsidR="00000000" w:rsidRDefault="00000000">
      <w:pPr>
        <w:shd w:val="clear" w:color="auto" w:fill="FFFFFF"/>
        <w:tabs>
          <w:tab w:val="left" w:pos="567"/>
          <w:tab w:val="left" w:pos="1134"/>
          <w:tab w:val="left" w:pos="1701"/>
          <w:tab w:val="left" w:pos="2268"/>
          <w:tab w:val="left" w:pos="7938"/>
        </w:tabs>
        <w:rPr>
          <w:szCs w:val="26"/>
        </w:rPr>
      </w:pPr>
      <w:r>
        <w:rPr>
          <w:szCs w:val="26"/>
        </w:rPr>
        <w:t>257.</w:t>
      </w:r>
      <w:r>
        <w:rPr>
          <w:szCs w:val="26"/>
        </w:rPr>
        <w:tab/>
        <w:t>Если в течение означенных 36 месяцев застрахованный в какой-либо период получал пособие или пенсию по временной инвалидности, то среднемесячная зарплата рассчитывается с учетом размера таких пособий или пенсионных выплат.</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258.</w:t>
      </w:r>
      <w:r>
        <w:rPr>
          <w:szCs w:val="26"/>
        </w:rPr>
        <w:tab/>
        <w:t>Риск инвалидности в результате несчастного случая на производстве или профессиональной болезни.  Пенсия по инвалидности в результате несчастного случая на производстве или профессионального заболевания определяется в соответствии с таблицей оценки нетрудоспособности, таблицей процентного содержания пенсии и среднемесячной заработной платой за последние 36 месяцев до наступления нетрудоспособности.  Если несчастный случай на производстве происходит до момента начисления застрахованному какой-либо заработной платы, то для расчета пенсии за основу берется установленный законом минимальный размер оплаты за разную неоговоренную работу в столице Республики.</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szCs w:val="26"/>
        </w:rPr>
      </w:pPr>
      <w:r>
        <w:rPr>
          <w:szCs w:val="26"/>
        </w:rPr>
        <w:t>259.</w:t>
      </w:r>
      <w:r>
        <w:rPr>
          <w:szCs w:val="26"/>
        </w:rPr>
        <w:tab/>
        <w:t>Если застрахованный получал заработную плату в течение периода времени, не превышающего 36 месяцев, то недостающая сумма исчисляется исходя из ставок законодательно установленного минимального размера оплаты труда.</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260.</w:t>
      </w:r>
      <w:r>
        <w:rPr>
          <w:szCs w:val="26"/>
        </w:rPr>
        <w:tab/>
        <w:t>Пенсия по инвалидности в результате несчастного случая на производстве или профессионального заболевания определяется Административным советом Института в соответствии с приводимой ниже таблицей оценки нетрудоспособности.</w:t>
      </w:r>
    </w:p>
    <w:p w:rsidR="00000000" w:rsidRDefault="00000000">
      <w:pPr>
        <w:tabs>
          <w:tab w:val="left" w:pos="567"/>
          <w:tab w:val="left" w:pos="1134"/>
          <w:tab w:val="left" w:pos="1701"/>
          <w:tab w:val="left" w:pos="2268"/>
          <w:tab w:val="left" w:pos="7938"/>
        </w:tabs>
        <w:rPr>
          <w:szCs w:val="2"/>
        </w:rPr>
      </w:pPr>
    </w:p>
    <w:tbl>
      <w:tblPr>
        <w:tblW w:w="9414" w:type="dxa"/>
        <w:tblLayout w:type="fixed"/>
        <w:tblCellMar>
          <w:left w:w="28" w:type="dxa"/>
          <w:right w:w="28" w:type="dxa"/>
        </w:tblCellMar>
        <w:tblLook w:val="0000" w:firstRow="0" w:lastRow="0" w:firstColumn="0" w:lastColumn="0" w:noHBand="0" w:noVBand="0"/>
      </w:tblPr>
      <w:tblGrid>
        <w:gridCol w:w="4046"/>
        <w:gridCol w:w="663"/>
        <w:gridCol w:w="687"/>
        <w:gridCol w:w="597"/>
        <w:gridCol w:w="753"/>
        <w:gridCol w:w="627"/>
        <w:gridCol w:w="687"/>
        <w:gridCol w:w="663"/>
        <w:gridCol w:w="691"/>
      </w:tblGrid>
      <w:tr w:rsidR="00000000">
        <w:tblPrEx>
          <w:tblCellMar>
            <w:top w:w="0" w:type="dxa"/>
            <w:bottom w:w="0" w:type="dxa"/>
          </w:tblCellMar>
        </w:tblPrEx>
        <w:trPr>
          <w:cantSplit/>
        </w:trPr>
        <w:tc>
          <w:tcPr>
            <w:tcW w:w="4046" w:type="dxa"/>
            <w:vMerge w:val="restart"/>
            <w:tcBorders>
              <w:top w:val="single" w:sz="6" w:space="0" w:color="auto"/>
              <w:left w:val="single" w:sz="6" w:space="0" w:color="auto"/>
              <w:right w:val="single" w:sz="6" w:space="0" w:color="auto"/>
            </w:tcBorders>
            <w:shd w:val="clear" w:color="auto" w:fill="FFFFFF"/>
            <w:vAlign w:val="center"/>
          </w:tcPr>
          <w:p w:rsidR="00000000" w:rsidRDefault="00000000">
            <w:pPr>
              <w:shd w:val="clear" w:color="auto" w:fill="FFFFFF"/>
              <w:tabs>
                <w:tab w:val="left" w:pos="567"/>
                <w:tab w:val="left" w:pos="1134"/>
                <w:tab w:val="left" w:pos="1701"/>
                <w:tab w:val="left" w:pos="2268"/>
                <w:tab w:val="left" w:pos="7938"/>
              </w:tabs>
              <w:jc w:val="center"/>
              <w:rPr>
                <w:b/>
                <w:bCs/>
              </w:rPr>
            </w:pPr>
            <w:r>
              <w:rPr>
                <w:b/>
                <w:bCs/>
                <w:szCs w:val="24"/>
              </w:rPr>
              <w:t>Стаж работы (в годах)</w:t>
            </w:r>
          </w:p>
        </w:tc>
        <w:tc>
          <w:tcPr>
            <w:tcW w:w="5368" w:type="dxa"/>
            <w:gridSpan w:val="8"/>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center"/>
              <w:rPr>
                <w:b/>
                <w:bCs/>
              </w:rPr>
            </w:pPr>
            <w:r>
              <w:rPr>
                <w:b/>
                <w:bCs/>
                <w:szCs w:val="24"/>
              </w:rPr>
              <w:t>Доля потери трудоспособности (%)</w:t>
            </w:r>
          </w:p>
        </w:tc>
      </w:tr>
      <w:tr w:rsidR="00000000">
        <w:tblPrEx>
          <w:tblCellMar>
            <w:top w:w="0" w:type="dxa"/>
            <w:bottom w:w="0" w:type="dxa"/>
          </w:tblCellMar>
        </w:tblPrEx>
        <w:trPr>
          <w:cantSplit/>
        </w:trPr>
        <w:tc>
          <w:tcPr>
            <w:tcW w:w="4046" w:type="dxa"/>
            <w:vMerge/>
            <w:tcBorders>
              <w:left w:val="single" w:sz="6" w:space="0" w:color="auto"/>
              <w:right w:val="single" w:sz="6" w:space="0" w:color="auto"/>
            </w:tcBorders>
            <w:shd w:val="clear" w:color="auto" w:fill="FFFFFF"/>
            <w:vAlign w:val="center"/>
          </w:tcPr>
          <w:p w:rsidR="00000000" w:rsidRDefault="00000000">
            <w:pPr>
              <w:shd w:val="clear" w:color="auto" w:fill="FFFFFF"/>
              <w:tabs>
                <w:tab w:val="left" w:pos="567"/>
                <w:tab w:val="left" w:pos="1134"/>
                <w:tab w:val="left" w:pos="1701"/>
                <w:tab w:val="left" w:pos="2268"/>
                <w:tab w:val="left" w:pos="7938"/>
              </w:tabs>
              <w:jc w:val="center"/>
              <w:rPr>
                <w:b/>
                <w:bCs/>
                <w:szCs w:val="24"/>
              </w:rPr>
            </w:pPr>
          </w:p>
        </w:tc>
        <w:tc>
          <w:tcPr>
            <w:tcW w:w="663"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center"/>
              <w:rPr>
                <w:b/>
                <w:bCs/>
              </w:rPr>
            </w:pPr>
            <w:r>
              <w:rPr>
                <w:b/>
                <w:bCs/>
                <w:szCs w:val="24"/>
              </w:rPr>
              <w:t>100</w:t>
            </w:r>
          </w:p>
        </w:tc>
        <w:tc>
          <w:tcPr>
            <w:tcW w:w="68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center"/>
              <w:rPr>
                <w:b/>
                <w:bCs/>
              </w:rPr>
            </w:pPr>
            <w:r>
              <w:rPr>
                <w:b/>
                <w:bCs/>
                <w:szCs w:val="24"/>
              </w:rPr>
              <w:t>90</w:t>
            </w:r>
          </w:p>
        </w:tc>
        <w:tc>
          <w:tcPr>
            <w:tcW w:w="59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center"/>
              <w:rPr>
                <w:b/>
                <w:bCs/>
              </w:rPr>
            </w:pPr>
            <w:r>
              <w:rPr>
                <w:b/>
                <w:bCs/>
                <w:szCs w:val="24"/>
              </w:rPr>
              <w:t>80</w:t>
            </w:r>
          </w:p>
        </w:tc>
        <w:tc>
          <w:tcPr>
            <w:tcW w:w="753"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center"/>
              <w:rPr>
                <w:b/>
                <w:bCs/>
              </w:rPr>
            </w:pPr>
            <w:r>
              <w:rPr>
                <w:b/>
                <w:bCs/>
                <w:szCs w:val="24"/>
              </w:rPr>
              <w:t>70</w:t>
            </w:r>
          </w:p>
        </w:tc>
        <w:tc>
          <w:tcPr>
            <w:tcW w:w="62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center"/>
              <w:rPr>
                <w:b/>
                <w:bCs/>
              </w:rPr>
            </w:pPr>
            <w:r>
              <w:rPr>
                <w:b/>
                <w:bCs/>
                <w:szCs w:val="24"/>
              </w:rPr>
              <w:t>60</w:t>
            </w:r>
          </w:p>
        </w:tc>
        <w:tc>
          <w:tcPr>
            <w:tcW w:w="68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center"/>
              <w:rPr>
                <w:b/>
                <w:bCs/>
              </w:rPr>
            </w:pPr>
            <w:r>
              <w:rPr>
                <w:b/>
                <w:bCs/>
                <w:szCs w:val="24"/>
              </w:rPr>
              <w:t>50</w:t>
            </w:r>
          </w:p>
        </w:tc>
        <w:tc>
          <w:tcPr>
            <w:tcW w:w="663"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center"/>
              <w:rPr>
                <w:b/>
                <w:bCs/>
              </w:rPr>
            </w:pPr>
            <w:r>
              <w:rPr>
                <w:b/>
                <w:bCs/>
                <w:szCs w:val="24"/>
              </w:rPr>
              <w:t>40</w:t>
            </w:r>
          </w:p>
        </w:tc>
        <w:tc>
          <w:tcPr>
            <w:tcW w:w="691"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center"/>
              <w:rPr>
                <w:b/>
                <w:bCs/>
              </w:rPr>
            </w:pPr>
            <w:r>
              <w:rPr>
                <w:b/>
                <w:bCs/>
                <w:szCs w:val="24"/>
              </w:rPr>
              <w:t>30</w:t>
            </w:r>
          </w:p>
        </w:tc>
      </w:tr>
      <w:tr w:rsidR="00000000">
        <w:tblPrEx>
          <w:tblCellMar>
            <w:top w:w="0" w:type="dxa"/>
            <w:bottom w:w="0" w:type="dxa"/>
          </w:tblCellMar>
        </w:tblPrEx>
        <w:trPr>
          <w:cantSplit/>
        </w:trPr>
        <w:tc>
          <w:tcPr>
            <w:tcW w:w="4046" w:type="dxa"/>
            <w:vMerge/>
            <w:tcBorders>
              <w:left w:val="single" w:sz="6" w:space="0" w:color="auto"/>
              <w:bottom w:val="single" w:sz="6" w:space="0" w:color="auto"/>
              <w:right w:val="single" w:sz="6" w:space="0" w:color="auto"/>
            </w:tcBorders>
            <w:shd w:val="clear" w:color="auto" w:fill="FFFFFF"/>
            <w:vAlign w:val="center"/>
          </w:tcPr>
          <w:p w:rsidR="00000000" w:rsidRDefault="00000000">
            <w:pPr>
              <w:shd w:val="clear" w:color="auto" w:fill="FFFFFF"/>
              <w:tabs>
                <w:tab w:val="left" w:pos="567"/>
                <w:tab w:val="left" w:pos="1134"/>
                <w:tab w:val="left" w:pos="1701"/>
                <w:tab w:val="left" w:pos="2268"/>
                <w:tab w:val="left" w:pos="7938"/>
              </w:tabs>
              <w:jc w:val="center"/>
              <w:rPr>
                <w:b/>
                <w:bCs/>
              </w:rPr>
            </w:pPr>
          </w:p>
        </w:tc>
        <w:tc>
          <w:tcPr>
            <w:tcW w:w="5368" w:type="dxa"/>
            <w:gridSpan w:val="8"/>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jc w:val="center"/>
              <w:rPr>
                <w:b/>
                <w:bCs/>
              </w:rPr>
            </w:pPr>
            <w:r>
              <w:rPr>
                <w:b/>
                <w:bCs/>
              </w:rPr>
              <w:t>Размер пенсии (в %) по сравнению со средней зарплатой</w:t>
            </w:r>
          </w:p>
        </w:tc>
      </w:tr>
      <w:tr w:rsidR="00000000">
        <w:tblPrEx>
          <w:tblCellMar>
            <w:top w:w="0" w:type="dxa"/>
            <w:bottom w:w="0" w:type="dxa"/>
          </w:tblCellMar>
        </w:tblPrEx>
        <w:trPr>
          <w:cantSplit/>
        </w:trPr>
        <w:tc>
          <w:tcPr>
            <w:tcW w:w="4046"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pPr>
            <w:r>
              <w:rPr>
                <w:szCs w:val="24"/>
              </w:rPr>
              <w:t>3-5</w:t>
            </w:r>
          </w:p>
        </w:tc>
        <w:tc>
          <w:tcPr>
            <w:tcW w:w="663"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75</w:t>
            </w:r>
          </w:p>
        </w:tc>
        <w:tc>
          <w:tcPr>
            <w:tcW w:w="68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67,5</w:t>
            </w:r>
          </w:p>
        </w:tc>
        <w:tc>
          <w:tcPr>
            <w:tcW w:w="59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60</w:t>
            </w:r>
          </w:p>
        </w:tc>
        <w:tc>
          <w:tcPr>
            <w:tcW w:w="753"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52,2</w:t>
            </w:r>
          </w:p>
        </w:tc>
        <w:tc>
          <w:tcPr>
            <w:tcW w:w="62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45</w:t>
            </w:r>
          </w:p>
        </w:tc>
        <w:tc>
          <w:tcPr>
            <w:tcW w:w="68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37,5</w:t>
            </w:r>
          </w:p>
        </w:tc>
        <w:tc>
          <w:tcPr>
            <w:tcW w:w="663"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30</w:t>
            </w:r>
          </w:p>
        </w:tc>
        <w:tc>
          <w:tcPr>
            <w:tcW w:w="691"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22,5</w:t>
            </w:r>
          </w:p>
        </w:tc>
      </w:tr>
      <w:tr w:rsidR="00000000">
        <w:tblPrEx>
          <w:tblCellMar>
            <w:top w:w="0" w:type="dxa"/>
            <w:bottom w:w="0" w:type="dxa"/>
          </w:tblCellMar>
        </w:tblPrEx>
        <w:trPr>
          <w:cantSplit/>
        </w:trPr>
        <w:tc>
          <w:tcPr>
            <w:tcW w:w="4046"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pPr>
            <w:r>
              <w:rPr>
                <w:szCs w:val="24"/>
              </w:rPr>
              <w:t>6-9</w:t>
            </w:r>
          </w:p>
        </w:tc>
        <w:tc>
          <w:tcPr>
            <w:tcW w:w="663"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79,5</w:t>
            </w:r>
          </w:p>
        </w:tc>
        <w:tc>
          <w:tcPr>
            <w:tcW w:w="68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71,5</w:t>
            </w:r>
          </w:p>
        </w:tc>
        <w:tc>
          <w:tcPr>
            <w:tcW w:w="59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63,6</w:t>
            </w:r>
          </w:p>
        </w:tc>
        <w:tc>
          <w:tcPr>
            <w:tcW w:w="753"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55,6</w:t>
            </w:r>
          </w:p>
        </w:tc>
        <w:tc>
          <w:tcPr>
            <w:tcW w:w="62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47,7</w:t>
            </w:r>
          </w:p>
        </w:tc>
        <w:tc>
          <w:tcPr>
            <w:tcW w:w="68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39,7</w:t>
            </w:r>
          </w:p>
        </w:tc>
        <w:tc>
          <w:tcPr>
            <w:tcW w:w="663"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31,8</w:t>
            </w:r>
          </w:p>
        </w:tc>
        <w:tc>
          <w:tcPr>
            <w:tcW w:w="691"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23,9</w:t>
            </w:r>
          </w:p>
        </w:tc>
      </w:tr>
      <w:tr w:rsidR="00000000">
        <w:tblPrEx>
          <w:tblCellMar>
            <w:top w:w="0" w:type="dxa"/>
            <w:bottom w:w="0" w:type="dxa"/>
          </w:tblCellMar>
        </w:tblPrEx>
        <w:trPr>
          <w:cantSplit/>
        </w:trPr>
        <w:tc>
          <w:tcPr>
            <w:tcW w:w="4046"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pPr>
            <w:r>
              <w:rPr>
                <w:szCs w:val="24"/>
              </w:rPr>
              <w:t>10-14</w:t>
            </w:r>
          </w:p>
        </w:tc>
        <w:tc>
          <w:tcPr>
            <w:tcW w:w="663"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85,5</w:t>
            </w:r>
          </w:p>
        </w:tc>
        <w:tc>
          <w:tcPr>
            <w:tcW w:w="68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76,9</w:t>
            </w:r>
          </w:p>
        </w:tc>
        <w:tc>
          <w:tcPr>
            <w:tcW w:w="59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68,4</w:t>
            </w:r>
          </w:p>
        </w:tc>
        <w:tc>
          <w:tcPr>
            <w:tcW w:w="753"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59,8</w:t>
            </w:r>
          </w:p>
        </w:tc>
        <w:tc>
          <w:tcPr>
            <w:tcW w:w="62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51,3</w:t>
            </w:r>
          </w:p>
        </w:tc>
        <w:tc>
          <w:tcPr>
            <w:tcW w:w="68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42,7</w:t>
            </w:r>
          </w:p>
        </w:tc>
        <w:tc>
          <w:tcPr>
            <w:tcW w:w="663"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34,2</w:t>
            </w:r>
          </w:p>
        </w:tc>
        <w:tc>
          <w:tcPr>
            <w:tcW w:w="691"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25,6</w:t>
            </w:r>
          </w:p>
        </w:tc>
      </w:tr>
      <w:tr w:rsidR="00000000">
        <w:tblPrEx>
          <w:tblCellMar>
            <w:top w:w="0" w:type="dxa"/>
            <w:bottom w:w="0" w:type="dxa"/>
          </w:tblCellMar>
        </w:tblPrEx>
        <w:trPr>
          <w:cantSplit/>
        </w:trPr>
        <w:tc>
          <w:tcPr>
            <w:tcW w:w="4046"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pPr>
            <w:r>
              <w:rPr>
                <w:szCs w:val="24"/>
              </w:rPr>
              <w:t>15-19</w:t>
            </w:r>
          </w:p>
        </w:tc>
        <w:tc>
          <w:tcPr>
            <w:tcW w:w="663"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93</w:t>
            </w:r>
          </w:p>
        </w:tc>
        <w:tc>
          <w:tcPr>
            <w:tcW w:w="68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83,7</w:t>
            </w:r>
          </w:p>
        </w:tc>
        <w:tc>
          <w:tcPr>
            <w:tcW w:w="59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74,4</w:t>
            </w:r>
          </w:p>
        </w:tc>
        <w:tc>
          <w:tcPr>
            <w:tcW w:w="753"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65,1</w:t>
            </w:r>
          </w:p>
        </w:tc>
        <w:tc>
          <w:tcPr>
            <w:tcW w:w="62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55,8</w:t>
            </w:r>
          </w:p>
        </w:tc>
        <w:tc>
          <w:tcPr>
            <w:tcW w:w="68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46,5</w:t>
            </w:r>
          </w:p>
        </w:tc>
        <w:tc>
          <w:tcPr>
            <w:tcW w:w="663"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37,2</w:t>
            </w:r>
          </w:p>
        </w:tc>
        <w:tc>
          <w:tcPr>
            <w:tcW w:w="691"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27,9</w:t>
            </w:r>
          </w:p>
        </w:tc>
      </w:tr>
      <w:tr w:rsidR="00000000">
        <w:tblPrEx>
          <w:tblCellMar>
            <w:top w:w="0" w:type="dxa"/>
            <w:bottom w:w="0" w:type="dxa"/>
          </w:tblCellMar>
        </w:tblPrEx>
        <w:trPr>
          <w:cantSplit/>
        </w:trPr>
        <w:tc>
          <w:tcPr>
            <w:tcW w:w="4046" w:type="dxa"/>
            <w:tcBorders>
              <w:top w:val="single" w:sz="6" w:space="0" w:color="auto"/>
              <w:left w:val="single" w:sz="6" w:space="0" w:color="auto"/>
              <w:bottom w:val="single" w:sz="4"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pPr>
            <w:r>
              <w:rPr>
                <w:szCs w:val="24"/>
              </w:rPr>
              <w:t>20(+)</w:t>
            </w:r>
          </w:p>
        </w:tc>
        <w:tc>
          <w:tcPr>
            <w:tcW w:w="663" w:type="dxa"/>
            <w:tcBorders>
              <w:top w:val="single" w:sz="6" w:space="0" w:color="auto"/>
              <w:left w:val="single" w:sz="6" w:space="0" w:color="auto"/>
              <w:bottom w:val="single" w:sz="4"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100</w:t>
            </w:r>
          </w:p>
        </w:tc>
        <w:tc>
          <w:tcPr>
            <w:tcW w:w="687" w:type="dxa"/>
            <w:tcBorders>
              <w:top w:val="single" w:sz="6" w:space="0" w:color="auto"/>
              <w:left w:val="single" w:sz="6" w:space="0" w:color="auto"/>
              <w:bottom w:val="single" w:sz="4"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90,4</w:t>
            </w:r>
          </w:p>
        </w:tc>
        <w:tc>
          <w:tcPr>
            <w:tcW w:w="597" w:type="dxa"/>
            <w:tcBorders>
              <w:top w:val="single" w:sz="6" w:space="0" w:color="auto"/>
              <w:left w:val="single" w:sz="6" w:space="0" w:color="auto"/>
              <w:bottom w:val="single" w:sz="4"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80,4</w:t>
            </w:r>
          </w:p>
        </w:tc>
        <w:tc>
          <w:tcPr>
            <w:tcW w:w="753" w:type="dxa"/>
            <w:tcBorders>
              <w:top w:val="single" w:sz="6" w:space="0" w:color="auto"/>
              <w:left w:val="single" w:sz="6" w:space="0" w:color="auto"/>
              <w:bottom w:val="single" w:sz="4"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70,3</w:t>
            </w:r>
          </w:p>
        </w:tc>
        <w:tc>
          <w:tcPr>
            <w:tcW w:w="627" w:type="dxa"/>
            <w:tcBorders>
              <w:top w:val="single" w:sz="6" w:space="0" w:color="auto"/>
              <w:left w:val="single" w:sz="6" w:space="0" w:color="auto"/>
              <w:bottom w:val="single" w:sz="4"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60,3</w:t>
            </w:r>
          </w:p>
        </w:tc>
        <w:tc>
          <w:tcPr>
            <w:tcW w:w="687" w:type="dxa"/>
            <w:tcBorders>
              <w:top w:val="single" w:sz="6" w:space="0" w:color="auto"/>
              <w:left w:val="single" w:sz="6" w:space="0" w:color="auto"/>
              <w:bottom w:val="single" w:sz="4"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50,2</w:t>
            </w:r>
          </w:p>
        </w:tc>
        <w:tc>
          <w:tcPr>
            <w:tcW w:w="663" w:type="dxa"/>
            <w:tcBorders>
              <w:top w:val="single" w:sz="6" w:space="0" w:color="auto"/>
              <w:left w:val="single" w:sz="6" w:space="0" w:color="auto"/>
              <w:bottom w:val="single" w:sz="4"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40,2</w:t>
            </w:r>
          </w:p>
        </w:tc>
        <w:tc>
          <w:tcPr>
            <w:tcW w:w="691" w:type="dxa"/>
            <w:tcBorders>
              <w:top w:val="single" w:sz="6" w:space="0" w:color="auto"/>
              <w:left w:val="single" w:sz="6" w:space="0" w:color="auto"/>
              <w:bottom w:val="single" w:sz="4"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jc w:val="right"/>
            </w:pPr>
            <w:r>
              <w:rPr>
                <w:szCs w:val="24"/>
              </w:rPr>
              <w:t>30,1</w:t>
            </w:r>
          </w:p>
        </w:tc>
      </w:tr>
    </w:tbl>
    <w:p w:rsidR="00000000" w:rsidRDefault="00000000">
      <w:pPr>
        <w:shd w:val="clear" w:color="auto" w:fill="FFFFFF"/>
        <w:tabs>
          <w:tab w:val="left" w:pos="567"/>
          <w:tab w:val="left" w:pos="1134"/>
          <w:tab w:val="left" w:pos="1701"/>
          <w:tab w:val="left" w:pos="2268"/>
          <w:tab w:val="left" w:pos="7938"/>
        </w:tabs>
        <w:rPr>
          <w:b/>
          <w:bCs/>
          <w:szCs w:val="26"/>
        </w:rPr>
      </w:pPr>
    </w:p>
    <w:p w:rsidR="00000000" w:rsidRDefault="00000000">
      <w:pPr>
        <w:shd w:val="clear" w:color="auto" w:fill="FFFFFF"/>
        <w:tabs>
          <w:tab w:val="left" w:pos="567"/>
          <w:tab w:val="left" w:pos="1134"/>
          <w:tab w:val="left" w:pos="1701"/>
          <w:tab w:val="left" w:pos="2268"/>
          <w:tab w:val="left" w:pos="7938"/>
        </w:tabs>
        <w:ind w:left="1134" w:hanging="1134"/>
        <w:rPr>
          <w:szCs w:val="26"/>
        </w:rPr>
      </w:pPr>
      <w:r>
        <w:rPr>
          <w:szCs w:val="26"/>
        </w:rPr>
        <w:tab/>
        <w:t>10.</w:t>
      </w:r>
      <w:r>
        <w:rPr>
          <w:b/>
          <w:bCs/>
          <w:szCs w:val="26"/>
        </w:rPr>
        <w:tab/>
        <w:t xml:space="preserve">Пенсия вдовцу/вдове или оставшимся в живых родственникам.  </w:t>
      </w:r>
      <w:r>
        <w:rPr>
          <w:szCs w:val="26"/>
        </w:rPr>
        <w:t>В случае смерти пенсионера или застрахованного, который приобрел право на получение пенсии или вносил взносы во время работы в течение не менее 750 недель до достижения минимального возраста выхода на пенсию или смерть которого произошла в результате аварии на производстве или профессиональной болезни, 60% пенсии, до этого выплачиваемой умершему, или пенсия, на которую данное лицо имело право, выплачивается оставшимся в живых родственникам в следующем порядке исключения:</w:t>
      </w:r>
    </w:p>
    <w:p w:rsidR="00000000" w:rsidRDefault="00000000">
      <w:pPr>
        <w:shd w:val="clear" w:color="auto" w:fill="FFFFFF"/>
        <w:tabs>
          <w:tab w:val="left" w:pos="567"/>
          <w:tab w:val="left" w:pos="1134"/>
          <w:tab w:val="left" w:pos="1701"/>
          <w:tab w:val="left" w:pos="2268"/>
          <w:tab w:val="left" w:pos="7938"/>
        </w:tabs>
        <w:ind w:left="567" w:hanging="567"/>
      </w:pPr>
    </w:p>
    <w:p w:rsidR="00000000" w:rsidRDefault="00000000">
      <w:pPr>
        <w:numPr>
          <w:ilvl w:val="0"/>
          <w:numId w:val="115"/>
        </w:numPr>
        <w:shd w:val="clear" w:color="auto" w:fill="FFFFFF"/>
        <w:tabs>
          <w:tab w:val="left" w:pos="567"/>
          <w:tab w:val="left" w:pos="1134"/>
          <w:tab w:val="left" w:pos="1701"/>
          <w:tab w:val="left" w:pos="2268"/>
          <w:tab w:val="left" w:pos="7938"/>
        </w:tabs>
        <w:ind w:left="1701" w:hanging="579"/>
        <w:rPr>
          <w:szCs w:val="26"/>
        </w:rPr>
      </w:pPr>
      <w:r>
        <w:rPr>
          <w:szCs w:val="26"/>
        </w:rPr>
        <w:t>вдове/сожительнице или вдовцу/сожителю, имеющим на данный момент не состоящих в браке детей до достижения ими совершеннолетия и детей-инвалидов, признанных таковыми медицинской комиссией Института.  В этом случае половина пенсии причитается вдове/сожительнице или вдовцу/сожителю, а другая половина - указанным детям в равных долях;</w:t>
      </w:r>
    </w:p>
    <w:p w:rsidR="00000000" w:rsidRDefault="00000000">
      <w:pPr>
        <w:shd w:val="clear" w:color="auto" w:fill="FFFFFF"/>
        <w:tabs>
          <w:tab w:val="left" w:pos="567"/>
          <w:tab w:val="left" w:pos="1134"/>
          <w:tab w:val="left" w:pos="1701"/>
          <w:tab w:val="left" w:pos="2268"/>
          <w:tab w:val="left" w:pos="7938"/>
        </w:tabs>
        <w:ind w:left="1701" w:hanging="579"/>
        <w:rPr>
          <w:szCs w:val="26"/>
        </w:rPr>
      </w:pPr>
    </w:p>
    <w:p w:rsidR="00000000" w:rsidRDefault="00000000">
      <w:pPr>
        <w:numPr>
          <w:ilvl w:val="0"/>
          <w:numId w:val="115"/>
        </w:numPr>
        <w:shd w:val="clear" w:color="auto" w:fill="FFFFFF"/>
        <w:tabs>
          <w:tab w:val="left" w:pos="567"/>
          <w:tab w:val="left" w:pos="1134"/>
          <w:tab w:val="left" w:pos="1701"/>
          <w:tab w:val="left" w:pos="2268"/>
          <w:tab w:val="left" w:pos="7938"/>
        </w:tabs>
        <w:ind w:left="1701" w:hanging="579"/>
        <w:rPr>
          <w:szCs w:val="26"/>
        </w:rPr>
      </w:pPr>
      <w:r>
        <w:rPr>
          <w:szCs w:val="26"/>
        </w:rPr>
        <w:t>вдове/сожительнице или вдовцу/сожителю младше 40 лет причитается компенсация в размере трех годовых выплат пенсии, на которую они имели бы право;</w:t>
      </w:r>
    </w:p>
    <w:p w:rsidR="00000000" w:rsidRDefault="00000000">
      <w:pPr>
        <w:shd w:val="clear" w:color="auto" w:fill="FFFFFF"/>
        <w:tabs>
          <w:tab w:val="left" w:pos="567"/>
          <w:tab w:val="left" w:pos="1134"/>
          <w:tab w:val="left" w:pos="1701"/>
          <w:tab w:val="left" w:pos="2268"/>
          <w:tab w:val="left" w:pos="7938"/>
        </w:tabs>
        <w:ind w:left="1701" w:hanging="579"/>
        <w:rPr>
          <w:szCs w:val="26"/>
        </w:rPr>
      </w:pPr>
    </w:p>
    <w:p w:rsidR="00000000" w:rsidRDefault="00000000">
      <w:pPr>
        <w:numPr>
          <w:ilvl w:val="0"/>
          <w:numId w:val="116"/>
        </w:numPr>
        <w:shd w:val="clear" w:color="auto" w:fill="FFFFFF"/>
        <w:tabs>
          <w:tab w:val="left" w:pos="567"/>
          <w:tab w:val="left" w:pos="1134"/>
          <w:tab w:val="left" w:pos="1701"/>
          <w:tab w:val="left" w:pos="2268"/>
          <w:tab w:val="left" w:pos="7938"/>
        </w:tabs>
        <w:ind w:left="1701" w:hanging="579"/>
        <w:rPr>
          <w:szCs w:val="24"/>
        </w:rPr>
      </w:pPr>
      <w:r>
        <w:rPr>
          <w:szCs w:val="24"/>
        </w:rPr>
        <w:t>сиротам до достижения ими совершеннолетия;  инвалидам, признанным таковыми медицинской комиссией Института и имеющим равные доли от пенсии;</w:t>
      </w:r>
    </w:p>
    <w:p w:rsidR="00000000" w:rsidRDefault="00000000">
      <w:pPr>
        <w:shd w:val="clear" w:color="auto" w:fill="FFFFFF"/>
        <w:tabs>
          <w:tab w:val="left" w:pos="567"/>
          <w:tab w:val="left" w:pos="1134"/>
          <w:tab w:val="left" w:pos="1701"/>
          <w:tab w:val="left" w:pos="2268"/>
          <w:tab w:val="left" w:pos="7938"/>
        </w:tabs>
        <w:ind w:left="1701" w:hanging="579"/>
        <w:rPr>
          <w:szCs w:val="24"/>
        </w:rPr>
      </w:pPr>
    </w:p>
    <w:p w:rsidR="00000000" w:rsidRDefault="00000000">
      <w:pPr>
        <w:numPr>
          <w:ilvl w:val="0"/>
          <w:numId w:val="116"/>
        </w:numPr>
        <w:shd w:val="clear" w:color="auto" w:fill="FFFFFF"/>
        <w:tabs>
          <w:tab w:val="left" w:pos="567"/>
          <w:tab w:val="left" w:pos="1134"/>
          <w:tab w:val="left" w:pos="1701"/>
          <w:tab w:val="left" w:pos="2268"/>
          <w:tab w:val="left" w:pos="7938"/>
        </w:tabs>
        <w:ind w:left="1701" w:hanging="579"/>
        <w:rPr>
          <w:szCs w:val="24"/>
        </w:rPr>
      </w:pPr>
      <w:r>
        <w:rPr>
          <w:szCs w:val="24"/>
        </w:rPr>
        <w:t>родителям при условии, что они находились на иждивении умершего, в равных долях.  В случае если в живых остался только один из них, ему выплачивается вся сумма пенсии.</w:t>
      </w:r>
    </w:p>
    <w:p w:rsidR="00000000" w:rsidRDefault="00000000">
      <w:pPr>
        <w:shd w:val="clear" w:color="auto" w:fill="FFFFFF"/>
        <w:tabs>
          <w:tab w:val="left" w:pos="567"/>
          <w:tab w:val="left" w:pos="1134"/>
          <w:tab w:val="left" w:pos="1701"/>
          <w:tab w:val="left" w:pos="2268"/>
          <w:tab w:val="left" w:pos="7938"/>
        </w:tabs>
        <w:ind w:left="1701" w:hanging="579"/>
        <w:rPr>
          <w:szCs w:val="24"/>
        </w:rPr>
      </w:pPr>
    </w:p>
    <w:p w:rsidR="00000000" w:rsidRDefault="00000000">
      <w:pPr>
        <w:shd w:val="clear" w:color="auto" w:fill="FFFFFF"/>
        <w:tabs>
          <w:tab w:val="left" w:pos="567"/>
          <w:tab w:val="left" w:pos="1134"/>
          <w:tab w:val="left" w:pos="1701"/>
          <w:tab w:val="left" w:pos="2268"/>
          <w:tab w:val="left" w:pos="7938"/>
        </w:tabs>
        <w:ind w:left="1134" w:hanging="1134"/>
        <w:rPr>
          <w:szCs w:val="24"/>
        </w:rPr>
      </w:pPr>
      <w:r>
        <w:rPr>
          <w:szCs w:val="24"/>
        </w:rPr>
        <w:tab/>
      </w:r>
      <w:r>
        <w:rPr>
          <w:szCs w:val="24"/>
        </w:rPr>
        <w:tab/>
      </w:r>
      <w:r>
        <w:rPr>
          <w:szCs w:val="24"/>
        </w:rPr>
        <w:tab/>
        <w:t>Размер пенсий, указанных в подпунктах а) и с), пропорционально возрастает с утратой дополнительными</w:t>
      </w:r>
      <w:r>
        <w:rPr>
          <w:i/>
          <w:iCs/>
          <w:szCs w:val="24"/>
        </w:rPr>
        <w:t xml:space="preserve"> </w:t>
      </w:r>
      <w:r>
        <w:rPr>
          <w:szCs w:val="24"/>
        </w:rPr>
        <w:t>бенефициарами права на их получение.</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ind w:left="1134" w:hanging="1134"/>
        <w:rPr>
          <w:szCs w:val="24"/>
        </w:rPr>
      </w:pPr>
      <w:r>
        <w:rPr>
          <w:szCs w:val="24"/>
        </w:rPr>
        <w:tab/>
      </w:r>
      <w:r>
        <w:rPr>
          <w:szCs w:val="24"/>
        </w:rPr>
        <w:tab/>
      </w:r>
      <w:r>
        <w:rPr>
          <w:szCs w:val="24"/>
        </w:rPr>
        <w:tab/>
        <w:t>Право на получение пенсии приобретается с момента кончины застрахованного лица и утрачивается, если вдова/сожительница или вдовец/ сожитель вступает в законный брак или начинает сожительствовать с кем-нибудь;  в этих случаях они единоразово получают сумму, эквивалентную двум годовым выплатам пенсии.  Пенсия на детей-инвалидов выплачивается в продолжение всего периода их инвалидности.</w:t>
      </w:r>
    </w:p>
    <w:p w:rsidR="00000000" w:rsidRDefault="00000000">
      <w:pPr>
        <w:shd w:val="clear" w:color="auto" w:fill="FFFFFF"/>
        <w:tabs>
          <w:tab w:val="left" w:pos="567"/>
          <w:tab w:val="left" w:pos="1134"/>
          <w:tab w:val="left" w:pos="1701"/>
          <w:tab w:val="left" w:pos="2268"/>
          <w:tab w:val="left" w:pos="7938"/>
        </w:tabs>
        <w:ind w:left="567" w:hanging="567"/>
      </w:pPr>
    </w:p>
    <w:p w:rsidR="00000000" w:rsidRDefault="00000000">
      <w:pPr>
        <w:shd w:val="clear" w:color="auto" w:fill="FFFFFF"/>
        <w:tabs>
          <w:tab w:val="left" w:pos="567"/>
          <w:tab w:val="left" w:pos="1134"/>
          <w:tab w:val="left" w:pos="1701"/>
          <w:tab w:val="left" w:pos="2268"/>
          <w:tab w:val="left" w:pos="7938"/>
        </w:tabs>
        <w:rPr>
          <w:szCs w:val="24"/>
        </w:rPr>
      </w:pPr>
      <w:r>
        <w:rPr>
          <w:szCs w:val="24"/>
        </w:rPr>
        <w:t>261.</w:t>
      </w:r>
      <w:r>
        <w:rPr>
          <w:szCs w:val="24"/>
        </w:rPr>
        <w:tab/>
        <w:t>Для получения права на пенсию сожительница/сожитель должна/должен добровольно прожить совместно с застрахованным лицом в публичном, устойчивом и исключительном союзе минимум в течение двух лет, если у них имеются общие дети, а в их отсутствие - не менее пяти лет, и, кроме того, быть занесенным в реестр Института до смерти застрахованного лица.</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ind w:left="1134" w:hanging="1134"/>
        <w:rPr>
          <w:szCs w:val="24"/>
        </w:rPr>
      </w:pPr>
      <w:r>
        <w:rPr>
          <w:szCs w:val="24"/>
        </w:rPr>
        <w:tab/>
        <w:t>11.</w:t>
      </w:r>
      <w:r>
        <w:rPr>
          <w:szCs w:val="24"/>
        </w:rPr>
        <w:tab/>
      </w:r>
      <w:r>
        <w:rPr>
          <w:b/>
          <w:bCs/>
          <w:szCs w:val="24"/>
        </w:rPr>
        <w:t xml:space="preserve">Смерть застрахованного лица.  </w:t>
      </w:r>
      <w:r>
        <w:rPr>
          <w:szCs w:val="24"/>
        </w:rPr>
        <w:t xml:space="preserve">В случае смерти застрахованного лица Институт социального обеспечения предоставляет следующие пособия: </w:t>
      </w:r>
    </w:p>
    <w:p w:rsidR="00000000" w:rsidRDefault="00000000">
      <w:pPr>
        <w:shd w:val="clear" w:color="auto" w:fill="FFFFFF"/>
        <w:tabs>
          <w:tab w:val="left" w:pos="567"/>
          <w:tab w:val="left" w:pos="1134"/>
          <w:tab w:val="left" w:pos="1701"/>
          <w:tab w:val="left" w:pos="2268"/>
          <w:tab w:val="left" w:pos="7938"/>
        </w:tabs>
      </w:pPr>
    </w:p>
    <w:p w:rsidR="00000000" w:rsidRDefault="00000000">
      <w:pPr>
        <w:numPr>
          <w:ilvl w:val="0"/>
          <w:numId w:val="117"/>
        </w:numPr>
        <w:shd w:val="clear" w:color="auto" w:fill="FFFFFF"/>
        <w:tabs>
          <w:tab w:val="left" w:pos="567"/>
          <w:tab w:val="left" w:pos="1134"/>
          <w:tab w:val="left" w:pos="1701"/>
          <w:tab w:val="left" w:pos="2268"/>
          <w:tab w:val="left" w:pos="7938"/>
        </w:tabs>
        <w:ind w:left="1701" w:hanging="579"/>
        <w:rPr>
          <w:szCs w:val="24"/>
        </w:rPr>
      </w:pPr>
      <w:r>
        <w:rPr>
          <w:szCs w:val="24"/>
        </w:rPr>
        <w:t>если умершее застрахованное лицо вносило взносы в течение менее 750 недель, то его наследники или бенефициары получают единоразовое пособие наличностью, равное ежемесячной заработной плате за каждый год трудового стажа застрахованного.  Для этих целей за основу берется установленный законом минимальный размер оплаты за разную неоговоренную работу в столице Республики, и выплата осуществляется в порядке, оговоренном в статье 62 настоящего Закона;  и</w:t>
      </w:r>
    </w:p>
    <w:p w:rsidR="00000000" w:rsidRDefault="00000000">
      <w:pPr>
        <w:shd w:val="clear" w:color="auto" w:fill="FFFFFF"/>
        <w:tabs>
          <w:tab w:val="left" w:pos="567"/>
          <w:tab w:val="left" w:pos="1134"/>
          <w:tab w:val="left" w:pos="1701"/>
          <w:tab w:val="left" w:pos="2268"/>
          <w:tab w:val="left" w:pos="7938"/>
        </w:tabs>
        <w:ind w:left="1701" w:hanging="579"/>
        <w:rPr>
          <w:szCs w:val="24"/>
        </w:rPr>
      </w:pPr>
    </w:p>
    <w:p w:rsidR="00000000" w:rsidRDefault="00000000">
      <w:pPr>
        <w:numPr>
          <w:ilvl w:val="0"/>
          <w:numId w:val="117"/>
        </w:numPr>
        <w:shd w:val="clear" w:color="auto" w:fill="FFFFFF"/>
        <w:tabs>
          <w:tab w:val="left" w:pos="567"/>
          <w:tab w:val="left" w:pos="1134"/>
          <w:tab w:val="left" w:pos="1701"/>
          <w:tab w:val="left" w:pos="2268"/>
          <w:tab w:val="left" w:pos="7938"/>
        </w:tabs>
        <w:ind w:left="1701" w:hanging="579"/>
      </w:pPr>
      <w:r>
        <w:rPr>
          <w:szCs w:val="24"/>
        </w:rPr>
        <w:t xml:space="preserve">в случае отсутствия наследника или бенефициара любой, кто может представить доказательство того, что он оплатил расходы на похороны умершего, получает сумму, эквивалентную 75-кратной минимальной ежедневной заработной плате, установленной за разную неоговоренную работу в столице Республики.  Если впоследствии появляется какой-либо наследник </w:t>
      </w:r>
      <w:r>
        <w:rPr>
          <w:szCs w:val="26"/>
        </w:rPr>
        <w:t>или бенефициар, то сумма таких понесенных расходов вычитается из причитающейся ему пенсии или пособия.</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jc w:val="center"/>
        <w:rPr>
          <w:b/>
          <w:bCs/>
          <w:szCs w:val="24"/>
        </w:rPr>
      </w:pPr>
      <w:r>
        <w:rPr>
          <w:b/>
          <w:bCs/>
          <w:szCs w:val="24"/>
        </w:rPr>
        <w:t>А.</w:t>
      </w:r>
      <w:r>
        <w:rPr>
          <w:b/>
          <w:bCs/>
          <w:szCs w:val="24"/>
        </w:rPr>
        <w:tab/>
        <w:t>Число застрахованных</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szCs w:val="26"/>
        </w:rPr>
      </w:pPr>
      <w:r>
        <w:rPr>
          <w:szCs w:val="26"/>
        </w:rPr>
        <w:t>262.</w:t>
      </w:r>
      <w:r>
        <w:rPr>
          <w:szCs w:val="26"/>
        </w:rPr>
        <w:tab/>
        <w:t>Общее число зарегистрированных трудящихся, охваченных страхованием всех видов (обязательное, бесплатное, льготное, страхование работников судебной системы и сферы образования - действующих и пенсионеров, домашней прислуги, временно неработающих и т.д. по линии Института социального обеспечения), составляет примерно 375 000 человек, а с учетом членов их семей число застрахованного населения достигает 1 200 000 человек.  Пособия по безработице в Парагвае не существует.</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jc w:val="center"/>
        <w:rPr>
          <w:b/>
          <w:bCs/>
          <w:szCs w:val="26"/>
        </w:rPr>
      </w:pPr>
      <w:r>
        <w:rPr>
          <w:b/>
          <w:bCs/>
          <w:szCs w:val="26"/>
        </w:rPr>
        <w:t>В.</w:t>
      </w:r>
      <w:r>
        <w:rPr>
          <w:b/>
          <w:bCs/>
          <w:szCs w:val="26"/>
        </w:rPr>
        <w:tab/>
        <w:t>Источники финансирования</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szCs w:val="26"/>
        </w:rPr>
      </w:pPr>
      <w:r>
        <w:rPr>
          <w:szCs w:val="26"/>
        </w:rPr>
        <w:t>263.</w:t>
      </w:r>
      <w:r>
        <w:rPr>
          <w:szCs w:val="26"/>
        </w:rPr>
        <w:tab/>
        <w:t>Финансирование единовременных выплат на цели здравоохранения осуществляется исключительно за счет солидарно-распределительной системы.  Финансирование долгосрочных выплат (пенсий и пособий различного назначения) происходит за счет коллективных фондов, выплаты которых четко определены и которые имеют определенную рентабельность привлеченных средств.</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pStyle w:val="BodyText2"/>
        <w:keepNext/>
        <w:spacing w:after="0" w:line="240" w:lineRule="auto"/>
        <w:jc w:val="center"/>
        <w:rPr>
          <w:b/>
          <w:iCs/>
          <w:lang w:val="ru-RU"/>
        </w:rPr>
      </w:pPr>
      <w:r>
        <w:rPr>
          <w:b/>
          <w:iCs/>
          <w:lang w:val="ru-RU"/>
        </w:rPr>
        <w:t>Доля ВВП и статья расходов "Социальное страхование"</w:t>
      </w:r>
      <w:r>
        <w:rPr>
          <w:b/>
          <w:iCs/>
          <w:lang w:val="ru-RU"/>
        </w:rPr>
        <w:br/>
        <w:t>в общем государственном бюджете</w:t>
      </w:r>
    </w:p>
    <w:p w:rsidR="00000000" w:rsidRDefault="00000000">
      <w:pPr>
        <w:pStyle w:val="BodyText2"/>
        <w:keepNext/>
        <w:spacing w:after="0" w:line="240" w:lineRule="auto"/>
        <w:jc w:val="center"/>
        <w:rPr>
          <w:b/>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
        <w:gridCol w:w="2114"/>
        <w:gridCol w:w="1916"/>
        <w:gridCol w:w="1455"/>
        <w:gridCol w:w="1597"/>
        <w:gridCol w:w="1433"/>
      </w:tblGrid>
      <w:tr w:rsidR="00000000">
        <w:tblPrEx>
          <w:tblCellMar>
            <w:top w:w="0" w:type="dxa"/>
            <w:bottom w:w="0" w:type="dxa"/>
          </w:tblCellMar>
        </w:tblPrEx>
        <w:trPr>
          <w:cantSplit/>
          <w:tblHeader/>
        </w:trPr>
        <w:tc>
          <w:tcPr>
            <w:tcW w:w="531" w:type="pct"/>
            <w:vMerge w:val="restart"/>
            <w:vAlign w:val="center"/>
          </w:tcPr>
          <w:p w:rsidR="00000000" w:rsidRDefault="00000000">
            <w:pPr>
              <w:keepNext/>
              <w:spacing w:line="240" w:lineRule="auto"/>
              <w:jc w:val="center"/>
              <w:rPr>
                <w:b/>
                <w:sz w:val="22"/>
                <w:lang w:eastAsia="es-ES"/>
              </w:rPr>
            </w:pPr>
            <w:r>
              <w:rPr>
                <w:b/>
                <w:sz w:val="22"/>
              </w:rPr>
              <w:br w:type="page"/>
            </w:r>
            <w:r>
              <w:rPr>
                <w:b/>
                <w:sz w:val="22"/>
                <w:lang w:eastAsia="es-ES"/>
              </w:rPr>
              <w:t>Годы</w:t>
            </w:r>
          </w:p>
        </w:tc>
        <w:tc>
          <w:tcPr>
            <w:tcW w:w="1128" w:type="pct"/>
            <w:vMerge w:val="restart"/>
            <w:vAlign w:val="center"/>
          </w:tcPr>
          <w:p w:rsidR="00000000" w:rsidRDefault="00000000">
            <w:pPr>
              <w:keepNext/>
              <w:spacing w:line="240" w:lineRule="auto"/>
              <w:jc w:val="center"/>
              <w:rPr>
                <w:b/>
                <w:sz w:val="22"/>
                <w:lang w:eastAsia="es-ES"/>
              </w:rPr>
            </w:pPr>
            <w:r>
              <w:rPr>
                <w:b/>
                <w:sz w:val="22"/>
                <w:lang w:eastAsia="es-ES"/>
              </w:rPr>
              <w:t>Общие ВВП (в</w:t>
            </w:r>
            <w:r>
              <w:rPr>
                <w:b/>
                <w:sz w:val="22"/>
                <w:lang w:val="en-US" w:eastAsia="es-ES"/>
              </w:rPr>
              <w:t> </w:t>
            </w:r>
            <w:r>
              <w:rPr>
                <w:b/>
                <w:sz w:val="22"/>
                <w:lang w:eastAsia="es-ES"/>
              </w:rPr>
              <w:t>тыс.</w:t>
            </w:r>
            <w:r>
              <w:rPr>
                <w:b/>
                <w:sz w:val="22"/>
                <w:lang w:val="en-US" w:eastAsia="es-ES"/>
              </w:rPr>
              <w:t> </w:t>
            </w:r>
            <w:r>
              <w:rPr>
                <w:b/>
                <w:sz w:val="22"/>
                <w:lang w:eastAsia="es-ES"/>
              </w:rPr>
              <w:t>гуарани)</w:t>
            </w:r>
          </w:p>
        </w:tc>
        <w:tc>
          <w:tcPr>
            <w:tcW w:w="936" w:type="pct"/>
            <w:vMerge w:val="restart"/>
            <w:vAlign w:val="center"/>
          </w:tcPr>
          <w:p w:rsidR="00000000" w:rsidRDefault="00000000">
            <w:pPr>
              <w:keepNext/>
              <w:spacing w:line="240" w:lineRule="auto"/>
              <w:jc w:val="center"/>
              <w:rPr>
                <w:b/>
                <w:sz w:val="22"/>
                <w:lang w:val="es-MX" w:eastAsia="es-ES"/>
              </w:rPr>
            </w:pPr>
            <w:r>
              <w:rPr>
                <w:b/>
                <w:sz w:val="22"/>
                <w:lang w:eastAsia="es-ES"/>
              </w:rPr>
              <w:t>Государственный бюджет</w:t>
            </w:r>
            <w:r>
              <w:rPr>
                <w:b/>
                <w:sz w:val="22"/>
                <w:vertAlign w:val="superscript"/>
                <w:lang w:val="es-MX" w:eastAsia="es-ES"/>
              </w:rPr>
              <w:t>1</w:t>
            </w:r>
          </w:p>
        </w:tc>
        <w:tc>
          <w:tcPr>
            <w:tcW w:w="781" w:type="pct"/>
            <w:vMerge w:val="restart"/>
            <w:vAlign w:val="center"/>
          </w:tcPr>
          <w:p w:rsidR="00000000" w:rsidRDefault="00000000">
            <w:pPr>
              <w:keepNext/>
              <w:spacing w:line="240" w:lineRule="auto"/>
              <w:jc w:val="center"/>
              <w:rPr>
                <w:b/>
                <w:sz w:val="22"/>
                <w:lang w:val="es-MX" w:eastAsia="es-ES"/>
              </w:rPr>
            </w:pPr>
            <w:r>
              <w:rPr>
                <w:b/>
                <w:sz w:val="22"/>
                <w:lang w:eastAsia="es-ES"/>
              </w:rPr>
              <w:t>Социальное обеспечение</w:t>
            </w:r>
            <w:r>
              <w:rPr>
                <w:b/>
                <w:sz w:val="22"/>
                <w:vertAlign w:val="superscript"/>
                <w:lang w:val="es-MX" w:eastAsia="es-ES"/>
              </w:rPr>
              <w:t>2</w:t>
            </w:r>
          </w:p>
        </w:tc>
        <w:tc>
          <w:tcPr>
            <w:tcW w:w="855" w:type="pct"/>
            <w:vAlign w:val="center"/>
          </w:tcPr>
          <w:p w:rsidR="00000000" w:rsidRDefault="00000000">
            <w:pPr>
              <w:keepNext/>
              <w:spacing w:line="240" w:lineRule="auto"/>
              <w:jc w:val="center"/>
              <w:rPr>
                <w:b/>
                <w:sz w:val="22"/>
                <w:lang w:eastAsia="es-ES"/>
              </w:rPr>
            </w:pPr>
            <w:r>
              <w:rPr>
                <w:b/>
                <w:sz w:val="22"/>
                <w:lang w:eastAsia="es-ES"/>
              </w:rPr>
              <w:t>Социальное обеспечение/</w:t>
            </w:r>
          </w:p>
          <w:p w:rsidR="00000000" w:rsidRDefault="00000000">
            <w:pPr>
              <w:keepNext/>
              <w:spacing w:line="240" w:lineRule="auto"/>
              <w:jc w:val="center"/>
              <w:rPr>
                <w:b/>
                <w:sz w:val="22"/>
                <w:lang w:eastAsia="es-ES"/>
              </w:rPr>
            </w:pPr>
            <w:r>
              <w:rPr>
                <w:b/>
                <w:sz w:val="22"/>
                <w:lang w:eastAsia="es-ES"/>
              </w:rPr>
              <w:t>ВВП</w:t>
            </w:r>
          </w:p>
        </w:tc>
        <w:tc>
          <w:tcPr>
            <w:tcW w:w="769" w:type="pct"/>
            <w:vAlign w:val="center"/>
          </w:tcPr>
          <w:p w:rsidR="00000000" w:rsidRDefault="00000000">
            <w:pPr>
              <w:keepNext/>
              <w:spacing w:line="240" w:lineRule="auto"/>
              <w:jc w:val="center"/>
              <w:rPr>
                <w:b/>
                <w:sz w:val="22"/>
                <w:lang w:eastAsia="es-ES"/>
              </w:rPr>
            </w:pPr>
            <w:r>
              <w:rPr>
                <w:b/>
                <w:sz w:val="22"/>
                <w:lang w:eastAsia="es-ES"/>
              </w:rPr>
              <w:t>Социальное обеспечение/ бюджет</w:t>
            </w:r>
          </w:p>
        </w:tc>
      </w:tr>
      <w:tr w:rsidR="00000000">
        <w:tblPrEx>
          <w:tblCellMar>
            <w:top w:w="0" w:type="dxa"/>
            <w:bottom w:w="0" w:type="dxa"/>
          </w:tblCellMar>
        </w:tblPrEx>
        <w:trPr>
          <w:cantSplit/>
          <w:tblHeader/>
        </w:trPr>
        <w:tc>
          <w:tcPr>
            <w:tcW w:w="531" w:type="pct"/>
            <w:vMerge/>
            <w:vAlign w:val="center"/>
          </w:tcPr>
          <w:p w:rsidR="00000000" w:rsidRDefault="00000000">
            <w:pPr>
              <w:keepNext/>
              <w:jc w:val="center"/>
              <w:rPr>
                <w:bCs/>
                <w:sz w:val="22"/>
                <w:lang w:val="es-MX" w:eastAsia="es-ES"/>
              </w:rPr>
            </w:pPr>
          </w:p>
        </w:tc>
        <w:tc>
          <w:tcPr>
            <w:tcW w:w="1128" w:type="pct"/>
            <w:vMerge/>
            <w:vAlign w:val="center"/>
          </w:tcPr>
          <w:p w:rsidR="00000000" w:rsidRDefault="00000000">
            <w:pPr>
              <w:keepNext/>
              <w:jc w:val="center"/>
              <w:rPr>
                <w:bCs/>
                <w:sz w:val="22"/>
                <w:lang w:val="es-MX" w:eastAsia="es-ES"/>
              </w:rPr>
            </w:pPr>
          </w:p>
        </w:tc>
        <w:tc>
          <w:tcPr>
            <w:tcW w:w="936" w:type="pct"/>
            <w:vMerge/>
            <w:vAlign w:val="center"/>
          </w:tcPr>
          <w:p w:rsidR="00000000" w:rsidRDefault="00000000">
            <w:pPr>
              <w:keepNext/>
              <w:jc w:val="center"/>
              <w:rPr>
                <w:bCs/>
                <w:sz w:val="22"/>
                <w:lang w:val="es-MX" w:eastAsia="es-ES"/>
              </w:rPr>
            </w:pPr>
          </w:p>
        </w:tc>
        <w:tc>
          <w:tcPr>
            <w:tcW w:w="781" w:type="pct"/>
            <w:vMerge/>
            <w:vAlign w:val="center"/>
          </w:tcPr>
          <w:p w:rsidR="00000000" w:rsidRDefault="00000000">
            <w:pPr>
              <w:keepNext/>
              <w:jc w:val="center"/>
              <w:rPr>
                <w:bCs/>
                <w:sz w:val="22"/>
                <w:lang w:val="es-MX" w:eastAsia="es-ES"/>
              </w:rPr>
            </w:pPr>
          </w:p>
        </w:tc>
        <w:tc>
          <w:tcPr>
            <w:tcW w:w="1624" w:type="pct"/>
            <w:gridSpan w:val="2"/>
            <w:vAlign w:val="center"/>
          </w:tcPr>
          <w:p w:rsidR="00000000" w:rsidRDefault="00000000">
            <w:pPr>
              <w:keepNext/>
              <w:jc w:val="center"/>
              <w:rPr>
                <w:b/>
                <w:sz w:val="22"/>
                <w:lang w:eastAsia="es-ES"/>
              </w:rPr>
            </w:pPr>
            <w:r>
              <w:rPr>
                <w:b/>
                <w:sz w:val="22"/>
                <w:lang w:eastAsia="es-ES"/>
              </w:rPr>
              <w:t>(в процентах)</w:t>
            </w:r>
          </w:p>
        </w:tc>
      </w:tr>
      <w:tr w:rsidR="00000000">
        <w:tblPrEx>
          <w:tblCellMar>
            <w:top w:w="0" w:type="dxa"/>
            <w:bottom w:w="0" w:type="dxa"/>
          </w:tblCellMar>
        </w:tblPrEx>
        <w:tc>
          <w:tcPr>
            <w:tcW w:w="531" w:type="pct"/>
          </w:tcPr>
          <w:p w:rsidR="00000000" w:rsidRDefault="00000000">
            <w:pPr>
              <w:jc w:val="center"/>
              <w:rPr>
                <w:bCs/>
                <w:sz w:val="22"/>
                <w:lang w:val="es-MX" w:eastAsia="es-ES"/>
              </w:rPr>
            </w:pPr>
            <w:r>
              <w:rPr>
                <w:bCs/>
                <w:sz w:val="22"/>
                <w:lang w:val="es-MX" w:eastAsia="es-ES"/>
              </w:rPr>
              <w:t>1994</w:t>
            </w:r>
          </w:p>
        </w:tc>
        <w:tc>
          <w:tcPr>
            <w:tcW w:w="1128" w:type="pct"/>
          </w:tcPr>
          <w:p w:rsidR="00000000" w:rsidRDefault="00000000">
            <w:pPr>
              <w:jc w:val="center"/>
              <w:rPr>
                <w:bCs/>
                <w:sz w:val="22"/>
                <w:lang w:val="es-MX" w:eastAsia="es-ES"/>
              </w:rPr>
            </w:pPr>
            <w:r>
              <w:rPr>
                <w:bCs/>
                <w:sz w:val="22"/>
                <w:lang w:val="es-MX" w:eastAsia="es-ES"/>
              </w:rPr>
              <w:t>13 220 624</w:t>
            </w:r>
          </w:p>
        </w:tc>
        <w:tc>
          <w:tcPr>
            <w:tcW w:w="936" w:type="pct"/>
            <w:tcMar>
              <w:right w:w="255" w:type="dxa"/>
            </w:tcMar>
            <w:vAlign w:val="center"/>
          </w:tcPr>
          <w:p w:rsidR="00000000" w:rsidRDefault="00000000">
            <w:pPr>
              <w:tabs>
                <w:tab w:val="clear" w:pos="1134"/>
                <w:tab w:val="decimal" w:pos="1130"/>
              </w:tabs>
              <w:jc w:val="right"/>
              <w:rPr>
                <w:bCs/>
                <w:sz w:val="22"/>
                <w:lang w:val="es-MX" w:eastAsia="es-ES"/>
              </w:rPr>
            </w:pPr>
            <w:r>
              <w:rPr>
                <w:bCs/>
                <w:sz w:val="22"/>
                <w:lang w:val="es-MX" w:eastAsia="es-ES"/>
              </w:rPr>
              <w:t>2 253 329</w:t>
            </w:r>
          </w:p>
        </w:tc>
        <w:tc>
          <w:tcPr>
            <w:tcW w:w="781" w:type="pct"/>
            <w:tcMar>
              <w:right w:w="255" w:type="dxa"/>
            </w:tcMar>
            <w:vAlign w:val="center"/>
          </w:tcPr>
          <w:p w:rsidR="00000000" w:rsidRDefault="00000000">
            <w:pPr>
              <w:tabs>
                <w:tab w:val="decimal" w:pos="1056"/>
              </w:tabs>
              <w:jc w:val="right"/>
              <w:rPr>
                <w:bCs/>
                <w:sz w:val="22"/>
                <w:lang w:val="es-MX" w:eastAsia="es-ES"/>
              </w:rPr>
            </w:pPr>
            <w:r>
              <w:rPr>
                <w:bCs/>
                <w:sz w:val="22"/>
                <w:lang w:val="es-MX" w:eastAsia="es-ES"/>
              </w:rPr>
              <w:t>18 435</w:t>
            </w:r>
          </w:p>
        </w:tc>
        <w:tc>
          <w:tcPr>
            <w:tcW w:w="855" w:type="pct"/>
          </w:tcPr>
          <w:p w:rsidR="00000000" w:rsidRDefault="00000000">
            <w:pPr>
              <w:jc w:val="center"/>
              <w:rPr>
                <w:bCs/>
                <w:sz w:val="22"/>
                <w:lang w:val="es-MX" w:eastAsia="es-ES"/>
              </w:rPr>
            </w:pPr>
            <w:r>
              <w:rPr>
                <w:bCs/>
                <w:sz w:val="22"/>
                <w:lang w:val="es-MX" w:eastAsia="es-ES"/>
              </w:rPr>
              <w:t>0,14</w:t>
            </w:r>
          </w:p>
        </w:tc>
        <w:tc>
          <w:tcPr>
            <w:tcW w:w="769" w:type="pct"/>
          </w:tcPr>
          <w:p w:rsidR="00000000" w:rsidRDefault="00000000">
            <w:pPr>
              <w:tabs>
                <w:tab w:val="decimal" w:pos="634"/>
              </w:tabs>
              <w:jc w:val="center"/>
              <w:rPr>
                <w:bCs/>
                <w:sz w:val="22"/>
                <w:lang w:val="es-MX" w:eastAsia="es-ES"/>
              </w:rPr>
            </w:pPr>
            <w:r>
              <w:rPr>
                <w:bCs/>
                <w:sz w:val="22"/>
                <w:lang w:val="es-MX" w:eastAsia="es-ES"/>
              </w:rPr>
              <w:t>0,82</w:t>
            </w:r>
          </w:p>
        </w:tc>
      </w:tr>
      <w:tr w:rsidR="00000000">
        <w:tblPrEx>
          <w:tblCellMar>
            <w:top w:w="0" w:type="dxa"/>
            <w:bottom w:w="0" w:type="dxa"/>
          </w:tblCellMar>
        </w:tblPrEx>
        <w:tc>
          <w:tcPr>
            <w:tcW w:w="531" w:type="pct"/>
          </w:tcPr>
          <w:p w:rsidR="00000000" w:rsidRDefault="00000000">
            <w:pPr>
              <w:jc w:val="center"/>
              <w:rPr>
                <w:bCs/>
                <w:sz w:val="22"/>
                <w:lang w:val="es-MX" w:eastAsia="es-ES"/>
              </w:rPr>
            </w:pPr>
            <w:r>
              <w:rPr>
                <w:bCs/>
                <w:sz w:val="22"/>
                <w:lang w:val="es-MX" w:eastAsia="es-ES"/>
              </w:rPr>
              <w:t>1995</w:t>
            </w:r>
          </w:p>
        </w:tc>
        <w:tc>
          <w:tcPr>
            <w:tcW w:w="1128" w:type="pct"/>
          </w:tcPr>
          <w:p w:rsidR="00000000" w:rsidRDefault="00000000">
            <w:pPr>
              <w:jc w:val="center"/>
              <w:rPr>
                <w:bCs/>
                <w:sz w:val="22"/>
                <w:lang w:val="es-MX" w:eastAsia="es-ES"/>
              </w:rPr>
            </w:pPr>
            <w:r>
              <w:rPr>
                <w:bCs/>
                <w:sz w:val="22"/>
                <w:lang w:val="es-MX" w:eastAsia="es-ES"/>
              </w:rPr>
              <w:t>15 833 186</w:t>
            </w:r>
          </w:p>
        </w:tc>
        <w:tc>
          <w:tcPr>
            <w:tcW w:w="936" w:type="pct"/>
            <w:tcMar>
              <w:right w:w="255" w:type="dxa"/>
            </w:tcMar>
            <w:vAlign w:val="center"/>
          </w:tcPr>
          <w:p w:rsidR="00000000" w:rsidRDefault="00000000">
            <w:pPr>
              <w:tabs>
                <w:tab w:val="clear" w:pos="1134"/>
                <w:tab w:val="decimal" w:pos="1130"/>
              </w:tabs>
              <w:jc w:val="right"/>
              <w:rPr>
                <w:bCs/>
                <w:sz w:val="22"/>
                <w:lang w:val="es-MX" w:eastAsia="es-ES"/>
              </w:rPr>
            </w:pPr>
            <w:r>
              <w:rPr>
                <w:bCs/>
                <w:sz w:val="22"/>
                <w:lang w:val="es-MX" w:eastAsia="es-ES"/>
              </w:rPr>
              <w:t>3 042 601</w:t>
            </w:r>
          </w:p>
        </w:tc>
        <w:tc>
          <w:tcPr>
            <w:tcW w:w="781" w:type="pct"/>
            <w:tcMar>
              <w:right w:w="255" w:type="dxa"/>
            </w:tcMar>
            <w:vAlign w:val="center"/>
          </w:tcPr>
          <w:p w:rsidR="00000000" w:rsidRDefault="00000000">
            <w:pPr>
              <w:tabs>
                <w:tab w:val="decimal" w:pos="1056"/>
              </w:tabs>
              <w:jc w:val="right"/>
              <w:rPr>
                <w:bCs/>
                <w:sz w:val="22"/>
                <w:lang w:val="es-MX" w:eastAsia="es-ES"/>
              </w:rPr>
            </w:pPr>
            <w:r>
              <w:rPr>
                <w:bCs/>
                <w:sz w:val="22"/>
                <w:lang w:val="es-MX" w:eastAsia="es-ES"/>
              </w:rPr>
              <w:t>32 169</w:t>
            </w:r>
          </w:p>
        </w:tc>
        <w:tc>
          <w:tcPr>
            <w:tcW w:w="855" w:type="pct"/>
          </w:tcPr>
          <w:p w:rsidR="00000000" w:rsidRDefault="00000000">
            <w:pPr>
              <w:jc w:val="center"/>
              <w:rPr>
                <w:bCs/>
                <w:sz w:val="22"/>
                <w:lang w:val="es-MX" w:eastAsia="es-ES"/>
              </w:rPr>
            </w:pPr>
            <w:r>
              <w:rPr>
                <w:bCs/>
                <w:sz w:val="22"/>
                <w:lang w:val="es-MX" w:eastAsia="es-ES"/>
              </w:rPr>
              <w:t>0,20</w:t>
            </w:r>
          </w:p>
        </w:tc>
        <w:tc>
          <w:tcPr>
            <w:tcW w:w="769" w:type="pct"/>
          </w:tcPr>
          <w:p w:rsidR="00000000" w:rsidRDefault="00000000">
            <w:pPr>
              <w:tabs>
                <w:tab w:val="decimal" w:pos="634"/>
              </w:tabs>
              <w:jc w:val="center"/>
              <w:rPr>
                <w:bCs/>
                <w:sz w:val="22"/>
                <w:lang w:val="es-MX" w:eastAsia="es-ES"/>
              </w:rPr>
            </w:pPr>
            <w:r>
              <w:rPr>
                <w:bCs/>
                <w:sz w:val="22"/>
                <w:lang w:val="es-MX" w:eastAsia="es-ES"/>
              </w:rPr>
              <w:t>1,06</w:t>
            </w:r>
          </w:p>
        </w:tc>
      </w:tr>
      <w:tr w:rsidR="00000000">
        <w:tblPrEx>
          <w:tblCellMar>
            <w:top w:w="0" w:type="dxa"/>
            <w:bottom w:w="0" w:type="dxa"/>
          </w:tblCellMar>
        </w:tblPrEx>
        <w:tc>
          <w:tcPr>
            <w:tcW w:w="531" w:type="pct"/>
          </w:tcPr>
          <w:p w:rsidR="00000000" w:rsidRDefault="00000000">
            <w:pPr>
              <w:jc w:val="center"/>
              <w:rPr>
                <w:bCs/>
                <w:sz w:val="22"/>
                <w:lang w:val="es-MX" w:eastAsia="es-ES"/>
              </w:rPr>
            </w:pPr>
            <w:r>
              <w:rPr>
                <w:bCs/>
                <w:sz w:val="22"/>
                <w:lang w:val="es-MX" w:eastAsia="es-ES"/>
              </w:rPr>
              <w:t>1996</w:t>
            </w:r>
          </w:p>
        </w:tc>
        <w:tc>
          <w:tcPr>
            <w:tcW w:w="1128" w:type="pct"/>
          </w:tcPr>
          <w:p w:rsidR="00000000" w:rsidRDefault="00000000">
            <w:pPr>
              <w:jc w:val="center"/>
              <w:rPr>
                <w:bCs/>
                <w:sz w:val="22"/>
                <w:lang w:val="es-MX" w:eastAsia="es-ES"/>
              </w:rPr>
            </w:pPr>
            <w:r>
              <w:rPr>
                <w:bCs/>
                <w:sz w:val="22"/>
                <w:lang w:val="es-MX" w:eastAsia="es-ES"/>
              </w:rPr>
              <w:t>18 004 374</w:t>
            </w:r>
          </w:p>
        </w:tc>
        <w:tc>
          <w:tcPr>
            <w:tcW w:w="936" w:type="pct"/>
            <w:tcMar>
              <w:right w:w="255" w:type="dxa"/>
            </w:tcMar>
            <w:vAlign w:val="center"/>
          </w:tcPr>
          <w:p w:rsidR="00000000" w:rsidRDefault="00000000">
            <w:pPr>
              <w:tabs>
                <w:tab w:val="clear" w:pos="1134"/>
                <w:tab w:val="decimal" w:pos="1130"/>
              </w:tabs>
              <w:jc w:val="right"/>
              <w:rPr>
                <w:bCs/>
                <w:sz w:val="22"/>
                <w:lang w:val="es-MX" w:eastAsia="es-ES"/>
              </w:rPr>
            </w:pPr>
            <w:r>
              <w:rPr>
                <w:bCs/>
                <w:sz w:val="22"/>
                <w:lang w:val="es-MX" w:eastAsia="es-ES"/>
              </w:rPr>
              <w:t>3 416 260</w:t>
            </w:r>
          </w:p>
        </w:tc>
        <w:tc>
          <w:tcPr>
            <w:tcW w:w="781" w:type="pct"/>
            <w:tcMar>
              <w:right w:w="255" w:type="dxa"/>
            </w:tcMar>
            <w:vAlign w:val="center"/>
          </w:tcPr>
          <w:p w:rsidR="00000000" w:rsidRDefault="00000000">
            <w:pPr>
              <w:tabs>
                <w:tab w:val="decimal" w:pos="1056"/>
              </w:tabs>
              <w:jc w:val="right"/>
              <w:rPr>
                <w:bCs/>
                <w:sz w:val="22"/>
                <w:lang w:val="es-MX" w:eastAsia="es-ES"/>
              </w:rPr>
            </w:pPr>
            <w:r>
              <w:rPr>
                <w:bCs/>
                <w:sz w:val="22"/>
                <w:lang w:val="es-MX" w:eastAsia="es-ES"/>
              </w:rPr>
              <w:t>28 217</w:t>
            </w:r>
          </w:p>
        </w:tc>
        <w:tc>
          <w:tcPr>
            <w:tcW w:w="855" w:type="pct"/>
          </w:tcPr>
          <w:p w:rsidR="00000000" w:rsidRDefault="00000000">
            <w:pPr>
              <w:jc w:val="center"/>
              <w:rPr>
                <w:bCs/>
                <w:sz w:val="22"/>
                <w:lang w:val="es-MX" w:eastAsia="es-ES"/>
              </w:rPr>
            </w:pPr>
            <w:r>
              <w:rPr>
                <w:bCs/>
                <w:sz w:val="22"/>
                <w:lang w:val="es-MX" w:eastAsia="es-ES"/>
              </w:rPr>
              <w:t>0,16</w:t>
            </w:r>
          </w:p>
        </w:tc>
        <w:tc>
          <w:tcPr>
            <w:tcW w:w="769" w:type="pct"/>
          </w:tcPr>
          <w:p w:rsidR="00000000" w:rsidRDefault="00000000">
            <w:pPr>
              <w:tabs>
                <w:tab w:val="decimal" w:pos="634"/>
              </w:tabs>
              <w:jc w:val="center"/>
              <w:rPr>
                <w:bCs/>
                <w:sz w:val="22"/>
                <w:lang w:val="es-MX" w:eastAsia="es-ES"/>
              </w:rPr>
            </w:pPr>
            <w:r>
              <w:rPr>
                <w:bCs/>
                <w:sz w:val="22"/>
                <w:lang w:val="es-MX" w:eastAsia="es-ES"/>
              </w:rPr>
              <w:t>0,83</w:t>
            </w:r>
          </w:p>
        </w:tc>
      </w:tr>
      <w:tr w:rsidR="00000000">
        <w:tblPrEx>
          <w:tblCellMar>
            <w:top w:w="0" w:type="dxa"/>
            <w:bottom w:w="0" w:type="dxa"/>
          </w:tblCellMar>
        </w:tblPrEx>
        <w:tc>
          <w:tcPr>
            <w:tcW w:w="531" w:type="pct"/>
          </w:tcPr>
          <w:p w:rsidR="00000000" w:rsidRDefault="00000000">
            <w:pPr>
              <w:jc w:val="center"/>
              <w:rPr>
                <w:bCs/>
                <w:sz w:val="22"/>
                <w:lang w:val="es-MX" w:eastAsia="es-ES"/>
              </w:rPr>
            </w:pPr>
            <w:r>
              <w:rPr>
                <w:bCs/>
                <w:sz w:val="22"/>
                <w:lang w:val="es-MX" w:eastAsia="es-ES"/>
              </w:rPr>
              <w:t>1997</w:t>
            </w:r>
          </w:p>
        </w:tc>
        <w:tc>
          <w:tcPr>
            <w:tcW w:w="1128" w:type="pct"/>
          </w:tcPr>
          <w:p w:rsidR="00000000" w:rsidRDefault="00000000">
            <w:pPr>
              <w:jc w:val="center"/>
              <w:rPr>
                <w:bCs/>
                <w:sz w:val="22"/>
                <w:lang w:val="es-MX" w:eastAsia="es-ES"/>
              </w:rPr>
            </w:pPr>
            <w:r>
              <w:rPr>
                <w:bCs/>
                <w:sz w:val="22"/>
                <w:lang w:val="es-MX" w:eastAsia="es-ES"/>
              </w:rPr>
              <w:t>19 322 537</w:t>
            </w:r>
          </w:p>
        </w:tc>
        <w:tc>
          <w:tcPr>
            <w:tcW w:w="936" w:type="pct"/>
            <w:tcMar>
              <w:right w:w="255" w:type="dxa"/>
            </w:tcMar>
            <w:vAlign w:val="center"/>
          </w:tcPr>
          <w:p w:rsidR="00000000" w:rsidRDefault="00000000">
            <w:pPr>
              <w:tabs>
                <w:tab w:val="clear" w:pos="1134"/>
                <w:tab w:val="decimal" w:pos="1130"/>
              </w:tabs>
              <w:jc w:val="right"/>
              <w:rPr>
                <w:bCs/>
                <w:sz w:val="22"/>
                <w:lang w:val="es-MX" w:eastAsia="es-ES"/>
              </w:rPr>
            </w:pPr>
            <w:r>
              <w:rPr>
                <w:bCs/>
                <w:sz w:val="22"/>
                <w:lang w:val="es-MX" w:eastAsia="es-ES"/>
              </w:rPr>
              <w:t>9 896 024</w:t>
            </w:r>
          </w:p>
        </w:tc>
        <w:tc>
          <w:tcPr>
            <w:tcW w:w="781" w:type="pct"/>
            <w:tcMar>
              <w:right w:w="255" w:type="dxa"/>
            </w:tcMar>
            <w:vAlign w:val="center"/>
          </w:tcPr>
          <w:p w:rsidR="00000000" w:rsidRDefault="00000000">
            <w:pPr>
              <w:tabs>
                <w:tab w:val="decimal" w:pos="1056"/>
              </w:tabs>
              <w:jc w:val="right"/>
              <w:rPr>
                <w:bCs/>
                <w:sz w:val="22"/>
                <w:lang w:val="es-MX" w:eastAsia="es-ES"/>
              </w:rPr>
            </w:pPr>
            <w:r>
              <w:rPr>
                <w:bCs/>
                <w:sz w:val="22"/>
                <w:lang w:val="es-MX" w:eastAsia="es-ES"/>
              </w:rPr>
              <w:t>230 510</w:t>
            </w:r>
          </w:p>
        </w:tc>
        <w:tc>
          <w:tcPr>
            <w:tcW w:w="855" w:type="pct"/>
          </w:tcPr>
          <w:p w:rsidR="00000000" w:rsidRDefault="00000000">
            <w:pPr>
              <w:jc w:val="center"/>
              <w:rPr>
                <w:bCs/>
                <w:sz w:val="22"/>
                <w:lang w:val="es-MX" w:eastAsia="es-ES"/>
              </w:rPr>
            </w:pPr>
            <w:r>
              <w:rPr>
                <w:bCs/>
                <w:sz w:val="22"/>
                <w:lang w:val="es-MX" w:eastAsia="es-ES"/>
              </w:rPr>
              <w:t>1,19</w:t>
            </w:r>
          </w:p>
        </w:tc>
        <w:tc>
          <w:tcPr>
            <w:tcW w:w="769" w:type="pct"/>
          </w:tcPr>
          <w:p w:rsidR="00000000" w:rsidRDefault="00000000">
            <w:pPr>
              <w:tabs>
                <w:tab w:val="decimal" w:pos="634"/>
              </w:tabs>
              <w:jc w:val="center"/>
              <w:rPr>
                <w:bCs/>
                <w:sz w:val="22"/>
                <w:lang w:val="es-MX" w:eastAsia="es-ES"/>
              </w:rPr>
            </w:pPr>
            <w:r>
              <w:rPr>
                <w:bCs/>
                <w:sz w:val="22"/>
                <w:lang w:val="es-MX" w:eastAsia="es-ES"/>
              </w:rPr>
              <w:t>2,33</w:t>
            </w:r>
          </w:p>
        </w:tc>
      </w:tr>
      <w:tr w:rsidR="00000000">
        <w:tblPrEx>
          <w:tblCellMar>
            <w:top w:w="0" w:type="dxa"/>
            <w:bottom w:w="0" w:type="dxa"/>
          </w:tblCellMar>
        </w:tblPrEx>
        <w:tc>
          <w:tcPr>
            <w:tcW w:w="531" w:type="pct"/>
          </w:tcPr>
          <w:p w:rsidR="00000000" w:rsidRDefault="00000000">
            <w:pPr>
              <w:jc w:val="center"/>
              <w:rPr>
                <w:bCs/>
                <w:sz w:val="22"/>
                <w:lang w:val="es-MX" w:eastAsia="es-ES"/>
              </w:rPr>
            </w:pPr>
            <w:r>
              <w:rPr>
                <w:bCs/>
                <w:sz w:val="22"/>
                <w:lang w:val="es-MX" w:eastAsia="es-ES"/>
              </w:rPr>
              <w:t>1998</w:t>
            </w:r>
          </w:p>
        </w:tc>
        <w:tc>
          <w:tcPr>
            <w:tcW w:w="1128" w:type="pct"/>
          </w:tcPr>
          <w:p w:rsidR="00000000" w:rsidRDefault="00000000">
            <w:pPr>
              <w:jc w:val="center"/>
              <w:rPr>
                <w:bCs/>
                <w:sz w:val="22"/>
                <w:lang w:val="es-MX" w:eastAsia="es-ES"/>
              </w:rPr>
            </w:pPr>
            <w:r>
              <w:rPr>
                <w:bCs/>
                <w:sz w:val="22"/>
                <w:lang w:val="es-MX" w:eastAsia="es-ES"/>
              </w:rPr>
              <w:t>21 580 611</w:t>
            </w:r>
          </w:p>
        </w:tc>
        <w:tc>
          <w:tcPr>
            <w:tcW w:w="936" w:type="pct"/>
            <w:tcMar>
              <w:right w:w="255" w:type="dxa"/>
            </w:tcMar>
            <w:vAlign w:val="center"/>
          </w:tcPr>
          <w:p w:rsidR="00000000" w:rsidRDefault="00000000">
            <w:pPr>
              <w:tabs>
                <w:tab w:val="clear" w:pos="1134"/>
                <w:tab w:val="decimal" w:pos="1130"/>
              </w:tabs>
              <w:jc w:val="right"/>
              <w:rPr>
                <w:bCs/>
                <w:sz w:val="22"/>
                <w:lang w:val="es-MX" w:eastAsia="es-ES"/>
              </w:rPr>
            </w:pPr>
            <w:r>
              <w:rPr>
                <w:bCs/>
                <w:sz w:val="22"/>
                <w:lang w:val="es-MX" w:eastAsia="es-ES"/>
              </w:rPr>
              <w:t>11 077 222</w:t>
            </w:r>
          </w:p>
        </w:tc>
        <w:tc>
          <w:tcPr>
            <w:tcW w:w="781" w:type="pct"/>
            <w:tcMar>
              <w:right w:w="255" w:type="dxa"/>
            </w:tcMar>
            <w:vAlign w:val="center"/>
          </w:tcPr>
          <w:p w:rsidR="00000000" w:rsidRDefault="00000000">
            <w:pPr>
              <w:tabs>
                <w:tab w:val="decimal" w:pos="1056"/>
              </w:tabs>
              <w:jc w:val="right"/>
              <w:rPr>
                <w:bCs/>
                <w:sz w:val="22"/>
                <w:lang w:val="es-MX" w:eastAsia="es-ES"/>
              </w:rPr>
            </w:pPr>
            <w:r>
              <w:rPr>
                <w:bCs/>
                <w:sz w:val="22"/>
                <w:lang w:val="es-MX" w:eastAsia="es-ES"/>
              </w:rPr>
              <w:t>508 992</w:t>
            </w:r>
          </w:p>
        </w:tc>
        <w:tc>
          <w:tcPr>
            <w:tcW w:w="855" w:type="pct"/>
          </w:tcPr>
          <w:p w:rsidR="00000000" w:rsidRDefault="00000000">
            <w:pPr>
              <w:jc w:val="center"/>
              <w:rPr>
                <w:bCs/>
                <w:sz w:val="22"/>
                <w:lang w:val="es-MX" w:eastAsia="es-ES"/>
              </w:rPr>
            </w:pPr>
            <w:r>
              <w:rPr>
                <w:bCs/>
                <w:sz w:val="22"/>
                <w:lang w:val="es-MX" w:eastAsia="es-ES"/>
              </w:rPr>
              <w:t>2,36</w:t>
            </w:r>
          </w:p>
        </w:tc>
        <w:tc>
          <w:tcPr>
            <w:tcW w:w="769" w:type="pct"/>
          </w:tcPr>
          <w:p w:rsidR="00000000" w:rsidRDefault="00000000">
            <w:pPr>
              <w:tabs>
                <w:tab w:val="decimal" w:pos="634"/>
              </w:tabs>
              <w:jc w:val="center"/>
              <w:rPr>
                <w:bCs/>
                <w:sz w:val="22"/>
                <w:lang w:val="es-MX" w:eastAsia="es-ES"/>
              </w:rPr>
            </w:pPr>
            <w:r>
              <w:rPr>
                <w:bCs/>
                <w:sz w:val="22"/>
                <w:lang w:val="es-MX" w:eastAsia="es-ES"/>
              </w:rPr>
              <w:t>4,59</w:t>
            </w:r>
          </w:p>
        </w:tc>
      </w:tr>
      <w:tr w:rsidR="00000000">
        <w:tblPrEx>
          <w:tblCellMar>
            <w:top w:w="0" w:type="dxa"/>
            <w:bottom w:w="0" w:type="dxa"/>
          </w:tblCellMar>
        </w:tblPrEx>
        <w:tc>
          <w:tcPr>
            <w:tcW w:w="531" w:type="pct"/>
          </w:tcPr>
          <w:p w:rsidR="00000000" w:rsidRDefault="00000000">
            <w:pPr>
              <w:jc w:val="center"/>
              <w:rPr>
                <w:bCs/>
                <w:sz w:val="22"/>
                <w:lang w:val="es-MX" w:eastAsia="es-ES"/>
              </w:rPr>
            </w:pPr>
            <w:r>
              <w:rPr>
                <w:bCs/>
                <w:sz w:val="22"/>
                <w:lang w:val="es-MX" w:eastAsia="es-ES"/>
              </w:rPr>
              <w:t>1999</w:t>
            </w:r>
          </w:p>
        </w:tc>
        <w:tc>
          <w:tcPr>
            <w:tcW w:w="1128" w:type="pct"/>
          </w:tcPr>
          <w:p w:rsidR="00000000" w:rsidRDefault="00000000">
            <w:pPr>
              <w:jc w:val="center"/>
              <w:rPr>
                <w:bCs/>
                <w:sz w:val="22"/>
                <w:lang w:val="es-MX" w:eastAsia="es-ES"/>
              </w:rPr>
            </w:pPr>
            <w:r>
              <w:rPr>
                <w:bCs/>
                <w:sz w:val="22"/>
                <w:lang w:val="es-MX" w:eastAsia="es-ES"/>
              </w:rPr>
              <w:t>22 771 596</w:t>
            </w:r>
          </w:p>
        </w:tc>
        <w:tc>
          <w:tcPr>
            <w:tcW w:w="936" w:type="pct"/>
            <w:tcMar>
              <w:right w:w="255" w:type="dxa"/>
            </w:tcMar>
            <w:vAlign w:val="center"/>
          </w:tcPr>
          <w:p w:rsidR="00000000" w:rsidRDefault="00000000">
            <w:pPr>
              <w:tabs>
                <w:tab w:val="clear" w:pos="1134"/>
                <w:tab w:val="decimal" w:pos="1130"/>
              </w:tabs>
              <w:jc w:val="right"/>
              <w:rPr>
                <w:bCs/>
                <w:sz w:val="22"/>
                <w:lang w:val="es-MX" w:eastAsia="es-ES"/>
              </w:rPr>
            </w:pPr>
            <w:r>
              <w:rPr>
                <w:bCs/>
                <w:sz w:val="22"/>
                <w:lang w:val="es-MX" w:eastAsia="es-ES"/>
              </w:rPr>
              <w:t>12 255 602</w:t>
            </w:r>
          </w:p>
        </w:tc>
        <w:tc>
          <w:tcPr>
            <w:tcW w:w="781" w:type="pct"/>
            <w:tcMar>
              <w:right w:w="255" w:type="dxa"/>
            </w:tcMar>
            <w:vAlign w:val="center"/>
          </w:tcPr>
          <w:p w:rsidR="00000000" w:rsidRDefault="00000000">
            <w:pPr>
              <w:tabs>
                <w:tab w:val="decimal" w:pos="1056"/>
              </w:tabs>
              <w:jc w:val="right"/>
              <w:rPr>
                <w:bCs/>
                <w:sz w:val="22"/>
                <w:lang w:val="es-MX" w:eastAsia="es-ES"/>
              </w:rPr>
            </w:pPr>
            <w:r>
              <w:rPr>
                <w:bCs/>
                <w:sz w:val="22"/>
                <w:lang w:val="es-MX" w:eastAsia="es-ES"/>
              </w:rPr>
              <w:t>670 137</w:t>
            </w:r>
          </w:p>
        </w:tc>
        <w:tc>
          <w:tcPr>
            <w:tcW w:w="855" w:type="pct"/>
          </w:tcPr>
          <w:p w:rsidR="00000000" w:rsidRDefault="00000000">
            <w:pPr>
              <w:jc w:val="center"/>
              <w:rPr>
                <w:bCs/>
                <w:sz w:val="22"/>
                <w:lang w:val="es-MX" w:eastAsia="es-ES"/>
              </w:rPr>
            </w:pPr>
            <w:r>
              <w:rPr>
                <w:bCs/>
                <w:sz w:val="22"/>
                <w:lang w:val="es-MX" w:eastAsia="es-ES"/>
              </w:rPr>
              <w:t>2,94</w:t>
            </w:r>
          </w:p>
        </w:tc>
        <w:tc>
          <w:tcPr>
            <w:tcW w:w="769" w:type="pct"/>
          </w:tcPr>
          <w:p w:rsidR="00000000" w:rsidRDefault="00000000">
            <w:pPr>
              <w:tabs>
                <w:tab w:val="decimal" w:pos="634"/>
              </w:tabs>
              <w:jc w:val="center"/>
              <w:rPr>
                <w:bCs/>
                <w:sz w:val="22"/>
                <w:lang w:val="es-MX" w:eastAsia="es-ES"/>
              </w:rPr>
            </w:pPr>
            <w:r>
              <w:rPr>
                <w:bCs/>
                <w:sz w:val="22"/>
                <w:lang w:val="es-MX" w:eastAsia="es-ES"/>
              </w:rPr>
              <w:t>5,47</w:t>
            </w:r>
          </w:p>
        </w:tc>
      </w:tr>
      <w:tr w:rsidR="00000000">
        <w:tblPrEx>
          <w:tblCellMar>
            <w:top w:w="0" w:type="dxa"/>
            <w:bottom w:w="0" w:type="dxa"/>
          </w:tblCellMar>
        </w:tblPrEx>
        <w:tc>
          <w:tcPr>
            <w:tcW w:w="531" w:type="pct"/>
          </w:tcPr>
          <w:p w:rsidR="00000000" w:rsidRDefault="00000000">
            <w:pPr>
              <w:jc w:val="center"/>
              <w:rPr>
                <w:bCs/>
                <w:sz w:val="22"/>
                <w:lang w:val="es-MX" w:eastAsia="es-ES"/>
              </w:rPr>
            </w:pPr>
            <w:r>
              <w:rPr>
                <w:bCs/>
                <w:sz w:val="22"/>
                <w:lang w:val="es-MX" w:eastAsia="es-ES"/>
              </w:rPr>
              <w:t>2000</w:t>
            </w:r>
          </w:p>
        </w:tc>
        <w:tc>
          <w:tcPr>
            <w:tcW w:w="1128" w:type="pct"/>
          </w:tcPr>
          <w:p w:rsidR="00000000" w:rsidRDefault="00000000">
            <w:pPr>
              <w:jc w:val="center"/>
              <w:rPr>
                <w:bCs/>
                <w:sz w:val="22"/>
                <w:lang w:val="es-MX" w:eastAsia="es-ES"/>
              </w:rPr>
            </w:pPr>
            <w:r>
              <w:rPr>
                <w:bCs/>
                <w:sz w:val="22"/>
                <w:lang w:val="es-MX" w:eastAsia="es-ES"/>
              </w:rPr>
              <w:t>24 736 526</w:t>
            </w:r>
          </w:p>
        </w:tc>
        <w:tc>
          <w:tcPr>
            <w:tcW w:w="936" w:type="pct"/>
            <w:tcMar>
              <w:right w:w="255" w:type="dxa"/>
            </w:tcMar>
            <w:vAlign w:val="center"/>
          </w:tcPr>
          <w:p w:rsidR="00000000" w:rsidRDefault="00000000">
            <w:pPr>
              <w:tabs>
                <w:tab w:val="clear" w:pos="1134"/>
                <w:tab w:val="decimal" w:pos="1130"/>
              </w:tabs>
              <w:jc w:val="right"/>
              <w:rPr>
                <w:bCs/>
                <w:sz w:val="22"/>
                <w:lang w:val="es-MX" w:eastAsia="es-ES"/>
              </w:rPr>
            </w:pPr>
            <w:r>
              <w:rPr>
                <w:bCs/>
                <w:sz w:val="22"/>
                <w:lang w:val="es-MX" w:eastAsia="es-ES"/>
              </w:rPr>
              <w:t>13 128 124</w:t>
            </w:r>
          </w:p>
        </w:tc>
        <w:tc>
          <w:tcPr>
            <w:tcW w:w="781" w:type="pct"/>
            <w:tcMar>
              <w:right w:w="255" w:type="dxa"/>
            </w:tcMar>
            <w:vAlign w:val="center"/>
          </w:tcPr>
          <w:p w:rsidR="00000000" w:rsidRDefault="00000000">
            <w:pPr>
              <w:tabs>
                <w:tab w:val="decimal" w:pos="1056"/>
              </w:tabs>
              <w:jc w:val="right"/>
              <w:rPr>
                <w:bCs/>
                <w:sz w:val="22"/>
                <w:lang w:val="es-MX" w:eastAsia="es-ES"/>
              </w:rPr>
            </w:pPr>
            <w:r>
              <w:rPr>
                <w:bCs/>
                <w:sz w:val="22"/>
                <w:lang w:val="es-MX" w:eastAsia="es-ES"/>
              </w:rPr>
              <w:t>1 150 935</w:t>
            </w:r>
          </w:p>
        </w:tc>
        <w:tc>
          <w:tcPr>
            <w:tcW w:w="855" w:type="pct"/>
          </w:tcPr>
          <w:p w:rsidR="00000000" w:rsidRDefault="00000000">
            <w:pPr>
              <w:jc w:val="center"/>
              <w:rPr>
                <w:bCs/>
                <w:sz w:val="22"/>
                <w:lang w:val="es-MX" w:eastAsia="es-ES"/>
              </w:rPr>
            </w:pPr>
            <w:r>
              <w:rPr>
                <w:bCs/>
                <w:sz w:val="22"/>
                <w:lang w:val="es-MX" w:eastAsia="es-ES"/>
              </w:rPr>
              <w:t>4,65</w:t>
            </w:r>
          </w:p>
        </w:tc>
        <w:tc>
          <w:tcPr>
            <w:tcW w:w="769" w:type="pct"/>
          </w:tcPr>
          <w:p w:rsidR="00000000" w:rsidRDefault="00000000">
            <w:pPr>
              <w:tabs>
                <w:tab w:val="decimal" w:pos="634"/>
              </w:tabs>
              <w:jc w:val="center"/>
              <w:rPr>
                <w:bCs/>
                <w:sz w:val="22"/>
                <w:lang w:val="es-MX" w:eastAsia="es-ES"/>
              </w:rPr>
            </w:pPr>
            <w:r>
              <w:rPr>
                <w:bCs/>
                <w:sz w:val="22"/>
                <w:lang w:val="es-MX" w:eastAsia="es-ES"/>
              </w:rPr>
              <w:t>8,77</w:t>
            </w:r>
          </w:p>
        </w:tc>
      </w:tr>
      <w:tr w:rsidR="00000000">
        <w:tblPrEx>
          <w:tblCellMar>
            <w:top w:w="0" w:type="dxa"/>
            <w:bottom w:w="0" w:type="dxa"/>
          </w:tblCellMar>
        </w:tblPrEx>
        <w:tc>
          <w:tcPr>
            <w:tcW w:w="531" w:type="pct"/>
          </w:tcPr>
          <w:p w:rsidR="00000000" w:rsidRDefault="00000000">
            <w:pPr>
              <w:jc w:val="center"/>
              <w:rPr>
                <w:bCs/>
                <w:sz w:val="22"/>
                <w:lang w:val="es-MX" w:eastAsia="es-ES"/>
              </w:rPr>
            </w:pPr>
            <w:r>
              <w:rPr>
                <w:bCs/>
                <w:sz w:val="22"/>
                <w:lang w:val="es-MX" w:eastAsia="es-ES"/>
              </w:rPr>
              <w:t>2001</w:t>
            </w:r>
          </w:p>
        </w:tc>
        <w:tc>
          <w:tcPr>
            <w:tcW w:w="1128" w:type="pct"/>
          </w:tcPr>
          <w:p w:rsidR="00000000" w:rsidRDefault="00000000">
            <w:pPr>
              <w:jc w:val="center"/>
              <w:rPr>
                <w:bCs/>
                <w:sz w:val="22"/>
                <w:lang w:val="es-MX" w:eastAsia="es-ES"/>
              </w:rPr>
            </w:pPr>
            <w:r>
              <w:rPr>
                <w:bCs/>
                <w:sz w:val="22"/>
                <w:lang w:val="es-MX" w:eastAsia="es-ES"/>
              </w:rPr>
              <w:t>26 465 663</w:t>
            </w:r>
          </w:p>
        </w:tc>
        <w:tc>
          <w:tcPr>
            <w:tcW w:w="936" w:type="pct"/>
            <w:tcMar>
              <w:right w:w="255" w:type="dxa"/>
            </w:tcMar>
            <w:vAlign w:val="center"/>
          </w:tcPr>
          <w:p w:rsidR="00000000" w:rsidRDefault="00000000">
            <w:pPr>
              <w:tabs>
                <w:tab w:val="clear" w:pos="1134"/>
                <w:tab w:val="decimal" w:pos="1130"/>
              </w:tabs>
              <w:jc w:val="right"/>
              <w:rPr>
                <w:bCs/>
                <w:sz w:val="22"/>
                <w:lang w:val="es-MX" w:eastAsia="es-ES"/>
              </w:rPr>
            </w:pPr>
            <w:r>
              <w:rPr>
                <w:bCs/>
                <w:sz w:val="22"/>
                <w:lang w:val="es-MX" w:eastAsia="es-ES"/>
              </w:rPr>
              <w:t>15 357 915</w:t>
            </w:r>
          </w:p>
        </w:tc>
        <w:tc>
          <w:tcPr>
            <w:tcW w:w="781" w:type="pct"/>
            <w:tcMar>
              <w:right w:w="255" w:type="dxa"/>
            </w:tcMar>
            <w:vAlign w:val="center"/>
          </w:tcPr>
          <w:p w:rsidR="00000000" w:rsidRDefault="00000000">
            <w:pPr>
              <w:tabs>
                <w:tab w:val="decimal" w:pos="1056"/>
              </w:tabs>
              <w:jc w:val="right"/>
              <w:rPr>
                <w:bCs/>
                <w:sz w:val="22"/>
                <w:lang w:val="es-MX" w:eastAsia="es-ES"/>
              </w:rPr>
            </w:pPr>
            <w:r>
              <w:rPr>
                <w:bCs/>
                <w:sz w:val="22"/>
                <w:lang w:val="es-MX" w:eastAsia="es-ES"/>
              </w:rPr>
              <w:t>1 244 987</w:t>
            </w:r>
          </w:p>
        </w:tc>
        <w:tc>
          <w:tcPr>
            <w:tcW w:w="855" w:type="pct"/>
          </w:tcPr>
          <w:p w:rsidR="00000000" w:rsidRDefault="00000000">
            <w:pPr>
              <w:jc w:val="center"/>
              <w:rPr>
                <w:bCs/>
                <w:sz w:val="22"/>
                <w:lang w:val="es-MX" w:eastAsia="es-ES"/>
              </w:rPr>
            </w:pPr>
            <w:r>
              <w:rPr>
                <w:bCs/>
                <w:sz w:val="22"/>
                <w:lang w:val="es-MX" w:eastAsia="es-ES"/>
              </w:rPr>
              <w:t>4,70</w:t>
            </w:r>
          </w:p>
        </w:tc>
        <w:tc>
          <w:tcPr>
            <w:tcW w:w="769" w:type="pct"/>
          </w:tcPr>
          <w:p w:rsidR="00000000" w:rsidRDefault="00000000">
            <w:pPr>
              <w:tabs>
                <w:tab w:val="decimal" w:pos="634"/>
              </w:tabs>
              <w:jc w:val="center"/>
              <w:rPr>
                <w:bCs/>
                <w:sz w:val="22"/>
                <w:lang w:val="es-MX" w:eastAsia="es-ES"/>
              </w:rPr>
            </w:pPr>
            <w:r>
              <w:rPr>
                <w:bCs/>
                <w:sz w:val="22"/>
                <w:lang w:val="es-MX" w:eastAsia="es-ES"/>
              </w:rPr>
              <w:t>8,11</w:t>
            </w:r>
          </w:p>
        </w:tc>
      </w:tr>
      <w:tr w:rsidR="00000000">
        <w:tblPrEx>
          <w:tblCellMar>
            <w:top w:w="0" w:type="dxa"/>
            <w:bottom w:w="0" w:type="dxa"/>
          </w:tblCellMar>
        </w:tblPrEx>
        <w:tc>
          <w:tcPr>
            <w:tcW w:w="531" w:type="pct"/>
          </w:tcPr>
          <w:p w:rsidR="00000000" w:rsidRDefault="00000000">
            <w:pPr>
              <w:jc w:val="center"/>
              <w:rPr>
                <w:bCs/>
                <w:sz w:val="22"/>
                <w:lang w:val="es-MX" w:eastAsia="es-ES"/>
              </w:rPr>
            </w:pPr>
            <w:r>
              <w:rPr>
                <w:bCs/>
                <w:sz w:val="22"/>
                <w:lang w:val="es-MX" w:eastAsia="es-ES"/>
              </w:rPr>
              <w:t>2002</w:t>
            </w:r>
          </w:p>
        </w:tc>
        <w:tc>
          <w:tcPr>
            <w:tcW w:w="1128" w:type="pct"/>
          </w:tcPr>
          <w:p w:rsidR="00000000" w:rsidRDefault="00000000">
            <w:pPr>
              <w:jc w:val="center"/>
              <w:rPr>
                <w:bCs/>
                <w:sz w:val="22"/>
                <w:lang w:val="es-MX" w:eastAsia="es-ES"/>
              </w:rPr>
            </w:pPr>
            <w:r>
              <w:rPr>
                <w:bCs/>
                <w:sz w:val="22"/>
                <w:lang w:val="es-MX" w:eastAsia="es-ES"/>
              </w:rPr>
              <w:t>29 104 530</w:t>
            </w:r>
          </w:p>
        </w:tc>
        <w:tc>
          <w:tcPr>
            <w:tcW w:w="936" w:type="pct"/>
            <w:tcMar>
              <w:right w:w="255" w:type="dxa"/>
            </w:tcMar>
            <w:vAlign w:val="center"/>
          </w:tcPr>
          <w:p w:rsidR="00000000" w:rsidRDefault="00000000">
            <w:pPr>
              <w:tabs>
                <w:tab w:val="clear" w:pos="1134"/>
                <w:tab w:val="decimal" w:pos="1130"/>
              </w:tabs>
              <w:jc w:val="right"/>
              <w:rPr>
                <w:bCs/>
                <w:sz w:val="22"/>
                <w:lang w:val="es-MX" w:eastAsia="es-ES"/>
              </w:rPr>
            </w:pPr>
            <w:r>
              <w:rPr>
                <w:bCs/>
                <w:sz w:val="22"/>
                <w:lang w:val="es-MX" w:eastAsia="es-ES"/>
              </w:rPr>
              <w:t>15 306 971</w:t>
            </w:r>
          </w:p>
        </w:tc>
        <w:tc>
          <w:tcPr>
            <w:tcW w:w="781" w:type="pct"/>
            <w:tcMar>
              <w:right w:w="255" w:type="dxa"/>
            </w:tcMar>
            <w:vAlign w:val="center"/>
          </w:tcPr>
          <w:p w:rsidR="00000000" w:rsidRDefault="00000000">
            <w:pPr>
              <w:tabs>
                <w:tab w:val="decimal" w:pos="1056"/>
              </w:tabs>
              <w:jc w:val="right"/>
              <w:rPr>
                <w:bCs/>
                <w:sz w:val="22"/>
                <w:lang w:val="es-MX" w:eastAsia="es-ES"/>
              </w:rPr>
            </w:pPr>
            <w:r>
              <w:rPr>
                <w:bCs/>
                <w:sz w:val="22"/>
                <w:lang w:val="es-MX" w:eastAsia="es-ES"/>
              </w:rPr>
              <w:t>744 328</w:t>
            </w:r>
          </w:p>
        </w:tc>
        <w:tc>
          <w:tcPr>
            <w:tcW w:w="855" w:type="pct"/>
          </w:tcPr>
          <w:p w:rsidR="00000000" w:rsidRDefault="00000000">
            <w:pPr>
              <w:jc w:val="center"/>
              <w:rPr>
                <w:bCs/>
                <w:sz w:val="22"/>
                <w:lang w:val="es-MX" w:eastAsia="es-ES"/>
              </w:rPr>
            </w:pPr>
            <w:r>
              <w:rPr>
                <w:bCs/>
                <w:sz w:val="22"/>
                <w:lang w:val="es-MX" w:eastAsia="es-ES"/>
              </w:rPr>
              <w:t>2,56</w:t>
            </w:r>
          </w:p>
        </w:tc>
        <w:tc>
          <w:tcPr>
            <w:tcW w:w="769" w:type="pct"/>
          </w:tcPr>
          <w:p w:rsidR="00000000" w:rsidRDefault="00000000">
            <w:pPr>
              <w:tabs>
                <w:tab w:val="decimal" w:pos="634"/>
              </w:tabs>
              <w:jc w:val="center"/>
              <w:rPr>
                <w:bCs/>
                <w:sz w:val="22"/>
                <w:lang w:val="es-MX" w:eastAsia="es-ES"/>
              </w:rPr>
            </w:pPr>
            <w:r>
              <w:rPr>
                <w:bCs/>
                <w:sz w:val="22"/>
                <w:lang w:val="es-MX" w:eastAsia="es-ES"/>
              </w:rPr>
              <w:t>4,86</w:t>
            </w:r>
          </w:p>
        </w:tc>
      </w:tr>
      <w:tr w:rsidR="00000000">
        <w:tblPrEx>
          <w:tblCellMar>
            <w:top w:w="0" w:type="dxa"/>
            <w:bottom w:w="0" w:type="dxa"/>
          </w:tblCellMar>
        </w:tblPrEx>
        <w:tc>
          <w:tcPr>
            <w:tcW w:w="531" w:type="pct"/>
          </w:tcPr>
          <w:p w:rsidR="00000000" w:rsidRDefault="00000000">
            <w:pPr>
              <w:jc w:val="center"/>
              <w:rPr>
                <w:bCs/>
                <w:sz w:val="22"/>
                <w:lang w:val="es-MX" w:eastAsia="es-ES"/>
              </w:rPr>
            </w:pPr>
            <w:r>
              <w:rPr>
                <w:bCs/>
                <w:sz w:val="22"/>
                <w:lang w:val="es-MX" w:eastAsia="es-ES"/>
              </w:rPr>
              <w:t>2003</w:t>
            </w:r>
          </w:p>
        </w:tc>
        <w:tc>
          <w:tcPr>
            <w:tcW w:w="1128" w:type="pct"/>
          </w:tcPr>
          <w:p w:rsidR="00000000" w:rsidRDefault="00000000">
            <w:pPr>
              <w:jc w:val="center"/>
              <w:rPr>
                <w:bCs/>
                <w:sz w:val="22"/>
                <w:lang w:val="es-MX" w:eastAsia="es-ES"/>
              </w:rPr>
            </w:pPr>
            <w:r>
              <w:rPr>
                <w:bCs/>
                <w:sz w:val="22"/>
                <w:lang w:val="es-MX" w:eastAsia="es-ES"/>
              </w:rPr>
              <w:t>35 713 137</w:t>
            </w:r>
          </w:p>
        </w:tc>
        <w:tc>
          <w:tcPr>
            <w:tcW w:w="936" w:type="pct"/>
            <w:tcMar>
              <w:right w:w="255" w:type="dxa"/>
            </w:tcMar>
            <w:vAlign w:val="center"/>
          </w:tcPr>
          <w:p w:rsidR="00000000" w:rsidRDefault="00000000">
            <w:pPr>
              <w:tabs>
                <w:tab w:val="clear" w:pos="1134"/>
                <w:tab w:val="decimal" w:pos="1130"/>
              </w:tabs>
              <w:jc w:val="right"/>
              <w:rPr>
                <w:bCs/>
                <w:sz w:val="22"/>
                <w:lang w:val="es-MX" w:eastAsia="es-ES"/>
              </w:rPr>
            </w:pPr>
            <w:r>
              <w:rPr>
                <w:bCs/>
                <w:sz w:val="22"/>
                <w:lang w:val="es-MX" w:eastAsia="es-ES"/>
              </w:rPr>
              <w:t>18 246 180</w:t>
            </w:r>
          </w:p>
        </w:tc>
        <w:tc>
          <w:tcPr>
            <w:tcW w:w="781" w:type="pct"/>
            <w:tcMar>
              <w:right w:w="255" w:type="dxa"/>
            </w:tcMar>
            <w:vAlign w:val="center"/>
          </w:tcPr>
          <w:p w:rsidR="00000000" w:rsidRDefault="00000000">
            <w:pPr>
              <w:tabs>
                <w:tab w:val="decimal" w:pos="1056"/>
              </w:tabs>
              <w:jc w:val="right"/>
              <w:rPr>
                <w:bCs/>
                <w:sz w:val="22"/>
                <w:lang w:val="es-MX" w:eastAsia="es-ES"/>
              </w:rPr>
            </w:pPr>
            <w:r>
              <w:rPr>
                <w:bCs/>
                <w:sz w:val="22"/>
                <w:lang w:val="es-MX" w:eastAsia="es-ES"/>
              </w:rPr>
              <w:t>1 693 496</w:t>
            </w:r>
          </w:p>
        </w:tc>
        <w:tc>
          <w:tcPr>
            <w:tcW w:w="855" w:type="pct"/>
          </w:tcPr>
          <w:p w:rsidR="00000000" w:rsidRDefault="00000000">
            <w:pPr>
              <w:jc w:val="center"/>
              <w:rPr>
                <w:bCs/>
                <w:sz w:val="22"/>
                <w:lang w:val="es-MX" w:eastAsia="es-ES"/>
              </w:rPr>
            </w:pPr>
            <w:r>
              <w:rPr>
                <w:bCs/>
                <w:sz w:val="22"/>
                <w:lang w:val="es-MX" w:eastAsia="es-ES"/>
              </w:rPr>
              <w:t>4,74</w:t>
            </w:r>
          </w:p>
        </w:tc>
        <w:tc>
          <w:tcPr>
            <w:tcW w:w="769" w:type="pct"/>
          </w:tcPr>
          <w:p w:rsidR="00000000" w:rsidRDefault="00000000">
            <w:pPr>
              <w:tabs>
                <w:tab w:val="decimal" w:pos="634"/>
              </w:tabs>
              <w:jc w:val="center"/>
              <w:rPr>
                <w:bCs/>
                <w:sz w:val="22"/>
                <w:lang w:val="es-MX" w:eastAsia="es-ES"/>
              </w:rPr>
            </w:pPr>
            <w:r>
              <w:rPr>
                <w:bCs/>
                <w:sz w:val="22"/>
                <w:lang w:val="es-MX" w:eastAsia="es-ES"/>
              </w:rPr>
              <w:t>9,28</w:t>
            </w:r>
          </w:p>
        </w:tc>
      </w:tr>
      <w:tr w:rsidR="00000000">
        <w:tblPrEx>
          <w:tblCellMar>
            <w:top w:w="0" w:type="dxa"/>
            <w:bottom w:w="0" w:type="dxa"/>
          </w:tblCellMar>
        </w:tblPrEx>
        <w:tc>
          <w:tcPr>
            <w:tcW w:w="531" w:type="pct"/>
          </w:tcPr>
          <w:p w:rsidR="00000000" w:rsidRDefault="00000000">
            <w:pPr>
              <w:jc w:val="center"/>
              <w:rPr>
                <w:bCs/>
                <w:sz w:val="22"/>
                <w:lang w:val="es-MX" w:eastAsia="es-ES"/>
              </w:rPr>
            </w:pPr>
            <w:r>
              <w:rPr>
                <w:bCs/>
                <w:sz w:val="22"/>
                <w:lang w:val="es-MX" w:eastAsia="es-ES"/>
              </w:rPr>
              <w:t>2004</w:t>
            </w:r>
          </w:p>
        </w:tc>
        <w:tc>
          <w:tcPr>
            <w:tcW w:w="1128" w:type="pct"/>
          </w:tcPr>
          <w:p w:rsidR="00000000" w:rsidRDefault="00000000">
            <w:pPr>
              <w:jc w:val="center"/>
              <w:rPr>
                <w:bCs/>
                <w:sz w:val="22"/>
                <w:lang w:val="es-MX" w:eastAsia="es-ES"/>
              </w:rPr>
            </w:pPr>
            <w:r>
              <w:rPr>
                <w:bCs/>
                <w:sz w:val="22"/>
                <w:lang w:val="es-MX" w:eastAsia="es-ES"/>
              </w:rPr>
              <w:t>41 400 770</w:t>
            </w:r>
          </w:p>
        </w:tc>
        <w:tc>
          <w:tcPr>
            <w:tcW w:w="936" w:type="pct"/>
            <w:tcMar>
              <w:right w:w="255" w:type="dxa"/>
            </w:tcMar>
            <w:vAlign w:val="center"/>
          </w:tcPr>
          <w:p w:rsidR="00000000" w:rsidRDefault="00000000">
            <w:pPr>
              <w:tabs>
                <w:tab w:val="clear" w:pos="1134"/>
                <w:tab w:val="decimal" w:pos="1130"/>
              </w:tabs>
              <w:jc w:val="right"/>
              <w:rPr>
                <w:bCs/>
                <w:sz w:val="22"/>
                <w:lang w:val="es-MX" w:eastAsia="es-ES"/>
              </w:rPr>
            </w:pPr>
            <w:r>
              <w:rPr>
                <w:bCs/>
                <w:sz w:val="22"/>
                <w:lang w:val="es-MX" w:eastAsia="es-ES"/>
              </w:rPr>
              <w:t>18 915 114</w:t>
            </w:r>
          </w:p>
        </w:tc>
        <w:tc>
          <w:tcPr>
            <w:tcW w:w="781" w:type="pct"/>
            <w:tcMar>
              <w:right w:w="255" w:type="dxa"/>
            </w:tcMar>
            <w:vAlign w:val="center"/>
          </w:tcPr>
          <w:p w:rsidR="00000000" w:rsidRDefault="00000000">
            <w:pPr>
              <w:tabs>
                <w:tab w:val="decimal" w:pos="1056"/>
              </w:tabs>
              <w:jc w:val="right"/>
              <w:rPr>
                <w:bCs/>
                <w:sz w:val="22"/>
                <w:lang w:val="es-MX" w:eastAsia="es-ES"/>
              </w:rPr>
            </w:pPr>
            <w:r>
              <w:rPr>
                <w:bCs/>
                <w:sz w:val="22"/>
                <w:lang w:val="es-MX" w:eastAsia="es-ES"/>
              </w:rPr>
              <w:t>1 550 558</w:t>
            </w:r>
          </w:p>
        </w:tc>
        <w:tc>
          <w:tcPr>
            <w:tcW w:w="855" w:type="pct"/>
          </w:tcPr>
          <w:p w:rsidR="00000000" w:rsidRDefault="00000000">
            <w:pPr>
              <w:jc w:val="center"/>
              <w:rPr>
                <w:bCs/>
                <w:sz w:val="22"/>
                <w:lang w:val="es-MX" w:eastAsia="es-ES"/>
              </w:rPr>
            </w:pPr>
            <w:r>
              <w:rPr>
                <w:bCs/>
                <w:sz w:val="22"/>
                <w:lang w:val="es-MX" w:eastAsia="es-ES"/>
              </w:rPr>
              <w:t>3,75</w:t>
            </w:r>
          </w:p>
        </w:tc>
        <w:tc>
          <w:tcPr>
            <w:tcW w:w="769" w:type="pct"/>
          </w:tcPr>
          <w:p w:rsidR="00000000" w:rsidRDefault="00000000">
            <w:pPr>
              <w:tabs>
                <w:tab w:val="decimal" w:pos="634"/>
              </w:tabs>
              <w:jc w:val="center"/>
              <w:rPr>
                <w:bCs/>
                <w:sz w:val="22"/>
                <w:lang w:val="es-MX" w:eastAsia="es-ES"/>
              </w:rPr>
            </w:pPr>
            <w:r>
              <w:rPr>
                <w:bCs/>
                <w:sz w:val="22"/>
                <w:lang w:val="es-MX" w:eastAsia="es-ES"/>
              </w:rPr>
              <w:t>8,20</w:t>
            </w:r>
          </w:p>
        </w:tc>
      </w:tr>
      <w:tr w:rsidR="00000000">
        <w:tblPrEx>
          <w:tblCellMar>
            <w:top w:w="0" w:type="dxa"/>
            <w:bottom w:w="0" w:type="dxa"/>
          </w:tblCellMar>
        </w:tblPrEx>
        <w:tc>
          <w:tcPr>
            <w:tcW w:w="531" w:type="pct"/>
          </w:tcPr>
          <w:p w:rsidR="00000000" w:rsidRDefault="00000000">
            <w:pPr>
              <w:jc w:val="center"/>
              <w:rPr>
                <w:bCs/>
                <w:sz w:val="22"/>
                <w:lang w:val="es-MX" w:eastAsia="es-ES"/>
              </w:rPr>
            </w:pPr>
            <w:r>
              <w:rPr>
                <w:bCs/>
                <w:sz w:val="22"/>
                <w:lang w:val="es-MX" w:eastAsia="es-ES"/>
              </w:rPr>
              <w:t>2005</w:t>
            </w:r>
          </w:p>
        </w:tc>
        <w:tc>
          <w:tcPr>
            <w:tcW w:w="1128" w:type="pct"/>
          </w:tcPr>
          <w:p w:rsidR="00000000" w:rsidRDefault="00000000">
            <w:pPr>
              <w:jc w:val="center"/>
              <w:rPr>
                <w:bCs/>
                <w:sz w:val="22"/>
                <w:lang w:val="es-MX" w:eastAsia="es-ES"/>
              </w:rPr>
            </w:pPr>
            <w:r>
              <w:rPr>
                <w:bCs/>
                <w:sz w:val="22"/>
                <w:lang w:val="es-MX" w:eastAsia="es-ES"/>
              </w:rPr>
              <w:t>45 737 176</w:t>
            </w:r>
          </w:p>
        </w:tc>
        <w:tc>
          <w:tcPr>
            <w:tcW w:w="936" w:type="pct"/>
            <w:tcMar>
              <w:right w:w="255" w:type="dxa"/>
            </w:tcMar>
            <w:vAlign w:val="center"/>
          </w:tcPr>
          <w:p w:rsidR="00000000" w:rsidRDefault="00000000">
            <w:pPr>
              <w:tabs>
                <w:tab w:val="clear" w:pos="1134"/>
                <w:tab w:val="decimal" w:pos="1130"/>
              </w:tabs>
              <w:jc w:val="right"/>
              <w:rPr>
                <w:bCs/>
                <w:sz w:val="22"/>
                <w:lang w:val="es-MX" w:eastAsia="es-ES"/>
              </w:rPr>
            </w:pPr>
            <w:r>
              <w:rPr>
                <w:bCs/>
                <w:sz w:val="22"/>
                <w:lang w:val="es-MX" w:eastAsia="es-ES"/>
              </w:rPr>
              <w:t>21 809 827</w:t>
            </w:r>
          </w:p>
        </w:tc>
        <w:tc>
          <w:tcPr>
            <w:tcW w:w="781" w:type="pct"/>
            <w:tcMar>
              <w:right w:w="255" w:type="dxa"/>
            </w:tcMar>
            <w:vAlign w:val="center"/>
          </w:tcPr>
          <w:p w:rsidR="00000000" w:rsidRDefault="00000000">
            <w:pPr>
              <w:tabs>
                <w:tab w:val="decimal" w:pos="1056"/>
              </w:tabs>
              <w:jc w:val="right"/>
              <w:rPr>
                <w:bCs/>
                <w:sz w:val="22"/>
                <w:lang w:val="es-MX" w:eastAsia="es-ES"/>
              </w:rPr>
            </w:pPr>
            <w:r>
              <w:rPr>
                <w:bCs/>
                <w:sz w:val="22"/>
                <w:lang w:val="es-MX" w:eastAsia="es-ES"/>
              </w:rPr>
              <w:t>2 330 027</w:t>
            </w:r>
          </w:p>
        </w:tc>
        <w:tc>
          <w:tcPr>
            <w:tcW w:w="855" w:type="pct"/>
          </w:tcPr>
          <w:p w:rsidR="00000000" w:rsidRDefault="00000000">
            <w:pPr>
              <w:jc w:val="center"/>
              <w:rPr>
                <w:bCs/>
                <w:sz w:val="22"/>
                <w:lang w:val="es-MX" w:eastAsia="es-ES"/>
              </w:rPr>
            </w:pPr>
            <w:r>
              <w:rPr>
                <w:bCs/>
                <w:sz w:val="22"/>
                <w:lang w:val="es-MX" w:eastAsia="es-ES"/>
              </w:rPr>
              <w:t>5,09</w:t>
            </w:r>
          </w:p>
        </w:tc>
        <w:tc>
          <w:tcPr>
            <w:tcW w:w="769" w:type="pct"/>
          </w:tcPr>
          <w:p w:rsidR="00000000" w:rsidRDefault="00000000">
            <w:pPr>
              <w:tabs>
                <w:tab w:val="decimal" w:pos="634"/>
              </w:tabs>
              <w:jc w:val="center"/>
              <w:rPr>
                <w:bCs/>
                <w:sz w:val="22"/>
                <w:lang w:val="es-MX" w:eastAsia="es-ES"/>
              </w:rPr>
            </w:pPr>
            <w:r>
              <w:rPr>
                <w:bCs/>
                <w:sz w:val="22"/>
                <w:lang w:val="es-MX" w:eastAsia="es-ES"/>
              </w:rPr>
              <w:t>10,68</w:t>
            </w:r>
          </w:p>
        </w:tc>
      </w:tr>
      <w:tr w:rsidR="00000000">
        <w:tblPrEx>
          <w:tblCellMar>
            <w:top w:w="0" w:type="dxa"/>
            <w:bottom w:w="0" w:type="dxa"/>
          </w:tblCellMar>
        </w:tblPrEx>
        <w:tc>
          <w:tcPr>
            <w:tcW w:w="531" w:type="pct"/>
          </w:tcPr>
          <w:p w:rsidR="00000000" w:rsidRDefault="00000000">
            <w:pPr>
              <w:jc w:val="center"/>
              <w:rPr>
                <w:bCs/>
                <w:sz w:val="22"/>
                <w:lang w:val="es-MX" w:eastAsia="es-ES"/>
              </w:rPr>
            </w:pPr>
            <w:r>
              <w:rPr>
                <w:bCs/>
                <w:sz w:val="22"/>
                <w:lang w:val="es-MX" w:eastAsia="es-ES"/>
              </w:rPr>
              <w:t xml:space="preserve"> 2006</w:t>
            </w:r>
            <w:r>
              <w:rPr>
                <w:b/>
                <w:sz w:val="22"/>
                <w:vertAlign w:val="superscript"/>
                <w:lang w:val="es-MX" w:eastAsia="es-ES"/>
              </w:rPr>
              <w:t>*</w:t>
            </w:r>
          </w:p>
        </w:tc>
        <w:tc>
          <w:tcPr>
            <w:tcW w:w="1128" w:type="pct"/>
          </w:tcPr>
          <w:p w:rsidR="00000000" w:rsidRDefault="00000000">
            <w:pPr>
              <w:jc w:val="center"/>
              <w:rPr>
                <w:bCs/>
                <w:sz w:val="22"/>
                <w:lang w:val="es-MX" w:eastAsia="es-ES"/>
              </w:rPr>
            </w:pPr>
            <w:r>
              <w:rPr>
                <w:bCs/>
                <w:sz w:val="22"/>
                <w:lang w:val="es-MX" w:eastAsia="es-ES"/>
              </w:rPr>
              <w:t>50 585 316</w:t>
            </w:r>
          </w:p>
        </w:tc>
        <w:tc>
          <w:tcPr>
            <w:tcW w:w="936" w:type="pct"/>
            <w:tcMar>
              <w:right w:w="255" w:type="dxa"/>
            </w:tcMar>
            <w:vAlign w:val="center"/>
          </w:tcPr>
          <w:p w:rsidR="00000000" w:rsidRDefault="00000000">
            <w:pPr>
              <w:tabs>
                <w:tab w:val="clear" w:pos="1134"/>
                <w:tab w:val="decimal" w:pos="1130"/>
              </w:tabs>
              <w:jc w:val="right"/>
              <w:rPr>
                <w:bCs/>
                <w:sz w:val="22"/>
                <w:lang w:val="es-MX" w:eastAsia="es-ES"/>
              </w:rPr>
            </w:pPr>
            <w:r>
              <w:rPr>
                <w:bCs/>
                <w:sz w:val="22"/>
                <w:lang w:val="es-MX" w:eastAsia="es-ES"/>
              </w:rPr>
              <w:t>21 255 118</w:t>
            </w:r>
          </w:p>
        </w:tc>
        <w:tc>
          <w:tcPr>
            <w:tcW w:w="781" w:type="pct"/>
            <w:tcMar>
              <w:right w:w="255" w:type="dxa"/>
            </w:tcMar>
            <w:vAlign w:val="center"/>
          </w:tcPr>
          <w:p w:rsidR="00000000" w:rsidRDefault="00000000">
            <w:pPr>
              <w:tabs>
                <w:tab w:val="decimal" w:pos="1056"/>
              </w:tabs>
              <w:jc w:val="right"/>
              <w:rPr>
                <w:bCs/>
                <w:sz w:val="22"/>
                <w:lang w:val="es-MX" w:eastAsia="es-ES"/>
              </w:rPr>
            </w:pPr>
            <w:r>
              <w:rPr>
                <w:bCs/>
                <w:sz w:val="22"/>
                <w:lang w:val="es-MX" w:eastAsia="es-ES"/>
              </w:rPr>
              <w:t>2 391 342</w:t>
            </w:r>
          </w:p>
        </w:tc>
        <w:tc>
          <w:tcPr>
            <w:tcW w:w="855" w:type="pct"/>
          </w:tcPr>
          <w:p w:rsidR="00000000" w:rsidRDefault="00000000">
            <w:pPr>
              <w:jc w:val="center"/>
              <w:rPr>
                <w:bCs/>
                <w:sz w:val="22"/>
                <w:lang w:val="es-MX" w:eastAsia="es-ES"/>
              </w:rPr>
            </w:pPr>
            <w:r>
              <w:rPr>
                <w:bCs/>
                <w:sz w:val="22"/>
                <w:lang w:val="es-MX" w:eastAsia="es-ES"/>
              </w:rPr>
              <w:t>4,73</w:t>
            </w:r>
          </w:p>
        </w:tc>
        <w:tc>
          <w:tcPr>
            <w:tcW w:w="769" w:type="pct"/>
          </w:tcPr>
          <w:p w:rsidR="00000000" w:rsidRDefault="00000000">
            <w:pPr>
              <w:tabs>
                <w:tab w:val="decimal" w:pos="634"/>
              </w:tabs>
              <w:jc w:val="center"/>
              <w:rPr>
                <w:bCs/>
                <w:sz w:val="22"/>
                <w:lang w:val="es-MX" w:eastAsia="es-ES"/>
              </w:rPr>
            </w:pPr>
            <w:r>
              <w:rPr>
                <w:bCs/>
                <w:sz w:val="22"/>
                <w:lang w:val="es-MX" w:eastAsia="es-ES"/>
              </w:rPr>
              <w:t>11,25</w:t>
            </w:r>
          </w:p>
        </w:tc>
      </w:tr>
    </w:tbl>
    <w:p w:rsidR="00000000" w:rsidRDefault="00000000">
      <w:pPr>
        <w:spacing w:before="240" w:after="240"/>
        <w:rPr>
          <w:bCs/>
          <w:lang w:val="es-MX" w:eastAsia="es-ES"/>
        </w:rPr>
      </w:pPr>
      <w:r>
        <w:rPr>
          <w:bCs/>
          <w:i/>
          <w:iCs/>
          <w:lang w:eastAsia="es-ES"/>
        </w:rPr>
        <w:t>Источник</w:t>
      </w:r>
      <w:r>
        <w:rPr>
          <w:bCs/>
          <w:lang w:val="es-MX" w:eastAsia="es-ES"/>
        </w:rPr>
        <w:t xml:space="preserve">:  </w:t>
      </w:r>
      <w:r>
        <w:rPr>
          <w:bCs/>
          <w:lang w:eastAsia="es-ES"/>
        </w:rPr>
        <w:t xml:space="preserve">Система учета </w:t>
      </w:r>
      <w:r>
        <w:rPr>
          <w:bCs/>
          <w:lang w:val="es-MX" w:eastAsia="es-ES"/>
        </w:rPr>
        <w:t>(</w:t>
      </w:r>
      <w:r>
        <w:rPr>
          <w:bCs/>
          <w:lang w:eastAsia="es-ES"/>
        </w:rPr>
        <w:t>СИКО</w:t>
      </w:r>
      <w:r>
        <w:rPr>
          <w:bCs/>
          <w:lang w:val="es-MX" w:eastAsia="es-ES"/>
        </w:rPr>
        <w:t xml:space="preserve">).  </w:t>
      </w:r>
      <w:r>
        <w:rPr>
          <w:bCs/>
          <w:lang w:eastAsia="es-ES"/>
        </w:rPr>
        <w:t>В млн. гуарани</w:t>
      </w:r>
      <w:r>
        <w:rPr>
          <w:bCs/>
          <w:lang w:val="es-MX" w:eastAsia="es-ES"/>
        </w:rPr>
        <w:t>.</w:t>
      </w:r>
    </w:p>
    <w:p w:rsidR="00000000" w:rsidRDefault="00000000">
      <w:pPr>
        <w:spacing w:after="240"/>
        <w:rPr>
          <w:bCs/>
          <w:lang w:val="es-MX" w:eastAsia="es-ES"/>
        </w:rPr>
      </w:pPr>
      <w:r>
        <w:rPr>
          <w:b/>
          <w:vertAlign w:val="superscript"/>
          <w:lang w:val="es-MX" w:eastAsia="es-ES"/>
        </w:rPr>
        <w:t>*</w:t>
      </w:r>
      <w:r>
        <w:rPr>
          <w:bCs/>
          <w:lang w:val="es-MX" w:eastAsia="es-ES"/>
        </w:rPr>
        <w:t xml:space="preserve"> </w:t>
      </w:r>
      <w:r>
        <w:rPr>
          <w:bCs/>
          <w:lang w:eastAsia="es-ES"/>
        </w:rPr>
        <w:tab/>
        <w:t xml:space="preserve">Применительно к 2006 году данные по ВВП являются оценочными. </w:t>
      </w:r>
      <w:r>
        <w:rPr>
          <w:bCs/>
          <w:lang w:eastAsia="es-ES"/>
        </w:rPr>
        <w:br/>
      </w:r>
      <w:r>
        <w:rPr>
          <w:bCs/>
          <w:i/>
          <w:iCs/>
          <w:lang w:eastAsia="es-ES"/>
        </w:rPr>
        <w:t>Источник</w:t>
      </w:r>
      <w:r>
        <w:rPr>
          <w:bCs/>
          <w:lang w:val="es-MX" w:eastAsia="es-ES"/>
        </w:rPr>
        <w:t xml:space="preserve">:  </w:t>
      </w:r>
      <w:r>
        <w:rPr>
          <w:bCs/>
          <w:lang w:eastAsia="es-ES"/>
        </w:rPr>
        <w:t>Центральный банк Парагвая</w:t>
      </w:r>
      <w:r>
        <w:rPr>
          <w:bCs/>
          <w:lang w:val="es-MX" w:eastAsia="es-ES"/>
        </w:rPr>
        <w:t>.</w:t>
      </w:r>
    </w:p>
    <w:p w:rsidR="00000000" w:rsidRDefault="00000000">
      <w:pPr>
        <w:spacing w:after="240"/>
        <w:rPr>
          <w:bCs/>
          <w:lang w:val="es-MX" w:eastAsia="es-ES"/>
        </w:rPr>
      </w:pPr>
      <w:r>
        <w:rPr>
          <w:b/>
          <w:vertAlign w:val="superscript"/>
          <w:lang w:val="es-MX" w:eastAsia="es-ES"/>
        </w:rPr>
        <w:t>1</w:t>
      </w:r>
      <w:r>
        <w:rPr>
          <w:bCs/>
          <w:lang w:val="es-MX" w:eastAsia="es-ES"/>
        </w:rPr>
        <w:t xml:space="preserve"> </w:t>
      </w:r>
      <w:r>
        <w:rPr>
          <w:bCs/>
          <w:lang w:eastAsia="es-ES"/>
        </w:rPr>
        <w:tab/>
        <w:t>Скорректированный бюджет центральных органов управления до 1996 года.  С 1997 года соответствует бюджету ЦОУ и децентрализованных ведомств</w:t>
      </w:r>
      <w:r>
        <w:rPr>
          <w:bCs/>
          <w:lang w:val="es-MX" w:eastAsia="es-ES"/>
        </w:rPr>
        <w:t>.</w:t>
      </w:r>
    </w:p>
    <w:p w:rsidR="00000000" w:rsidRDefault="00000000">
      <w:pPr>
        <w:rPr>
          <w:bCs/>
          <w:lang w:eastAsia="es-ES"/>
        </w:rPr>
      </w:pPr>
      <w:r>
        <w:rPr>
          <w:b/>
          <w:vertAlign w:val="superscript"/>
          <w:lang w:val="es-MX" w:eastAsia="es-ES"/>
        </w:rPr>
        <w:t xml:space="preserve">2 </w:t>
      </w:r>
      <w:r>
        <w:rPr>
          <w:b/>
          <w:vertAlign w:val="superscript"/>
          <w:lang w:eastAsia="es-ES"/>
        </w:rPr>
        <w:tab/>
      </w:r>
      <w:r>
        <w:rPr>
          <w:bCs/>
          <w:lang w:eastAsia="es-ES"/>
        </w:rPr>
        <w:t>В привязке к классификации должностей.  Охватывает все структуры, оказывающие какие-либо услуги по социальному обеспечению</w:t>
      </w:r>
      <w:r>
        <w:rPr>
          <w:bCs/>
          <w:lang w:val="es-MX" w:eastAsia="es-ES"/>
        </w:rPr>
        <w:t>.</w:t>
      </w:r>
      <w:r>
        <w:rPr>
          <w:bCs/>
          <w:lang w:eastAsia="es-ES"/>
        </w:rPr>
        <w:t xml:space="preserve">  ИСО плюс 4 пенсионных фонда.  Пособия по старости, выплата пенсий.</w:t>
      </w:r>
    </w:p>
    <w:p w:rsidR="00000000" w:rsidRDefault="00000000">
      <w:pPr>
        <w:rPr>
          <w:bCs/>
          <w:lang w:eastAsia="es-ES"/>
        </w:rPr>
      </w:pPr>
    </w:p>
    <w:p w:rsidR="00000000" w:rsidRDefault="00000000">
      <w:pPr>
        <w:pageBreakBefore/>
        <w:ind w:left="709" w:hanging="709"/>
        <w:jc w:val="center"/>
        <w:rPr>
          <w:b/>
          <w:lang w:eastAsia="es-ES"/>
        </w:rPr>
      </w:pPr>
      <w:r>
        <w:rPr>
          <w:b/>
          <w:lang w:eastAsia="es-ES"/>
        </w:rPr>
        <w:t>Динамика расходов на социальное страхование по линии</w:t>
      </w:r>
      <w:r>
        <w:rPr>
          <w:b/>
          <w:lang w:eastAsia="es-ES"/>
        </w:rPr>
        <w:br/>
        <w:t>Института социального обеспечения (ИСО)</w:t>
      </w:r>
    </w:p>
    <w:p w:rsidR="00000000" w:rsidRDefault="00000000">
      <w:pPr>
        <w:keepNext/>
        <w:ind w:left="709" w:hanging="709"/>
        <w:jc w:val="center"/>
        <w:rPr>
          <w:b/>
          <w:lang w:eastAsia="es-ES"/>
        </w:rPr>
      </w:pPr>
    </w:p>
    <w:tbl>
      <w:tblPr>
        <w:tblW w:w="4991"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67"/>
        <w:gridCol w:w="903"/>
        <w:gridCol w:w="904"/>
        <w:gridCol w:w="904"/>
        <w:gridCol w:w="904"/>
        <w:gridCol w:w="904"/>
        <w:gridCol w:w="904"/>
        <w:gridCol w:w="904"/>
        <w:gridCol w:w="900"/>
      </w:tblGrid>
      <w:tr w:rsidR="00000000">
        <w:trPr>
          <w:cantSplit/>
          <w:trHeight w:val="20"/>
        </w:trPr>
        <w:tc>
          <w:tcPr>
            <w:tcW w:w="1154" w:type="pct"/>
            <w:vMerge w:val="restart"/>
            <w:noWrap/>
            <w:vAlign w:val="center"/>
          </w:tcPr>
          <w:p w:rsidR="00000000" w:rsidRDefault="00000000">
            <w:pPr>
              <w:spacing w:line="240" w:lineRule="auto"/>
              <w:rPr>
                <w:sz w:val="20"/>
                <w:szCs w:val="14"/>
              </w:rPr>
            </w:pPr>
            <w:r>
              <w:rPr>
                <w:b/>
                <w:bCs/>
                <w:sz w:val="20"/>
                <w:szCs w:val="14"/>
              </w:rPr>
              <w:t>Общий бюджет ИСО</w:t>
            </w:r>
          </w:p>
        </w:tc>
        <w:tc>
          <w:tcPr>
            <w:tcW w:w="481" w:type="pct"/>
            <w:noWrap/>
            <w:vAlign w:val="bottom"/>
          </w:tcPr>
          <w:p w:rsidR="00000000" w:rsidRDefault="00000000">
            <w:pPr>
              <w:keepNext/>
              <w:spacing w:line="240" w:lineRule="auto"/>
              <w:jc w:val="right"/>
              <w:rPr>
                <w:b/>
                <w:bCs/>
                <w:sz w:val="20"/>
                <w:szCs w:val="14"/>
              </w:rPr>
            </w:pPr>
            <w:r>
              <w:rPr>
                <w:b/>
                <w:bCs/>
                <w:sz w:val="20"/>
                <w:szCs w:val="14"/>
              </w:rPr>
              <w:t>1997 год</w:t>
            </w:r>
          </w:p>
        </w:tc>
        <w:tc>
          <w:tcPr>
            <w:tcW w:w="481" w:type="pct"/>
            <w:noWrap/>
            <w:vAlign w:val="bottom"/>
          </w:tcPr>
          <w:p w:rsidR="00000000" w:rsidRDefault="00000000">
            <w:pPr>
              <w:keepNext/>
              <w:spacing w:line="240" w:lineRule="auto"/>
              <w:jc w:val="right"/>
              <w:rPr>
                <w:b/>
                <w:bCs/>
                <w:sz w:val="20"/>
                <w:szCs w:val="14"/>
              </w:rPr>
            </w:pPr>
            <w:r>
              <w:rPr>
                <w:b/>
                <w:bCs/>
                <w:sz w:val="20"/>
                <w:szCs w:val="14"/>
              </w:rPr>
              <w:t>1998 год</w:t>
            </w:r>
          </w:p>
        </w:tc>
        <w:tc>
          <w:tcPr>
            <w:tcW w:w="481" w:type="pct"/>
            <w:noWrap/>
            <w:vAlign w:val="bottom"/>
          </w:tcPr>
          <w:p w:rsidR="00000000" w:rsidRDefault="00000000">
            <w:pPr>
              <w:keepNext/>
              <w:spacing w:line="240" w:lineRule="auto"/>
              <w:jc w:val="right"/>
              <w:rPr>
                <w:b/>
                <w:bCs/>
                <w:sz w:val="20"/>
                <w:szCs w:val="14"/>
              </w:rPr>
            </w:pPr>
            <w:r>
              <w:rPr>
                <w:b/>
                <w:bCs/>
                <w:sz w:val="20"/>
                <w:szCs w:val="14"/>
              </w:rPr>
              <w:t>1999 год</w:t>
            </w:r>
          </w:p>
        </w:tc>
        <w:tc>
          <w:tcPr>
            <w:tcW w:w="481" w:type="pct"/>
            <w:noWrap/>
            <w:vAlign w:val="bottom"/>
          </w:tcPr>
          <w:p w:rsidR="00000000" w:rsidRDefault="00000000">
            <w:pPr>
              <w:keepNext/>
              <w:spacing w:line="240" w:lineRule="auto"/>
              <w:jc w:val="right"/>
              <w:rPr>
                <w:b/>
                <w:bCs/>
                <w:sz w:val="20"/>
                <w:szCs w:val="14"/>
              </w:rPr>
            </w:pPr>
            <w:r>
              <w:rPr>
                <w:b/>
                <w:bCs/>
                <w:sz w:val="20"/>
                <w:szCs w:val="14"/>
              </w:rPr>
              <w:t>2000 год</w:t>
            </w:r>
          </w:p>
        </w:tc>
        <w:tc>
          <w:tcPr>
            <w:tcW w:w="481" w:type="pct"/>
            <w:noWrap/>
            <w:vAlign w:val="bottom"/>
          </w:tcPr>
          <w:p w:rsidR="00000000" w:rsidRDefault="00000000">
            <w:pPr>
              <w:keepNext/>
              <w:spacing w:line="240" w:lineRule="auto"/>
              <w:jc w:val="right"/>
              <w:rPr>
                <w:b/>
                <w:bCs/>
                <w:sz w:val="20"/>
                <w:szCs w:val="14"/>
              </w:rPr>
            </w:pPr>
            <w:r>
              <w:rPr>
                <w:b/>
                <w:bCs/>
                <w:sz w:val="20"/>
                <w:szCs w:val="14"/>
              </w:rPr>
              <w:t>2001 год</w:t>
            </w:r>
          </w:p>
        </w:tc>
        <w:tc>
          <w:tcPr>
            <w:tcW w:w="481" w:type="pct"/>
            <w:vAlign w:val="bottom"/>
          </w:tcPr>
          <w:p w:rsidR="00000000" w:rsidRDefault="00000000">
            <w:pPr>
              <w:keepNext/>
              <w:spacing w:line="240" w:lineRule="auto"/>
              <w:jc w:val="right"/>
              <w:rPr>
                <w:b/>
                <w:bCs/>
                <w:sz w:val="20"/>
                <w:szCs w:val="14"/>
              </w:rPr>
            </w:pPr>
            <w:r>
              <w:rPr>
                <w:b/>
                <w:bCs/>
                <w:sz w:val="20"/>
                <w:szCs w:val="14"/>
              </w:rPr>
              <w:t>2002 год</w:t>
            </w:r>
          </w:p>
        </w:tc>
        <w:tc>
          <w:tcPr>
            <w:tcW w:w="481" w:type="pct"/>
            <w:noWrap/>
            <w:vAlign w:val="bottom"/>
          </w:tcPr>
          <w:p w:rsidR="00000000" w:rsidRDefault="00000000">
            <w:pPr>
              <w:keepNext/>
              <w:spacing w:line="240" w:lineRule="auto"/>
              <w:jc w:val="right"/>
              <w:rPr>
                <w:b/>
                <w:bCs/>
                <w:sz w:val="20"/>
                <w:szCs w:val="14"/>
              </w:rPr>
            </w:pPr>
            <w:r>
              <w:rPr>
                <w:b/>
                <w:bCs/>
                <w:sz w:val="20"/>
                <w:szCs w:val="14"/>
              </w:rPr>
              <w:t>2003 год</w:t>
            </w:r>
          </w:p>
        </w:tc>
        <w:tc>
          <w:tcPr>
            <w:tcW w:w="481" w:type="pct"/>
            <w:noWrap/>
            <w:vAlign w:val="bottom"/>
          </w:tcPr>
          <w:p w:rsidR="00000000" w:rsidRDefault="00000000">
            <w:pPr>
              <w:keepNext/>
              <w:spacing w:line="240" w:lineRule="auto"/>
              <w:jc w:val="right"/>
              <w:rPr>
                <w:b/>
                <w:bCs/>
                <w:sz w:val="20"/>
                <w:szCs w:val="14"/>
              </w:rPr>
            </w:pPr>
            <w:r>
              <w:rPr>
                <w:b/>
                <w:bCs/>
                <w:sz w:val="20"/>
                <w:szCs w:val="14"/>
              </w:rPr>
              <w:t>2004 год</w:t>
            </w:r>
          </w:p>
        </w:tc>
      </w:tr>
      <w:tr w:rsidR="00000000">
        <w:trPr>
          <w:cantSplit/>
          <w:trHeight w:val="20"/>
        </w:trPr>
        <w:tc>
          <w:tcPr>
            <w:tcW w:w="1154" w:type="pct"/>
            <w:vMerge/>
            <w:noWrap/>
            <w:vAlign w:val="bottom"/>
          </w:tcPr>
          <w:p w:rsidR="00000000" w:rsidRDefault="00000000">
            <w:pPr>
              <w:spacing w:line="240" w:lineRule="auto"/>
              <w:rPr>
                <w:b/>
                <w:bCs/>
                <w:sz w:val="20"/>
                <w:szCs w:val="14"/>
              </w:rPr>
            </w:pPr>
          </w:p>
        </w:tc>
        <w:tc>
          <w:tcPr>
            <w:tcW w:w="481" w:type="pct"/>
            <w:noWrap/>
            <w:vAlign w:val="bottom"/>
          </w:tcPr>
          <w:p w:rsidR="00000000" w:rsidRDefault="00000000">
            <w:pPr>
              <w:spacing w:line="240" w:lineRule="auto"/>
              <w:jc w:val="right"/>
              <w:rPr>
                <w:b/>
                <w:bCs/>
                <w:sz w:val="20"/>
                <w:szCs w:val="14"/>
              </w:rPr>
            </w:pPr>
            <w:r>
              <w:rPr>
                <w:b/>
                <w:bCs/>
                <w:sz w:val="20"/>
                <w:szCs w:val="14"/>
              </w:rPr>
              <w:t>726</w:t>
            </w:r>
            <w:r>
              <w:rPr>
                <w:b/>
                <w:bCs/>
                <w:sz w:val="20"/>
                <w:szCs w:val="14"/>
                <w:lang w:val="fr-FR"/>
              </w:rPr>
              <w:t> </w:t>
            </w:r>
            <w:r>
              <w:rPr>
                <w:b/>
                <w:bCs/>
                <w:sz w:val="20"/>
                <w:szCs w:val="14"/>
              </w:rPr>
              <w:t>917</w:t>
            </w:r>
          </w:p>
        </w:tc>
        <w:tc>
          <w:tcPr>
            <w:tcW w:w="481" w:type="pct"/>
            <w:noWrap/>
            <w:vAlign w:val="bottom"/>
          </w:tcPr>
          <w:p w:rsidR="00000000" w:rsidRDefault="00000000">
            <w:pPr>
              <w:spacing w:line="240" w:lineRule="auto"/>
              <w:jc w:val="right"/>
              <w:rPr>
                <w:b/>
                <w:bCs/>
                <w:sz w:val="20"/>
                <w:szCs w:val="14"/>
              </w:rPr>
            </w:pPr>
            <w:r>
              <w:rPr>
                <w:b/>
                <w:bCs/>
                <w:sz w:val="20"/>
                <w:szCs w:val="14"/>
              </w:rPr>
              <w:t>700</w:t>
            </w:r>
            <w:r>
              <w:rPr>
                <w:b/>
                <w:bCs/>
                <w:sz w:val="20"/>
                <w:szCs w:val="14"/>
                <w:lang w:val="fr-FR"/>
              </w:rPr>
              <w:t> </w:t>
            </w:r>
            <w:r>
              <w:rPr>
                <w:b/>
                <w:bCs/>
                <w:sz w:val="20"/>
                <w:szCs w:val="14"/>
              </w:rPr>
              <w:t>767</w:t>
            </w:r>
          </w:p>
        </w:tc>
        <w:tc>
          <w:tcPr>
            <w:tcW w:w="481" w:type="pct"/>
            <w:noWrap/>
            <w:vAlign w:val="bottom"/>
          </w:tcPr>
          <w:p w:rsidR="00000000" w:rsidRDefault="00000000">
            <w:pPr>
              <w:spacing w:line="240" w:lineRule="auto"/>
              <w:jc w:val="right"/>
              <w:rPr>
                <w:b/>
                <w:bCs/>
                <w:sz w:val="20"/>
                <w:szCs w:val="14"/>
              </w:rPr>
            </w:pPr>
            <w:r>
              <w:rPr>
                <w:b/>
                <w:bCs/>
                <w:sz w:val="20"/>
                <w:szCs w:val="14"/>
              </w:rPr>
              <w:t>450</w:t>
            </w:r>
            <w:r>
              <w:rPr>
                <w:b/>
                <w:bCs/>
                <w:sz w:val="20"/>
                <w:szCs w:val="14"/>
                <w:lang w:val="fr-FR"/>
              </w:rPr>
              <w:t> </w:t>
            </w:r>
            <w:r>
              <w:rPr>
                <w:b/>
                <w:bCs/>
                <w:sz w:val="20"/>
                <w:szCs w:val="14"/>
              </w:rPr>
              <w:t>499</w:t>
            </w:r>
          </w:p>
        </w:tc>
        <w:tc>
          <w:tcPr>
            <w:tcW w:w="481" w:type="pct"/>
            <w:noWrap/>
            <w:vAlign w:val="bottom"/>
          </w:tcPr>
          <w:p w:rsidR="00000000" w:rsidRDefault="00000000">
            <w:pPr>
              <w:spacing w:line="240" w:lineRule="auto"/>
              <w:jc w:val="right"/>
              <w:rPr>
                <w:b/>
                <w:bCs/>
                <w:sz w:val="20"/>
                <w:szCs w:val="14"/>
              </w:rPr>
            </w:pPr>
            <w:r>
              <w:rPr>
                <w:b/>
                <w:bCs/>
                <w:sz w:val="20"/>
                <w:szCs w:val="14"/>
              </w:rPr>
              <w:t>539</w:t>
            </w:r>
            <w:r>
              <w:rPr>
                <w:b/>
                <w:bCs/>
                <w:sz w:val="20"/>
                <w:szCs w:val="14"/>
                <w:lang w:val="fr-FR"/>
              </w:rPr>
              <w:t> </w:t>
            </w:r>
            <w:r>
              <w:rPr>
                <w:b/>
                <w:bCs/>
                <w:sz w:val="20"/>
                <w:szCs w:val="14"/>
              </w:rPr>
              <w:t>735</w:t>
            </w:r>
          </w:p>
        </w:tc>
        <w:tc>
          <w:tcPr>
            <w:tcW w:w="481" w:type="pct"/>
            <w:noWrap/>
            <w:vAlign w:val="bottom"/>
          </w:tcPr>
          <w:p w:rsidR="00000000" w:rsidRDefault="00000000">
            <w:pPr>
              <w:spacing w:line="240" w:lineRule="auto"/>
              <w:jc w:val="right"/>
              <w:rPr>
                <w:b/>
                <w:bCs/>
                <w:sz w:val="20"/>
                <w:szCs w:val="14"/>
              </w:rPr>
            </w:pPr>
            <w:r>
              <w:rPr>
                <w:b/>
                <w:bCs/>
                <w:sz w:val="20"/>
                <w:szCs w:val="14"/>
              </w:rPr>
              <w:t>672</w:t>
            </w:r>
            <w:r>
              <w:rPr>
                <w:b/>
                <w:bCs/>
                <w:sz w:val="20"/>
                <w:szCs w:val="14"/>
                <w:lang w:val="fr-FR"/>
              </w:rPr>
              <w:t> </w:t>
            </w:r>
            <w:r>
              <w:rPr>
                <w:b/>
                <w:bCs/>
                <w:sz w:val="20"/>
                <w:szCs w:val="14"/>
              </w:rPr>
              <w:t>637</w:t>
            </w:r>
          </w:p>
        </w:tc>
        <w:tc>
          <w:tcPr>
            <w:tcW w:w="481" w:type="pct"/>
            <w:vAlign w:val="bottom"/>
          </w:tcPr>
          <w:p w:rsidR="00000000" w:rsidRDefault="00000000">
            <w:pPr>
              <w:spacing w:line="240" w:lineRule="auto"/>
              <w:jc w:val="right"/>
              <w:rPr>
                <w:b/>
                <w:bCs/>
                <w:sz w:val="20"/>
                <w:szCs w:val="14"/>
              </w:rPr>
            </w:pPr>
            <w:r>
              <w:rPr>
                <w:b/>
                <w:bCs/>
                <w:sz w:val="20"/>
                <w:szCs w:val="14"/>
              </w:rPr>
              <w:t>853</w:t>
            </w:r>
            <w:r>
              <w:rPr>
                <w:b/>
                <w:bCs/>
                <w:sz w:val="20"/>
                <w:szCs w:val="14"/>
                <w:lang w:val="fr-FR"/>
              </w:rPr>
              <w:t> </w:t>
            </w:r>
            <w:r>
              <w:rPr>
                <w:b/>
                <w:bCs/>
                <w:sz w:val="20"/>
                <w:szCs w:val="14"/>
              </w:rPr>
              <w:t>903</w:t>
            </w:r>
          </w:p>
        </w:tc>
        <w:tc>
          <w:tcPr>
            <w:tcW w:w="481" w:type="pct"/>
            <w:noWrap/>
            <w:vAlign w:val="bottom"/>
          </w:tcPr>
          <w:p w:rsidR="00000000" w:rsidRDefault="00000000">
            <w:pPr>
              <w:spacing w:line="240" w:lineRule="auto"/>
              <w:jc w:val="right"/>
              <w:rPr>
                <w:b/>
                <w:bCs/>
                <w:sz w:val="20"/>
                <w:szCs w:val="14"/>
              </w:rPr>
            </w:pPr>
            <w:r>
              <w:rPr>
                <w:b/>
                <w:bCs/>
                <w:sz w:val="20"/>
                <w:szCs w:val="14"/>
              </w:rPr>
              <w:t>705</w:t>
            </w:r>
            <w:r>
              <w:rPr>
                <w:b/>
                <w:bCs/>
                <w:sz w:val="20"/>
                <w:szCs w:val="14"/>
                <w:lang w:val="fr-FR"/>
              </w:rPr>
              <w:t> </w:t>
            </w:r>
            <w:r>
              <w:rPr>
                <w:b/>
                <w:bCs/>
                <w:sz w:val="20"/>
                <w:szCs w:val="14"/>
              </w:rPr>
              <w:t>514</w:t>
            </w:r>
          </w:p>
        </w:tc>
        <w:tc>
          <w:tcPr>
            <w:tcW w:w="481" w:type="pct"/>
            <w:noWrap/>
            <w:vAlign w:val="bottom"/>
          </w:tcPr>
          <w:p w:rsidR="00000000" w:rsidRDefault="00000000">
            <w:pPr>
              <w:spacing w:line="240" w:lineRule="auto"/>
              <w:jc w:val="right"/>
              <w:rPr>
                <w:b/>
                <w:bCs/>
                <w:sz w:val="20"/>
                <w:szCs w:val="14"/>
              </w:rPr>
            </w:pPr>
            <w:r>
              <w:rPr>
                <w:b/>
                <w:bCs/>
                <w:sz w:val="20"/>
                <w:szCs w:val="14"/>
              </w:rPr>
              <w:t>830</w:t>
            </w:r>
            <w:r>
              <w:rPr>
                <w:b/>
                <w:bCs/>
                <w:sz w:val="20"/>
                <w:szCs w:val="14"/>
                <w:lang w:val="fr-FR"/>
              </w:rPr>
              <w:t> </w:t>
            </w:r>
            <w:r>
              <w:rPr>
                <w:b/>
                <w:bCs/>
                <w:sz w:val="20"/>
                <w:szCs w:val="14"/>
              </w:rPr>
              <w:t>230</w:t>
            </w:r>
          </w:p>
        </w:tc>
      </w:tr>
      <w:tr w:rsidR="00000000">
        <w:trPr>
          <w:trHeight w:val="20"/>
        </w:trPr>
        <w:tc>
          <w:tcPr>
            <w:tcW w:w="1154" w:type="pct"/>
            <w:noWrap/>
            <w:vAlign w:val="bottom"/>
          </w:tcPr>
          <w:p w:rsidR="00000000" w:rsidRDefault="00000000">
            <w:pPr>
              <w:spacing w:line="240" w:lineRule="auto"/>
              <w:rPr>
                <w:sz w:val="20"/>
                <w:szCs w:val="14"/>
              </w:rPr>
            </w:pPr>
            <w:r>
              <w:rPr>
                <w:sz w:val="20"/>
                <w:szCs w:val="14"/>
              </w:rPr>
              <w:t>Расходы на здравоохранение</w:t>
            </w:r>
          </w:p>
        </w:tc>
        <w:tc>
          <w:tcPr>
            <w:tcW w:w="481" w:type="pct"/>
            <w:noWrap/>
            <w:vAlign w:val="bottom"/>
          </w:tcPr>
          <w:p w:rsidR="00000000" w:rsidRDefault="00000000">
            <w:pPr>
              <w:spacing w:line="240" w:lineRule="auto"/>
              <w:jc w:val="right"/>
              <w:rPr>
                <w:sz w:val="18"/>
                <w:szCs w:val="14"/>
              </w:rPr>
            </w:pPr>
            <w:r>
              <w:rPr>
                <w:sz w:val="18"/>
                <w:szCs w:val="14"/>
              </w:rPr>
              <w:t>240</w:t>
            </w:r>
            <w:r>
              <w:rPr>
                <w:sz w:val="18"/>
                <w:szCs w:val="14"/>
                <w:lang w:val="fr-FR"/>
              </w:rPr>
              <w:t> </w:t>
            </w:r>
            <w:r>
              <w:rPr>
                <w:sz w:val="18"/>
                <w:szCs w:val="14"/>
              </w:rPr>
              <w:t>617</w:t>
            </w:r>
          </w:p>
        </w:tc>
        <w:tc>
          <w:tcPr>
            <w:tcW w:w="481" w:type="pct"/>
            <w:noWrap/>
            <w:vAlign w:val="bottom"/>
          </w:tcPr>
          <w:p w:rsidR="00000000" w:rsidRDefault="00000000">
            <w:pPr>
              <w:spacing w:line="240" w:lineRule="auto"/>
              <w:jc w:val="right"/>
              <w:rPr>
                <w:sz w:val="18"/>
                <w:szCs w:val="14"/>
              </w:rPr>
            </w:pPr>
            <w:r>
              <w:rPr>
                <w:sz w:val="18"/>
                <w:szCs w:val="14"/>
              </w:rPr>
              <w:t>350</w:t>
            </w:r>
            <w:r>
              <w:rPr>
                <w:sz w:val="18"/>
                <w:szCs w:val="14"/>
                <w:lang w:val="fr-FR"/>
              </w:rPr>
              <w:t> </w:t>
            </w:r>
            <w:r>
              <w:rPr>
                <w:sz w:val="18"/>
                <w:szCs w:val="14"/>
              </w:rPr>
              <w:t>725</w:t>
            </w:r>
          </w:p>
        </w:tc>
        <w:tc>
          <w:tcPr>
            <w:tcW w:w="481" w:type="pct"/>
            <w:noWrap/>
            <w:vAlign w:val="bottom"/>
          </w:tcPr>
          <w:p w:rsidR="00000000" w:rsidRDefault="00000000">
            <w:pPr>
              <w:spacing w:line="240" w:lineRule="auto"/>
              <w:jc w:val="right"/>
              <w:rPr>
                <w:sz w:val="18"/>
                <w:szCs w:val="14"/>
              </w:rPr>
            </w:pPr>
            <w:r>
              <w:rPr>
                <w:sz w:val="18"/>
                <w:szCs w:val="14"/>
              </w:rPr>
              <w:t>377</w:t>
            </w:r>
            <w:r>
              <w:rPr>
                <w:sz w:val="18"/>
                <w:szCs w:val="14"/>
                <w:lang w:val="fr-FR"/>
              </w:rPr>
              <w:t> </w:t>
            </w:r>
            <w:r>
              <w:rPr>
                <w:sz w:val="18"/>
                <w:szCs w:val="14"/>
              </w:rPr>
              <w:t>540</w:t>
            </w:r>
          </w:p>
        </w:tc>
        <w:tc>
          <w:tcPr>
            <w:tcW w:w="481" w:type="pct"/>
            <w:noWrap/>
            <w:vAlign w:val="bottom"/>
          </w:tcPr>
          <w:p w:rsidR="00000000" w:rsidRDefault="00000000">
            <w:pPr>
              <w:spacing w:line="240" w:lineRule="auto"/>
              <w:jc w:val="right"/>
              <w:rPr>
                <w:sz w:val="18"/>
                <w:szCs w:val="14"/>
              </w:rPr>
            </w:pPr>
            <w:r>
              <w:rPr>
                <w:sz w:val="18"/>
                <w:szCs w:val="14"/>
              </w:rPr>
              <w:t>483</w:t>
            </w:r>
            <w:r>
              <w:rPr>
                <w:sz w:val="18"/>
                <w:szCs w:val="14"/>
                <w:lang w:val="fr-FR"/>
              </w:rPr>
              <w:t> </w:t>
            </w:r>
            <w:r>
              <w:rPr>
                <w:sz w:val="18"/>
                <w:szCs w:val="14"/>
              </w:rPr>
              <w:t>677</w:t>
            </w:r>
          </w:p>
        </w:tc>
        <w:tc>
          <w:tcPr>
            <w:tcW w:w="481" w:type="pct"/>
            <w:noWrap/>
            <w:vAlign w:val="bottom"/>
          </w:tcPr>
          <w:p w:rsidR="00000000" w:rsidRDefault="00000000">
            <w:pPr>
              <w:spacing w:line="240" w:lineRule="auto"/>
              <w:jc w:val="right"/>
              <w:rPr>
                <w:sz w:val="18"/>
                <w:szCs w:val="14"/>
              </w:rPr>
            </w:pPr>
            <w:r>
              <w:rPr>
                <w:sz w:val="18"/>
                <w:szCs w:val="14"/>
              </w:rPr>
              <w:t>394</w:t>
            </w:r>
            <w:r>
              <w:rPr>
                <w:sz w:val="18"/>
                <w:szCs w:val="14"/>
                <w:lang w:val="fr-FR"/>
              </w:rPr>
              <w:t> </w:t>
            </w:r>
            <w:r>
              <w:rPr>
                <w:sz w:val="18"/>
                <w:szCs w:val="14"/>
              </w:rPr>
              <w:t>746</w:t>
            </w:r>
          </w:p>
        </w:tc>
        <w:tc>
          <w:tcPr>
            <w:tcW w:w="481" w:type="pct"/>
            <w:vAlign w:val="bottom"/>
          </w:tcPr>
          <w:p w:rsidR="00000000" w:rsidRDefault="00000000">
            <w:pPr>
              <w:spacing w:line="240" w:lineRule="auto"/>
              <w:jc w:val="right"/>
              <w:rPr>
                <w:sz w:val="18"/>
                <w:szCs w:val="14"/>
              </w:rPr>
            </w:pPr>
            <w:r>
              <w:rPr>
                <w:sz w:val="18"/>
                <w:szCs w:val="14"/>
              </w:rPr>
              <w:t>318</w:t>
            </w:r>
            <w:r>
              <w:rPr>
                <w:sz w:val="18"/>
                <w:szCs w:val="14"/>
                <w:lang w:val="fr-FR"/>
              </w:rPr>
              <w:t> </w:t>
            </w:r>
            <w:r>
              <w:rPr>
                <w:sz w:val="18"/>
                <w:szCs w:val="14"/>
              </w:rPr>
              <w:t>576</w:t>
            </w:r>
          </w:p>
        </w:tc>
        <w:tc>
          <w:tcPr>
            <w:tcW w:w="481" w:type="pct"/>
            <w:noWrap/>
            <w:vAlign w:val="bottom"/>
          </w:tcPr>
          <w:p w:rsidR="00000000" w:rsidRDefault="00000000">
            <w:pPr>
              <w:spacing w:line="240" w:lineRule="auto"/>
              <w:jc w:val="right"/>
              <w:rPr>
                <w:sz w:val="18"/>
                <w:szCs w:val="14"/>
              </w:rPr>
            </w:pPr>
            <w:r>
              <w:rPr>
                <w:sz w:val="18"/>
                <w:szCs w:val="14"/>
              </w:rPr>
              <w:t>352</w:t>
            </w:r>
            <w:r>
              <w:rPr>
                <w:sz w:val="18"/>
                <w:szCs w:val="14"/>
                <w:lang w:val="fr-FR"/>
              </w:rPr>
              <w:t> </w:t>
            </w:r>
            <w:r>
              <w:rPr>
                <w:sz w:val="18"/>
                <w:szCs w:val="14"/>
              </w:rPr>
              <w:t>792</w:t>
            </w:r>
          </w:p>
        </w:tc>
        <w:tc>
          <w:tcPr>
            <w:tcW w:w="481" w:type="pct"/>
            <w:noWrap/>
            <w:vAlign w:val="bottom"/>
          </w:tcPr>
          <w:p w:rsidR="00000000" w:rsidRDefault="00000000">
            <w:pPr>
              <w:spacing w:line="240" w:lineRule="auto"/>
              <w:jc w:val="right"/>
              <w:rPr>
                <w:sz w:val="18"/>
                <w:szCs w:val="14"/>
              </w:rPr>
            </w:pPr>
            <w:r>
              <w:rPr>
                <w:sz w:val="18"/>
                <w:szCs w:val="14"/>
              </w:rPr>
              <w:t>401</w:t>
            </w:r>
            <w:r>
              <w:rPr>
                <w:sz w:val="18"/>
                <w:szCs w:val="14"/>
                <w:lang w:val="fr-FR"/>
              </w:rPr>
              <w:t> </w:t>
            </w:r>
            <w:r>
              <w:rPr>
                <w:sz w:val="18"/>
                <w:szCs w:val="14"/>
              </w:rPr>
              <w:t>069</w:t>
            </w:r>
          </w:p>
        </w:tc>
      </w:tr>
      <w:tr w:rsidR="00000000">
        <w:trPr>
          <w:trHeight w:val="20"/>
        </w:trPr>
        <w:tc>
          <w:tcPr>
            <w:tcW w:w="1154" w:type="pct"/>
            <w:noWrap/>
            <w:vAlign w:val="bottom"/>
          </w:tcPr>
          <w:p w:rsidR="00000000" w:rsidRDefault="00000000">
            <w:pPr>
              <w:spacing w:line="240" w:lineRule="auto"/>
              <w:rPr>
                <w:sz w:val="20"/>
                <w:szCs w:val="14"/>
              </w:rPr>
            </w:pPr>
            <w:r>
              <w:rPr>
                <w:sz w:val="20"/>
                <w:szCs w:val="14"/>
              </w:rPr>
              <w:t>Расходы на пенсии и пенсионные выплаты</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vAlign w:val="bottom"/>
          </w:tcPr>
          <w:p w:rsidR="00000000" w:rsidRDefault="00000000">
            <w:pPr>
              <w:spacing w:line="240" w:lineRule="auto"/>
              <w:jc w:val="right"/>
              <w:rPr>
                <w:sz w:val="18"/>
                <w:szCs w:val="14"/>
              </w:rPr>
            </w:pPr>
            <w:r>
              <w:rPr>
                <w:sz w:val="18"/>
                <w:szCs w:val="14"/>
              </w:rPr>
              <w:t>271</w:t>
            </w:r>
            <w:r>
              <w:rPr>
                <w:sz w:val="18"/>
                <w:szCs w:val="14"/>
                <w:lang w:val="en-US"/>
              </w:rPr>
              <w:t> </w:t>
            </w:r>
            <w:r>
              <w:rPr>
                <w:sz w:val="18"/>
                <w:szCs w:val="14"/>
              </w:rPr>
              <w:t>791</w:t>
            </w:r>
          </w:p>
        </w:tc>
        <w:tc>
          <w:tcPr>
            <w:tcW w:w="481" w:type="pct"/>
            <w:noWrap/>
            <w:vAlign w:val="bottom"/>
          </w:tcPr>
          <w:p w:rsidR="00000000" w:rsidRDefault="00000000">
            <w:pPr>
              <w:spacing w:line="240" w:lineRule="auto"/>
              <w:jc w:val="right"/>
              <w:rPr>
                <w:sz w:val="18"/>
                <w:szCs w:val="14"/>
              </w:rPr>
            </w:pPr>
            <w:r>
              <w:rPr>
                <w:sz w:val="18"/>
                <w:szCs w:val="14"/>
              </w:rPr>
              <w:t>338</w:t>
            </w:r>
            <w:r>
              <w:rPr>
                <w:sz w:val="18"/>
                <w:szCs w:val="14"/>
                <w:lang w:val="en-US"/>
              </w:rPr>
              <w:t> </w:t>
            </w:r>
            <w:r>
              <w:rPr>
                <w:sz w:val="18"/>
                <w:szCs w:val="14"/>
              </w:rPr>
              <w:t>616</w:t>
            </w:r>
          </w:p>
        </w:tc>
        <w:tc>
          <w:tcPr>
            <w:tcW w:w="481" w:type="pct"/>
            <w:noWrap/>
            <w:vAlign w:val="bottom"/>
          </w:tcPr>
          <w:p w:rsidR="00000000" w:rsidRDefault="00000000">
            <w:pPr>
              <w:spacing w:line="240" w:lineRule="auto"/>
              <w:jc w:val="right"/>
              <w:rPr>
                <w:sz w:val="18"/>
                <w:szCs w:val="14"/>
              </w:rPr>
            </w:pPr>
            <w:r>
              <w:rPr>
                <w:sz w:val="18"/>
                <w:szCs w:val="14"/>
              </w:rPr>
              <w:t>409</w:t>
            </w:r>
            <w:r>
              <w:rPr>
                <w:sz w:val="18"/>
                <w:szCs w:val="14"/>
                <w:lang w:val="en-US"/>
              </w:rPr>
              <w:t> </w:t>
            </w:r>
            <w:r>
              <w:rPr>
                <w:sz w:val="18"/>
                <w:szCs w:val="14"/>
              </w:rPr>
              <w:t>773</w:t>
            </w:r>
          </w:p>
        </w:tc>
      </w:tr>
      <w:tr w:rsidR="00000000">
        <w:trPr>
          <w:trHeight w:val="20"/>
        </w:trPr>
        <w:tc>
          <w:tcPr>
            <w:tcW w:w="1154" w:type="pct"/>
            <w:noWrap/>
            <w:vAlign w:val="bottom"/>
          </w:tcPr>
          <w:p w:rsidR="00000000" w:rsidRDefault="00000000">
            <w:pPr>
              <w:spacing w:line="240" w:lineRule="auto"/>
              <w:rPr>
                <w:sz w:val="20"/>
                <w:szCs w:val="14"/>
              </w:rPr>
            </w:pPr>
            <w:r>
              <w:rPr>
                <w:sz w:val="20"/>
                <w:szCs w:val="14"/>
              </w:rPr>
              <w:t>Прочие расходы</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noWrap/>
            <w:vAlign w:val="bottom"/>
          </w:tcPr>
          <w:p w:rsidR="00000000" w:rsidRDefault="00000000">
            <w:pPr>
              <w:spacing w:line="240" w:lineRule="auto"/>
              <w:jc w:val="right"/>
              <w:rPr>
                <w:sz w:val="18"/>
                <w:szCs w:val="14"/>
              </w:rPr>
            </w:pPr>
            <w:r>
              <w:rPr>
                <w:sz w:val="18"/>
                <w:szCs w:val="14"/>
              </w:rPr>
              <w:t>350</w:t>
            </w:r>
            <w:r>
              <w:rPr>
                <w:sz w:val="18"/>
                <w:szCs w:val="14"/>
                <w:lang w:val="en-US"/>
              </w:rPr>
              <w:t> </w:t>
            </w:r>
            <w:r>
              <w:rPr>
                <w:sz w:val="18"/>
                <w:szCs w:val="14"/>
              </w:rPr>
              <w:t>042</w:t>
            </w:r>
          </w:p>
        </w:tc>
        <w:tc>
          <w:tcPr>
            <w:tcW w:w="481" w:type="pct"/>
            <w:noWrap/>
            <w:vAlign w:val="bottom"/>
          </w:tcPr>
          <w:p w:rsidR="00000000" w:rsidRDefault="00000000">
            <w:pPr>
              <w:spacing w:line="240" w:lineRule="auto"/>
              <w:jc w:val="right"/>
              <w:rPr>
                <w:sz w:val="18"/>
                <w:szCs w:val="14"/>
              </w:rPr>
            </w:pPr>
            <w:r>
              <w:rPr>
                <w:sz w:val="18"/>
                <w:szCs w:val="14"/>
              </w:rPr>
              <w:t>72</w:t>
            </w:r>
            <w:r>
              <w:rPr>
                <w:sz w:val="18"/>
                <w:szCs w:val="14"/>
                <w:lang w:val="en-US"/>
              </w:rPr>
              <w:t> </w:t>
            </w:r>
            <w:r>
              <w:rPr>
                <w:sz w:val="18"/>
                <w:szCs w:val="14"/>
              </w:rPr>
              <w:t>959</w:t>
            </w:r>
          </w:p>
        </w:tc>
        <w:tc>
          <w:tcPr>
            <w:tcW w:w="481" w:type="pct"/>
            <w:noWrap/>
            <w:vAlign w:val="bottom"/>
          </w:tcPr>
          <w:p w:rsidR="00000000" w:rsidRDefault="00000000">
            <w:pPr>
              <w:spacing w:line="240" w:lineRule="auto"/>
              <w:jc w:val="right"/>
              <w:rPr>
                <w:sz w:val="18"/>
                <w:szCs w:val="14"/>
              </w:rPr>
            </w:pPr>
            <w:r>
              <w:rPr>
                <w:sz w:val="18"/>
                <w:szCs w:val="14"/>
              </w:rPr>
              <w:t>56</w:t>
            </w:r>
            <w:r>
              <w:rPr>
                <w:sz w:val="18"/>
                <w:szCs w:val="14"/>
                <w:lang w:val="en-US"/>
              </w:rPr>
              <w:t> </w:t>
            </w:r>
            <w:r>
              <w:rPr>
                <w:sz w:val="18"/>
                <w:szCs w:val="14"/>
              </w:rPr>
              <w:t>058</w:t>
            </w:r>
          </w:p>
        </w:tc>
        <w:tc>
          <w:tcPr>
            <w:tcW w:w="481" w:type="pct"/>
            <w:noWrap/>
            <w:vAlign w:val="bottom"/>
          </w:tcPr>
          <w:p w:rsidR="00000000" w:rsidRDefault="00000000">
            <w:pPr>
              <w:spacing w:line="240" w:lineRule="auto"/>
              <w:jc w:val="right"/>
              <w:rPr>
                <w:sz w:val="18"/>
                <w:szCs w:val="14"/>
              </w:rPr>
            </w:pPr>
            <w:r>
              <w:rPr>
                <w:sz w:val="18"/>
                <w:szCs w:val="14"/>
              </w:rPr>
              <w:t>277</w:t>
            </w:r>
            <w:r>
              <w:rPr>
                <w:sz w:val="18"/>
                <w:szCs w:val="14"/>
                <w:lang w:val="en-US"/>
              </w:rPr>
              <w:t> </w:t>
            </w:r>
            <w:r>
              <w:rPr>
                <w:sz w:val="18"/>
                <w:szCs w:val="14"/>
              </w:rPr>
              <w:t>891</w:t>
            </w:r>
          </w:p>
        </w:tc>
        <w:tc>
          <w:tcPr>
            <w:tcW w:w="481" w:type="pct"/>
            <w:vAlign w:val="bottom"/>
          </w:tcPr>
          <w:p w:rsidR="00000000" w:rsidRDefault="00000000">
            <w:pPr>
              <w:spacing w:line="240" w:lineRule="auto"/>
              <w:jc w:val="right"/>
              <w:rPr>
                <w:sz w:val="18"/>
                <w:szCs w:val="14"/>
              </w:rPr>
            </w:pPr>
            <w:r>
              <w:rPr>
                <w:sz w:val="18"/>
                <w:szCs w:val="14"/>
              </w:rPr>
              <w:t>263</w:t>
            </w:r>
            <w:r>
              <w:rPr>
                <w:sz w:val="18"/>
                <w:szCs w:val="14"/>
                <w:lang w:val="en-US"/>
              </w:rPr>
              <w:t> </w:t>
            </w:r>
            <w:r>
              <w:rPr>
                <w:sz w:val="18"/>
                <w:szCs w:val="14"/>
              </w:rPr>
              <w:t>536</w:t>
            </w:r>
          </w:p>
        </w:tc>
        <w:tc>
          <w:tcPr>
            <w:tcW w:w="481" w:type="pct"/>
            <w:noWrap/>
            <w:vAlign w:val="bottom"/>
          </w:tcPr>
          <w:p w:rsidR="00000000" w:rsidRDefault="00000000">
            <w:pPr>
              <w:spacing w:line="240" w:lineRule="auto"/>
              <w:jc w:val="right"/>
              <w:rPr>
                <w:sz w:val="18"/>
                <w:szCs w:val="14"/>
              </w:rPr>
            </w:pPr>
            <w:r>
              <w:rPr>
                <w:sz w:val="18"/>
                <w:szCs w:val="14"/>
              </w:rPr>
              <w:t>14</w:t>
            </w:r>
            <w:r>
              <w:rPr>
                <w:sz w:val="18"/>
                <w:szCs w:val="14"/>
                <w:lang w:val="en-US"/>
              </w:rPr>
              <w:t> </w:t>
            </w:r>
            <w:r>
              <w:rPr>
                <w:sz w:val="18"/>
                <w:szCs w:val="14"/>
              </w:rPr>
              <w:t>106</w:t>
            </w:r>
          </w:p>
        </w:tc>
        <w:tc>
          <w:tcPr>
            <w:tcW w:w="481" w:type="pct"/>
            <w:noWrap/>
            <w:vAlign w:val="bottom"/>
          </w:tcPr>
          <w:p w:rsidR="00000000" w:rsidRDefault="00000000">
            <w:pPr>
              <w:spacing w:line="240" w:lineRule="auto"/>
              <w:jc w:val="right"/>
              <w:rPr>
                <w:sz w:val="18"/>
                <w:szCs w:val="14"/>
              </w:rPr>
            </w:pPr>
            <w:r>
              <w:rPr>
                <w:sz w:val="18"/>
                <w:szCs w:val="14"/>
              </w:rPr>
              <w:t>19</w:t>
            </w:r>
            <w:r>
              <w:rPr>
                <w:sz w:val="18"/>
                <w:szCs w:val="14"/>
                <w:lang w:val="en-US"/>
              </w:rPr>
              <w:t> </w:t>
            </w:r>
            <w:r>
              <w:rPr>
                <w:sz w:val="18"/>
                <w:szCs w:val="14"/>
              </w:rPr>
              <w:t>388</w:t>
            </w:r>
          </w:p>
        </w:tc>
      </w:tr>
      <w:tr w:rsidR="00000000">
        <w:trPr>
          <w:trHeight w:val="20"/>
        </w:trPr>
        <w:tc>
          <w:tcPr>
            <w:tcW w:w="1154" w:type="pct"/>
            <w:noWrap/>
            <w:vAlign w:val="bottom"/>
          </w:tcPr>
          <w:p w:rsidR="00000000" w:rsidRDefault="00000000">
            <w:pPr>
              <w:spacing w:line="240" w:lineRule="auto"/>
              <w:rPr>
                <w:sz w:val="20"/>
                <w:szCs w:val="14"/>
              </w:rPr>
            </w:pPr>
            <w:r>
              <w:rPr>
                <w:sz w:val="20"/>
                <w:szCs w:val="14"/>
              </w:rPr>
              <w:t>Общие государственные расходы</w:t>
            </w:r>
          </w:p>
        </w:tc>
        <w:tc>
          <w:tcPr>
            <w:tcW w:w="481" w:type="pct"/>
            <w:noWrap/>
            <w:vAlign w:val="bottom"/>
          </w:tcPr>
          <w:p w:rsidR="00000000" w:rsidRDefault="00000000">
            <w:pPr>
              <w:spacing w:line="240" w:lineRule="auto"/>
              <w:jc w:val="right"/>
              <w:rPr>
                <w:sz w:val="18"/>
                <w:szCs w:val="14"/>
              </w:rPr>
            </w:pPr>
            <w:r>
              <w:rPr>
                <w:sz w:val="18"/>
                <w:szCs w:val="14"/>
              </w:rPr>
              <w:t>10</w:t>
            </w:r>
            <w:r>
              <w:rPr>
                <w:sz w:val="18"/>
                <w:szCs w:val="14"/>
                <w:lang w:val="en-US"/>
              </w:rPr>
              <w:t> </w:t>
            </w:r>
            <w:r>
              <w:rPr>
                <w:sz w:val="18"/>
                <w:szCs w:val="14"/>
              </w:rPr>
              <w:t>014</w:t>
            </w:r>
            <w:r>
              <w:rPr>
                <w:sz w:val="18"/>
                <w:szCs w:val="14"/>
                <w:lang w:val="en-US"/>
              </w:rPr>
              <w:t> </w:t>
            </w:r>
            <w:r>
              <w:rPr>
                <w:sz w:val="18"/>
                <w:szCs w:val="14"/>
              </w:rPr>
              <w:t>255</w:t>
            </w:r>
          </w:p>
        </w:tc>
        <w:tc>
          <w:tcPr>
            <w:tcW w:w="481" w:type="pct"/>
            <w:noWrap/>
            <w:vAlign w:val="bottom"/>
          </w:tcPr>
          <w:p w:rsidR="00000000" w:rsidRDefault="00000000">
            <w:pPr>
              <w:spacing w:line="240" w:lineRule="auto"/>
              <w:jc w:val="right"/>
              <w:rPr>
                <w:sz w:val="18"/>
                <w:szCs w:val="14"/>
              </w:rPr>
            </w:pPr>
            <w:r>
              <w:rPr>
                <w:sz w:val="18"/>
                <w:szCs w:val="14"/>
              </w:rPr>
              <w:t>10</w:t>
            </w:r>
            <w:r>
              <w:rPr>
                <w:sz w:val="18"/>
                <w:szCs w:val="14"/>
                <w:lang w:val="en-US"/>
              </w:rPr>
              <w:t> </w:t>
            </w:r>
            <w:r>
              <w:rPr>
                <w:sz w:val="18"/>
                <w:szCs w:val="14"/>
              </w:rPr>
              <w:t>142</w:t>
            </w:r>
            <w:r>
              <w:rPr>
                <w:sz w:val="18"/>
                <w:szCs w:val="14"/>
                <w:lang w:val="en-US"/>
              </w:rPr>
              <w:t> </w:t>
            </w:r>
            <w:r>
              <w:rPr>
                <w:sz w:val="18"/>
                <w:szCs w:val="14"/>
              </w:rPr>
              <w:t>171</w:t>
            </w:r>
          </w:p>
        </w:tc>
        <w:tc>
          <w:tcPr>
            <w:tcW w:w="481" w:type="pct"/>
            <w:noWrap/>
            <w:vAlign w:val="bottom"/>
          </w:tcPr>
          <w:p w:rsidR="00000000" w:rsidRDefault="00000000">
            <w:pPr>
              <w:spacing w:line="240" w:lineRule="auto"/>
              <w:jc w:val="right"/>
              <w:rPr>
                <w:sz w:val="18"/>
                <w:szCs w:val="14"/>
              </w:rPr>
            </w:pPr>
            <w:r>
              <w:rPr>
                <w:sz w:val="18"/>
                <w:szCs w:val="14"/>
              </w:rPr>
              <w:t>9</w:t>
            </w:r>
            <w:r>
              <w:rPr>
                <w:sz w:val="18"/>
                <w:szCs w:val="14"/>
                <w:lang w:val="en-US"/>
              </w:rPr>
              <w:t> </w:t>
            </w:r>
            <w:r>
              <w:rPr>
                <w:sz w:val="18"/>
                <w:szCs w:val="14"/>
              </w:rPr>
              <w:t>748</w:t>
            </w:r>
            <w:r>
              <w:rPr>
                <w:sz w:val="18"/>
                <w:szCs w:val="14"/>
                <w:lang w:val="en-US"/>
              </w:rPr>
              <w:t> </w:t>
            </w:r>
            <w:r>
              <w:rPr>
                <w:sz w:val="18"/>
                <w:szCs w:val="14"/>
              </w:rPr>
              <w:t>383</w:t>
            </w:r>
          </w:p>
        </w:tc>
        <w:tc>
          <w:tcPr>
            <w:tcW w:w="481" w:type="pct"/>
            <w:noWrap/>
            <w:vAlign w:val="bottom"/>
          </w:tcPr>
          <w:p w:rsidR="00000000" w:rsidRDefault="00000000">
            <w:pPr>
              <w:spacing w:line="240" w:lineRule="auto"/>
              <w:jc w:val="right"/>
              <w:rPr>
                <w:sz w:val="18"/>
                <w:szCs w:val="14"/>
              </w:rPr>
            </w:pPr>
            <w:r>
              <w:rPr>
                <w:sz w:val="18"/>
                <w:szCs w:val="14"/>
              </w:rPr>
              <w:t>11</w:t>
            </w:r>
            <w:r>
              <w:rPr>
                <w:sz w:val="18"/>
                <w:szCs w:val="14"/>
                <w:lang w:val="en-US"/>
              </w:rPr>
              <w:t> </w:t>
            </w:r>
            <w:r>
              <w:rPr>
                <w:sz w:val="18"/>
                <w:szCs w:val="14"/>
              </w:rPr>
              <w:t>226</w:t>
            </w:r>
            <w:r>
              <w:rPr>
                <w:sz w:val="18"/>
                <w:szCs w:val="14"/>
                <w:lang w:val="en-US"/>
              </w:rPr>
              <w:t> </w:t>
            </w:r>
            <w:r>
              <w:rPr>
                <w:sz w:val="18"/>
                <w:szCs w:val="14"/>
              </w:rPr>
              <w:t>571</w:t>
            </w:r>
          </w:p>
        </w:tc>
        <w:tc>
          <w:tcPr>
            <w:tcW w:w="481" w:type="pct"/>
            <w:noWrap/>
            <w:vAlign w:val="bottom"/>
          </w:tcPr>
          <w:p w:rsidR="00000000" w:rsidRDefault="00000000">
            <w:pPr>
              <w:spacing w:line="240" w:lineRule="auto"/>
              <w:jc w:val="right"/>
              <w:rPr>
                <w:sz w:val="18"/>
                <w:szCs w:val="14"/>
              </w:rPr>
            </w:pPr>
            <w:r>
              <w:rPr>
                <w:sz w:val="18"/>
                <w:szCs w:val="14"/>
              </w:rPr>
              <w:t>11</w:t>
            </w:r>
            <w:r>
              <w:rPr>
                <w:sz w:val="18"/>
                <w:szCs w:val="14"/>
                <w:lang w:val="en-US"/>
              </w:rPr>
              <w:t> </w:t>
            </w:r>
            <w:r>
              <w:rPr>
                <w:sz w:val="18"/>
                <w:szCs w:val="14"/>
              </w:rPr>
              <w:t>475</w:t>
            </w:r>
            <w:r>
              <w:rPr>
                <w:sz w:val="18"/>
                <w:szCs w:val="14"/>
                <w:lang w:val="en-US"/>
              </w:rPr>
              <w:t> </w:t>
            </w:r>
            <w:r>
              <w:rPr>
                <w:sz w:val="18"/>
                <w:szCs w:val="14"/>
              </w:rPr>
              <w:t>031</w:t>
            </w:r>
          </w:p>
        </w:tc>
        <w:tc>
          <w:tcPr>
            <w:tcW w:w="481" w:type="pct"/>
            <w:vAlign w:val="bottom"/>
          </w:tcPr>
          <w:p w:rsidR="00000000" w:rsidRDefault="00000000">
            <w:pPr>
              <w:spacing w:line="240" w:lineRule="auto"/>
              <w:jc w:val="right"/>
              <w:rPr>
                <w:sz w:val="18"/>
                <w:szCs w:val="14"/>
              </w:rPr>
            </w:pPr>
            <w:r>
              <w:rPr>
                <w:sz w:val="18"/>
                <w:szCs w:val="14"/>
              </w:rPr>
              <w:t>14</w:t>
            </w:r>
            <w:r>
              <w:rPr>
                <w:sz w:val="18"/>
                <w:szCs w:val="14"/>
                <w:lang w:val="en-US"/>
              </w:rPr>
              <w:t> </w:t>
            </w:r>
            <w:r>
              <w:rPr>
                <w:sz w:val="18"/>
                <w:szCs w:val="14"/>
              </w:rPr>
              <w:t>292</w:t>
            </w:r>
            <w:r>
              <w:rPr>
                <w:sz w:val="18"/>
                <w:szCs w:val="14"/>
                <w:lang w:val="en-US"/>
              </w:rPr>
              <w:t> </w:t>
            </w:r>
            <w:r>
              <w:rPr>
                <w:sz w:val="18"/>
                <w:szCs w:val="14"/>
              </w:rPr>
              <w:t>510</w:t>
            </w:r>
          </w:p>
        </w:tc>
        <w:tc>
          <w:tcPr>
            <w:tcW w:w="481" w:type="pct"/>
            <w:noWrap/>
            <w:vAlign w:val="bottom"/>
          </w:tcPr>
          <w:p w:rsidR="00000000" w:rsidRDefault="00000000">
            <w:pPr>
              <w:spacing w:line="240" w:lineRule="auto"/>
              <w:jc w:val="right"/>
              <w:rPr>
                <w:sz w:val="18"/>
                <w:szCs w:val="14"/>
              </w:rPr>
            </w:pPr>
            <w:r>
              <w:rPr>
                <w:sz w:val="18"/>
                <w:szCs w:val="14"/>
              </w:rPr>
              <w:t>15</w:t>
            </w:r>
            <w:r>
              <w:rPr>
                <w:sz w:val="18"/>
                <w:szCs w:val="14"/>
                <w:lang w:val="en-US"/>
              </w:rPr>
              <w:t> </w:t>
            </w:r>
            <w:r>
              <w:rPr>
                <w:sz w:val="18"/>
                <w:szCs w:val="14"/>
              </w:rPr>
              <w:t>546</w:t>
            </w:r>
            <w:r>
              <w:rPr>
                <w:sz w:val="18"/>
                <w:szCs w:val="14"/>
                <w:lang w:val="en-US"/>
              </w:rPr>
              <w:t> </w:t>
            </w:r>
            <w:r>
              <w:rPr>
                <w:sz w:val="18"/>
                <w:szCs w:val="14"/>
              </w:rPr>
              <w:t>136</w:t>
            </w:r>
          </w:p>
        </w:tc>
        <w:tc>
          <w:tcPr>
            <w:tcW w:w="481" w:type="pct"/>
            <w:noWrap/>
            <w:vAlign w:val="bottom"/>
          </w:tcPr>
          <w:p w:rsidR="00000000" w:rsidRDefault="00000000">
            <w:pPr>
              <w:spacing w:line="240" w:lineRule="auto"/>
              <w:jc w:val="right"/>
              <w:rPr>
                <w:sz w:val="18"/>
                <w:szCs w:val="14"/>
              </w:rPr>
            </w:pPr>
            <w:r>
              <w:rPr>
                <w:sz w:val="18"/>
                <w:szCs w:val="14"/>
              </w:rPr>
              <w:t>16</w:t>
            </w:r>
            <w:r>
              <w:rPr>
                <w:sz w:val="18"/>
                <w:szCs w:val="14"/>
                <w:lang w:val="en-US"/>
              </w:rPr>
              <w:t> </w:t>
            </w:r>
            <w:r>
              <w:rPr>
                <w:sz w:val="18"/>
                <w:szCs w:val="14"/>
              </w:rPr>
              <w:t>564</w:t>
            </w:r>
            <w:r>
              <w:rPr>
                <w:sz w:val="18"/>
                <w:szCs w:val="14"/>
                <w:lang w:val="en-US"/>
              </w:rPr>
              <w:t> </w:t>
            </w:r>
            <w:r>
              <w:rPr>
                <w:sz w:val="18"/>
                <w:szCs w:val="14"/>
              </w:rPr>
              <w:t>956</w:t>
            </w:r>
          </w:p>
        </w:tc>
      </w:tr>
      <w:tr w:rsidR="00000000">
        <w:trPr>
          <w:trHeight w:val="20"/>
        </w:trPr>
        <w:tc>
          <w:tcPr>
            <w:tcW w:w="1154" w:type="pct"/>
            <w:noWrap/>
            <w:vAlign w:val="bottom"/>
          </w:tcPr>
          <w:p w:rsidR="00000000" w:rsidRDefault="00000000">
            <w:pPr>
              <w:spacing w:line="240" w:lineRule="auto"/>
              <w:rPr>
                <w:sz w:val="20"/>
                <w:szCs w:val="14"/>
              </w:rPr>
            </w:pPr>
            <w:r>
              <w:rPr>
                <w:sz w:val="20"/>
                <w:szCs w:val="14"/>
              </w:rPr>
              <w:t>Общие государственные расходы на здравоохранение</w:t>
            </w:r>
          </w:p>
        </w:tc>
        <w:tc>
          <w:tcPr>
            <w:tcW w:w="481" w:type="pct"/>
            <w:noWrap/>
            <w:vAlign w:val="bottom"/>
          </w:tcPr>
          <w:p w:rsidR="00000000" w:rsidRDefault="00000000">
            <w:pPr>
              <w:spacing w:line="240" w:lineRule="auto"/>
              <w:jc w:val="right"/>
              <w:rPr>
                <w:sz w:val="18"/>
                <w:szCs w:val="14"/>
              </w:rPr>
            </w:pPr>
            <w:r>
              <w:rPr>
                <w:sz w:val="18"/>
                <w:szCs w:val="14"/>
              </w:rPr>
              <w:t>1</w:t>
            </w:r>
            <w:r>
              <w:rPr>
                <w:sz w:val="18"/>
                <w:szCs w:val="14"/>
                <w:lang w:val="en-US"/>
              </w:rPr>
              <w:t> </w:t>
            </w:r>
            <w:r>
              <w:rPr>
                <w:sz w:val="18"/>
                <w:szCs w:val="14"/>
              </w:rPr>
              <w:t>324</w:t>
            </w:r>
            <w:r>
              <w:rPr>
                <w:sz w:val="18"/>
                <w:szCs w:val="14"/>
                <w:lang w:val="en-US"/>
              </w:rPr>
              <w:t> </w:t>
            </w:r>
            <w:r>
              <w:rPr>
                <w:sz w:val="18"/>
                <w:szCs w:val="14"/>
              </w:rPr>
              <w:t>732</w:t>
            </w:r>
          </w:p>
        </w:tc>
        <w:tc>
          <w:tcPr>
            <w:tcW w:w="481" w:type="pct"/>
            <w:noWrap/>
            <w:vAlign w:val="bottom"/>
          </w:tcPr>
          <w:p w:rsidR="00000000" w:rsidRDefault="00000000">
            <w:pPr>
              <w:spacing w:line="240" w:lineRule="auto"/>
              <w:jc w:val="right"/>
              <w:rPr>
                <w:sz w:val="18"/>
                <w:szCs w:val="14"/>
              </w:rPr>
            </w:pPr>
            <w:r>
              <w:rPr>
                <w:sz w:val="18"/>
                <w:szCs w:val="14"/>
              </w:rPr>
              <w:t>1</w:t>
            </w:r>
            <w:r>
              <w:rPr>
                <w:sz w:val="18"/>
                <w:szCs w:val="14"/>
                <w:lang w:val="en-US"/>
              </w:rPr>
              <w:t> </w:t>
            </w:r>
            <w:r>
              <w:rPr>
                <w:sz w:val="18"/>
                <w:szCs w:val="14"/>
              </w:rPr>
              <w:t>526</w:t>
            </w:r>
            <w:r>
              <w:rPr>
                <w:sz w:val="18"/>
                <w:szCs w:val="14"/>
                <w:lang w:val="en-US"/>
              </w:rPr>
              <w:t> </w:t>
            </w:r>
            <w:r>
              <w:rPr>
                <w:sz w:val="18"/>
                <w:szCs w:val="14"/>
              </w:rPr>
              <w:t>484</w:t>
            </w:r>
          </w:p>
        </w:tc>
        <w:tc>
          <w:tcPr>
            <w:tcW w:w="481" w:type="pct"/>
            <w:noWrap/>
            <w:vAlign w:val="bottom"/>
          </w:tcPr>
          <w:p w:rsidR="00000000" w:rsidRDefault="00000000">
            <w:pPr>
              <w:spacing w:line="240" w:lineRule="auto"/>
              <w:jc w:val="right"/>
              <w:rPr>
                <w:sz w:val="18"/>
                <w:szCs w:val="14"/>
              </w:rPr>
            </w:pPr>
            <w:r>
              <w:rPr>
                <w:sz w:val="18"/>
                <w:szCs w:val="14"/>
              </w:rPr>
              <w:t>1</w:t>
            </w:r>
            <w:r>
              <w:rPr>
                <w:sz w:val="18"/>
                <w:szCs w:val="14"/>
                <w:lang w:val="en-US"/>
              </w:rPr>
              <w:t> </w:t>
            </w:r>
            <w:r>
              <w:rPr>
                <w:sz w:val="18"/>
                <w:szCs w:val="14"/>
              </w:rPr>
              <w:t>747</w:t>
            </w:r>
            <w:r>
              <w:rPr>
                <w:sz w:val="18"/>
                <w:szCs w:val="14"/>
                <w:lang w:val="en-US"/>
              </w:rPr>
              <w:t> </w:t>
            </w:r>
            <w:r>
              <w:rPr>
                <w:sz w:val="18"/>
                <w:szCs w:val="14"/>
              </w:rPr>
              <w:t>512</w:t>
            </w:r>
          </w:p>
        </w:tc>
        <w:tc>
          <w:tcPr>
            <w:tcW w:w="481" w:type="pct"/>
            <w:noWrap/>
            <w:vAlign w:val="bottom"/>
          </w:tcPr>
          <w:p w:rsidR="00000000" w:rsidRDefault="00000000">
            <w:pPr>
              <w:spacing w:line="240" w:lineRule="auto"/>
              <w:jc w:val="right"/>
              <w:rPr>
                <w:sz w:val="18"/>
                <w:szCs w:val="14"/>
              </w:rPr>
            </w:pPr>
            <w:r>
              <w:rPr>
                <w:sz w:val="18"/>
                <w:szCs w:val="14"/>
              </w:rPr>
              <w:t>2</w:t>
            </w:r>
            <w:r>
              <w:rPr>
                <w:sz w:val="18"/>
                <w:szCs w:val="14"/>
                <w:lang w:val="en-US"/>
              </w:rPr>
              <w:t> </w:t>
            </w:r>
            <w:r>
              <w:rPr>
                <w:sz w:val="18"/>
                <w:szCs w:val="14"/>
              </w:rPr>
              <w:t>273</w:t>
            </w:r>
            <w:r>
              <w:rPr>
                <w:sz w:val="18"/>
                <w:szCs w:val="14"/>
                <w:lang w:val="en-US"/>
              </w:rPr>
              <w:t> </w:t>
            </w:r>
            <w:r>
              <w:rPr>
                <w:sz w:val="18"/>
                <w:szCs w:val="14"/>
              </w:rPr>
              <w:t>199</w:t>
            </w:r>
          </w:p>
        </w:tc>
        <w:tc>
          <w:tcPr>
            <w:tcW w:w="481" w:type="pct"/>
            <w:noWrap/>
            <w:vAlign w:val="bottom"/>
          </w:tcPr>
          <w:p w:rsidR="00000000" w:rsidRDefault="00000000">
            <w:pPr>
              <w:spacing w:line="240" w:lineRule="auto"/>
              <w:jc w:val="right"/>
              <w:rPr>
                <w:sz w:val="18"/>
                <w:szCs w:val="14"/>
              </w:rPr>
            </w:pPr>
            <w:r>
              <w:rPr>
                <w:sz w:val="18"/>
                <w:szCs w:val="14"/>
              </w:rPr>
              <w:t>2</w:t>
            </w:r>
            <w:r>
              <w:rPr>
                <w:sz w:val="18"/>
                <w:szCs w:val="14"/>
                <w:lang w:val="en-US"/>
              </w:rPr>
              <w:t> </w:t>
            </w:r>
            <w:r>
              <w:rPr>
                <w:sz w:val="18"/>
                <w:szCs w:val="14"/>
              </w:rPr>
              <w:t>351</w:t>
            </w:r>
            <w:r>
              <w:rPr>
                <w:sz w:val="18"/>
                <w:szCs w:val="14"/>
                <w:lang w:val="en-US"/>
              </w:rPr>
              <w:t> </w:t>
            </w:r>
            <w:r>
              <w:rPr>
                <w:sz w:val="18"/>
                <w:szCs w:val="14"/>
              </w:rPr>
              <w:t>880</w:t>
            </w:r>
          </w:p>
        </w:tc>
        <w:tc>
          <w:tcPr>
            <w:tcW w:w="481" w:type="pct"/>
            <w:vAlign w:val="bottom"/>
          </w:tcPr>
          <w:p w:rsidR="00000000" w:rsidRDefault="00000000">
            <w:pPr>
              <w:spacing w:line="240" w:lineRule="auto"/>
              <w:jc w:val="right"/>
              <w:rPr>
                <w:sz w:val="18"/>
                <w:szCs w:val="14"/>
              </w:rPr>
            </w:pPr>
            <w:r>
              <w:rPr>
                <w:sz w:val="18"/>
                <w:szCs w:val="14"/>
              </w:rPr>
              <w:t>2</w:t>
            </w:r>
            <w:r>
              <w:rPr>
                <w:sz w:val="18"/>
                <w:szCs w:val="14"/>
                <w:lang w:val="en-US"/>
              </w:rPr>
              <w:t> </w:t>
            </w:r>
            <w:r>
              <w:rPr>
                <w:sz w:val="18"/>
                <w:szCs w:val="14"/>
              </w:rPr>
              <w:t>640</w:t>
            </w:r>
            <w:r>
              <w:rPr>
                <w:sz w:val="18"/>
                <w:szCs w:val="14"/>
                <w:lang w:val="en-US"/>
              </w:rPr>
              <w:t> </w:t>
            </w:r>
            <w:r>
              <w:rPr>
                <w:sz w:val="18"/>
                <w:szCs w:val="14"/>
              </w:rPr>
              <w:t>589</w:t>
            </w:r>
          </w:p>
        </w:tc>
        <w:tc>
          <w:tcPr>
            <w:tcW w:w="481" w:type="pct"/>
            <w:noWrap/>
            <w:vAlign w:val="bottom"/>
          </w:tcPr>
          <w:p w:rsidR="00000000" w:rsidRDefault="00000000">
            <w:pPr>
              <w:spacing w:line="240" w:lineRule="auto"/>
              <w:jc w:val="right"/>
              <w:rPr>
                <w:sz w:val="18"/>
                <w:szCs w:val="14"/>
              </w:rPr>
            </w:pPr>
            <w:r>
              <w:rPr>
                <w:sz w:val="18"/>
                <w:szCs w:val="14"/>
              </w:rPr>
              <w:t>2</w:t>
            </w:r>
            <w:r>
              <w:rPr>
                <w:sz w:val="18"/>
                <w:szCs w:val="14"/>
                <w:lang w:val="en-US"/>
              </w:rPr>
              <w:t> </w:t>
            </w:r>
            <w:r>
              <w:rPr>
                <w:sz w:val="18"/>
                <w:szCs w:val="14"/>
              </w:rPr>
              <w:t>813</w:t>
            </w:r>
            <w:r>
              <w:rPr>
                <w:sz w:val="18"/>
                <w:szCs w:val="14"/>
                <w:lang w:val="en-US"/>
              </w:rPr>
              <w:t> </w:t>
            </w:r>
            <w:r>
              <w:rPr>
                <w:sz w:val="18"/>
                <w:szCs w:val="14"/>
              </w:rPr>
              <w:t>799</w:t>
            </w:r>
          </w:p>
        </w:tc>
        <w:tc>
          <w:tcPr>
            <w:tcW w:w="481" w:type="pct"/>
            <w:noWrap/>
            <w:vAlign w:val="bottom"/>
          </w:tcPr>
          <w:p w:rsidR="00000000" w:rsidRDefault="00000000">
            <w:pPr>
              <w:spacing w:line="240" w:lineRule="auto"/>
              <w:jc w:val="right"/>
              <w:rPr>
                <w:sz w:val="18"/>
                <w:szCs w:val="14"/>
              </w:rPr>
            </w:pPr>
            <w:r>
              <w:rPr>
                <w:sz w:val="18"/>
                <w:szCs w:val="14"/>
              </w:rPr>
              <w:t>3</w:t>
            </w:r>
            <w:r>
              <w:rPr>
                <w:sz w:val="18"/>
                <w:szCs w:val="14"/>
                <w:lang w:val="en-US"/>
              </w:rPr>
              <w:t> </w:t>
            </w:r>
            <w:r>
              <w:rPr>
                <w:sz w:val="18"/>
                <w:szCs w:val="14"/>
              </w:rPr>
              <w:t>178</w:t>
            </w:r>
            <w:r>
              <w:rPr>
                <w:sz w:val="18"/>
                <w:szCs w:val="14"/>
                <w:lang w:val="en-US"/>
              </w:rPr>
              <w:t> </w:t>
            </w:r>
            <w:r>
              <w:rPr>
                <w:sz w:val="18"/>
                <w:szCs w:val="14"/>
              </w:rPr>
              <w:t>524</w:t>
            </w:r>
          </w:p>
        </w:tc>
      </w:tr>
      <w:tr w:rsidR="00000000">
        <w:trPr>
          <w:trHeight w:val="20"/>
        </w:trPr>
        <w:tc>
          <w:tcPr>
            <w:tcW w:w="1154" w:type="pct"/>
            <w:noWrap/>
            <w:vAlign w:val="bottom"/>
          </w:tcPr>
          <w:p w:rsidR="00000000" w:rsidRDefault="00000000">
            <w:pPr>
              <w:spacing w:line="240" w:lineRule="auto"/>
              <w:rPr>
                <w:sz w:val="20"/>
                <w:szCs w:val="14"/>
              </w:rPr>
            </w:pPr>
            <w:r>
              <w:rPr>
                <w:sz w:val="20"/>
                <w:szCs w:val="14"/>
              </w:rPr>
              <w:t>Расходы на социальное обеспечение в виде пенсий/ВВП (в %)</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noWrap/>
            <w:vAlign w:val="bottom"/>
          </w:tcPr>
          <w:p w:rsidR="00000000" w:rsidRDefault="00000000">
            <w:pPr>
              <w:spacing w:line="240" w:lineRule="auto"/>
              <w:jc w:val="right"/>
              <w:rPr>
                <w:sz w:val="18"/>
              </w:rPr>
            </w:pPr>
            <w:r>
              <w:rPr>
                <w:sz w:val="18"/>
                <w:szCs w:val="14"/>
              </w:rPr>
              <w:t>-</w:t>
            </w:r>
          </w:p>
        </w:tc>
        <w:tc>
          <w:tcPr>
            <w:tcW w:w="481" w:type="pct"/>
            <w:vAlign w:val="bottom"/>
          </w:tcPr>
          <w:p w:rsidR="00000000" w:rsidRDefault="00000000">
            <w:pPr>
              <w:tabs>
                <w:tab w:val="decimal" w:pos="368"/>
              </w:tabs>
              <w:spacing w:line="240" w:lineRule="auto"/>
              <w:jc w:val="right"/>
              <w:rPr>
                <w:sz w:val="18"/>
                <w:szCs w:val="14"/>
              </w:rPr>
            </w:pPr>
            <w:r>
              <w:rPr>
                <w:sz w:val="18"/>
                <w:szCs w:val="14"/>
              </w:rPr>
              <w:t>0,8</w:t>
            </w:r>
          </w:p>
        </w:tc>
        <w:tc>
          <w:tcPr>
            <w:tcW w:w="481" w:type="pct"/>
            <w:noWrap/>
            <w:vAlign w:val="bottom"/>
          </w:tcPr>
          <w:p w:rsidR="00000000" w:rsidRDefault="00000000">
            <w:pPr>
              <w:tabs>
                <w:tab w:val="decimal" w:pos="368"/>
              </w:tabs>
              <w:spacing w:line="240" w:lineRule="auto"/>
              <w:jc w:val="right"/>
              <w:rPr>
                <w:sz w:val="18"/>
                <w:szCs w:val="14"/>
              </w:rPr>
            </w:pPr>
            <w:r>
              <w:rPr>
                <w:sz w:val="18"/>
                <w:szCs w:val="14"/>
              </w:rPr>
              <w:t>0,9</w:t>
            </w:r>
          </w:p>
        </w:tc>
        <w:tc>
          <w:tcPr>
            <w:tcW w:w="481" w:type="pct"/>
            <w:noWrap/>
            <w:vAlign w:val="bottom"/>
          </w:tcPr>
          <w:p w:rsidR="00000000" w:rsidRDefault="00000000">
            <w:pPr>
              <w:tabs>
                <w:tab w:val="decimal" w:pos="368"/>
              </w:tabs>
              <w:spacing w:line="240" w:lineRule="auto"/>
              <w:jc w:val="right"/>
              <w:rPr>
                <w:sz w:val="18"/>
                <w:szCs w:val="14"/>
              </w:rPr>
            </w:pPr>
            <w:r>
              <w:rPr>
                <w:sz w:val="18"/>
                <w:szCs w:val="14"/>
              </w:rPr>
              <w:t>1,0</w:t>
            </w:r>
          </w:p>
        </w:tc>
      </w:tr>
      <w:tr w:rsidR="00000000">
        <w:trPr>
          <w:trHeight w:val="20"/>
        </w:trPr>
        <w:tc>
          <w:tcPr>
            <w:tcW w:w="1154" w:type="pct"/>
            <w:noWrap/>
            <w:vAlign w:val="bottom"/>
          </w:tcPr>
          <w:p w:rsidR="00000000" w:rsidRDefault="00000000">
            <w:pPr>
              <w:spacing w:line="240" w:lineRule="auto"/>
              <w:rPr>
                <w:sz w:val="20"/>
                <w:szCs w:val="14"/>
              </w:rPr>
            </w:pPr>
            <w:r>
              <w:rPr>
                <w:sz w:val="20"/>
                <w:szCs w:val="14"/>
              </w:rPr>
              <w:t>Расходы на социальное обеспечение в виде пенсий/расходы центральных органов управления (в %)</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noWrap/>
            <w:vAlign w:val="bottom"/>
          </w:tcPr>
          <w:p w:rsidR="00000000" w:rsidRDefault="00000000">
            <w:pPr>
              <w:spacing w:line="240" w:lineRule="auto"/>
              <w:jc w:val="right"/>
              <w:rPr>
                <w:sz w:val="18"/>
              </w:rPr>
            </w:pPr>
            <w:r>
              <w:rPr>
                <w:sz w:val="18"/>
                <w:szCs w:val="14"/>
              </w:rPr>
              <w:t>-</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vAlign w:val="bottom"/>
          </w:tcPr>
          <w:p w:rsidR="00000000" w:rsidRDefault="00000000">
            <w:pPr>
              <w:tabs>
                <w:tab w:val="decimal" w:pos="368"/>
              </w:tabs>
              <w:spacing w:line="240" w:lineRule="auto"/>
              <w:jc w:val="right"/>
              <w:rPr>
                <w:sz w:val="18"/>
                <w:szCs w:val="14"/>
              </w:rPr>
            </w:pPr>
            <w:r>
              <w:rPr>
                <w:sz w:val="18"/>
                <w:szCs w:val="14"/>
              </w:rPr>
              <w:t>3,7</w:t>
            </w:r>
          </w:p>
        </w:tc>
        <w:tc>
          <w:tcPr>
            <w:tcW w:w="481" w:type="pct"/>
            <w:noWrap/>
            <w:vAlign w:val="bottom"/>
          </w:tcPr>
          <w:p w:rsidR="00000000" w:rsidRDefault="00000000">
            <w:pPr>
              <w:tabs>
                <w:tab w:val="decimal" w:pos="368"/>
              </w:tabs>
              <w:spacing w:line="240" w:lineRule="auto"/>
              <w:jc w:val="right"/>
              <w:rPr>
                <w:sz w:val="18"/>
                <w:szCs w:val="14"/>
              </w:rPr>
            </w:pPr>
            <w:r>
              <w:rPr>
                <w:sz w:val="18"/>
                <w:szCs w:val="14"/>
              </w:rPr>
              <w:t>4,2</w:t>
            </w:r>
          </w:p>
        </w:tc>
        <w:tc>
          <w:tcPr>
            <w:tcW w:w="481" w:type="pct"/>
            <w:noWrap/>
            <w:vAlign w:val="bottom"/>
          </w:tcPr>
          <w:p w:rsidR="00000000" w:rsidRDefault="00000000">
            <w:pPr>
              <w:tabs>
                <w:tab w:val="decimal" w:pos="368"/>
              </w:tabs>
              <w:spacing w:line="240" w:lineRule="auto"/>
              <w:jc w:val="right"/>
              <w:rPr>
                <w:sz w:val="18"/>
                <w:szCs w:val="14"/>
              </w:rPr>
            </w:pPr>
            <w:r>
              <w:rPr>
                <w:sz w:val="18"/>
                <w:szCs w:val="14"/>
              </w:rPr>
              <w:t>4,7</w:t>
            </w:r>
          </w:p>
        </w:tc>
      </w:tr>
      <w:tr w:rsidR="00000000">
        <w:trPr>
          <w:trHeight w:val="20"/>
        </w:trPr>
        <w:tc>
          <w:tcPr>
            <w:tcW w:w="1154" w:type="pct"/>
            <w:noWrap/>
            <w:vAlign w:val="bottom"/>
          </w:tcPr>
          <w:p w:rsidR="00000000" w:rsidRDefault="00000000">
            <w:pPr>
              <w:spacing w:line="240" w:lineRule="auto"/>
              <w:rPr>
                <w:sz w:val="20"/>
                <w:szCs w:val="14"/>
              </w:rPr>
            </w:pPr>
            <w:r>
              <w:rPr>
                <w:sz w:val="20"/>
                <w:szCs w:val="14"/>
              </w:rPr>
              <w:t>Расходы на социальное обеспечение в виде пенсий/общие государственные расходы (в %)</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vAlign w:val="bottom"/>
          </w:tcPr>
          <w:p w:rsidR="00000000" w:rsidRDefault="00000000">
            <w:pPr>
              <w:tabs>
                <w:tab w:val="decimal" w:pos="368"/>
              </w:tabs>
              <w:spacing w:line="240" w:lineRule="auto"/>
              <w:jc w:val="right"/>
              <w:rPr>
                <w:sz w:val="18"/>
                <w:szCs w:val="14"/>
              </w:rPr>
            </w:pPr>
            <w:r>
              <w:rPr>
                <w:sz w:val="18"/>
                <w:szCs w:val="14"/>
              </w:rPr>
              <w:t>1,9</w:t>
            </w:r>
          </w:p>
        </w:tc>
        <w:tc>
          <w:tcPr>
            <w:tcW w:w="481" w:type="pct"/>
            <w:noWrap/>
            <w:vAlign w:val="bottom"/>
          </w:tcPr>
          <w:p w:rsidR="00000000" w:rsidRDefault="00000000">
            <w:pPr>
              <w:tabs>
                <w:tab w:val="decimal" w:pos="368"/>
              </w:tabs>
              <w:spacing w:line="240" w:lineRule="auto"/>
              <w:jc w:val="right"/>
              <w:rPr>
                <w:sz w:val="18"/>
                <w:szCs w:val="14"/>
              </w:rPr>
            </w:pPr>
            <w:r>
              <w:rPr>
                <w:sz w:val="18"/>
                <w:szCs w:val="14"/>
              </w:rPr>
              <w:t>2,2</w:t>
            </w:r>
          </w:p>
        </w:tc>
        <w:tc>
          <w:tcPr>
            <w:tcW w:w="481" w:type="pct"/>
            <w:noWrap/>
            <w:vAlign w:val="bottom"/>
          </w:tcPr>
          <w:p w:rsidR="00000000" w:rsidRDefault="00000000">
            <w:pPr>
              <w:tabs>
                <w:tab w:val="decimal" w:pos="368"/>
              </w:tabs>
              <w:spacing w:line="240" w:lineRule="auto"/>
              <w:jc w:val="right"/>
              <w:rPr>
                <w:sz w:val="18"/>
                <w:szCs w:val="14"/>
              </w:rPr>
            </w:pPr>
            <w:r>
              <w:rPr>
                <w:sz w:val="18"/>
                <w:szCs w:val="14"/>
              </w:rPr>
              <w:t>2,5</w:t>
            </w:r>
          </w:p>
        </w:tc>
      </w:tr>
      <w:tr w:rsidR="00000000">
        <w:trPr>
          <w:trHeight w:val="20"/>
        </w:trPr>
        <w:tc>
          <w:tcPr>
            <w:tcW w:w="1154" w:type="pct"/>
            <w:noWrap/>
            <w:vAlign w:val="bottom"/>
          </w:tcPr>
          <w:p w:rsidR="00000000" w:rsidRDefault="00000000">
            <w:pPr>
              <w:spacing w:line="240" w:lineRule="auto"/>
              <w:rPr>
                <w:sz w:val="20"/>
                <w:szCs w:val="14"/>
              </w:rPr>
            </w:pPr>
            <w:r>
              <w:rPr>
                <w:sz w:val="20"/>
                <w:szCs w:val="14"/>
              </w:rPr>
              <w:t>Расходы на социальное обеспечение по линии здравоохранения/общие расходы на социальное обеспечение (в %)</w:t>
            </w:r>
          </w:p>
        </w:tc>
        <w:tc>
          <w:tcPr>
            <w:tcW w:w="481" w:type="pct"/>
            <w:noWrap/>
            <w:vAlign w:val="bottom"/>
          </w:tcPr>
          <w:p w:rsidR="00000000" w:rsidRDefault="00000000">
            <w:pPr>
              <w:tabs>
                <w:tab w:val="decimal" w:pos="368"/>
              </w:tabs>
              <w:spacing w:line="240" w:lineRule="auto"/>
              <w:jc w:val="right"/>
              <w:rPr>
                <w:sz w:val="18"/>
                <w:szCs w:val="14"/>
              </w:rPr>
            </w:pPr>
            <w:r>
              <w:rPr>
                <w:sz w:val="18"/>
                <w:szCs w:val="14"/>
              </w:rPr>
              <w:t>33,1</w:t>
            </w:r>
          </w:p>
        </w:tc>
        <w:tc>
          <w:tcPr>
            <w:tcW w:w="481" w:type="pct"/>
            <w:noWrap/>
            <w:vAlign w:val="bottom"/>
          </w:tcPr>
          <w:p w:rsidR="00000000" w:rsidRDefault="00000000">
            <w:pPr>
              <w:tabs>
                <w:tab w:val="decimal" w:pos="368"/>
              </w:tabs>
              <w:spacing w:line="240" w:lineRule="auto"/>
              <w:jc w:val="right"/>
              <w:rPr>
                <w:sz w:val="18"/>
                <w:szCs w:val="14"/>
              </w:rPr>
            </w:pPr>
            <w:r>
              <w:rPr>
                <w:sz w:val="18"/>
                <w:szCs w:val="14"/>
              </w:rPr>
              <w:t>50,0</w:t>
            </w:r>
          </w:p>
        </w:tc>
        <w:tc>
          <w:tcPr>
            <w:tcW w:w="481" w:type="pct"/>
            <w:noWrap/>
            <w:vAlign w:val="bottom"/>
          </w:tcPr>
          <w:p w:rsidR="00000000" w:rsidRDefault="00000000">
            <w:pPr>
              <w:tabs>
                <w:tab w:val="decimal" w:pos="368"/>
              </w:tabs>
              <w:spacing w:line="240" w:lineRule="auto"/>
              <w:jc w:val="right"/>
              <w:rPr>
                <w:sz w:val="18"/>
                <w:szCs w:val="14"/>
              </w:rPr>
            </w:pPr>
            <w:r>
              <w:rPr>
                <w:sz w:val="18"/>
                <w:szCs w:val="14"/>
              </w:rPr>
              <w:t>83,8</w:t>
            </w:r>
          </w:p>
        </w:tc>
        <w:tc>
          <w:tcPr>
            <w:tcW w:w="481" w:type="pct"/>
            <w:noWrap/>
            <w:vAlign w:val="bottom"/>
          </w:tcPr>
          <w:p w:rsidR="00000000" w:rsidRDefault="00000000">
            <w:pPr>
              <w:tabs>
                <w:tab w:val="decimal" w:pos="368"/>
              </w:tabs>
              <w:spacing w:line="240" w:lineRule="auto"/>
              <w:jc w:val="right"/>
              <w:rPr>
                <w:sz w:val="18"/>
                <w:szCs w:val="14"/>
              </w:rPr>
            </w:pPr>
            <w:r>
              <w:rPr>
                <w:sz w:val="18"/>
                <w:szCs w:val="14"/>
              </w:rPr>
              <w:t>89,6</w:t>
            </w:r>
          </w:p>
        </w:tc>
        <w:tc>
          <w:tcPr>
            <w:tcW w:w="481" w:type="pct"/>
            <w:noWrap/>
            <w:vAlign w:val="bottom"/>
          </w:tcPr>
          <w:p w:rsidR="00000000" w:rsidRDefault="00000000">
            <w:pPr>
              <w:tabs>
                <w:tab w:val="decimal" w:pos="368"/>
              </w:tabs>
              <w:spacing w:line="240" w:lineRule="auto"/>
              <w:jc w:val="right"/>
              <w:rPr>
                <w:sz w:val="18"/>
                <w:szCs w:val="14"/>
              </w:rPr>
            </w:pPr>
            <w:r>
              <w:rPr>
                <w:sz w:val="18"/>
                <w:szCs w:val="14"/>
              </w:rPr>
              <w:t>58,7</w:t>
            </w:r>
          </w:p>
        </w:tc>
        <w:tc>
          <w:tcPr>
            <w:tcW w:w="481" w:type="pct"/>
            <w:vAlign w:val="bottom"/>
          </w:tcPr>
          <w:p w:rsidR="00000000" w:rsidRDefault="00000000">
            <w:pPr>
              <w:tabs>
                <w:tab w:val="decimal" w:pos="368"/>
              </w:tabs>
              <w:spacing w:line="240" w:lineRule="auto"/>
              <w:jc w:val="right"/>
              <w:rPr>
                <w:sz w:val="18"/>
                <w:szCs w:val="14"/>
              </w:rPr>
            </w:pPr>
            <w:r>
              <w:rPr>
                <w:sz w:val="18"/>
                <w:szCs w:val="14"/>
              </w:rPr>
              <w:t>37,3</w:t>
            </w:r>
          </w:p>
        </w:tc>
        <w:tc>
          <w:tcPr>
            <w:tcW w:w="481" w:type="pct"/>
            <w:noWrap/>
            <w:vAlign w:val="bottom"/>
          </w:tcPr>
          <w:p w:rsidR="00000000" w:rsidRDefault="00000000">
            <w:pPr>
              <w:tabs>
                <w:tab w:val="decimal" w:pos="368"/>
              </w:tabs>
              <w:spacing w:line="240" w:lineRule="auto"/>
              <w:jc w:val="right"/>
              <w:rPr>
                <w:sz w:val="18"/>
                <w:szCs w:val="14"/>
              </w:rPr>
            </w:pPr>
            <w:r>
              <w:rPr>
                <w:sz w:val="18"/>
                <w:szCs w:val="14"/>
              </w:rPr>
              <w:t>50,0</w:t>
            </w:r>
          </w:p>
        </w:tc>
        <w:tc>
          <w:tcPr>
            <w:tcW w:w="481" w:type="pct"/>
            <w:noWrap/>
            <w:vAlign w:val="bottom"/>
          </w:tcPr>
          <w:p w:rsidR="00000000" w:rsidRDefault="00000000">
            <w:pPr>
              <w:tabs>
                <w:tab w:val="decimal" w:pos="368"/>
              </w:tabs>
              <w:spacing w:line="240" w:lineRule="auto"/>
              <w:jc w:val="right"/>
              <w:rPr>
                <w:sz w:val="18"/>
                <w:szCs w:val="14"/>
              </w:rPr>
            </w:pPr>
            <w:r>
              <w:rPr>
                <w:sz w:val="18"/>
                <w:szCs w:val="14"/>
              </w:rPr>
              <w:t>48,3</w:t>
            </w:r>
          </w:p>
        </w:tc>
      </w:tr>
      <w:tr w:rsidR="00000000">
        <w:trPr>
          <w:trHeight w:val="20"/>
        </w:trPr>
        <w:tc>
          <w:tcPr>
            <w:tcW w:w="1154" w:type="pct"/>
            <w:noWrap/>
            <w:vAlign w:val="bottom"/>
          </w:tcPr>
          <w:p w:rsidR="00000000" w:rsidRDefault="00000000">
            <w:pPr>
              <w:spacing w:line="240" w:lineRule="auto"/>
              <w:rPr>
                <w:sz w:val="20"/>
                <w:szCs w:val="14"/>
              </w:rPr>
            </w:pPr>
            <w:r>
              <w:rPr>
                <w:sz w:val="20"/>
                <w:szCs w:val="14"/>
              </w:rPr>
              <w:t>Расходы на социальное обеспечение в виде пенсий/общие расходы на социальное обеспечение (в %)</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noWrap/>
            <w:vAlign w:val="bottom"/>
          </w:tcPr>
          <w:p w:rsidR="00000000" w:rsidRDefault="00000000">
            <w:pPr>
              <w:spacing w:line="240" w:lineRule="auto"/>
              <w:jc w:val="right"/>
              <w:rPr>
                <w:sz w:val="18"/>
                <w:szCs w:val="14"/>
              </w:rPr>
            </w:pPr>
            <w:r>
              <w:rPr>
                <w:sz w:val="18"/>
                <w:szCs w:val="14"/>
              </w:rPr>
              <w:t>-</w:t>
            </w:r>
          </w:p>
        </w:tc>
        <w:tc>
          <w:tcPr>
            <w:tcW w:w="481" w:type="pct"/>
            <w:vAlign w:val="bottom"/>
          </w:tcPr>
          <w:p w:rsidR="00000000" w:rsidRDefault="00000000">
            <w:pPr>
              <w:tabs>
                <w:tab w:val="decimal" w:pos="368"/>
              </w:tabs>
              <w:spacing w:line="240" w:lineRule="auto"/>
              <w:jc w:val="right"/>
              <w:rPr>
                <w:sz w:val="18"/>
                <w:szCs w:val="14"/>
              </w:rPr>
            </w:pPr>
            <w:r>
              <w:rPr>
                <w:sz w:val="18"/>
                <w:szCs w:val="14"/>
              </w:rPr>
              <w:t>31,8</w:t>
            </w:r>
          </w:p>
        </w:tc>
        <w:tc>
          <w:tcPr>
            <w:tcW w:w="481" w:type="pct"/>
            <w:noWrap/>
            <w:vAlign w:val="bottom"/>
          </w:tcPr>
          <w:p w:rsidR="00000000" w:rsidRDefault="00000000">
            <w:pPr>
              <w:tabs>
                <w:tab w:val="decimal" w:pos="368"/>
              </w:tabs>
              <w:spacing w:line="240" w:lineRule="auto"/>
              <w:jc w:val="right"/>
              <w:rPr>
                <w:sz w:val="18"/>
                <w:szCs w:val="14"/>
              </w:rPr>
            </w:pPr>
            <w:r>
              <w:rPr>
                <w:sz w:val="18"/>
                <w:szCs w:val="14"/>
              </w:rPr>
              <w:t>48,0</w:t>
            </w:r>
          </w:p>
        </w:tc>
        <w:tc>
          <w:tcPr>
            <w:tcW w:w="481" w:type="pct"/>
            <w:noWrap/>
            <w:vAlign w:val="bottom"/>
          </w:tcPr>
          <w:p w:rsidR="00000000" w:rsidRDefault="00000000">
            <w:pPr>
              <w:tabs>
                <w:tab w:val="decimal" w:pos="368"/>
              </w:tabs>
              <w:spacing w:line="240" w:lineRule="auto"/>
              <w:jc w:val="right"/>
              <w:rPr>
                <w:sz w:val="18"/>
                <w:szCs w:val="14"/>
              </w:rPr>
            </w:pPr>
            <w:r>
              <w:rPr>
                <w:sz w:val="18"/>
                <w:szCs w:val="14"/>
              </w:rPr>
              <w:t>49,4</w:t>
            </w:r>
          </w:p>
        </w:tc>
      </w:tr>
    </w:tbl>
    <w:p w:rsidR="00000000" w:rsidRDefault="00000000">
      <w:pPr>
        <w:rPr>
          <w:i/>
          <w:iCs/>
          <w:szCs w:val="16"/>
        </w:rPr>
      </w:pPr>
    </w:p>
    <w:p w:rsidR="00000000" w:rsidRDefault="00000000">
      <w:pPr>
        <w:rPr>
          <w:szCs w:val="14"/>
        </w:rPr>
      </w:pPr>
      <w:r>
        <w:rPr>
          <w:i/>
          <w:iCs/>
          <w:szCs w:val="16"/>
        </w:rPr>
        <w:t>Источник:</w:t>
      </w:r>
      <w:r>
        <w:rPr>
          <w:szCs w:val="16"/>
        </w:rPr>
        <w:t xml:space="preserve">  Управление национальных счетов по статье "Здравоохранение", 2005 год.</w:t>
      </w:r>
      <w:r>
        <w:rPr>
          <w:szCs w:val="14"/>
        </w:rPr>
        <w:t xml:space="preserve"> </w:t>
      </w:r>
    </w:p>
    <w:p w:rsidR="00000000" w:rsidRDefault="00000000">
      <w:pPr>
        <w:rPr>
          <w:b/>
          <w:bCs/>
          <w:szCs w:val="14"/>
        </w:rPr>
      </w:pPr>
    </w:p>
    <w:p w:rsidR="00000000" w:rsidRDefault="00000000">
      <w:pPr>
        <w:rPr>
          <w:szCs w:val="14"/>
        </w:rPr>
      </w:pPr>
      <w:r>
        <w:rPr>
          <w:b/>
          <w:bCs/>
          <w:szCs w:val="14"/>
        </w:rPr>
        <w:t>*</w:t>
      </w:r>
      <w:r>
        <w:rPr>
          <w:szCs w:val="14"/>
        </w:rPr>
        <w:t xml:space="preserve"> </w:t>
      </w:r>
      <w:r>
        <w:rPr>
          <w:szCs w:val="14"/>
        </w:rPr>
        <w:tab/>
        <w:t>Балансовые данные.  Главное управление планирования и оценки министерства здравоохранения и социального обеспечения.</w:t>
      </w:r>
    </w:p>
    <w:p w:rsidR="00000000" w:rsidRDefault="00000000">
      <w:pPr>
        <w:rPr>
          <w:szCs w:val="14"/>
        </w:rPr>
      </w:pPr>
      <w:r>
        <w:rPr>
          <w:szCs w:val="14"/>
        </w:rPr>
        <w:t>Расходы ИСО - Социальное обеспечение (Бюджет к исполнению, в млн. гуарани).</w:t>
      </w:r>
    </w:p>
    <w:p w:rsidR="00000000" w:rsidRDefault="00000000">
      <w:pPr>
        <w:rPr>
          <w:szCs w:val="14"/>
        </w:rPr>
      </w:pPr>
      <w:r>
        <w:rPr>
          <w:szCs w:val="14"/>
        </w:rPr>
        <w:t>1996 - 1997 = Текущий бюджет.</w:t>
      </w:r>
    </w:p>
    <w:p w:rsidR="00000000" w:rsidRDefault="00000000">
      <w:pPr>
        <w:rPr>
          <w:szCs w:val="14"/>
        </w:rPr>
      </w:pPr>
    </w:p>
    <w:p w:rsidR="00000000" w:rsidRDefault="00000000">
      <w:pPr>
        <w:pageBreakBefore/>
        <w:jc w:val="center"/>
        <w:rPr>
          <w:b/>
        </w:rPr>
      </w:pPr>
      <w:r>
        <w:rPr>
          <w:b/>
        </w:rPr>
        <w:t>Распределение бюджета министерства здравоохранения и социального обеспечения</w:t>
      </w:r>
    </w:p>
    <w:p w:rsidR="00000000" w:rsidRDefault="00000000">
      <w:pPr>
        <w:keepNext/>
        <w:jc w:val="center"/>
        <w:rPr>
          <w:b/>
        </w:rPr>
      </w:pPr>
    </w:p>
    <w:tbl>
      <w:tblPr>
        <w:tblW w:w="5000" w:type="pct"/>
        <w:tblLayout w:type="fixed"/>
        <w:tblCellMar>
          <w:left w:w="70" w:type="dxa"/>
          <w:right w:w="70" w:type="dxa"/>
        </w:tblCellMar>
        <w:tblLook w:val="0000" w:firstRow="0" w:lastRow="0" w:firstColumn="0" w:lastColumn="0" w:noHBand="0" w:noVBand="0"/>
      </w:tblPr>
      <w:tblGrid>
        <w:gridCol w:w="3996"/>
        <w:gridCol w:w="1099"/>
        <w:gridCol w:w="1100"/>
        <w:gridCol w:w="1100"/>
        <w:gridCol w:w="1100"/>
        <w:gridCol w:w="1100"/>
      </w:tblGrid>
      <w:tr w:rsidR="00000000">
        <w:tc>
          <w:tcPr>
            <w:tcW w:w="2105" w:type="pct"/>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keepNext/>
              <w:spacing w:line="240" w:lineRule="auto"/>
              <w:jc w:val="center"/>
              <w:rPr>
                <w:b/>
                <w:sz w:val="22"/>
              </w:rPr>
            </w:pPr>
            <w:r>
              <w:rPr>
                <w:b/>
                <w:sz w:val="22"/>
              </w:rPr>
              <w:t>Вид обслуживания/доля</w:t>
            </w:r>
          </w:p>
        </w:tc>
        <w:tc>
          <w:tcPr>
            <w:tcW w:w="579" w:type="pct"/>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keepNext/>
              <w:spacing w:line="240" w:lineRule="auto"/>
              <w:jc w:val="center"/>
              <w:rPr>
                <w:b/>
                <w:bCs/>
                <w:sz w:val="22"/>
              </w:rPr>
            </w:pPr>
            <w:r>
              <w:rPr>
                <w:b/>
                <w:bCs/>
                <w:sz w:val="22"/>
              </w:rPr>
              <w:t xml:space="preserve">2000 </w:t>
            </w:r>
            <w:r>
              <w:rPr>
                <w:b/>
                <w:bCs/>
                <w:sz w:val="22"/>
                <w:szCs w:val="14"/>
              </w:rPr>
              <w:t>год</w:t>
            </w:r>
          </w:p>
        </w:tc>
        <w:tc>
          <w:tcPr>
            <w:tcW w:w="579" w:type="pct"/>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keepNext/>
              <w:spacing w:line="240" w:lineRule="auto"/>
              <w:jc w:val="center"/>
              <w:rPr>
                <w:b/>
                <w:bCs/>
                <w:sz w:val="22"/>
              </w:rPr>
            </w:pPr>
            <w:r>
              <w:rPr>
                <w:b/>
                <w:bCs/>
                <w:sz w:val="22"/>
              </w:rPr>
              <w:t>2001</w:t>
            </w:r>
            <w:r>
              <w:rPr>
                <w:b/>
                <w:bCs/>
                <w:sz w:val="22"/>
                <w:szCs w:val="14"/>
              </w:rPr>
              <w:t xml:space="preserve"> год</w:t>
            </w:r>
          </w:p>
        </w:tc>
        <w:tc>
          <w:tcPr>
            <w:tcW w:w="579" w:type="pct"/>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keepNext/>
              <w:spacing w:line="240" w:lineRule="auto"/>
              <w:jc w:val="center"/>
              <w:rPr>
                <w:b/>
                <w:bCs/>
                <w:sz w:val="22"/>
              </w:rPr>
            </w:pPr>
            <w:r>
              <w:rPr>
                <w:b/>
                <w:bCs/>
                <w:sz w:val="22"/>
              </w:rPr>
              <w:t>2002</w:t>
            </w:r>
            <w:r>
              <w:rPr>
                <w:b/>
                <w:bCs/>
                <w:sz w:val="22"/>
                <w:szCs w:val="14"/>
              </w:rPr>
              <w:t xml:space="preserve"> год</w:t>
            </w:r>
          </w:p>
        </w:tc>
        <w:tc>
          <w:tcPr>
            <w:tcW w:w="579" w:type="pct"/>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keepNext/>
              <w:spacing w:line="240" w:lineRule="auto"/>
              <w:jc w:val="center"/>
              <w:rPr>
                <w:b/>
                <w:bCs/>
                <w:sz w:val="22"/>
              </w:rPr>
            </w:pPr>
            <w:r>
              <w:rPr>
                <w:b/>
                <w:bCs/>
                <w:sz w:val="22"/>
              </w:rPr>
              <w:t>2003</w:t>
            </w:r>
            <w:r>
              <w:rPr>
                <w:b/>
                <w:bCs/>
                <w:sz w:val="22"/>
                <w:szCs w:val="14"/>
              </w:rPr>
              <w:t xml:space="preserve"> год</w:t>
            </w:r>
          </w:p>
        </w:tc>
        <w:tc>
          <w:tcPr>
            <w:tcW w:w="579" w:type="pct"/>
            <w:tcBorders>
              <w:top w:val="single" w:sz="4" w:space="0" w:color="auto"/>
              <w:left w:val="single" w:sz="4" w:space="0" w:color="auto"/>
              <w:bottom w:val="single" w:sz="4" w:space="0" w:color="auto"/>
              <w:right w:val="single" w:sz="4" w:space="0" w:color="auto"/>
            </w:tcBorders>
            <w:shd w:val="clear" w:color="auto" w:fill="FFFFFF"/>
            <w:noWrap/>
            <w:vAlign w:val="bottom"/>
          </w:tcPr>
          <w:p w:rsidR="00000000" w:rsidRDefault="00000000">
            <w:pPr>
              <w:keepNext/>
              <w:spacing w:line="240" w:lineRule="auto"/>
              <w:jc w:val="center"/>
              <w:rPr>
                <w:b/>
                <w:bCs/>
                <w:sz w:val="22"/>
              </w:rPr>
            </w:pPr>
            <w:r>
              <w:rPr>
                <w:b/>
                <w:bCs/>
                <w:sz w:val="22"/>
              </w:rPr>
              <w:t>2004</w:t>
            </w:r>
            <w:r>
              <w:rPr>
                <w:b/>
                <w:bCs/>
                <w:sz w:val="22"/>
                <w:szCs w:val="14"/>
              </w:rPr>
              <w:t xml:space="preserve"> год</w:t>
            </w:r>
          </w:p>
        </w:tc>
      </w:tr>
      <w:tr w:rsidR="00000000">
        <w:tc>
          <w:tcPr>
            <w:tcW w:w="2105" w:type="pct"/>
            <w:tcBorders>
              <w:top w:val="single" w:sz="4" w:space="0" w:color="auto"/>
              <w:left w:val="single" w:sz="4" w:space="0" w:color="auto"/>
              <w:bottom w:val="single" w:sz="4" w:space="0" w:color="auto"/>
              <w:right w:val="single" w:sz="4" w:space="0" w:color="auto"/>
            </w:tcBorders>
            <w:noWrap/>
            <w:vAlign w:val="bottom"/>
          </w:tcPr>
          <w:p w:rsidR="00000000" w:rsidRDefault="00000000">
            <w:pPr>
              <w:keepNext/>
              <w:spacing w:line="240" w:lineRule="auto"/>
              <w:rPr>
                <w:b/>
                <w:sz w:val="22"/>
              </w:rPr>
            </w:pPr>
            <w:r>
              <w:rPr>
                <w:b/>
                <w:sz w:val="22"/>
              </w:rPr>
              <w:t>Бюджет к исполнению - в млн. гуарани</w:t>
            </w:r>
          </w:p>
        </w:tc>
        <w:tc>
          <w:tcPr>
            <w:tcW w:w="579" w:type="pct"/>
            <w:tcBorders>
              <w:top w:val="single" w:sz="4" w:space="0" w:color="auto"/>
              <w:left w:val="nil"/>
              <w:bottom w:val="single" w:sz="4" w:space="0" w:color="auto"/>
              <w:right w:val="single" w:sz="4" w:space="0" w:color="auto"/>
            </w:tcBorders>
            <w:noWrap/>
            <w:tcMar>
              <w:right w:w="425" w:type="dxa"/>
            </w:tcMar>
            <w:vAlign w:val="bottom"/>
          </w:tcPr>
          <w:p w:rsidR="00000000" w:rsidRDefault="00000000">
            <w:pPr>
              <w:keepNext/>
              <w:tabs>
                <w:tab w:val="decimal" w:pos="482"/>
              </w:tabs>
              <w:spacing w:line="240" w:lineRule="auto"/>
              <w:jc w:val="right"/>
              <w:rPr>
                <w:sz w:val="22"/>
              </w:rPr>
            </w:pPr>
            <w:r>
              <w:rPr>
                <w:sz w:val="22"/>
              </w:rPr>
              <w:t>35,0</w:t>
            </w:r>
          </w:p>
        </w:tc>
        <w:tc>
          <w:tcPr>
            <w:tcW w:w="579" w:type="pct"/>
            <w:tcBorders>
              <w:top w:val="single" w:sz="4" w:space="0" w:color="auto"/>
              <w:left w:val="nil"/>
              <w:bottom w:val="single" w:sz="4" w:space="0" w:color="auto"/>
              <w:right w:val="single" w:sz="4" w:space="0" w:color="auto"/>
            </w:tcBorders>
            <w:noWrap/>
            <w:tcMar>
              <w:right w:w="425" w:type="dxa"/>
            </w:tcMar>
            <w:vAlign w:val="bottom"/>
          </w:tcPr>
          <w:p w:rsidR="00000000" w:rsidRDefault="00000000">
            <w:pPr>
              <w:keepNext/>
              <w:tabs>
                <w:tab w:val="decimal" w:pos="482"/>
              </w:tabs>
              <w:spacing w:line="240" w:lineRule="auto"/>
              <w:jc w:val="right"/>
              <w:rPr>
                <w:sz w:val="22"/>
              </w:rPr>
            </w:pPr>
            <w:r>
              <w:rPr>
                <w:sz w:val="22"/>
              </w:rPr>
              <w:t>34,8</w:t>
            </w:r>
          </w:p>
        </w:tc>
        <w:tc>
          <w:tcPr>
            <w:tcW w:w="579" w:type="pct"/>
            <w:tcBorders>
              <w:top w:val="single" w:sz="4" w:space="0" w:color="auto"/>
              <w:left w:val="nil"/>
              <w:bottom w:val="single" w:sz="4" w:space="0" w:color="auto"/>
              <w:right w:val="single" w:sz="4" w:space="0" w:color="auto"/>
            </w:tcBorders>
            <w:noWrap/>
            <w:tcMar>
              <w:right w:w="425" w:type="dxa"/>
            </w:tcMar>
            <w:vAlign w:val="bottom"/>
          </w:tcPr>
          <w:p w:rsidR="00000000" w:rsidRDefault="00000000">
            <w:pPr>
              <w:keepNext/>
              <w:tabs>
                <w:tab w:val="decimal" w:pos="411"/>
              </w:tabs>
              <w:spacing w:line="240" w:lineRule="auto"/>
              <w:jc w:val="right"/>
              <w:rPr>
                <w:sz w:val="22"/>
              </w:rPr>
            </w:pPr>
            <w:r>
              <w:rPr>
                <w:sz w:val="22"/>
              </w:rPr>
              <w:t>35,1</w:t>
            </w:r>
          </w:p>
        </w:tc>
        <w:tc>
          <w:tcPr>
            <w:tcW w:w="579" w:type="pct"/>
            <w:tcBorders>
              <w:top w:val="single" w:sz="4" w:space="0" w:color="auto"/>
              <w:left w:val="nil"/>
              <w:bottom w:val="single" w:sz="4" w:space="0" w:color="auto"/>
              <w:right w:val="single" w:sz="4" w:space="0" w:color="auto"/>
            </w:tcBorders>
            <w:noWrap/>
            <w:tcMar>
              <w:right w:w="425" w:type="dxa"/>
            </w:tcMar>
            <w:vAlign w:val="bottom"/>
          </w:tcPr>
          <w:p w:rsidR="00000000" w:rsidRDefault="00000000">
            <w:pPr>
              <w:keepNext/>
              <w:tabs>
                <w:tab w:val="decimal" w:pos="411"/>
              </w:tabs>
              <w:spacing w:line="240" w:lineRule="auto"/>
              <w:jc w:val="right"/>
              <w:rPr>
                <w:sz w:val="22"/>
              </w:rPr>
            </w:pPr>
            <w:r>
              <w:rPr>
                <w:sz w:val="22"/>
              </w:rPr>
              <w:t>35,4</w:t>
            </w:r>
          </w:p>
        </w:tc>
        <w:tc>
          <w:tcPr>
            <w:tcW w:w="579" w:type="pct"/>
            <w:tcBorders>
              <w:top w:val="single" w:sz="4" w:space="0" w:color="auto"/>
              <w:left w:val="nil"/>
              <w:bottom w:val="single" w:sz="4" w:space="0" w:color="auto"/>
              <w:right w:val="single" w:sz="4" w:space="0" w:color="auto"/>
            </w:tcBorders>
            <w:noWrap/>
            <w:tcMar>
              <w:right w:w="425" w:type="dxa"/>
            </w:tcMar>
            <w:vAlign w:val="bottom"/>
          </w:tcPr>
          <w:p w:rsidR="00000000" w:rsidRDefault="00000000">
            <w:pPr>
              <w:keepNext/>
              <w:tabs>
                <w:tab w:val="decimal" w:pos="411"/>
              </w:tabs>
              <w:spacing w:line="240" w:lineRule="auto"/>
              <w:jc w:val="right"/>
              <w:rPr>
                <w:sz w:val="22"/>
              </w:rPr>
            </w:pPr>
            <w:r>
              <w:rPr>
                <w:sz w:val="22"/>
              </w:rPr>
              <w:t>35,3</w:t>
            </w:r>
          </w:p>
        </w:tc>
      </w:tr>
      <w:tr w:rsidR="00000000">
        <w:tc>
          <w:tcPr>
            <w:tcW w:w="2105" w:type="pct"/>
            <w:tcBorders>
              <w:top w:val="nil"/>
              <w:left w:val="single" w:sz="4" w:space="0" w:color="auto"/>
              <w:bottom w:val="single" w:sz="4" w:space="0" w:color="auto"/>
              <w:right w:val="single" w:sz="4" w:space="0" w:color="auto"/>
            </w:tcBorders>
            <w:noWrap/>
            <w:vAlign w:val="bottom"/>
          </w:tcPr>
          <w:p w:rsidR="00000000" w:rsidRDefault="00000000">
            <w:pPr>
              <w:spacing w:line="240" w:lineRule="auto"/>
              <w:rPr>
                <w:sz w:val="22"/>
              </w:rPr>
            </w:pPr>
            <w:r>
              <w:rPr>
                <w:sz w:val="22"/>
              </w:rPr>
              <w:t>Амбулаторное лечение (в %)</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82"/>
              </w:tabs>
              <w:spacing w:line="240" w:lineRule="auto"/>
              <w:jc w:val="right"/>
              <w:rPr>
                <w:sz w:val="22"/>
              </w:rPr>
            </w:pPr>
            <w:r>
              <w:rPr>
                <w:sz w:val="22"/>
              </w:rPr>
              <w:t>24,0</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82"/>
              </w:tabs>
              <w:spacing w:line="240" w:lineRule="auto"/>
              <w:jc w:val="right"/>
              <w:rPr>
                <w:sz w:val="22"/>
              </w:rPr>
            </w:pPr>
            <w:r>
              <w:rPr>
                <w:sz w:val="22"/>
              </w:rPr>
              <w:t>23,2</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11"/>
              </w:tabs>
              <w:spacing w:line="240" w:lineRule="auto"/>
              <w:jc w:val="right"/>
              <w:rPr>
                <w:sz w:val="22"/>
              </w:rPr>
            </w:pPr>
            <w:r>
              <w:rPr>
                <w:sz w:val="22"/>
              </w:rPr>
              <w:t>23,4</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11"/>
              </w:tabs>
              <w:spacing w:line="240" w:lineRule="auto"/>
              <w:jc w:val="right"/>
              <w:rPr>
                <w:sz w:val="22"/>
              </w:rPr>
            </w:pPr>
            <w:r>
              <w:rPr>
                <w:sz w:val="22"/>
              </w:rPr>
              <w:t>26,1</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11"/>
              </w:tabs>
              <w:spacing w:line="240" w:lineRule="auto"/>
              <w:jc w:val="right"/>
              <w:rPr>
                <w:sz w:val="22"/>
              </w:rPr>
            </w:pPr>
            <w:r>
              <w:rPr>
                <w:sz w:val="22"/>
              </w:rPr>
              <w:t>24,4</w:t>
            </w:r>
          </w:p>
        </w:tc>
      </w:tr>
      <w:tr w:rsidR="00000000">
        <w:tc>
          <w:tcPr>
            <w:tcW w:w="2105" w:type="pct"/>
            <w:tcBorders>
              <w:top w:val="nil"/>
              <w:left w:val="single" w:sz="4" w:space="0" w:color="auto"/>
              <w:bottom w:val="single" w:sz="4" w:space="0" w:color="auto"/>
              <w:right w:val="single" w:sz="4" w:space="0" w:color="auto"/>
            </w:tcBorders>
            <w:noWrap/>
            <w:vAlign w:val="bottom"/>
          </w:tcPr>
          <w:p w:rsidR="00000000" w:rsidRDefault="00000000">
            <w:pPr>
              <w:spacing w:line="240" w:lineRule="auto"/>
              <w:rPr>
                <w:sz w:val="22"/>
              </w:rPr>
            </w:pPr>
            <w:r>
              <w:rPr>
                <w:sz w:val="22"/>
              </w:rPr>
              <w:t>Лечение (включая амбулаторное) (в %)</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82"/>
              </w:tabs>
              <w:spacing w:line="240" w:lineRule="auto"/>
              <w:jc w:val="right"/>
              <w:rPr>
                <w:sz w:val="22"/>
              </w:rPr>
            </w:pPr>
            <w:r>
              <w:rPr>
                <w:sz w:val="22"/>
              </w:rPr>
              <w:t>59,0</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82"/>
              </w:tabs>
              <w:spacing w:line="240" w:lineRule="auto"/>
              <w:jc w:val="right"/>
              <w:rPr>
                <w:sz w:val="22"/>
              </w:rPr>
            </w:pPr>
            <w:r>
              <w:rPr>
                <w:sz w:val="22"/>
              </w:rPr>
              <w:t>58,0</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11"/>
              </w:tabs>
              <w:spacing w:line="240" w:lineRule="auto"/>
              <w:jc w:val="right"/>
              <w:rPr>
                <w:sz w:val="22"/>
              </w:rPr>
            </w:pPr>
            <w:r>
              <w:rPr>
                <w:sz w:val="22"/>
              </w:rPr>
              <w:t>58,5</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11"/>
              </w:tabs>
              <w:spacing w:line="240" w:lineRule="auto"/>
              <w:jc w:val="right"/>
              <w:rPr>
                <w:sz w:val="22"/>
              </w:rPr>
            </w:pPr>
            <w:r>
              <w:rPr>
                <w:sz w:val="22"/>
              </w:rPr>
              <w:t>61,5</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11"/>
              </w:tabs>
              <w:spacing w:line="240" w:lineRule="auto"/>
              <w:jc w:val="right"/>
              <w:rPr>
                <w:sz w:val="22"/>
              </w:rPr>
            </w:pPr>
            <w:r>
              <w:rPr>
                <w:sz w:val="22"/>
              </w:rPr>
              <w:t>59,7</w:t>
            </w:r>
          </w:p>
        </w:tc>
      </w:tr>
      <w:tr w:rsidR="00000000">
        <w:tc>
          <w:tcPr>
            <w:tcW w:w="2105" w:type="pct"/>
            <w:tcBorders>
              <w:top w:val="nil"/>
              <w:left w:val="single" w:sz="4" w:space="0" w:color="auto"/>
              <w:bottom w:val="single" w:sz="4" w:space="0" w:color="auto"/>
              <w:right w:val="single" w:sz="4" w:space="0" w:color="auto"/>
            </w:tcBorders>
            <w:noWrap/>
            <w:vAlign w:val="bottom"/>
          </w:tcPr>
          <w:p w:rsidR="00000000" w:rsidRDefault="00000000">
            <w:pPr>
              <w:spacing w:line="240" w:lineRule="auto"/>
              <w:rPr>
                <w:sz w:val="22"/>
              </w:rPr>
            </w:pPr>
            <w:r>
              <w:rPr>
                <w:sz w:val="22"/>
              </w:rPr>
              <w:t>Неотложная помощь (в %)</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82"/>
              </w:tabs>
              <w:spacing w:line="240" w:lineRule="auto"/>
              <w:jc w:val="right"/>
              <w:rPr>
                <w:sz w:val="22"/>
              </w:rPr>
            </w:pPr>
            <w:r>
              <w:rPr>
                <w:sz w:val="22"/>
              </w:rPr>
              <w:t>3,7</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82"/>
              </w:tabs>
              <w:spacing w:line="240" w:lineRule="auto"/>
              <w:jc w:val="right"/>
              <w:rPr>
                <w:sz w:val="22"/>
              </w:rPr>
            </w:pPr>
            <w:r>
              <w:rPr>
                <w:sz w:val="22"/>
              </w:rPr>
              <w:t>4,6</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11"/>
              </w:tabs>
              <w:spacing w:line="240" w:lineRule="auto"/>
              <w:jc w:val="right"/>
              <w:rPr>
                <w:sz w:val="22"/>
              </w:rPr>
            </w:pPr>
            <w:r>
              <w:rPr>
                <w:sz w:val="22"/>
              </w:rPr>
              <w:t>4,9</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11"/>
              </w:tabs>
              <w:spacing w:line="240" w:lineRule="auto"/>
              <w:jc w:val="right"/>
              <w:rPr>
                <w:sz w:val="22"/>
              </w:rPr>
            </w:pPr>
            <w:r>
              <w:rPr>
                <w:sz w:val="22"/>
              </w:rPr>
              <w:t>5,4</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11"/>
              </w:tabs>
              <w:spacing w:line="240" w:lineRule="auto"/>
              <w:jc w:val="right"/>
              <w:rPr>
                <w:sz w:val="22"/>
              </w:rPr>
            </w:pPr>
            <w:r>
              <w:rPr>
                <w:sz w:val="22"/>
              </w:rPr>
              <w:t>4,7</w:t>
            </w:r>
          </w:p>
        </w:tc>
      </w:tr>
      <w:tr w:rsidR="00000000">
        <w:tc>
          <w:tcPr>
            <w:tcW w:w="2105" w:type="pct"/>
            <w:tcBorders>
              <w:top w:val="nil"/>
              <w:left w:val="single" w:sz="4" w:space="0" w:color="auto"/>
              <w:bottom w:val="single" w:sz="4" w:space="0" w:color="auto"/>
              <w:right w:val="single" w:sz="4" w:space="0" w:color="auto"/>
            </w:tcBorders>
            <w:noWrap/>
            <w:vAlign w:val="bottom"/>
          </w:tcPr>
          <w:p w:rsidR="00000000" w:rsidRDefault="00000000">
            <w:pPr>
              <w:spacing w:line="240" w:lineRule="auto"/>
              <w:rPr>
                <w:sz w:val="22"/>
              </w:rPr>
            </w:pPr>
            <w:r>
              <w:rPr>
                <w:sz w:val="22"/>
              </w:rPr>
              <w:t>Профилактика и здравоохранение (в %)</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82"/>
              </w:tabs>
              <w:spacing w:line="240" w:lineRule="auto"/>
              <w:jc w:val="right"/>
              <w:rPr>
                <w:sz w:val="22"/>
              </w:rPr>
            </w:pPr>
            <w:r>
              <w:rPr>
                <w:sz w:val="22"/>
              </w:rPr>
              <w:t>10,2</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82"/>
              </w:tabs>
              <w:spacing w:line="240" w:lineRule="auto"/>
              <w:jc w:val="right"/>
              <w:rPr>
                <w:sz w:val="22"/>
              </w:rPr>
            </w:pPr>
            <w:r>
              <w:rPr>
                <w:sz w:val="22"/>
              </w:rPr>
              <w:t>10,6</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11"/>
              </w:tabs>
              <w:spacing w:line="240" w:lineRule="auto"/>
              <w:jc w:val="right"/>
              <w:rPr>
                <w:sz w:val="22"/>
              </w:rPr>
            </w:pPr>
            <w:r>
              <w:rPr>
                <w:sz w:val="22"/>
              </w:rPr>
              <w:t>11,3</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11"/>
              </w:tabs>
              <w:spacing w:line="240" w:lineRule="auto"/>
              <w:jc w:val="right"/>
              <w:rPr>
                <w:sz w:val="22"/>
              </w:rPr>
            </w:pPr>
            <w:r>
              <w:rPr>
                <w:sz w:val="22"/>
              </w:rPr>
              <w:t>12,9</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11"/>
              </w:tabs>
              <w:spacing w:line="240" w:lineRule="auto"/>
              <w:jc w:val="right"/>
              <w:rPr>
                <w:sz w:val="22"/>
              </w:rPr>
            </w:pPr>
            <w:r>
              <w:rPr>
                <w:sz w:val="22"/>
              </w:rPr>
              <w:t>11,5</w:t>
            </w:r>
          </w:p>
        </w:tc>
      </w:tr>
      <w:tr w:rsidR="00000000">
        <w:tc>
          <w:tcPr>
            <w:tcW w:w="2105" w:type="pct"/>
            <w:tcBorders>
              <w:top w:val="nil"/>
              <w:left w:val="single" w:sz="4" w:space="0" w:color="auto"/>
              <w:bottom w:val="single" w:sz="4" w:space="0" w:color="auto"/>
              <w:right w:val="single" w:sz="4" w:space="0" w:color="auto"/>
            </w:tcBorders>
            <w:noWrap/>
            <w:vAlign w:val="bottom"/>
          </w:tcPr>
          <w:p w:rsidR="00000000" w:rsidRDefault="00000000">
            <w:pPr>
              <w:spacing w:line="240" w:lineRule="auto"/>
              <w:rPr>
                <w:sz w:val="22"/>
              </w:rPr>
            </w:pPr>
            <w:r>
              <w:rPr>
                <w:sz w:val="22"/>
              </w:rPr>
              <w:t>Управленческие расходы и медицинское страхование (в %)</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82"/>
              </w:tabs>
              <w:spacing w:line="240" w:lineRule="auto"/>
              <w:jc w:val="right"/>
              <w:rPr>
                <w:sz w:val="22"/>
              </w:rPr>
            </w:pPr>
            <w:r>
              <w:rPr>
                <w:sz w:val="22"/>
              </w:rPr>
              <w:t>15,0</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82"/>
              </w:tabs>
              <w:spacing w:line="240" w:lineRule="auto"/>
              <w:jc w:val="right"/>
              <w:rPr>
                <w:sz w:val="22"/>
              </w:rPr>
            </w:pPr>
            <w:r>
              <w:rPr>
                <w:sz w:val="22"/>
              </w:rPr>
              <w:t>15,3</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11"/>
              </w:tabs>
              <w:spacing w:line="240" w:lineRule="auto"/>
              <w:jc w:val="right"/>
              <w:rPr>
                <w:sz w:val="22"/>
              </w:rPr>
            </w:pPr>
            <w:r>
              <w:rPr>
                <w:sz w:val="22"/>
              </w:rPr>
              <w:t>12,6</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11"/>
              </w:tabs>
              <w:spacing w:line="240" w:lineRule="auto"/>
              <w:jc w:val="right"/>
              <w:rPr>
                <w:sz w:val="22"/>
              </w:rPr>
            </w:pPr>
            <w:r>
              <w:rPr>
                <w:sz w:val="22"/>
              </w:rPr>
              <w:t>12,1</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11"/>
              </w:tabs>
              <w:spacing w:line="240" w:lineRule="auto"/>
              <w:jc w:val="right"/>
              <w:rPr>
                <w:sz w:val="22"/>
              </w:rPr>
            </w:pPr>
            <w:r>
              <w:rPr>
                <w:sz w:val="22"/>
              </w:rPr>
              <w:t>13,8</w:t>
            </w:r>
          </w:p>
        </w:tc>
      </w:tr>
      <w:tr w:rsidR="00000000">
        <w:tc>
          <w:tcPr>
            <w:tcW w:w="2105" w:type="pct"/>
            <w:tcBorders>
              <w:top w:val="nil"/>
              <w:left w:val="single" w:sz="4" w:space="0" w:color="auto"/>
              <w:bottom w:val="single" w:sz="4" w:space="0" w:color="auto"/>
              <w:right w:val="single" w:sz="4" w:space="0" w:color="auto"/>
            </w:tcBorders>
            <w:noWrap/>
            <w:vAlign w:val="bottom"/>
          </w:tcPr>
          <w:p w:rsidR="00000000" w:rsidRDefault="00000000">
            <w:pPr>
              <w:spacing w:line="240" w:lineRule="auto"/>
              <w:rPr>
                <w:sz w:val="22"/>
              </w:rPr>
            </w:pPr>
            <w:r>
              <w:rPr>
                <w:sz w:val="22"/>
              </w:rPr>
              <w:t>Подготовка санитаров (в %)</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82"/>
              </w:tabs>
              <w:spacing w:line="240" w:lineRule="auto"/>
              <w:jc w:val="right"/>
              <w:rPr>
                <w:sz w:val="22"/>
              </w:rPr>
            </w:pPr>
            <w:r>
              <w:rPr>
                <w:sz w:val="22"/>
              </w:rPr>
              <w:t>0,9</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82"/>
              </w:tabs>
              <w:spacing w:line="240" w:lineRule="auto"/>
              <w:jc w:val="right"/>
              <w:rPr>
                <w:sz w:val="22"/>
              </w:rPr>
            </w:pPr>
            <w:r>
              <w:rPr>
                <w:sz w:val="22"/>
              </w:rPr>
              <w:t>1,0</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11"/>
              </w:tabs>
              <w:spacing w:line="240" w:lineRule="auto"/>
              <w:jc w:val="right"/>
              <w:rPr>
                <w:sz w:val="22"/>
              </w:rPr>
            </w:pPr>
            <w:r>
              <w:rPr>
                <w:sz w:val="22"/>
              </w:rPr>
              <w:t>0,8</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11"/>
              </w:tabs>
              <w:spacing w:line="240" w:lineRule="auto"/>
              <w:jc w:val="right"/>
              <w:rPr>
                <w:sz w:val="22"/>
              </w:rPr>
            </w:pPr>
            <w:r>
              <w:rPr>
                <w:sz w:val="22"/>
              </w:rPr>
              <w:t>0,9</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11"/>
              </w:tabs>
              <w:spacing w:line="240" w:lineRule="auto"/>
              <w:jc w:val="right"/>
              <w:rPr>
                <w:sz w:val="22"/>
              </w:rPr>
            </w:pPr>
            <w:r>
              <w:rPr>
                <w:sz w:val="22"/>
              </w:rPr>
              <w:t>1,0</w:t>
            </w:r>
          </w:p>
        </w:tc>
      </w:tr>
      <w:tr w:rsidR="00000000">
        <w:tc>
          <w:tcPr>
            <w:tcW w:w="2105" w:type="pct"/>
            <w:tcBorders>
              <w:top w:val="nil"/>
              <w:left w:val="single" w:sz="4" w:space="0" w:color="auto"/>
              <w:bottom w:val="single" w:sz="4" w:space="0" w:color="auto"/>
              <w:right w:val="single" w:sz="4" w:space="0" w:color="auto"/>
            </w:tcBorders>
            <w:noWrap/>
            <w:vAlign w:val="bottom"/>
          </w:tcPr>
          <w:p w:rsidR="00000000" w:rsidRDefault="00000000">
            <w:pPr>
              <w:spacing w:line="240" w:lineRule="auto"/>
              <w:rPr>
                <w:sz w:val="22"/>
              </w:rPr>
            </w:pPr>
            <w:r>
              <w:rPr>
                <w:sz w:val="22"/>
              </w:rPr>
              <w:t>Общие расходы на подготовку медработников (в %)</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82"/>
              </w:tabs>
              <w:spacing w:line="240" w:lineRule="auto"/>
              <w:jc w:val="right"/>
              <w:rPr>
                <w:sz w:val="22"/>
              </w:rPr>
            </w:pPr>
            <w:r>
              <w:rPr>
                <w:sz w:val="22"/>
              </w:rPr>
              <w:t>8,6</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82"/>
              </w:tabs>
              <w:spacing w:line="240" w:lineRule="auto"/>
              <w:jc w:val="right"/>
              <w:rPr>
                <w:sz w:val="22"/>
              </w:rPr>
            </w:pPr>
            <w:r>
              <w:rPr>
                <w:sz w:val="22"/>
              </w:rPr>
              <w:t>9,3</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11"/>
              </w:tabs>
              <w:spacing w:line="240" w:lineRule="auto"/>
              <w:jc w:val="right"/>
              <w:rPr>
                <w:sz w:val="22"/>
              </w:rPr>
            </w:pPr>
            <w:r>
              <w:rPr>
                <w:sz w:val="22"/>
              </w:rPr>
              <w:t>11,8</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11"/>
              </w:tabs>
              <w:spacing w:line="240" w:lineRule="auto"/>
              <w:jc w:val="right"/>
              <w:rPr>
                <w:sz w:val="22"/>
              </w:rPr>
            </w:pPr>
            <w:r>
              <w:rPr>
                <w:sz w:val="22"/>
              </w:rPr>
              <w:t>7,2</w:t>
            </w:r>
          </w:p>
        </w:tc>
        <w:tc>
          <w:tcPr>
            <w:tcW w:w="579" w:type="pct"/>
            <w:tcBorders>
              <w:top w:val="nil"/>
              <w:left w:val="nil"/>
              <w:bottom w:val="single" w:sz="4" w:space="0" w:color="auto"/>
              <w:right w:val="single" w:sz="4" w:space="0" w:color="auto"/>
            </w:tcBorders>
            <w:noWrap/>
            <w:tcMar>
              <w:right w:w="425" w:type="dxa"/>
            </w:tcMar>
            <w:vAlign w:val="bottom"/>
          </w:tcPr>
          <w:p w:rsidR="00000000" w:rsidRDefault="00000000">
            <w:pPr>
              <w:tabs>
                <w:tab w:val="decimal" w:pos="411"/>
              </w:tabs>
              <w:spacing w:line="240" w:lineRule="auto"/>
              <w:jc w:val="right"/>
              <w:rPr>
                <w:sz w:val="22"/>
              </w:rPr>
            </w:pPr>
            <w:r>
              <w:rPr>
                <w:sz w:val="22"/>
              </w:rPr>
              <w:t>9,3</w:t>
            </w:r>
          </w:p>
        </w:tc>
      </w:tr>
    </w:tbl>
    <w:p w:rsidR="00000000" w:rsidRDefault="00000000">
      <w:pPr>
        <w:autoSpaceDE w:val="0"/>
        <w:autoSpaceDN w:val="0"/>
        <w:adjustRightInd w:val="0"/>
      </w:pPr>
    </w:p>
    <w:p w:rsidR="00000000" w:rsidRDefault="00000000">
      <w:pPr>
        <w:autoSpaceDE w:val="0"/>
        <w:autoSpaceDN w:val="0"/>
        <w:adjustRightInd w:val="0"/>
      </w:pPr>
      <w:r>
        <w:t>264.</w:t>
      </w:r>
      <w:r>
        <w:tab/>
        <w:t>Что касается изменений в бюджете, то ежегодно издается Указ об основных направлениях формулирования и планирования бюджета, в котором устанавливается, что бюджет должен исполняться с учетом Плана национального правительства, экономической политики, стратегии развития, денежной программы и Ежегодного плана государственных инвестиций.  Кроме того, любое изменение в рамках бюджета обосновывается или исходит из того, что расходы убыточного сектора должны покрываться за счет сектора прибыльного;  именно это происходит и в сфере пенсионных выплат и пособий, где средства перераспределяются главным образом в пользу здравоохранения.</w:t>
      </w:r>
    </w:p>
    <w:p w:rsidR="00000000" w:rsidRDefault="00000000">
      <w:pPr>
        <w:autoSpaceDE w:val="0"/>
        <w:autoSpaceDN w:val="0"/>
        <w:adjustRightInd w:val="0"/>
      </w:pPr>
    </w:p>
    <w:p w:rsidR="00000000" w:rsidRDefault="00000000">
      <w:pPr>
        <w:autoSpaceDE w:val="0"/>
        <w:autoSpaceDN w:val="0"/>
        <w:adjustRightInd w:val="0"/>
      </w:pPr>
      <w:r>
        <w:t>265.</w:t>
      </w:r>
      <w:r>
        <w:tab/>
        <w:t>В Парагвае социальное страхование, осуществляемое Институтом социального обеспечения, никоим образом не дополняется и не соотносится с какой-либо системой частного страхования либо с системами социального страхования, организованными фондами других организаций (банковскими, налоговыми, муниципальными, гидроэлектрическим комплексом "Итайпу" и т.п.), за исключением Пенсионного фонда Национального электроэнергетического управления (АНДЕ) и Парламентского пенсионного фонда.</w:t>
      </w:r>
    </w:p>
    <w:p w:rsidR="00000000" w:rsidRDefault="00000000"/>
    <w:p w:rsidR="00000000" w:rsidRDefault="00000000">
      <w:pPr>
        <w:shd w:val="clear" w:color="auto" w:fill="FFFFFF"/>
        <w:tabs>
          <w:tab w:val="left" w:pos="567"/>
          <w:tab w:val="left" w:pos="1134"/>
          <w:tab w:val="left" w:pos="1701"/>
          <w:tab w:val="left" w:pos="2268"/>
          <w:tab w:val="left" w:pos="7938"/>
        </w:tabs>
      </w:pPr>
      <w:r>
        <w:rPr>
          <w:szCs w:val="26"/>
        </w:rPr>
        <w:t>266.</w:t>
      </w:r>
      <w:r>
        <w:rPr>
          <w:szCs w:val="26"/>
        </w:rPr>
        <w:tab/>
        <w:t>По закону (Декрет-закон № 17701/43) Институт социального обеспечения оказывает полный спектр социальных услуг.  Однако в том случае, если он не может удовлетворить спрос или не в состоянии оказать каких-либо услуг, требуемых находящимися на его попечении лицами, он покупает услуги в частном секторе.  Например, услуги по медицинской помощи, госпитализации в палаты интенсивной терапии, диагностированию и аптечному обслуживанию, которые в последние годы превысили 10% его программы медицинского обеспечения.  В таких случаях оплата производится разово или в пакетном режиме за все услуги сразу.  В среднем 20 из каждых 100 парагвайцев имеют тот или иной медицинский полис, причем эта цифра увеличивается до 27% в городах и уменьшается примерно до 7% в сельской местности.  Согласно данным Комплексного исследования домашних хозяйств 2000/2001 годов, услугами социального страхования воспользовались в среднем 49% застрахованных служащих государственного сектора (в медицинских учреждениях армии, полиции и ИСО), притом, что в частном секторе эта цифра выше - 83,2% застрахованного населения.  С другой стороны, 41,7% населения, не имеющего</w:t>
      </w:r>
    </w:p>
    <w:p w:rsidR="00000000" w:rsidRDefault="00000000">
      <w:pPr>
        <w:shd w:val="clear" w:color="auto" w:fill="FFFFFF"/>
        <w:tabs>
          <w:tab w:val="left" w:pos="567"/>
          <w:tab w:val="left" w:pos="1134"/>
          <w:tab w:val="left" w:pos="1701"/>
          <w:tab w:val="left" w:pos="2268"/>
          <w:tab w:val="left" w:pos="7938"/>
        </w:tabs>
      </w:pPr>
      <w:r>
        <w:rPr>
          <w:szCs w:val="26"/>
        </w:rPr>
        <w:t>какого-либо полиса страхования, получали помощь в государственных учреждениях.</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szCs w:val="26"/>
        </w:rPr>
      </w:pPr>
      <w:r>
        <w:t>267.</w:t>
      </w:r>
      <w:r>
        <w:tab/>
      </w:r>
      <w:r>
        <w:rPr>
          <w:szCs w:val="26"/>
        </w:rPr>
        <w:t>Институт социального обеспечения охватывает услугами страхования 10,9% всего населения страны, частный сектор - 6,5%, медицинские учреждения - 11%, иностранные компании - 0,4%, в то время как 81,1 % населения страны вообще не охвачены каким-либо видом страхования.</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268.</w:t>
      </w:r>
      <w:r>
        <w:rPr>
          <w:szCs w:val="26"/>
        </w:rPr>
        <w:tab/>
        <w:t>Еще одна группа частных действующих лиц - это не преследующие коммерческих целей неправительственные и общественные организации, представители традиционной медицины и общинные фонды (микрострахование).  Эти организации направляют свою деятельность главным образом на оказание услуг по здравоохранению самым бедным слоям населения, и источниками их финансирования служат взносы почетных членов, кампании по сбору средств и небольшие взносы - зачастую случайные - пользователей услуг.  По своей природе основа их финансирования нестабильна и, как правило, небольшая, что ограничивает круг предлагаемых ими услуг.</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269.</w:t>
      </w:r>
      <w:r>
        <w:rPr>
          <w:szCs w:val="26"/>
        </w:rPr>
        <w:tab/>
        <w:t>В этом сегменте предоставляют услуги и НПО, причем большинство из них не оказывают медицинской помощи, а лишь поддерживают программы и исследования в области здравоохранения, а также раздают медикаменты, препараты и предметы</w:t>
      </w:r>
      <w:r>
        <w:rPr>
          <w:i/>
          <w:iCs/>
          <w:szCs w:val="26"/>
        </w:rPr>
        <w:t xml:space="preserve"> </w:t>
      </w:r>
      <w:r>
        <w:rPr>
          <w:szCs w:val="26"/>
        </w:rPr>
        <w:t>медицинского назначения неплатежеспособным гражданам.  Так, в поселениях меннонитов на равнине Чако получила распространение система взаимного страхования здоровья. Участники этой системы (15 000 человек) ежемесячно вносят в фонд страхования 5-6% своих семейных доходов.  Кроме того, они должны оплачивать в медицинских учреждениях 30% стоимости консультаций, медицинской помощи или прописанных лекарств.  Когда эта сумма в целом достигает 2,5-месячного МРОТ, все остальные расходы погашаются за счет фонда взаимного страхования.  С другой стороны, рабочие-индейцы из этих поселений (примерно 18 000 человек) получают услуги в рамках системы взаимной госпитальной помощи - своеобразной системы страхования для лиц, имеющих временную (сезонную) работу.  С этой целью работники вносят 5% своей зарплаты, а работодатель - 10%.  Система взаимной госпитальной помощи покрывает расходы как самого трудящегося, так и его семьи на врачебные консультации, лечение в больнице, приобретение лекарств и даже оплачивает один месяц отпуска.</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keepNext/>
        <w:shd w:val="clear" w:color="auto" w:fill="FFFFFF"/>
        <w:tabs>
          <w:tab w:val="left" w:pos="567"/>
          <w:tab w:val="left" w:pos="1134"/>
          <w:tab w:val="left" w:pos="1701"/>
          <w:tab w:val="left" w:pos="2268"/>
          <w:tab w:val="left" w:pos="7938"/>
        </w:tabs>
        <w:jc w:val="center"/>
        <w:rPr>
          <w:b/>
          <w:bCs/>
          <w:szCs w:val="26"/>
        </w:rPr>
      </w:pPr>
      <w:r>
        <w:rPr>
          <w:b/>
          <w:bCs/>
          <w:szCs w:val="26"/>
          <w:lang w:val="en-US"/>
        </w:rPr>
        <w:t>D</w:t>
      </w:r>
      <w:r>
        <w:rPr>
          <w:b/>
          <w:bCs/>
          <w:szCs w:val="26"/>
        </w:rPr>
        <w:t>.</w:t>
      </w:r>
      <w:r>
        <w:rPr>
          <w:b/>
          <w:bCs/>
          <w:szCs w:val="26"/>
        </w:rPr>
        <w:tab/>
        <w:t>Социальные группы, исключенные из социального страхования</w:t>
      </w:r>
    </w:p>
    <w:p w:rsidR="00000000" w:rsidRDefault="00000000">
      <w:pPr>
        <w:keepNext/>
        <w:shd w:val="clear" w:color="auto" w:fill="FFFFFF"/>
        <w:tabs>
          <w:tab w:val="left" w:pos="567"/>
          <w:tab w:val="left" w:pos="1134"/>
          <w:tab w:val="left" w:pos="1701"/>
          <w:tab w:val="left" w:pos="2268"/>
          <w:tab w:val="left" w:pos="7938"/>
        </w:tabs>
        <w:jc w:val="center"/>
      </w:pPr>
    </w:p>
    <w:p w:rsidR="00000000" w:rsidRDefault="00000000">
      <w:pPr>
        <w:keepNext/>
        <w:shd w:val="clear" w:color="auto" w:fill="FFFFFF"/>
        <w:tabs>
          <w:tab w:val="left" w:pos="567"/>
          <w:tab w:val="left" w:pos="1134"/>
          <w:tab w:val="left" w:pos="1701"/>
          <w:tab w:val="left" w:pos="2268"/>
          <w:tab w:val="left" w:pos="7938"/>
        </w:tabs>
        <w:rPr>
          <w:szCs w:val="24"/>
        </w:rPr>
      </w:pPr>
      <w:r>
        <w:rPr>
          <w:szCs w:val="26"/>
        </w:rPr>
        <w:t>270.</w:t>
      </w:r>
      <w:r>
        <w:rPr>
          <w:szCs w:val="26"/>
        </w:rPr>
        <w:tab/>
        <w:t xml:space="preserve">В Парагвае слои населения, исключенные из социального страхования какого бы тони было типа, относятся к неформальным секторам экономики, поскольку все фонды организуются определенными группами или коллективами (банковские, государственные, муниципальные служащие, работники ГЭС "Итайпу" и АНДЕ).  Институт социального обеспечения - это единственный фонд, который предоставляет услуги социального страхования в целом наиболее широкому кругу трудящихся всех отраслей.  Именно </w:t>
      </w:r>
      <w:r>
        <w:rPr>
          <w:szCs w:val="24"/>
        </w:rPr>
        <w:t>поэтому система, созданная ИСО, охватывает самые разнородные трудовые коллективы, так как в нее входят, в частности, работники сферы образования (действующие и</w:t>
      </w:r>
      <w:r>
        <w:t xml:space="preserve"> </w:t>
      </w:r>
      <w:r>
        <w:rPr>
          <w:szCs w:val="24"/>
        </w:rPr>
        <w:t>пенсионеры);  лица, занятые в качестве домашней прислуги;  ветераны войны на равнине</w:t>
      </w:r>
      <w:r>
        <w:t xml:space="preserve"> </w:t>
      </w:r>
      <w:r>
        <w:rPr>
          <w:szCs w:val="24"/>
        </w:rPr>
        <w:t>Чако, а также члены семей всех этих категорий.</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szCs w:val="24"/>
        </w:rPr>
      </w:pPr>
      <w:r>
        <w:rPr>
          <w:szCs w:val="24"/>
        </w:rPr>
        <w:t>271.</w:t>
      </w:r>
      <w:r>
        <w:rPr>
          <w:szCs w:val="24"/>
        </w:rPr>
        <w:tab/>
        <w:t>На сегодняшний день Институт социального обеспечения пока не смог принять документ, который разрешил бы официальное вхождение в его систему страхования лиц, работающих в частном порядке, т.е. самостоятельных хозяев или индивидуальных предпринимателей.</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jc w:val="center"/>
        <w:rPr>
          <w:b/>
          <w:bCs/>
          <w:szCs w:val="24"/>
        </w:rPr>
      </w:pPr>
      <w:r>
        <w:rPr>
          <w:b/>
          <w:bCs/>
          <w:szCs w:val="24"/>
        </w:rPr>
        <w:t>Е.</w:t>
      </w:r>
      <w:r>
        <w:rPr>
          <w:b/>
          <w:bCs/>
          <w:szCs w:val="24"/>
        </w:rPr>
        <w:tab/>
        <w:t>Деятельность по социальному страхованию представителей уязвимых групп</w:t>
      </w:r>
    </w:p>
    <w:p w:rsidR="00000000" w:rsidRDefault="00000000">
      <w:pPr>
        <w:shd w:val="clear" w:color="auto" w:fill="FFFFFF"/>
        <w:tabs>
          <w:tab w:val="left" w:pos="567"/>
          <w:tab w:val="left" w:pos="1134"/>
          <w:tab w:val="left" w:pos="1701"/>
          <w:tab w:val="left" w:pos="2268"/>
          <w:tab w:val="left" w:pos="7938"/>
        </w:tabs>
        <w:jc w:val="center"/>
        <w:rPr>
          <w:b/>
          <w:bCs/>
          <w:szCs w:val="24"/>
        </w:rPr>
      </w:pPr>
    </w:p>
    <w:p w:rsidR="00000000" w:rsidRDefault="00000000">
      <w:pPr>
        <w:shd w:val="clear" w:color="auto" w:fill="FFFFFF"/>
        <w:tabs>
          <w:tab w:val="left" w:pos="567"/>
          <w:tab w:val="left" w:pos="1134"/>
          <w:tab w:val="left" w:pos="1701"/>
          <w:tab w:val="left" w:pos="2268"/>
          <w:tab w:val="left" w:pos="7938"/>
        </w:tabs>
        <w:rPr>
          <w:szCs w:val="24"/>
        </w:rPr>
      </w:pPr>
      <w:r>
        <w:rPr>
          <w:szCs w:val="24"/>
        </w:rPr>
        <w:t>272.</w:t>
      </w:r>
      <w:r>
        <w:rPr>
          <w:szCs w:val="24"/>
        </w:rPr>
        <w:tab/>
        <w:t>Правительство страны считает необходимым расширять страхование за счет Программы прогрессивного социального обеспечения, в рамках которой приоритетное внимание уделяется матери и ребенку.  Кроме того, министерство здравоохранения своим Постановлением № 19 от 2005 года освободило детей до 10 лет от платы за амбулаторное и стационарное лечение в государственных медицинских учреждениях.  Еще ранее (Постановление № 198/2003 министерства здравоохранения) были освобождены от платы за медицинское обслуживание беременные женщины и дети до 5 лет, а также предписано бесплатное назначение лекарств и медикаментов женщинам, рожающим в государственных медицинских центрах.</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clear" w:pos="567"/>
          <w:tab w:val="left" w:pos="561"/>
          <w:tab w:val="left" w:pos="1134"/>
          <w:tab w:val="left" w:pos="1701"/>
          <w:tab w:val="left" w:pos="2268"/>
          <w:tab w:val="left" w:pos="7938"/>
        </w:tabs>
        <w:rPr>
          <w:szCs w:val="24"/>
        </w:rPr>
      </w:pPr>
      <w:r>
        <w:rPr>
          <w:szCs w:val="24"/>
        </w:rPr>
        <w:t>273.</w:t>
      </w:r>
      <w:r>
        <w:rPr>
          <w:szCs w:val="24"/>
        </w:rPr>
        <w:tab/>
        <w:t xml:space="preserve">Кроме того, министерство здравоохранения в рамках Национальной программы охраны матери и ребенка (ПНАМИ) разработало и проводит в жизнь стратегию, предусматривающую охрану здоровья и равный доступ к медицинским услугам. Одобренный Советом исполнительных директив Всемирного банка Проект здравоохранения </w:t>
      </w:r>
      <w:r>
        <w:rPr>
          <w:szCs w:val="24"/>
          <w:lang w:val="en-US"/>
        </w:rPr>
        <w:t>II</w:t>
      </w:r>
      <w:r>
        <w:rPr>
          <w:szCs w:val="24"/>
        </w:rPr>
        <w:t xml:space="preserve"> - Проект охраны матери и ребенка охватит 353 711 детей в возрасте до 4 лет и 563 089 женщин в детородном возрасте, т.е. в целом 916 800 человек.  Проект реализуется в 10 медицинских округах.</w:t>
      </w:r>
    </w:p>
    <w:p w:rsidR="00000000" w:rsidRDefault="00000000">
      <w:pPr>
        <w:shd w:val="clear" w:color="auto" w:fill="FFFFFF"/>
        <w:tabs>
          <w:tab w:val="clear" w:pos="567"/>
          <w:tab w:val="left" w:pos="561"/>
          <w:tab w:val="left" w:pos="1134"/>
          <w:tab w:val="left" w:pos="1701"/>
          <w:tab w:val="left" w:pos="2268"/>
          <w:tab w:val="left" w:pos="7938"/>
        </w:tabs>
        <w:rPr>
          <w:szCs w:val="24"/>
        </w:rPr>
      </w:pPr>
    </w:p>
    <w:p w:rsidR="00000000" w:rsidRDefault="00000000">
      <w:pPr>
        <w:keepNext/>
        <w:shd w:val="clear" w:color="auto" w:fill="FFFFFF"/>
        <w:tabs>
          <w:tab w:val="left" w:pos="567"/>
          <w:tab w:val="left" w:pos="1134"/>
          <w:tab w:val="left" w:pos="1701"/>
          <w:tab w:val="left" w:pos="2268"/>
          <w:tab w:val="left" w:pos="7938"/>
        </w:tabs>
        <w:rPr>
          <w:b/>
          <w:bCs/>
          <w:szCs w:val="24"/>
        </w:rPr>
      </w:pPr>
      <w:r>
        <w:rPr>
          <w:b/>
          <w:bCs/>
          <w:szCs w:val="24"/>
        </w:rPr>
        <w:t>1.</w:t>
      </w:r>
      <w:r>
        <w:rPr>
          <w:b/>
          <w:bCs/>
          <w:szCs w:val="24"/>
        </w:rPr>
        <w:tab/>
        <w:t>Выполнение Программы базового медицинского обслуживания</w:t>
      </w:r>
    </w:p>
    <w:p w:rsidR="00000000" w:rsidRDefault="00000000">
      <w:pPr>
        <w:keepNext/>
        <w:shd w:val="clear" w:color="auto" w:fill="FFFFFF"/>
        <w:tabs>
          <w:tab w:val="left" w:pos="567"/>
          <w:tab w:val="left" w:pos="1134"/>
          <w:tab w:val="left" w:pos="1701"/>
          <w:tab w:val="left" w:pos="2268"/>
          <w:tab w:val="left" w:pos="7938"/>
        </w:tabs>
      </w:pPr>
    </w:p>
    <w:p w:rsidR="00000000" w:rsidRDefault="00000000">
      <w:pPr>
        <w:keepNext/>
        <w:shd w:val="clear" w:color="auto" w:fill="FFFFFF"/>
        <w:tabs>
          <w:tab w:val="left" w:pos="567"/>
          <w:tab w:val="left" w:pos="1134"/>
          <w:tab w:val="left" w:pos="1701"/>
          <w:tab w:val="left" w:pos="2268"/>
          <w:tab w:val="left" w:pos="7938"/>
        </w:tabs>
      </w:pPr>
      <w:r>
        <w:rPr>
          <w:szCs w:val="24"/>
        </w:rPr>
        <w:t>274.</w:t>
      </w:r>
      <w:r>
        <w:rPr>
          <w:szCs w:val="24"/>
        </w:rPr>
        <w:tab/>
        <w:t>Согласно проводимой стратегии, министерство здравоохранения и социального обеспечения через свою Программу реформирования системы оказания первичной медико-санитарной помощи предоставляет основные медикаменты и предметы медицинского назначения в рамках перечня, установленного для 20 видов социальной помощи и 13 патологий.  Она распространяется на всех беременных женщин и детей до 5 лет, которые обращаются в медицинские пункты и амбулатории, районные, окружные больницы и родильные дома, находящиеся в ведении министерства здравоохранения и социального обеспечения.  На всей территории страны этим пациентам гарантируется в них бесплатная медицинская помощь.</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left" w:pos="567"/>
          <w:tab w:val="left" w:pos="1134"/>
          <w:tab w:val="left" w:pos="1701"/>
          <w:tab w:val="left" w:pos="2268"/>
          <w:tab w:val="left" w:pos="7938"/>
        </w:tabs>
        <w:rPr>
          <w:szCs w:val="26"/>
        </w:rPr>
      </w:pPr>
      <w:r>
        <w:rPr>
          <w:szCs w:val="26"/>
        </w:rPr>
        <w:t>275.</w:t>
      </w:r>
      <w:r>
        <w:rPr>
          <w:szCs w:val="26"/>
        </w:rPr>
        <w:tab/>
        <w:t>Положительное воздействие этих мер прослеживается в том, что благодаря бесплатному медицинскому обслуживанию беременных женщин и детей в возрасте до 10 лет (предоставление лекарств в период беременности и родов, акушерской помощи, обезболивающих препаратов и набора базовых медикаментов) достигнуты важные показатели в плане снижения смертности среди женщин-рожениц:</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ab/>
        <w:t>-</w:t>
      </w:r>
      <w:r>
        <w:rPr>
          <w:szCs w:val="26"/>
        </w:rPr>
        <w:tab/>
      </w:r>
      <w:r>
        <w:rPr>
          <w:b/>
          <w:bCs/>
          <w:szCs w:val="26"/>
        </w:rPr>
        <w:t>Общая материнская смертность:</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pPr>
      <w:r>
        <w:rPr>
          <w:szCs w:val="26"/>
        </w:rPr>
        <w:tab/>
      </w:r>
      <w:r>
        <w:rPr>
          <w:rFonts w:cs="Arial"/>
          <w:szCs w:val="26"/>
        </w:rPr>
        <w:tab/>
      </w:r>
      <w:r>
        <w:rPr>
          <w:szCs w:val="26"/>
        </w:rPr>
        <w:t>2002 год:    182 на 100 000</w:t>
      </w:r>
    </w:p>
    <w:p w:rsidR="00000000" w:rsidRDefault="00000000">
      <w:pPr>
        <w:shd w:val="clear" w:color="auto" w:fill="FFFFFF"/>
        <w:tabs>
          <w:tab w:val="left" w:pos="567"/>
          <w:tab w:val="left" w:pos="1134"/>
          <w:tab w:val="left" w:pos="1701"/>
          <w:tab w:val="left" w:pos="2268"/>
          <w:tab w:val="left" w:pos="7938"/>
        </w:tabs>
        <w:rPr>
          <w:szCs w:val="26"/>
        </w:rPr>
      </w:pPr>
      <w:r>
        <w:rPr>
          <w:szCs w:val="26"/>
        </w:rPr>
        <w:tab/>
      </w:r>
      <w:r>
        <w:rPr>
          <w:szCs w:val="26"/>
        </w:rPr>
        <w:tab/>
        <w:t>2003 год:    174 на 100 000</w:t>
      </w:r>
    </w:p>
    <w:p w:rsidR="00000000" w:rsidRDefault="00000000">
      <w:pPr>
        <w:shd w:val="clear" w:color="auto" w:fill="FFFFFF"/>
        <w:tabs>
          <w:tab w:val="left" w:pos="567"/>
          <w:tab w:val="left" w:pos="1134"/>
          <w:tab w:val="left" w:pos="1701"/>
          <w:tab w:val="left" w:pos="2268"/>
          <w:tab w:val="left" w:pos="7938"/>
        </w:tabs>
        <w:rPr>
          <w:szCs w:val="26"/>
        </w:rPr>
      </w:pPr>
      <w:r>
        <w:rPr>
          <w:szCs w:val="26"/>
        </w:rPr>
        <w:tab/>
      </w:r>
      <w:r>
        <w:rPr>
          <w:szCs w:val="26"/>
        </w:rPr>
        <w:tab/>
        <w:t>2004 год:    155 на 100 000</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ab/>
        <w:t>Улучшились и показатели живорождений.</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b/>
          <w:bCs/>
          <w:szCs w:val="26"/>
        </w:rPr>
      </w:pPr>
      <w:r>
        <w:rPr>
          <w:szCs w:val="26"/>
        </w:rPr>
        <w:tab/>
        <w:t>-</w:t>
      </w:r>
      <w:r>
        <w:rPr>
          <w:szCs w:val="26"/>
        </w:rPr>
        <w:tab/>
      </w:r>
      <w:r>
        <w:rPr>
          <w:b/>
          <w:bCs/>
          <w:szCs w:val="26"/>
        </w:rPr>
        <w:t>Тенденция к снижению смертности среди женщин-рожениц (2005 год):</w:t>
      </w:r>
    </w:p>
    <w:p w:rsidR="00000000" w:rsidRDefault="00000000">
      <w:pPr>
        <w:shd w:val="clear" w:color="auto" w:fill="FFFFFF"/>
        <w:tabs>
          <w:tab w:val="left" w:pos="567"/>
          <w:tab w:val="left" w:pos="1134"/>
          <w:tab w:val="left" w:pos="1701"/>
          <w:tab w:val="left" w:pos="2268"/>
          <w:tab w:val="left" w:pos="7938"/>
        </w:tabs>
        <w:spacing w:line="240" w:lineRule="auto"/>
        <w:ind w:left="1134"/>
        <w:rPr>
          <w:szCs w:val="26"/>
        </w:rPr>
      </w:pPr>
    </w:p>
    <w:p w:rsidR="00000000" w:rsidRDefault="00000000">
      <w:pPr>
        <w:shd w:val="clear" w:color="auto" w:fill="FFFFFF"/>
        <w:tabs>
          <w:tab w:val="left" w:pos="567"/>
          <w:tab w:val="left" w:pos="1134"/>
          <w:tab w:val="left" w:pos="1701"/>
          <w:tab w:val="left" w:pos="2268"/>
          <w:tab w:val="left" w:pos="7938"/>
        </w:tabs>
        <w:spacing w:line="240" w:lineRule="auto"/>
        <w:ind w:left="1134"/>
        <w:rPr>
          <w:szCs w:val="26"/>
        </w:rPr>
      </w:pPr>
      <w:r>
        <w:rPr>
          <w:szCs w:val="26"/>
        </w:rPr>
        <w:t>число смертельных исходов по состоянию на 11 декабря 2005 года:  108</w:t>
      </w:r>
    </w:p>
    <w:p w:rsidR="00000000" w:rsidRDefault="00000000">
      <w:pPr>
        <w:shd w:val="clear" w:color="auto" w:fill="FFFFFF"/>
        <w:tabs>
          <w:tab w:val="left" w:pos="567"/>
          <w:tab w:val="left" w:pos="1134"/>
          <w:tab w:val="left" w:pos="1701"/>
          <w:tab w:val="left" w:pos="2268"/>
          <w:tab w:val="left" w:pos="7938"/>
        </w:tabs>
        <w:spacing w:line="240" w:lineRule="auto"/>
        <w:ind w:left="1134"/>
        <w:rPr>
          <w:szCs w:val="26"/>
        </w:rPr>
      </w:pPr>
    </w:p>
    <w:p w:rsidR="00000000" w:rsidRDefault="00000000">
      <w:pPr>
        <w:shd w:val="clear" w:color="auto" w:fill="FFFFFF"/>
        <w:tabs>
          <w:tab w:val="left" w:pos="567"/>
          <w:tab w:val="left" w:pos="1134"/>
          <w:tab w:val="left" w:pos="1701"/>
          <w:tab w:val="left" w:pos="2268"/>
          <w:tab w:val="left" w:pos="7938"/>
        </w:tabs>
        <w:spacing w:line="240" w:lineRule="auto"/>
        <w:ind w:left="1134"/>
        <w:rPr>
          <w:szCs w:val="26"/>
        </w:rPr>
      </w:pPr>
      <w:r>
        <w:rPr>
          <w:szCs w:val="26"/>
        </w:rPr>
        <w:t>число смертельных исходов на тот же период 2004 года:</w:t>
      </w:r>
      <w:r>
        <w:rPr>
          <w:rFonts w:cs="Arial"/>
          <w:szCs w:val="26"/>
        </w:rPr>
        <w:t xml:space="preserve">  </w:t>
      </w:r>
      <w:r>
        <w:rPr>
          <w:szCs w:val="26"/>
        </w:rPr>
        <w:t>138</w:t>
      </w:r>
    </w:p>
    <w:p w:rsidR="00000000" w:rsidRDefault="00000000">
      <w:pPr>
        <w:shd w:val="clear" w:color="auto" w:fill="FFFFFF"/>
        <w:tabs>
          <w:tab w:val="left" w:pos="567"/>
          <w:tab w:val="left" w:pos="1134"/>
          <w:tab w:val="left" w:pos="1701"/>
          <w:tab w:val="left" w:pos="2268"/>
          <w:tab w:val="left" w:pos="7938"/>
        </w:tabs>
        <w:spacing w:line="240" w:lineRule="auto"/>
        <w:ind w:left="1134"/>
        <w:rPr>
          <w:szCs w:val="26"/>
        </w:rPr>
      </w:pPr>
    </w:p>
    <w:p w:rsidR="00000000" w:rsidRDefault="00000000">
      <w:pPr>
        <w:shd w:val="clear" w:color="auto" w:fill="FFFFFF"/>
        <w:tabs>
          <w:tab w:val="left" w:pos="567"/>
          <w:tab w:val="left" w:pos="1134"/>
          <w:tab w:val="left" w:pos="1701"/>
          <w:tab w:val="left" w:pos="2268"/>
          <w:tab w:val="left" w:pos="7938"/>
        </w:tabs>
        <w:spacing w:line="240" w:lineRule="auto"/>
        <w:ind w:left="1134"/>
        <w:rPr>
          <w:szCs w:val="26"/>
        </w:rPr>
      </w:pPr>
      <w:r>
        <w:rPr>
          <w:szCs w:val="26"/>
        </w:rPr>
        <w:t>разница в смертельных исходах (не окончательная):  30</w:t>
      </w:r>
    </w:p>
    <w:p w:rsidR="00000000" w:rsidRDefault="00000000">
      <w:pPr>
        <w:shd w:val="clear" w:color="auto" w:fill="FFFFFF"/>
        <w:tabs>
          <w:tab w:val="left" w:pos="567"/>
          <w:tab w:val="left" w:pos="1134"/>
          <w:tab w:val="left" w:pos="1701"/>
          <w:tab w:val="left" w:pos="2268"/>
          <w:tab w:val="left" w:pos="7938"/>
        </w:tabs>
        <w:spacing w:line="240" w:lineRule="auto"/>
        <w:ind w:left="1134"/>
        <w:rPr>
          <w:szCs w:val="26"/>
        </w:rPr>
      </w:pPr>
    </w:p>
    <w:p w:rsidR="00000000" w:rsidRDefault="00000000">
      <w:pPr>
        <w:shd w:val="clear" w:color="auto" w:fill="FFFFFF"/>
        <w:tabs>
          <w:tab w:val="clear" w:pos="6237"/>
          <w:tab w:val="left" w:pos="567"/>
          <w:tab w:val="left" w:pos="1134"/>
          <w:tab w:val="left" w:pos="1701"/>
          <w:tab w:val="left" w:pos="2268"/>
          <w:tab w:val="left" w:pos="3740"/>
          <w:tab w:val="left" w:pos="5245"/>
          <w:tab w:val="left" w:pos="7938"/>
        </w:tabs>
        <w:spacing w:line="240" w:lineRule="auto"/>
        <w:ind w:left="1134"/>
        <w:rPr>
          <w:szCs w:val="26"/>
        </w:rPr>
      </w:pPr>
      <w:r>
        <w:rPr>
          <w:szCs w:val="26"/>
        </w:rPr>
        <w:t xml:space="preserve">департаменты страны с наибольшим числом </w:t>
      </w:r>
      <w:r>
        <w:rPr>
          <w:szCs w:val="26"/>
        </w:rPr>
        <w:br/>
        <w:t>смертельных исходов:</w:t>
      </w:r>
      <w:r>
        <w:rPr>
          <w:szCs w:val="26"/>
        </w:rPr>
        <w:tab/>
        <w:t>Консепсьон:</w:t>
      </w:r>
      <w:r>
        <w:rPr>
          <w:rFonts w:cs="Arial"/>
          <w:szCs w:val="26"/>
        </w:rPr>
        <w:tab/>
      </w:r>
      <w:r>
        <w:rPr>
          <w:szCs w:val="26"/>
        </w:rPr>
        <w:t>с 11 до 4</w:t>
      </w:r>
    </w:p>
    <w:p w:rsidR="00000000" w:rsidRDefault="00000000">
      <w:pPr>
        <w:shd w:val="clear" w:color="auto" w:fill="FFFFFF"/>
        <w:tabs>
          <w:tab w:val="clear" w:pos="6237"/>
          <w:tab w:val="left" w:pos="567"/>
          <w:tab w:val="left" w:pos="1134"/>
          <w:tab w:val="left" w:pos="1701"/>
          <w:tab w:val="left" w:pos="2268"/>
          <w:tab w:val="left" w:pos="3740"/>
          <w:tab w:val="left" w:pos="5245"/>
          <w:tab w:val="left" w:pos="7938"/>
        </w:tabs>
        <w:ind w:left="1134"/>
      </w:pPr>
      <w:r>
        <w:rPr>
          <w:szCs w:val="26"/>
        </w:rPr>
        <w:tab/>
      </w:r>
      <w:r>
        <w:rPr>
          <w:szCs w:val="26"/>
        </w:rPr>
        <w:tab/>
      </w:r>
      <w:r>
        <w:rPr>
          <w:szCs w:val="26"/>
        </w:rPr>
        <w:tab/>
        <w:t>Сан-Педро:</w:t>
      </w:r>
      <w:r>
        <w:rPr>
          <w:rFonts w:cs="Arial"/>
          <w:szCs w:val="26"/>
        </w:rPr>
        <w:tab/>
      </w:r>
      <w:r>
        <w:rPr>
          <w:szCs w:val="26"/>
        </w:rPr>
        <w:t>с 20 до 11</w:t>
      </w:r>
    </w:p>
    <w:p w:rsidR="00000000" w:rsidRDefault="00000000">
      <w:pPr>
        <w:shd w:val="clear" w:color="auto" w:fill="FFFFFF"/>
        <w:tabs>
          <w:tab w:val="clear" w:pos="6237"/>
          <w:tab w:val="left" w:pos="567"/>
          <w:tab w:val="left" w:pos="1134"/>
          <w:tab w:val="left" w:pos="1701"/>
          <w:tab w:val="left" w:pos="2268"/>
          <w:tab w:val="left" w:pos="3740"/>
          <w:tab w:val="left" w:pos="5245"/>
          <w:tab w:val="left" w:pos="7938"/>
        </w:tabs>
        <w:ind w:left="1134"/>
      </w:pPr>
      <w:r>
        <w:rPr>
          <w:szCs w:val="26"/>
        </w:rPr>
        <w:tab/>
      </w:r>
      <w:r>
        <w:rPr>
          <w:szCs w:val="26"/>
        </w:rPr>
        <w:tab/>
      </w:r>
      <w:r>
        <w:rPr>
          <w:szCs w:val="26"/>
        </w:rPr>
        <w:tab/>
        <w:t>Каагуасу:</w:t>
      </w:r>
      <w:r>
        <w:rPr>
          <w:szCs w:val="26"/>
        </w:rPr>
        <w:tab/>
        <w:t>с 18 до 9</w:t>
      </w:r>
    </w:p>
    <w:p w:rsidR="00000000" w:rsidRDefault="00000000">
      <w:pPr>
        <w:shd w:val="clear" w:color="auto" w:fill="FFFFFF"/>
        <w:tabs>
          <w:tab w:val="left" w:pos="567"/>
          <w:tab w:val="left" w:pos="1134"/>
          <w:tab w:val="left" w:pos="1701"/>
          <w:tab w:val="left" w:pos="2268"/>
          <w:tab w:val="left" w:pos="3740"/>
          <w:tab w:val="left" w:pos="5245"/>
          <w:tab w:val="left" w:pos="7938"/>
        </w:tabs>
        <w:ind w:left="1134"/>
        <w:rPr>
          <w:szCs w:val="26"/>
        </w:rPr>
      </w:pPr>
      <w:r>
        <w:rPr>
          <w:szCs w:val="26"/>
        </w:rPr>
        <w:tab/>
      </w:r>
      <w:r>
        <w:rPr>
          <w:szCs w:val="26"/>
        </w:rPr>
        <w:tab/>
      </w:r>
      <w:r>
        <w:rPr>
          <w:szCs w:val="26"/>
        </w:rPr>
        <w:tab/>
        <w:t>Амамбай</w:t>
      </w:r>
      <w:r>
        <w:rPr>
          <w:rFonts w:cs="Arial"/>
          <w:szCs w:val="26"/>
        </w:rPr>
        <w:t>:</w:t>
      </w:r>
      <w:r>
        <w:rPr>
          <w:rFonts w:cs="Arial"/>
          <w:szCs w:val="26"/>
        </w:rPr>
        <w:tab/>
      </w:r>
      <w:r>
        <w:rPr>
          <w:szCs w:val="26"/>
        </w:rPr>
        <w:t>с 4 до 1</w:t>
      </w:r>
    </w:p>
    <w:p w:rsidR="00000000" w:rsidRDefault="00000000">
      <w:pPr>
        <w:shd w:val="clear" w:color="auto" w:fill="FFFFFF"/>
        <w:tabs>
          <w:tab w:val="left" w:pos="567"/>
          <w:tab w:val="left" w:pos="1134"/>
          <w:tab w:val="left" w:pos="1701"/>
          <w:tab w:val="left" w:pos="2268"/>
          <w:tab w:val="left" w:pos="3927"/>
          <w:tab w:val="left" w:pos="7938"/>
        </w:tabs>
      </w:pPr>
    </w:p>
    <w:p w:rsidR="00000000" w:rsidRDefault="00000000">
      <w:pPr>
        <w:shd w:val="clear" w:color="auto" w:fill="FFFFFF"/>
        <w:tabs>
          <w:tab w:val="left" w:pos="567"/>
          <w:tab w:val="left" w:pos="1134"/>
          <w:tab w:val="left" w:pos="1701"/>
          <w:tab w:val="left" w:pos="2268"/>
          <w:tab w:val="left" w:pos="7938"/>
        </w:tabs>
        <w:rPr>
          <w:szCs w:val="26"/>
        </w:rPr>
      </w:pPr>
      <w:r>
        <w:rPr>
          <w:szCs w:val="26"/>
        </w:rPr>
        <w:t>276.</w:t>
      </w:r>
      <w:r>
        <w:rPr>
          <w:szCs w:val="26"/>
        </w:rPr>
        <w:tab/>
        <w:t>Отмечается снижение показателя детской смертности по меньшей мере на 1%, т.е. примерно до 19 на 1 000 живорождений.  60% смертей приходится на неонатальный период по причине родовых травм, сепсиса и преждевременных родов.</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jc w:val="center"/>
        <w:rPr>
          <w:b/>
          <w:bCs/>
          <w:szCs w:val="26"/>
        </w:rPr>
      </w:pPr>
      <w:r>
        <w:rPr>
          <w:b/>
          <w:bCs/>
          <w:szCs w:val="26"/>
          <w:lang w:val="fr-FR"/>
        </w:rPr>
        <w:t>D</w:t>
      </w:r>
      <w:r>
        <w:rPr>
          <w:b/>
          <w:bCs/>
          <w:szCs w:val="26"/>
        </w:rPr>
        <w:t>.</w:t>
      </w:r>
      <w:r>
        <w:rPr>
          <w:b/>
          <w:bCs/>
          <w:szCs w:val="26"/>
        </w:rPr>
        <w:tab/>
        <w:t>Анализ состояния социального страхования в Парагвае</w:t>
      </w:r>
    </w:p>
    <w:p w:rsidR="00000000" w:rsidRDefault="00000000">
      <w:pPr>
        <w:shd w:val="clear" w:color="auto" w:fill="FFFFFF"/>
        <w:tabs>
          <w:tab w:val="left" w:pos="567"/>
          <w:tab w:val="left" w:pos="1134"/>
          <w:tab w:val="left" w:pos="1701"/>
          <w:tab w:val="left" w:pos="2268"/>
          <w:tab w:val="left" w:pos="7938"/>
        </w:tabs>
        <w:jc w:val="center"/>
      </w:pPr>
    </w:p>
    <w:p w:rsidR="00000000" w:rsidRDefault="00000000">
      <w:pPr>
        <w:shd w:val="clear" w:color="auto" w:fill="FFFFFF"/>
        <w:tabs>
          <w:tab w:val="left" w:pos="567"/>
          <w:tab w:val="left" w:pos="1134"/>
          <w:tab w:val="left" w:pos="1701"/>
          <w:tab w:val="left" w:pos="2268"/>
          <w:tab w:val="left" w:pos="7938"/>
        </w:tabs>
        <w:rPr>
          <w:szCs w:val="26"/>
        </w:rPr>
      </w:pPr>
      <w:r>
        <w:rPr>
          <w:szCs w:val="26"/>
        </w:rPr>
        <w:t>277.</w:t>
      </w:r>
      <w:r>
        <w:rPr>
          <w:szCs w:val="26"/>
        </w:rPr>
        <w:tab/>
        <w:t>В области социального страхования Республика Парагвай подписала две международные конвенции, соглашения с Испанией и Королевством Нидерландов (Голландией), а также со странами - членами МЕРКОСУР.  В настоящее время рассматривается вопрос о подписании аналогичного соглашения с Чили.  В рамках всех этих соглашений главной координирующей и организующей инстанцией выступает Институт социального обеспечения, который курирует вопросы назначения пенсий и пособий, предусмотренных в этих соглашениях, иностранцам, живущим в Парагвае, и парагвайским гражданам, проживающим в Испании, Аргентине, Уругвае, Бразилии и, вскоре, в Чили.</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szCs w:val="26"/>
        </w:rPr>
      </w:pPr>
      <w:r>
        <w:rPr>
          <w:szCs w:val="26"/>
        </w:rPr>
        <w:t>278.</w:t>
      </w:r>
      <w:r>
        <w:rPr>
          <w:szCs w:val="26"/>
        </w:rPr>
        <w:tab/>
        <w:t>В качестве заключения отметим, что с недавних пор социальное страхование в стране стало предметом пересмотра, особенно в части, касающейся так называемых уязвимых групп.  Заинтересованные ведомства еще раз обязались улучшить положение дел в данной сфере.  Учитывая трудности с субсидированием системы, они изыскивают другие пути поддержания ее функционирования и изучают возможность коренного реформирования системы, с тем чтобы добиться ее действенности и возможности расширить охват населения.</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b/>
          <w:bCs/>
          <w:szCs w:val="26"/>
        </w:rPr>
      </w:pPr>
      <w:r>
        <w:rPr>
          <w:b/>
          <w:bCs/>
          <w:szCs w:val="26"/>
        </w:rPr>
        <w:t>Статья 10</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jc w:val="center"/>
        <w:rPr>
          <w:b/>
          <w:bCs/>
          <w:szCs w:val="26"/>
        </w:rPr>
      </w:pPr>
      <w:r>
        <w:rPr>
          <w:b/>
          <w:bCs/>
          <w:szCs w:val="26"/>
        </w:rPr>
        <w:t>А.</w:t>
      </w:r>
      <w:r>
        <w:rPr>
          <w:b/>
          <w:bCs/>
          <w:szCs w:val="26"/>
        </w:rPr>
        <w:tab/>
        <w:t>Семья в парагвайском обществе</w:t>
      </w:r>
    </w:p>
    <w:p w:rsidR="00000000" w:rsidRDefault="00000000">
      <w:pPr>
        <w:shd w:val="clear" w:color="auto" w:fill="FFFFFF"/>
        <w:tabs>
          <w:tab w:val="left" w:pos="567"/>
          <w:tab w:val="left" w:pos="1134"/>
          <w:tab w:val="left" w:pos="1701"/>
          <w:tab w:val="left" w:pos="2268"/>
          <w:tab w:val="left" w:pos="7938"/>
        </w:tabs>
      </w:pPr>
    </w:p>
    <w:p w:rsidR="00000000" w:rsidRDefault="00000000">
      <w:pPr>
        <w:numPr>
          <w:ilvl w:val="0"/>
          <w:numId w:val="135"/>
        </w:numPr>
        <w:shd w:val="clear" w:color="auto" w:fill="FFFFFF"/>
        <w:tabs>
          <w:tab w:val="left" w:pos="567"/>
          <w:tab w:val="left" w:pos="1134"/>
          <w:tab w:val="left" w:pos="1701"/>
          <w:tab w:val="left" w:pos="2268"/>
          <w:tab w:val="left" w:pos="7938"/>
        </w:tabs>
        <w:rPr>
          <w:szCs w:val="26"/>
        </w:rPr>
      </w:pPr>
      <w:r>
        <w:rPr>
          <w:szCs w:val="26"/>
        </w:rPr>
        <w:t>Понятие "семья" в контексте парагвайского общества определяется в Конституции страны, и она считается основой общества, а посему ей гарантируется всесторонняя защита.  Ныне существуют и иные концепции, выходящие за рамки традиционного представления;  так, согласно Основному закону, семья включает в себя устойчивый союз мужчины и женщины, детей, любых предков и потомков.</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280.</w:t>
      </w:r>
      <w:r>
        <w:rPr>
          <w:szCs w:val="26"/>
        </w:rPr>
        <w:tab/>
        <w:t xml:space="preserve">Конституция страны 1992 года посвящает целую главу правам семьи.  В ней семье гарантируется комплексная защита (глава </w:t>
      </w:r>
      <w:r>
        <w:rPr>
          <w:szCs w:val="26"/>
          <w:lang w:val="en-US"/>
        </w:rPr>
        <w:t>IV</w:t>
      </w:r>
      <w:r>
        <w:rPr>
          <w:szCs w:val="26"/>
        </w:rPr>
        <w:t xml:space="preserve"> "О правах семьи", статьи 49-61) и устанавливается право граждан на создание семьи.  В ранг конституционных положений также возводятся брак и гражданские семейные союзы;  в Конституции оговариваются вопросы, касающиеся детей, защиты детства (статья 54), ответственного материнства и отцовства, молодежи и лиц "третьего возраста", прав неординарных людей, имущества семьи, защиты от бытового насилия (статья 60), а также семейного планирования и охраны здоровья матери и ребенка (статья 61).</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281.</w:t>
      </w:r>
      <w:r>
        <w:rPr>
          <w:szCs w:val="26"/>
        </w:rPr>
        <w:tab/>
        <w:t>Еще одним элементом конституционной защиты, направленным на укрепление семьи как базовой опоры любой социальной структуры, является упоминание в пункте 9 ("оказание поддержки сельским женщинам, особенно главам семьи" - в сочетании с положениями статьи 53) статьи 115 семьи в качестве основы аграрной реформы и сельскохозяйственного развития.  Это перекликается с положениями пункта 10 той же статьи 115:  "участие сельских женщин наравне с мужчинами в осуществлении планов аграрной реформы".</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282.</w:t>
      </w:r>
      <w:r>
        <w:rPr>
          <w:szCs w:val="26"/>
        </w:rPr>
        <w:tab/>
        <w:t>Кроме того, Закон № 1680 от 2001 года ввел в действие - в рамках доктрины комплексной защиты - новый Кодекс о детях и подростках, который признает детей в качестве субъектов права на жизнь, здоровье, образование, проживание в семье, удостоверение личности, уважение достоинства и участие во всех делах, которые их касаются.  Относительно права на вступление в брак минимальным возрастом для мужчин и женщин законодательно установлено 16 лет.  В то же время закон вводит некоторые ограничения - в частности, для заключения брака требуется согласие родителей или опекунов.  В отсутствие или недееспособности одного из родителей достаточно согласия другого.  Если же оба родителя недееспособны либо лишены отцовских (материнских) прав, решение принимает судья по делам опеки.  Для внебрачных несовершеннолетних детей также требуется согласие матери или признавшего их отца, либо, в последнем случае, обоих.  Если таковых нет, решение принимает судья.  Кроме того, исключением являются случаи, когда в брак вступают несовершеннолетние в возрасте от 14 до 16 лет;  здесь в обязательном порядке требуется решение судьи по делам опеки.  Минимальный возраст для получения прав на управление автомобилем - 18 лет для мужчин и женщин.  Для покупки недвижимости, равно как и для получения гражданства, минимальный возраст, установленный Законом № 2169/03, также составляет 18 лет.  Что касается уголовной ответственности, она наступает с 14 лет, и с этого возраста подросток может быть осужден за совершенные преступления.</w:t>
      </w:r>
    </w:p>
    <w:p w:rsidR="00000000" w:rsidRDefault="00000000">
      <w:pPr>
        <w:shd w:val="clear" w:color="auto" w:fill="FFFFFF"/>
        <w:tabs>
          <w:tab w:val="left" w:pos="567"/>
          <w:tab w:val="left" w:pos="1134"/>
          <w:tab w:val="left" w:pos="1701"/>
          <w:tab w:val="left" w:pos="2268"/>
          <w:tab w:val="left" w:pos="7938"/>
        </w:tabs>
      </w:pPr>
    </w:p>
    <w:p w:rsidR="00000000" w:rsidRDefault="00000000">
      <w:pPr>
        <w:keepNext/>
        <w:shd w:val="clear" w:color="auto" w:fill="FFFFFF"/>
        <w:tabs>
          <w:tab w:val="left" w:pos="567"/>
          <w:tab w:val="left" w:pos="1134"/>
          <w:tab w:val="left" w:pos="1701"/>
          <w:tab w:val="left" w:pos="2268"/>
          <w:tab w:val="left" w:pos="7938"/>
        </w:tabs>
        <w:rPr>
          <w:b/>
          <w:bCs/>
          <w:szCs w:val="26"/>
        </w:rPr>
      </w:pPr>
      <w:r>
        <w:rPr>
          <w:b/>
          <w:bCs/>
          <w:szCs w:val="26"/>
        </w:rPr>
        <w:t>1.</w:t>
      </w:r>
      <w:r>
        <w:rPr>
          <w:b/>
          <w:bCs/>
          <w:szCs w:val="26"/>
        </w:rPr>
        <w:tab/>
        <w:t>Система защиты семьи</w:t>
      </w:r>
    </w:p>
    <w:p w:rsidR="00000000" w:rsidRDefault="00000000">
      <w:pPr>
        <w:keepNext/>
        <w:shd w:val="clear" w:color="auto" w:fill="FFFFFF"/>
        <w:tabs>
          <w:tab w:val="left" w:pos="567"/>
          <w:tab w:val="left" w:pos="1134"/>
          <w:tab w:val="left" w:pos="1701"/>
          <w:tab w:val="left" w:pos="2268"/>
          <w:tab w:val="left" w:pos="7938"/>
        </w:tabs>
      </w:pPr>
    </w:p>
    <w:p w:rsidR="00000000" w:rsidRDefault="00000000">
      <w:pPr>
        <w:keepNext/>
        <w:shd w:val="clear" w:color="auto" w:fill="FFFFFF"/>
        <w:tabs>
          <w:tab w:val="left" w:pos="567"/>
          <w:tab w:val="left" w:pos="1134"/>
          <w:tab w:val="left" w:pos="1701"/>
          <w:tab w:val="left" w:pos="2268"/>
          <w:tab w:val="left" w:pos="7938"/>
        </w:tabs>
        <w:rPr>
          <w:szCs w:val="26"/>
        </w:rPr>
      </w:pPr>
      <w:r>
        <w:rPr>
          <w:szCs w:val="26"/>
        </w:rPr>
        <w:t>283.</w:t>
      </w:r>
      <w:r>
        <w:rPr>
          <w:szCs w:val="26"/>
        </w:rPr>
        <w:tab/>
        <w:t>Государство гарантирует право каждого мужчины и каждой женщины на вступление в брак при условии их свободного волеизъявления.  Как Конституция страны, так и Гражданский кодекс (с изменениями, внесенными Законом № 1/92) признают фактический (гражданский) союз мужчины и женщины, добровольно проживающих вместе, который носит устойчивый, публичный и исключительный характер, а оба они достигли минимального брачного возраста.  Союз, отвечающий вышеназванным требованиям, который непрерывно длится по меньшей мере 4 года, считается семьей с совместно нажитым имуществом, которое может быть разделено как при жизни обоих супругов, так и после смерти одного из них.  В том и другом случаях совместно нажитое имущество должно быть распределено поровну между сожителями либо между оставшимся в живых и наследниками другого.  Если в результате упомянутого союза родились общие дети, срок образования семьи отсчитывается от даты рождения первого ребенка.</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4"/>
        </w:rPr>
      </w:pPr>
      <w:r>
        <w:rPr>
          <w:szCs w:val="26"/>
        </w:rPr>
        <w:t>284.</w:t>
      </w:r>
      <w:r>
        <w:rPr>
          <w:szCs w:val="26"/>
        </w:rPr>
        <w:tab/>
        <w:t>Имеется один момент, который можно считать некоторым отступлением от признания равноправия членов семьи.  Он связан с изменением, внесенным в Закон № 1/92 "О частичной реформе Гражданского кодекса" и касающимся выбора фамилий детей, родившихся как в браке, так и вне брака.  Ранее было установлено, что фамилия ребенка выбирается по обоюдному согласию между мужем и женой.  Изменение, внесенное Законом № 985/96, гласит, что при отсутствии такого согласия на первом месте должна стоять фамилия отца.  После принятия порядка фамилий для первого ребенка эта же последовательность сохраняется и для всех остальных детей.  Однако это нововведение не вызывает каких-либо ощутимых осложнений в пользовании другими</w:t>
      </w:r>
      <w:r>
        <w:t xml:space="preserve"> </w:t>
      </w:r>
      <w:r>
        <w:rPr>
          <w:szCs w:val="24"/>
        </w:rPr>
        <w:t>правами, которые гарантируются любому человеку - мужчинам, женщинам, детям - без</w:t>
      </w:r>
      <w:r>
        <w:t xml:space="preserve"> </w:t>
      </w:r>
      <w:r>
        <w:rPr>
          <w:szCs w:val="24"/>
        </w:rPr>
        <w:t>какой бы то ни было дискриминации.</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b/>
          <w:bCs/>
          <w:szCs w:val="24"/>
        </w:rPr>
      </w:pPr>
      <w:r>
        <w:rPr>
          <w:b/>
          <w:bCs/>
          <w:szCs w:val="24"/>
        </w:rPr>
        <w:tab/>
        <w:t>1.2</w:t>
      </w:r>
      <w:r>
        <w:rPr>
          <w:b/>
          <w:bCs/>
          <w:szCs w:val="24"/>
        </w:rPr>
        <w:tab/>
        <w:t>Конкретные меры по защите семьи</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szCs w:val="24"/>
        </w:rPr>
      </w:pPr>
      <w:r>
        <w:rPr>
          <w:szCs w:val="24"/>
        </w:rPr>
        <w:t>285.</w:t>
      </w:r>
      <w:r>
        <w:rPr>
          <w:szCs w:val="24"/>
        </w:rPr>
        <w:tab/>
        <w:t>Меры, принимаемые парагвайским государством по защите семьи, весьма разнообразны.  Со своей стороны Секретариат по делам женщин представил ряд предложений по изменению законодательных норм в качестве стратегии культурного преобразования страны:</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clear" w:pos="567"/>
          <w:tab w:val="clear" w:pos="1134"/>
          <w:tab w:val="left" w:pos="1122"/>
          <w:tab w:val="left" w:pos="1701"/>
          <w:tab w:val="left" w:pos="2268"/>
          <w:tab w:val="left" w:pos="7938"/>
        </w:tabs>
        <w:ind w:left="1122" w:hanging="561"/>
        <w:rPr>
          <w:szCs w:val="24"/>
        </w:rPr>
      </w:pPr>
      <w:r>
        <w:rPr>
          <w:szCs w:val="24"/>
        </w:rPr>
        <w:t>-</w:t>
      </w:r>
      <w:r>
        <w:rPr>
          <w:szCs w:val="24"/>
        </w:rPr>
        <w:tab/>
        <w:t>проект Закона "О предоставлении отпуска по беременности и родам женщинам, занимающим выборные должности" был представлен в декабре 2004 года;  в настоящее время в предварительном порядке утвержден;</w:t>
      </w:r>
    </w:p>
    <w:p w:rsidR="00000000" w:rsidRDefault="00000000">
      <w:pPr>
        <w:shd w:val="clear" w:color="auto" w:fill="FFFFFF"/>
        <w:tabs>
          <w:tab w:val="clear" w:pos="567"/>
          <w:tab w:val="clear" w:pos="1134"/>
          <w:tab w:val="left" w:pos="1122"/>
          <w:tab w:val="left" w:pos="1701"/>
          <w:tab w:val="left" w:pos="2268"/>
          <w:tab w:val="left" w:pos="7938"/>
        </w:tabs>
        <w:rPr>
          <w:szCs w:val="24"/>
        </w:rPr>
      </w:pPr>
    </w:p>
    <w:p w:rsidR="00000000" w:rsidRDefault="00000000">
      <w:pPr>
        <w:shd w:val="clear" w:color="auto" w:fill="FFFFFF"/>
        <w:tabs>
          <w:tab w:val="clear" w:pos="567"/>
          <w:tab w:val="clear" w:pos="1134"/>
          <w:tab w:val="left" w:pos="1122"/>
          <w:tab w:val="left" w:pos="1701"/>
          <w:tab w:val="left" w:pos="2268"/>
          <w:tab w:val="left" w:pos="7938"/>
        </w:tabs>
        <w:ind w:left="1122" w:hanging="561"/>
        <w:rPr>
          <w:szCs w:val="24"/>
        </w:rPr>
      </w:pPr>
      <w:r>
        <w:rPr>
          <w:szCs w:val="24"/>
        </w:rPr>
        <w:t>-</w:t>
      </w:r>
      <w:r>
        <w:rPr>
          <w:szCs w:val="24"/>
        </w:rPr>
        <w:tab/>
        <w:t>проект Закона "Об ответственном отцовстве и материнстве" был представлен 2 января 2003 года.</w:t>
      </w:r>
    </w:p>
    <w:p w:rsidR="00000000" w:rsidRDefault="00000000">
      <w:pPr>
        <w:tabs>
          <w:tab w:val="left" w:pos="567"/>
          <w:tab w:val="left" w:pos="1134"/>
          <w:tab w:val="left" w:pos="1701"/>
          <w:tab w:val="left" w:pos="2268"/>
          <w:tab w:val="left" w:pos="7938"/>
        </w:tabs>
        <w:rPr>
          <w:szCs w:val="2"/>
        </w:rPr>
      </w:pPr>
    </w:p>
    <w:p w:rsidR="00000000" w:rsidRDefault="00000000">
      <w:pPr>
        <w:shd w:val="clear" w:color="auto" w:fill="FFFFFF"/>
        <w:tabs>
          <w:tab w:val="left" w:pos="567"/>
          <w:tab w:val="left" w:pos="1134"/>
          <w:tab w:val="left" w:pos="1701"/>
          <w:tab w:val="left" w:pos="2268"/>
          <w:tab w:val="left" w:pos="7938"/>
        </w:tabs>
        <w:rPr>
          <w:szCs w:val="24"/>
        </w:rPr>
      </w:pPr>
      <w:r>
        <w:rPr>
          <w:szCs w:val="24"/>
        </w:rPr>
        <w:t>286.</w:t>
      </w:r>
      <w:r>
        <w:rPr>
          <w:szCs w:val="24"/>
        </w:rPr>
        <w:tab/>
        <w:t>Секретариат по делам женщин оказывает влияние на государственную политику в сфере образования, участвуя в составлении учебных планов, программ повышения квалификации и в проведении практических исследований о дискриминации по признаку пола, проводя в жизнь Программу обеспечения женщинам равных возможностей и результатов в области образования (ПРИОМЕ).  Он также вносит свой вклад в охрану окружающей среды, внося предложения по нормативным актам и акцентируя эти вопросы при проведении государственной политики в данной сфере.</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left" w:pos="567"/>
          <w:tab w:val="left" w:pos="1134"/>
          <w:tab w:val="left" w:pos="1701"/>
          <w:tab w:val="left" w:pos="2268"/>
          <w:tab w:val="left" w:pos="7938"/>
        </w:tabs>
        <w:rPr>
          <w:szCs w:val="24"/>
        </w:rPr>
      </w:pPr>
      <w:r>
        <w:rPr>
          <w:szCs w:val="24"/>
        </w:rPr>
        <w:t>287.</w:t>
      </w:r>
      <w:r>
        <w:rPr>
          <w:szCs w:val="24"/>
        </w:rPr>
        <w:tab/>
        <w:t>С другой стороны, существует еще ряд ведомств и организаций, которые в рамках своих полномочий осуществляют меры, направленные на защиту семьи посредством обеспечения ей доступа к экономическим ресурсам, государственному социальному обеспечению, обретению прав собственности на землю и получению кредитов.</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b/>
          <w:bCs/>
          <w:szCs w:val="24"/>
        </w:rPr>
      </w:pPr>
      <w:r>
        <w:rPr>
          <w:b/>
          <w:bCs/>
          <w:szCs w:val="24"/>
        </w:rPr>
        <w:tab/>
        <w:t>1.2.1</w:t>
      </w:r>
      <w:r>
        <w:rPr>
          <w:b/>
          <w:bCs/>
          <w:szCs w:val="24"/>
        </w:rPr>
        <w:tab/>
        <w:t>Система социальной защиты и социального развития</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szCs w:val="26"/>
        </w:rPr>
      </w:pPr>
      <w:r>
        <w:rPr>
          <w:szCs w:val="24"/>
        </w:rPr>
        <w:t>288.</w:t>
      </w:r>
      <w:r>
        <w:rPr>
          <w:szCs w:val="24"/>
        </w:rPr>
        <w:tab/>
        <w:t xml:space="preserve">Секретариат по мерам социальной политики, действуя в рамках Национальной стратегии борьбы с бедностью, создал Систему социальной защиты и социального развития, которая заключается в совокупности мероприятий и взаимосвязанных программ, направленных на профилактику, снижение и устранение того негативного воздействия, которое состояние бедности оказывает на каждую группу населения, в первую очередь на наиболее уязвимые слои.  Внимание сосредотачивается главным образом на семье в стремлении восстановить и укрепить ее защитную роль, на развитии человеческих качеств, экономических и социальных возможностей членов семьи.  Таким образом, она преследует цель покончить с бедностью, которая наследуется из поколения в поколение, делая упор на предупреждение и преодоление рисков, связанных с развитием </w:t>
      </w:r>
      <w:r>
        <w:rPr>
          <w:szCs w:val="26"/>
        </w:rPr>
        <w:t xml:space="preserve">личности - в смысле возможностей получения доступа к образованию, здравоохранению, участию в экономической, общественной и политической жизни. </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szCs w:val="26"/>
        </w:rPr>
      </w:pPr>
      <w:r>
        <w:rPr>
          <w:szCs w:val="26"/>
        </w:rPr>
        <w:t xml:space="preserve">289. </w:t>
      </w:r>
      <w:r>
        <w:rPr>
          <w:szCs w:val="26"/>
        </w:rPr>
        <w:tab/>
        <w:t xml:space="preserve">Система социальной защиты и развития практикует различные формы действий, проводя в частности: программу "Теко-Пора", что на местном диалекте значит "Благосостояние", - для семей, проживающих в сельской местности; программу "Абрасо", направленную на защиту детей, относящихся к группе риска; программу "Ньопитиво", означающую "Поможем друг другу", - для семей, проживающих в местечке Пуэрто-Касадо, долина Чако.  Эти три программы нацелены на укрепление защитной роли семьи и облегчение самым уязвимым членам общества доступа к государственным социальным услугам, ставя в центр внимания здравоохранение, образование, идентификацию личности, социальную поддержку семьи, улучшение качества жизни.  Они действуют через систему солидарных бонов, обусловленных выполнением соответствующих обязанностей со стороны семьи.  Выбранной женщине-домохозяйке или матери семейства вручается прямая денежная помощь - в обмен на обязательство выполнять требования по питанию детей, сохранению их здоровья и посещаемости школы (все это проверяется).  Считается, что придание женщине официального статуса субъекта социально-денежной помощи приведет к изменению ситуации ее экономической зависимости от мужчины, а это, в свою очередь, проявится в более активном участии женщины в принятии решений внутри семьи.  Обучение и организация - вот два ключевых аспекта, которые применяются в работе с женщинами - матерями семейств. </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290.</w:t>
      </w:r>
      <w:r>
        <w:rPr>
          <w:szCs w:val="26"/>
        </w:rPr>
        <w:tab/>
        <w:t>Система социальной защиты и развития осуществляет свою деятельность с помощью различных организаций государственного и частного секторов.  Чтобы дать представление о ее главных целях, перечислим некоторые: улучшение питания и здравоохранения детей, сохранение их здоровья, повышение школьной посещаемости и успеваемости детей и подростков, привитие им навыков, расширяющих возможности их трудоустройства, и развитие в них духа предприимчивости.  Здоровье, воспитание и питание считаются главными сферами, где наиболее проявляется бедность, и ее преодоление в них является стратегической задачей, чтобы разорвать порочный круг воспроизводства нищеты.  Программы, реализуемые в рамках Системы социальной защиты и развития, дают беднейшим слоям населения возможность получать дополнительные средства, помогающие им удовлетворять свои основные потребности.  Кроме того, они позволяют им повысить свой человеческий капитал в плане образования, сохранения здоровья и приобретения навыков, необходимых для работы.</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b/>
          <w:bCs/>
          <w:szCs w:val="26"/>
        </w:rPr>
      </w:pPr>
      <w:r>
        <w:rPr>
          <w:b/>
          <w:bCs/>
          <w:szCs w:val="26"/>
        </w:rPr>
        <w:tab/>
        <w:t>1.2.2</w:t>
      </w:r>
      <w:r>
        <w:rPr>
          <w:b/>
          <w:bCs/>
          <w:szCs w:val="26"/>
        </w:rPr>
        <w:tab/>
        <w:t>Программа благоустройства общин</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szCs w:val="26"/>
        </w:rPr>
        <w:t>291.</w:t>
      </w:r>
      <w:r>
        <w:rPr>
          <w:szCs w:val="26"/>
        </w:rPr>
        <w:tab/>
        <w:t>Данная программа предназначена для семей, живущих в</w:t>
      </w:r>
      <w:r>
        <w:rPr>
          <w:b/>
          <w:bCs/>
          <w:szCs w:val="26"/>
        </w:rPr>
        <w:t xml:space="preserve"> </w:t>
      </w:r>
      <w:r>
        <w:rPr>
          <w:szCs w:val="26"/>
        </w:rPr>
        <w:t>бедности и нищете в тяжких условиях антисанитарии и скученности.  Их жилища построены из подручного материала, и они не могут претендовать на достойное жилье из-за механизмов кредитования, предлагаемых рынком.  Так, Национальный совет по жилищному строительству (КОНАВИ) за счет помощи, выделенной правительством Китайской</w:t>
      </w:r>
      <w:r>
        <w:rPr>
          <w:b/>
          <w:bCs/>
          <w:szCs w:val="24"/>
        </w:rPr>
        <w:t xml:space="preserve"> </w:t>
      </w:r>
      <w:r>
        <w:t xml:space="preserve">Республики </w:t>
      </w:r>
      <w:r>
        <w:rPr>
          <w:szCs w:val="24"/>
        </w:rPr>
        <w:t xml:space="preserve">(Тайвань), приступил - в рамках своих возможностей - к выполнению задачи по удовлетворению хотя бы части потребности в жилье. </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left" w:pos="567"/>
          <w:tab w:val="left" w:pos="1134"/>
          <w:tab w:val="left" w:pos="1701"/>
          <w:tab w:val="left" w:pos="2268"/>
          <w:tab w:val="left" w:pos="7938"/>
        </w:tabs>
        <w:rPr>
          <w:szCs w:val="24"/>
        </w:rPr>
      </w:pPr>
      <w:r>
        <w:rPr>
          <w:szCs w:val="24"/>
        </w:rPr>
        <w:t xml:space="preserve">292. </w:t>
      </w:r>
      <w:r>
        <w:rPr>
          <w:szCs w:val="24"/>
        </w:rPr>
        <w:tab/>
        <w:t xml:space="preserve">Кроме того, с помощью заинтересованных организаций, в частности муниципалитетов, различных ведомств, предоставляющих земельные участки, и неправительственных организаций, инициаторы этой программы объявили тендер на строительство жилого массива с квартирами типа </w:t>
      </w:r>
      <w:r>
        <w:rPr>
          <w:szCs w:val="24"/>
          <w:lang w:val="en-US"/>
        </w:rPr>
        <w:t>UBH</w:t>
      </w:r>
      <w:r>
        <w:rPr>
          <w:szCs w:val="24"/>
        </w:rPr>
        <w:t xml:space="preserve"> (базовая жилая единица) с дополнительной спальней, обеспеченного соответствующей инфраструктурой (питьевая вода, канализация, электричество, дорожные подъезды и другие необходимые элементы).  Вся эта работа проводится под контролем Национального совета по жилищному строительству на основе соглашений КОНАВИ - ФУНДАПУЭБЛОС и КОНАВИ - РЕДИНСА. </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left" w:pos="567"/>
          <w:tab w:val="left" w:pos="1134"/>
          <w:tab w:val="left" w:pos="1701"/>
          <w:tab w:val="left" w:pos="2268"/>
          <w:tab w:val="left" w:pos="7938"/>
        </w:tabs>
        <w:rPr>
          <w:szCs w:val="24"/>
        </w:rPr>
      </w:pPr>
      <w:r>
        <w:rPr>
          <w:szCs w:val="24"/>
        </w:rPr>
        <w:t xml:space="preserve">293. </w:t>
      </w:r>
      <w:r>
        <w:rPr>
          <w:szCs w:val="24"/>
        </w:rPr>
        <w:tab/>
        <w:t xml:space="preserve">В основе системы лежит выделение жилищной субсидии, а выбор потребителя основывается на таких критериях, как: приоритет в подходе к нуждающимся в жилье; заинтересованность, проявленная потенциальными бенефициарами; их способность организоваться; быстрота выделения подходящих земельных участков.  Предусматривается охватить программой всю национальную территорию. </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left" w:pos="567"/>
          <w:tab w:val="left" w:pos="1134"/>
          <w:tab w:val="left" w:pos="1701"/>
          <w:tab w:val="left" w:pos="2268"/>
          <w:tab w:val="left" w:pos="7938"/>
        </w:tabs>
        <w:rPr>
          <w:szCs w:val="24"/>
        </w:rPr>
      </w:pPr>
      <w:r>
        <w:rPr>
          <w:szCs w:val="24"/>
        </w:rPr>
        <w:t xml:space="preserve">294. </w:t>
      </w:r>
      <w:r>
        <w:rPr>
          <w:szCs w:val="24"/>
        </w:rPr>
        <w:tab/>
        <w:t xml:space="preserve">В рамках программы "Благоустройство общин" КОНАВИ строит социальное жилье при активном участии строительных компаний и самих общин.  Реализуя эти проекты, КОНАВИ стремится удовлетворить потребности самых обездоленных слоев нашего общества в жилище и социальных услугах, а наряду с этим способствовать росту экономической активности, создавая новые рабочие места и открывая фронт работ для предприятии строительной и смежных отраслей. </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left" w:pos="567"/>
          <w:tab w:val="left" w:pos="1134"/>
          <w:tab w:val="left" w:pos="1701"/>
          <w:tab w:val="left" w:pos="2268"/>
          <w:tab w:val="left" w:pos="7938"/>
        </w:tabs>
        <w:rPr>
          <w:szCs w:val="24"/>
        </w:rPr>
      </w:pPr>
      <w:r>
        <w:rPr>
          <w:szCs w:val="24"/>
        </w:rPr>
        <w:t xml:space="preserve">295. </w:t>
      </w:r>
      <w:r>
        <w:rPr>
          <w:szCs w:val="24"/>
        </w:rPr>
        <w:tab/>
        <w:t xml:space="preserve">Помимо непосредственных капиталовложений в строительство жилья и создание инфраструктуры базовых услуг, согласно этой программе, примерно 156 397 долл. США было вложено в создание рабочих мест для обслуживания 487 семей. </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left" w:pos="567"/>
          <w:tab w:val="left" w:pos="1134"/>
          <w:tab w:val="left" w:pos="1701"/>
          <w:tab w:val="left" w:pos="2268"/>
          <w:tab w:val="left" w:pos="7938"/>
        </w:tabs>
        <w:rPr>
          <w:szCs w:val="24"/>
        </w:rPr>
      </w:pPr>
      <w:r>
        <w:rPr>
          <w:szCs w:val="24"/>
        </w:rPr>
        <w:t>296.</w:t>
      </w:r>
      <w:r>
        <w:rPr>
          <w:szCs w:val="24"/>
        </w:rPr>
        <w:tab/>
        <w:t xml:space="preserve">Были построены и производственные объекты, в том числе: хлебопекарня, завод по производству соевого молока, швейное ателье и завод по производству керамического кирпича. </w:t>
      </w:r>
    </w:p>
    <w:p w:rsidR="00000000" w:rsidRDefault="00000000">
      <w:pPr>
        <w:tabs>
          <w:tab w:val="left" w:pos="567"/>
          <w:tab w:val="left" w:pos="1134"/>
          <w:tab w:val="left" w:pos="1701"/>
          <w:tab w:val="left" w:pos="2268"/>
          <w:tab w:val="left" w:pos="7938"/>
        </w:tabs>
        <w:rPr>
          <w:sz w:val="16"/>
          <w:szCs w:val="2"/>
        </w:rPr>
      </w:pPr>
    </w:p>
    <w:tbl>
      <w:tblPr>
        <w:tblW w:w="0" w:type="auto"/>
        <w:tblLayout w:type="fixed"/>
        <w:tblCellMar>
          <w:left w:w="28" w:type="dxa"/>
          <w:right w:w="28" w:type="dxa"/>
        </w:tblCellMar>
        <w:tblLook w:val="0000" w:firstRow="0" w:lastRow="0" w:firstColumn="0" w:lastColumn="0" w:noHBand="0" w:noVBand="0"/>
      </w:tblPr>
      <w:tblGrid>
        <w:gridCol w:w="1865"/>
        <w:gridCol w:w="1945"/>
        <w:gridCol w:w="3288"/>
        <w:gridCol w:w="2313"/>
      </w:tblGrid>
      <w:tr w:rsidR="00000000">
        <w:tblPrEx>
          <w:tblCellMar>
            <w:top w:w="0" w:type="dxa"/>
            <w:bottom w:w="0" w:type="dxa"/>
          </w:tblCellMar>
        </w:tblPrEx>
        <w:trPr>
          <w:cantSplit/>
          <w:trHeight w:val="563"/>
        </w:trPr>
        <w:tc>
          <w:tcPr>
            <w:tcW w:w="1865"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b/>
                <w:bCs/>
                <w:szCs w:val="24"/>
              </w:rPr>
              <w:t>Населенный пункт</w:t>
            </w:r>
          </w:p>
        </w:tc>
        <w:tc>
          <w:tcPr>
            <w:tcW w:w="1945"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b/>
                <w:bCs/>
                <w:szCs w:val="24"/>
              </w:rPr>
              <w:t>Название проекта</w:t>
            </w:r>
          </w:p>
        </w:tc>
        <w:tc>
          <w:tcPr>
            <w:tcW w:w="3288"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b/>
                <w:bCs/>
                <w:szCs w:val="24"/>
              </w:rPr>
              <w:t>Производственный объект</w:t>
            </w:r>
          </w:p>
        </w:tc>
        <w:tc>
          <w:tcPr>
            <w:tcW w:w="2313"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b/>
                <w:bCs/>
                <w:szCs w:val="24"/>
              </w:rPr>
              <w:t>Кол-во семей- бенефициаров</w:t>
            </w:r>
          </w:p>
        </w:tc>
      </w:tr>
      <w:tr w:rsidR="00000000">
        <w:tblPrEx>
          <w:tblCellMar>
            <w:top w:w="0" w:type="dxa"/>
            <w:bottom w:w="0" w:type="dxa"/>
          </w:tblCellMar>
        </w:tblPrEx>
        <w:trPr>
          <w:cantSplit/>
        </w:trPr>
        <w:tc>
          <w:tcPr>
            <w:tcW w:w="1865"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Коронель-Овьедо</w:t>
            </w:r>
          </w:p>
        </w:tc>
        <w:tc>
          <w:tcPr>
            <w:tcW w:w="1945"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Сьюдад-Нуэва</w:t>
            </w:r>
          </w:p>
        </w:tc>
        <w:tc>
          <w:tcPr>
            <w:tcW w:w="3288"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Предприятия сферы обслуживания, керамическое производство с печами обжига и сушкой</w:t>
            </w:r>
          </w:p>
        </w:tc>
        <w:tc>
          <w:tcPr>
            <w:tcW w:w="2313" w:type="dxa"/>
            <w:tcBorders>
              <w:top w:val="single" w:sz="6" w:space="0" w:color="auto"/>
              <w:left w:val="single" w:sz="6" w:space="0" w:color="auto"/>
              <w:bottom w:val="single" w:sz="6" w:space="0" w:color="auto"/>
              <w:right w:val="single" w:sz="6" w:space="0" w:color="auto"/>
            </w:tcBorders>
            <w:shd w:val="clear" w:color="auto" w:fill="FFFFFF"/>
            <w:tcMar>
              <w:left w:w="0" w:type="dxa"/>
              <w:right w:w="1134" w:type="dxa"/>
            </w:tcMar>
          </w:tcPr>
          <w:p w:rsidR="00000000" w:rsidRDefault="00000000">
            <w:pPr>
              <w:shd w:val="clear" w:color="auto" w:fill="FFFFFF"/>
              <w:tabs>
                <w:tab w:val="clear" w:pos="1134"/>
                <w:tab w:val="clear" w:pos="1701"/>
                <w:tab w:val="clear" w:pos="2268"/>
                <w:tab w:val="left" w:pos="567"/>
                <w:tab w:val="left" w:pos="1549"/>
                <w:tab w:val="left" w:pos="1974"/>
                <w:tab w:val="left" w:pos="7938"/>
              </w:tabs>
              <w:spacing w:line="240" w:lineRule="auto"/>
              <w:jc w:val="right"/>
            </w:pPr>
            <w:r>
              <w:rPr>
                <w:szCs w:val="24"/>
              </w:rPr>
              <w:t>120</w:t>
            </w:r>
          </w:p>
        </w:tc>
      </w:tr>
      <w:tr w:rsidR="00000000">
        <w:tblPrEx>
          <w:tblCellMar>
            <w:top w:w="0" w:type="dxa"/>
            <w:bottom w:w="0" w:type="dxa"/>
          </w:tblCellMar>
        </w:tblPrEx>
        <w:trPr>
          <w:cantSplit/>
          <w:trHeight w:val="857"/>
        </w:trPr>
        <w:tc>
          <w:tcPr>
            <w:tcW w:w="1865"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Ита</w:t>
            </w:r>
          </w:p>
        </w:tc>
        <w:tc>
          <w:tcPr>
            <w:tcW w:w="1945"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Мария</w:t>
            </w:r>
          </w:p>
          <w:p w:rsidR="00000000" w:rsidRDefault="00000000">
            <w:pPr>
              <w:shd w:val="clear" w:color="auto" w:fill="FFFFFF"/>
              <w:tabs>
                <w:tab w:val="left" w:pos="567"/>
                <w:tab w:val="left" w:pos="1134"/>
                <w:tab w:val="left" w:pos="1701"/>
                <w:tab w:val="left" w:pos="2268"/>
                <w:tab w:val="left" w:pos="7938"/>
              </w:tabs>
              <w:spacing w:line="240" w:lineRule="auto"/>
            </w:pPr>
            <w:r>
              <w:rPr>
                <w:szCs w:val="24"/>
              </w:rPr>
              <w:t>Ауксильядора</w:t>
            </w:r>
          </w:p>
        </w:tc>
        <w:tc>
          <w:tcPr>
            <w:tcW w:w="3288"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Центр профессиональной подготовки и повышения</w:t>
            </w:r>
          </w:p>
          <w:p w:rsidR="00000000" w:rsidRDefault="00000000">
            <w:pPr>
              <w:shd w:val="clear" w:color="auto" w:fill="FFFFFF"/>
              <w:tabs>
                <w:tab w:val="left" w:pos="567"/>
                <w:tab w:val="left" w:pos="1134"/>
                <w:tab w:val="left" w:pos="1701"/>
                <w:tab w:val="left" w:pos="2268"/>
                <w:tab w:val="left" w:pos="7938"/>
              </w:tabs>
              <w:spacing w:line="240" w:lineRule="auto"/>
            </w:pPr>
            <w:r>
              <w:rPr>
                <w:szCs w:val="24"/>
              </w:rPr>
              <w:t>квалификации</w:t>
            </w:r>
          </w:p>
        </w:tc>
        <w:tc>
          <w:tcPr>
            <w:tcW w:w="2313" w:type="dxa"/>
            <w:tcBorders>
              <w:top w:val="single" w:sz="6" w:space="0" w:color="auto"/>
              <w:left w:val="single" w:sz="6" w:space="0" w:color="auto"/>
              <w:bottom w:val="single" w:sz="6" w:space="0" w:color="auto"/>
              <w:right w:val="single" w:sz="6" w:space="0" w:color="auto"/>
            </w:tcBorders>
            <w:shd w:val="clear" w:color="auto" w:fill="FFFFFF"/>
            <w:tcMar>
              <w:left w:w="0" w:type="dxa"/>
              <w:right w:w="1134" w:type="dxa"/>
            </w:tcMar>
          </w:tcPr>
          <w:p w:rsidR="00000000" w:rsidRDefault="00000000">
            <w:pPr>
              <w:shd w:val="clear" w:color="auto" w:fill="FFFFFF"/>
              <w:tabs>
                <w:tab w:val="clear" w:pos="1134"/>
                <w:tab w:val="clear" w:pos="1701"/>
                <w:tab w:val="clear" w:pos="2268"/>
                <w:tab w:val="left" w:pos="567"/>
                <w:tab w:val="left" w:pos="1549"/>
                <w:tab w:val="left" w:pos="1974"/>
                <w:tab w:val="left" w:pos="7938"/>
              </w:tabs>
              <w:spacing w:line="240" w:lineRule="auto"/>
              <w:jc w:val="right"/>
            </w:pPr>
            <w:r>
              <w:rPr>
                <w:szCs w:val="24"/>
              </w:rPr>
              <w:t>90</w:t>
            </w:r>
          </w:p>
        </w:tc>
      </w:tr>
      <w:tr w:rsidR="00000000">
        <w:tblPrEx>
          <w:tblCellMar>
            <w:top w:w="0" w:type="dxa"/>
            <w:bottom w:w="0" w:type="dxa"/>
          </w:tblCellMar>
        </w:tblPrEx>
        <w:trPr>
          <w:cantSplit/>
        </w:trPr>
        <w:tc>
          <w:tcPr>
            <w:tcW w:w="1865"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Асунсьон</w:t>
            </w:r>
          </w:p>
        </w:tc>
        <w:tc>
          <w:tcPr>
            <w:tcW w:w="1945"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Эсперанса</w:t>
            </w:r>
          </w:p>
        </w:tc>
        <w:tc>
          <w:tcPr>
            <w:tcW w:w="3288"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Предприятия сферы обслуживания</w:t>
            </w:r>
          </w:p>
        </w:tc>
        <w:tc>
          <w:tcPr>
            <w:tcW w:w="2313" w:type="dxa"/>
            <w:tcBorders>
              <w:top w:val="single" w:sz="6" w:space="0" w:color="auto"/>
              <w:left w:val="single" w:sz="6" w:space="0" w:color="auto"/>
              <w:bottom w:val="single" w:sz="6" w:space="0" w:color="auto"/>
              <w:right w:val="single" w:sz="6" w:space="0" w:color="auto"/>
            </w:tcBorders>
            <w:shd w:val="clear" w:color="auto" w:fill="FFFFFF"/>
            <w:tcMar>
              <w:left w:w="0" w:type="dxa"/>
              <w:right w:w="1134" w:type="dxa"/>
            </w:tcMar>
          </w:tcPr>
          <w:p w:rsidR="00000000" w:rsidRDefault="00000000">
            <w:pPr>
              <w:shd w:val="clear" w:color="auto" w:fill="FFFFFF"/>
              <w:tabs>
                <w:tab w:val="clear" w:pos="1134"/>
                <w:tab w:val="clear" w:pos="1701"/>
                <w:tab w:val="clear" w:pos="2268"/>
                <w:tab w:val="left" w:pos="567"/>
                <w:tab w:val="left" w:pos="1549"/>
                <w:tab w:val="left" w:pos="1974"/>
                <w:tab w:val="left" w:pos="7938"/>
              </w:tabs>
              <w:spacing w:line="240" w:lineRule="auto"/>
              <w:jc w:val="right"/>
            </w:pPr>
            <w:r>
              <w:rPr>
                <w:szCs w:val="24"/>
              </w:rPr>
              <w:t>86</w:t>
            </w:r>
          </w:p>
        </w:tc>
      </w:tr>
      <w:tr w:rsidR="00000000">
        <w:tblPrEx>
          <w:tblCellMar>
            <w:top w:w="0" w:type="dxa"/>
            <w:bottom w:w="0" w:type="dxa"/>
          </w:tblCellMar>
        </w:tblPrEx>
        <w:trPr>
          <w:cantSplit/>
        </w:trPr>
        <w:tc>
          <w:tcPr>
            <w:tcW w:w="1865"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Ньеэмбуку</w:t>
            </w:r>
          </w:p>
        </w:tc>
        <w:tc>
          <w:tcPr>
            <w:tcW w:w="1945"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Лаурелес</w:t>
            </w:r>
          </w:p>
        </w:tc>
        <w:tc>
          <w:tcPr>
            <w:tcW w:w="3288"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Предприятия сферы обслуживания</w:t>
            </w:r>
          </w:p>
        </w:tc>
        <w:tc>
          <w:tcPr>
            <w:tcW w:w="2313" w:type="dxa"/>
            <w:tcBorders>
              <w:top w:val="single" w:sz="6" w:space="0" w:color="auto"/>
              <w:left w:val="single" w:sz="6" w:space="0" w:color="auto"/>
              <w:bottom w:val="single" w:sz="6" w:space="0" w:color="auto"/>
              <w:right w:val="single" w:sz="6" w:space="0" w:color="auto"/>
            </w:tcBorders>
            <w:shd w:val="clear" w:color="auto" w:fill="FFFFFF"/>
            <w:tcMar>
              <w:left w:w="0" w:type="dxa"/>
              <w:right w:w="1134" w:type="dxa"/>
            </w:tcMar>
          </w:tcPr>
          <w:p w:rsidR="00000000" w:rsidRDefault="00000000">
            <w:pPr>
              <w:shd w:val="clear" w:color="auto" w:fill="FFFFFF"/>
              <w:tabs>
                <w:tab w:val="clear" w:pos="1134"/>
                <w:tab w:val="clear" w:pos="1701"/>
                <w:tab w:val="clear" w:pos="2268"/>
                <w:tab w:val="left" w:pos="567"/>
                <w:tab w:val="left" w:pos="1549"/>
                <w:tab w:val="left" w:pos="1974"/>
                <w:tab w:val="left" w:pos="7938"/>
              </w:tabs>
              <w:spacing w:line="240" w:lineRule="auto"/>
              <w:jc w:val="right"/>
            </w:pPr>
            <w:r>
              <w:rPr>
                <w:szCs w:val="24"/>
              </w:rPr>
              <w:t>30</w:t>
            </w:r>
          </w:p>
        </w:tc>
      </w:tr>
      <w:tr w:rsidR="00000000">
        <w:tblPrEx>
          <w:tblCellMar>
            <w:top w:w="0" w:type="dxa"/>
            <w:bottom w:w="0" w:type="dxa"/>
          </w:tblCellMar>
        </w:tblPrEx>
        <w:trPr>
          <w:cantSplit/>
        </w:trPr>
        <w:tc>
          <w:tcPr>
            <w:tcW w:w="1865"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Гуарамбаре</w:t>
            </w:r>
          </w:p>
        </w:tc>
        <w:tc>
          <w:tcPr>
            <w:tcW w:w="1945"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Теса-Пеара</w:t>
            </w:r>
          </w:p>
        </w:tc>
        <w:tc>
          <w:tcPr>
            <w:tcW w:w="3288"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Предприятия сферы обслуживания</w:t>
            </w:r>
          </w:p>
        </w:tc>
        <w:tc>
          <w:tcPr>
            <w:tcW w:w="2313" w:type="dxa"/>
            <w:tcBorders>
              <w:top w:val="single" w:sz="6" w:space="0" w:color="auto"/>
              <w:left w:val="single" w:sz="6" w:space="0" w:color="auto"/>
              <w:bottom w:val="single" w:sz="6" w:space="0" w:color="auto"/>
              <w:right w:val="single" w:sz="6" w:space="0" w:color="auto"/>
            </w:tcBorders>
            <w:shd w:val="clear" w:color="auto" w:fill="FFFFFF"/>
            <w:tcMar>
              <w:left w:w="0" w:type="dxa"/>
              <w:right w:w="1134" w:type="dxa"/>
            </w:tcMar>
          </w:tcPr>
          <w:p w:rsidR="00000000" w:rsidRDefault="00000000">
            <w:pPr>
              <w:shd w:val="clear" w:color="auto" w:fill="FFFFFF"/>
              <w:tabs>
                <w:tab w:val="clear" w:pos="1134"/>
                <w:tab w:val="clear" w:pos="1701"/>
                <w:tab w:val="clear" w:pos="2268"/>
                <w:tab w:val="left" w:pos="567"/>
                <w:tab w:val="left" w:pos="1549"/>
                <w:tab w:val="left" w:pos="1974"/>
                <w:tab w:val="left" w:pos="7938"/>
              </w:tabs>
              <w:spacing w:line="240" w:lineRule="auto"/>
              <w:jc w:val="right"/>
            </w:pPr>
            <w:r>
              <w:rPr>
                <w:szCs w:val="24"/>
              </w:rPr>
              <w:t>50</w:t>
            </w:r>
          </w:p>
        </w:tc>
      </w:tr>
      <w:tr w:rsidR="00000000">
        <w:tblPrEx>
          <w:tblCellMar>
            <w:top w:w="0" w:type="dxa"/>
            <w:bottom w:w="0" w:type="dxa"/>
          </w:tblCellMar>
        </w:tblPrEx>
        <w:trPr>
          <w:cantSplit/>
        </w:trPr>
        <w:tc>
          <w:tcPr>
            <w:tcW w:w="1865"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Асунсьон</w:t>
            </w:r>
          </w:p>
        </w:tc>
        <w:tc>
          <w:tcPr>
            <w:tcW w:w="1945"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Расширение защитной зоны</w:t>
            </w:r>
          </w:p>
        </w:tc>
        <w:tc>
          <w:tcPr>
            <w:tcW w:w="3288"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Предприятия сферы обслуживания</w:t>
            </w:r>
          </w:p>
        </w:tc>
        <w:tc>
          <w:tcPr>
            <w:tcW w:w="2313" w:type="dxa"/>
            <w:tcBorders>
              <w:top w:val="single" w:sz="6" w:space="0" w:color="auto"/>
              <w:left w:val="single" w:sz="6" w:space="0" w:color="auto"/>
              <w:bottom w:val="single" w:sz="6" w:space="0" w:color="auto"/>
              <w:right w:val="single" w:sz="6" w:space="0" w:color="auto"/>
            </w:tcBorders>
            <w:shd w:val="clear" w:color="auto" w:fill="FFFFFF"/>
            <w:tcMar>
              <w:left w:w="0" w:type="dxa"/>
              <w:right w:w="1134" w:type="dxa"/>
            </w:tcMar>
          </w:tcPr>
          <w:p w:rsidR="00000000" w:rsidRDefault="00000000">
            <w:pPr>
              <w:shd w:val="clear" w:color="auto" w:fill="FFFFFF"/>
              <w:tabs>
                <w:tab w:val="clear" w:pos="1134"/>
                <w:tab w:val="clear" w:pos="1701"/>
                <w:tab w:val="clear" w:pos="2268"/>
                <w:tab w:val="left" w:pos="567"/>
                <w:tab w:val="left" w:pos="1549"/>
                <w:tab w:val="left" w:pos="1974"/>
                <w:tab w:val="left" w:pos="7938"/>
              </w:tabs>
              <w:spacing w:line="240" w:lineRule="auto"/>
              <w:jc w:val="right"/>
            </w:pPr>
            <w:r>
              <w:rPr>
                <w:szCs w:val="24"/>
              </w:rPr>
              <w:t>72</w:t>
            </w:r>
          </w:p>
        </w:tc>
      </w:tr>
      <w:tr w:rsidR="00000000">
        <w:tblPrEx>
          <w:tblCellMar>
            <w:top w:w="0" w:type="dxa"/>
            <w:bottom w:w="0" w:type="dxa"/>
          </w:tblCellMar>
        </w:tblPrEx>
        <w:trPr>
          <w:cantSplit/>
        </w:trPr>
        <w:tc>
          <w:tcPr>
            <w:tcW w:w="1865"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Атира</w:t>
            </w:r>
          </w:p>
        </w:tc>
        <w:tc>
          <w:tcPr>
            <w:tcW w:w="1945"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Роса-Мистика</w:t>
            </w:r>
          </w:p>
        </w:tc>
        <w:tc>
          <w:tcPr>
            <w:tcW w:w="3288"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Предприятия сферы обслуживания</w:t>
            </w:r>
          </w:p>
        </w:tc>
        <w:tc>
          <w:tcPr>
            <w:tcW w:w="2313" w:type="dxa"/>
            <w:tcBorders>
              <w:top w:val="single" w:sz="6" w:space="0" w:color="auto"/>
              <w:left w:val="single" w:sz="6" w:space="0" w:color="auto"/>
              <w:bottom w:val="single" w:sz="6" w:space="0" w:color="auto"/>
              <w:right w:val="single" w:sz="6" w:space="0" w:color="auto"/>
            </w:tcBorders>
            <w:shd w:val="clear" w:color="auto" w:fill="FFFFFF"/>
            <w:tcMar>
              <w:left w:w="0" w:type="dxa"/>
              <w:right w:w="1134" w:type="dxa"/>
            </w:tcMar>
          </w:tcPr>
          <w:p w:rsidR="00000000" w:rsidRDefault="00000000">
            <w:pPr>
              <w:shd w:val="clear" w:color="auto" w:fill="FFFFFF"/>
              <w:tabs>
                <w:tab w:val="clear" w:pos="1134"/>
                <w:tab w:val="clear" w:pos="1701"/>
                <w:tab w:val="clear" w:pos="2268"/>
                <w:tab w:val="left" w:pos="567"/>
                <w:tab w:val="left" w:pos="1549"/>
                <w:tab w:val="left" w:pos="1974"/>
                <w:tab w:val="left" w:pos="7938"/>
              </w:tabs>
              <w:spacing w:line="240" w:lineRule="auto"/>
              <w:jc w:val="right"/>
            </w:pPr>
            <w:r>
              <w:rPr>
                <w:szCs w:val="24"/>
              </w:rPr>
              <w:t>15</w:t>
            </w:r>
          </w:p>
        </w:tc>
      </w:tr>
      <w:tr w:rsidR="00000000">
        <w:tblPrEx>
          <w:tblCellMar>
            <w:top w:w="0" w:type="dxa"/>
            <w:bottom w:w="0" w:type="dxa"/>
          </w:tblCellMar>
        </w:tblPrEx>
        <w:trPr>
          <w:cantSplit/>
        </w:trPr>
        <w:tc>
          <w:tcPr>
            <w:tcW w:w="1865"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Нанава</w:t>
            </w:r>
          </w:p>
        </w:tc>
        <w:tc>
          <w:tcPr>
            <w:tcW w:w="1945"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Вилья-Илариа</w:t>
            </w:r>
          </w:p>
        </w:tc>
        <w:tc>
          <w:tcPr>
            <w:tcW w:w="3288"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szCs w:val="24"/>
              </w:rPr>
              <w:t>Предприятия сферы обслуживания</w:t>
            </w:r>
          </w:p>
        </w:tc>
        <w:tc>
          <w:tcPr>
            <w:tcW w:w="2313" w:type="dxa"/>
            <w:tcBorders>
              <w:top w:val="single" w:sz="6" w:space="0" w:color="auto"/>
              <w:left w:val="single" w:sz="6" w:space="0" w:color="auto"/>
              <w:bottom w:val="single" w:sz="6" w:space="0" w:color="auto"/>
              <w:right w:val="single" w:sz="6" w:space="0" w:color="auto"/>
            </w:tcBorders>
            <w:shd w:val="clear" w:color="auto" w:fill="FFFFFF"/>
            <w:tcMar>
              <w:left w:w="0" w:type="dxa"/>
              <w:right w:w="1134" w:type="dxa"/>
            </w:tcMar>
          </w:tcPr>
          <w:p w:rsidR="00000000" w:rsidRDefault="00000000">
            <w:pPr>
              <w:shd w:val="clear" w:color="auto" w:fill="FFFFFF"/>
              <w:tabs>
                <w:tab w:val="clear" w:pos="1134"/>
                <w:tab w:val="clear" w:pos="1701"/>
                <w:tab w:val="clear" w:pos="2268"/>
                <w:tab w:val="left" w:pos="567"/>
                <w:tab w:val="left" w:pos="1549"/>
                <w:tab w:val="left" w:pos="1974"/>
                <w:tab w:val="left" w:pos="7938"/>
              </w:tabs>
              <w:spacing w:line="240" w:lineRule="auto"/>
              <w:jc w:val="right"/>
            </w:pPr>
            <w:r>
              <w:rPr>
                <w:szCs w:val="24"/>
              </w:rPr>
              <w:t>24</w:t>
            </w:r>
          </w:p>
        </w:tc>
      </w:tr>
      <w:tr w:rsidR="00000000">
        <w:tblPrEx>
          <w:tblCellMar>
            <w:top w:w="0" w:type="dxa"/>
            <w:bottom w:w="0" w:type="dxa"/>
          </w:tblCellMar>
        </w:tblPrEx>
        <w:trPr>
          <w:cantSplit/>
        </w:trPr>
        <w:tc>
          <w:tcPr>
            <w:tcW w:w="7098" w:type="dxa"/>
            <w:gridSpan w:val="3"/>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 w:val="left" w:pos="1701"/>
                <w:tab w:val="left" w:pos="2268"/>
                <w:tab w:val="left" w:pos="7938"/>
              </w:tabs>
              <w:spacing w:line="240" w:lineRule="auto"/>
            </w:pPr>
            <w:r>
              <w:rPr>
                <w:b/>
                <w:bCs/>
                <w:szCs w:val="24"/>
              </w:rPr>
              <w:t>Итого:</w:t>
            </w:r>
          </w:p>
        </w:tc>
        <w:tc>
          <w:tcPr>
            <w:tcW w:w="2313" w:type="dxa"/>
            <w:tcBorders>
              <w:top w:val="single" w:sz="6" w:space="0" w:color="auto"/>
              <w:left w:val="single" w:sz="6" w:space="0" w:color="auto"/>
              <w:bottom w:val="single" w:sz="6" w:space="0" w:color="auto"/>
              <w:right w:val="single" w:sz="6" w:space="0" w:color="auto"/>
            </w:tcBorders>
            <w:shd w:val="clear" w:color="auto" w:fill="FFFFFF"/>
            <w:tcMar>
              <w:left w:w="0" w:type="dxa"/>
              <w:right w:w="1134" w:type="dxa"/>
            </w:tcMar>
          </w:tcPr>
          <w:p w:rsidR="00000000" w:rsidRDefault="00000000">
            <w:pPr>
              <w:shd w:val="clear" w:color="auto" w:fill="FFFFFF"/>
              <w:tabs>
                <w:tab w:val="clear" w:pos="1134"/>
                <w:tab w:val="clear" w:pos="1701"/>
                <w:tab w:val="clear" w:pos="2268"/>
                <w:tab w:val="left" w:pos="567"/>
                <w:tab w:val="left" w:pos="1549"/>
                <w:tab w:val="left" w:pos="1974"/>
                <w:tab w:val="left" w:pos="7938"/>
              </w:tabs>
              <w:spacing w:line="240" w:lineRule="auto"/>
              <w:jc w:val="right"/>
            </w:pPr>
            <w:r>
              <w:rPr>
                <w:b/>
                <w:bCs/>
                <w:szCs w:val="24"/>
              </w:rPr>
              <w:t>487</w:t>
            </w:r>
          </w:p>
        </w:tc>
      </w:tr>
    </w:tbl>
    <w:p w:rsidR="00000000" w:rsidRDefault="00000000">
      <w:pPr>
        <w:shd w:val="clear" w:color="auto" w:fill="FFFFFF"/>
        <w:tabs>
          <w:tab w:val="left" w:pos="567"/>
          <w:tab w:val="left" w:pos="1134"/>
          <w:tab w:val="left" w:pos="1701"/>
          <w:tab w:val="left" w:pos="2268"/>
          <w:tab w:val="left" w:pos="7938"/>
        </w:tabs>
        <w:rPr>
          <w:sz w:val="16"/>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 xml:space="preserve">297. </w:t>
      </w:r>
      <w:r>
        <w:rPr>
          <w:szCs w:val="26"/>
        </w:rPr>
        <w:tab/>
        <w:t xml:space="preserve">В рамках некоторых проектов планы строительства жилья включали, по согласованию с комитетами местных жителей, программы подготовки рабочих строительных специальностей, а также образование небольших производств силами местных предпринимателей.  Активно поощряется также привлечение к строительным работам местной рабочей силы. </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 xml:space="preserve">298. </w:t>
      </w:r>
      <w:r>
        <w:rPr>
          <w:szCs w:val="26"/>
        </w:rPr>
        <w:tab/>
        <w:t xml:space="preserve">В 2006 году цель программы "Благоустройство общин" - построить 1 070 домов для общины Ньянде-Рогара, из которых 785 уже находятся в стадии строительства, а на остальные 285 объявлен тендер. </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clear" w:pos="1134"/>
          <w:tab w:val="left" w:pos="567"/>
          <w:tab w:val="left" w:pos="1276"/>
          <w:tab w:val="left" w:pos="1701"/>
          <w:tab w:val="left" w:pos="2268"/>
          <w:tab w:val="left" w:pos="7938"/>
        </w:tabs>
        <w:ind w:left="1276" w:hanging="1276"/>
        <w:rPr>
          <w:b/>
          <w:bCs/>
          <w:szCs w:val="26"/>
        </w:rPr>
      </w:pPr>
      <w:r>
        <w:rPr>
          <w:b/>
          <w:bCs/>
          <w:szCs w:val="26"/>
        </w:rPr>
        <w:tab/>
        <w:t>1.2.3</w:t>
      </w:r>
      <w:r>
        <w:rPr>
          <w:b/>
          <w:bCs/>
          <w:szCs w:val="26"/>
        </w:rPr>
        <w:tab/>
        <w:t>Экспериментальный проект - Программа жилищных кооперативов на основе взаимопомощи</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 xml:space="preserve">299. </w:t>
      </w:r>
      <w:r>
        <w:rPr>
          <w:szCs w:val="26"/>
        </w:rPr>
        <w:tab/>
        <w:t xml:space="preserve">Программа по созданию жилищных кооперативов начала осуществляться в стране на основе Закона № 2329/03, образовавшего Фонд жилищных кооперативов.  Программа была хорошо воспринята, и после завершения первой очереди кооперативного строительства в районе Авейро, Ита (сентябрь 2005 года) другие кооперативы представили свои заявки, которые были учтены в бюджете на 2006 год (Сан-Хуан-Баутиста, Ипакараи, и 2-я очередь - Авейро, Ита). </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4"/>
        </w:rPr>
      </w:pPr>
      <w:r>
        <w:rPr>
          <w:szCs w:val="26"/>
        </w:rPr>
        <w:t xml:space="preserve">300. </w:t>
      </w:r>
      <w:r>
        <w:rPr>
          <w:szCs w:val="26"/>
        </w:rPr>
        <w:tab/>
        <w:t xml:space="preserve">Эта инициатива представляет собой экспериментальный проект на стадии расширения, цель которого - частично удовлетворить потребности населения страны в жилье.  Общая сумма капиталовложений - 580 000 долл. США (КОНАВИ:  325 000 долл. США;  МБР:  200 000 долл. США;  Шведский центр сотрудничества:  55 000 долл. США).  Стоимость каждого дома площадью 72 м2, включая оборудование инфраструктуры квартала, составляет 4 300 долл. США.  Эти микрорайоны располагают комплексной </w:t>
      </w:r>
      <w:r>
        <w:rPr>
          <w:szCs w:val="24"/>
        </w:rPr>
        <w:t xml:space="preserve">инфраструктурой - производственной и сферы обслуживания, - благодаря чему семьи имеют возможность проживать в благоустроенном с точки зрения коммунального хозяйства квартале и поддерживать в хорошем состоянии свои жилища. </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szCs w:val="24"/>
        </w:rPr>
      </w:pPr>
      <w:r>
        <w:rPr>
          <w:szCs w:val="24"/>
        </w:rPr>
        <w:t xml:space="preserve">301. </w:t>
      </w:r>
      <w:r>
        <w:rPr>
          <w:szCs w:val="24"/>
        </w:rPr>
        <w:tab/>
        <w:t xml:space="preserve">Программа смогла пробудить социальную активность и организованность бенефициаров, подняв на новый уровень взаимопомощь, например, в приобретении материалов и руководстве работами.  Достигнут прогресс и в производственном плане: поскольку речь шла не о покупке уже готовых домов, были образованы небольшие кооперативные производства, которые взяли на себя строительный этап (изготовление пиломатериалов:  столярный цех;  производство металлоизделий: кузнечный цех; производство железобетонных изделий: завод по изготовлению элементов железобетонных конструкций). </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left" w:pos="567"/>
          <w:tab w:val="left" w:pos="1134"/>
          <w:tab w:val="left" w:pos="1701"/>
          <w:tab w:val="left" w:pos="2268"/>
          <w:tab w:val="left" w:pos="7938"/>
        </w:tabs>
        <w:rPr>
          <w:szCs w:val="24"/>
        </w:rPr>
      </w:pPr>
      <w:r>
        <w:rPr>
          <w:szCs w:val="24"/>
        </w:rPr>
        <w:t xml:space="preserve">302. </w:t>
      </w:r>
      <w:r>
        <w:rPr>
          <w:szCs w:val="24"/>
        </w:rPr>
        <w:tab/>
        <w:t xml:space="preserve">Для реализации и руководства программой были привлечены различные ведомства и организации.  Так, работы велись во взаимодействии с государственными учреждениями, занимающимися вопросами водоснабжения и уборки мусора.  Что касается местной школы, вопросы согласовывались с министерством образования и культуры, а также со Шведским центром сотрудничества, который выделяет фонды на строительство школьных учреждений.  Большой импульс развития был дан местным производственным кооперативам (по изготовлению пиломатериалов, металлоизделий, элементов железобетонных конструкций), возникшим в результате строительства жилого района (бенефициарами стали 135 семей). </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left" w:pos="567"/>
          <w:tab w:val="left" w:pos="1134"/>
          <w:tab w:val="left" w:pos="1701"/>
          <w:tab w:val="left" w:pos="2268"/>
          <w:tab w:val="left" w:pos="7938"/>
        </w:tabs>
        <w:rPr>
          <w:szCs w:val="24"/>
        </w:rPr>
      </w:pPr>
      <w:r>
        <w:rPr>
          <w:szCs w:val="24"/>
        </w:rPr>
        <w:t xml:space="preserve">303. </w:t>
      </w:r>
      <w:r>
        <w:rPr>
          <w:szCs w:val="24"/>
        </w:rPr>
        <w:tab/>
        <w:t xml:space="preserve">С января 2005 года в жизнь проводятся экспериментальный план, в соответствии с которым в рамках Системы социальной защиты и развития разработаны обычные и специальные программы по предоставлению социального жилья; программа "Теко-Пора" по предоставлению социального жилья семьям, проживающим в условиях нищеты и имеющим детей в возрасте до 14 лет;  программа "Абрасо", направленная на защиту детей, работающих на улице, и их семей; программа "Ньопитиво" для семей, проживающих в местечке Пуэрто-Касадо.  Работа с семьями заключается в проведении просветительно-воспитательных мероприятий, нацеленных на их членов, главным образом матерей и отцов;  в мониторинге того, как члены семей, особенно неблагополучных, исполняют свои обязанности; в работе с местными общинами.  Так называемые "семейные вожатые" помогают семьям в укреплении всех аспектов, связанных с личностным, семейным и общественным развитием бенефициаров, в том что касается питания, здоровья и образования, оценивают, как они заботятся сами о себе и членах своей семьи, какие отношения поддерживают с другими членами общины. </w:t>
      </w:r>
    </w:p>
    <w:p w:rsidR="00000000" w:rsidRDefault="00000000">
      <w:pPr>
        <w:shd w:val="clear" w:color="auto" w:fill="FFFFFF"/>
        <w:tabs>
          <w:tab w:val="left" w:pos="567"/>
          <w:tab w:val="left" w:pos="1134"/>
          <w:tab w:val="left" w:pos="1701"/>
          <w:tab w:val="left" w:pos="2268"/>
          <w:tab w:val="left" w:pos="7938"/>
        </w:tabs>
        <w:rPr>
          <w:szCs w:val="24"/>
        </w:rPr>
      </w:pPr>
    </w:p>
    <w:p w:rsidR="00000000" w:rsidRDefault="00000000">
      <w:pPr>
        <w:shd w:val="clear" w:color="auto" w:fill="FFFFFF"/>
        <w:tabs>
          <w:tab w:val="left" w:pos="567"/>
          <w:tab w:val="left" w:pos="1134"/>
          <w:tab w:val="left" w:pos="1701"/>
          <w:tab w:val="left" w:pos="2268"/>
          <w:tab w:val="left" w:pos="7938"/>
        </w:tabs>
        <w:rPr>
          <w:szCs w:val="26"/>
        </w:rPr>
      </w:pPr>
      <w:r>
        <w:rPr>
          <w:szCs w:val="24"/>
        </w:rPr>
        <w:t xml:space="preserve">304. </w:t>
      </w:r>
      <w:r>
        <w:rPr>
          <w:szCs w:val="24"/>
        </w:rPr>
        <w:tab/>
        <w:t xml:space="preserve">Система социальной защиты и развития подразумевает целый ряд программ (в том числе улучшение питания и здравоохранения детей, сохранение их здоровья, повышение школьной посещаемости и успеваемости детей и подростков, развитие в них любви к труду и предприимчивости), которые отвечают тем рискам, с которыми ведется борьба. </w:t>
      </w:r>
      <w:r>
        <w:rPr>
          <w:szCs w:val="26"/>
        </w:rPr>
        <w:t xml:space="preserve">Здоровье, воспитание и питание считаются главными сферами, где наиболее проявляется бедность, и ее преодоление в них является стратегической задачей, чтобы разорвать порочный круг воспроизводства нищеты.  Программы, реализуемые в рамках Системы социальной защиты и развития, дают беднейшим слоям населения возможность получать дополнительные средства, помогающие им удовлетворять свои основные потребности.  Кроме того, они позволяют им повысить свой человеческий капитал в плане образования, сохранения здоровья и трудоспособности.  В настоящее время по линии Системы социальной защиты и развития содействие и помощь оказывается 3 054 семьям в рамках программы "Теко-Пора", что составляет 76% от запланированного количества.  Бенефициарами программы "Абрасо" являются 279 семей, а программа "Ньопитиво" охватывает 459 семей. </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b/>
          <w:bCs/>
          <w:szCs w:val="26"/>
        </w:rPr>
      </w:pPr>
      <w:r>
        <w:rPr>
          <w:b/>
          <w:bCs/>
          <w:szCs w:val="26"/>
        </w:rPr>
        <w:tab/>
        <w:t>1.3</w:t>
      </w:r>
      <w:r>
        <w:rPr>
          <w:b/>
          <w:bCs/>
          <w:szCs w:val="26"/>
        </w:rPr>
        <w:tab/>
        <w:t>Вызовы системе защиты семьи</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szCs w:val="26"/>
        </w:rPr>
      </w:pPr>
      <w:r>
        <w:rPr>
          <w:szCs w:val="26"/>
        </w:rPr>
        <w:t xml:space="preserve">305. </w:t>
      </w:r>
      <w:r>
        <w:rPr>
          <w:szCs w:val="26"/>
        </w:rPr>
        <w:tab/>
        <w:t xml:space="preserve">Несмотря на все эти усилия, а также учитывая ограниченность ресурсов, которыми располагает Парагвай как развивающаяся страна с серьезными трудностями в сфере экономического роста, не позволяющими удовлетворить потребности самых уязвимых слоев населения, многим семьям недоступен даже минимальный уровень социальной защиты.  Согласно данным Постоянного обследования домашних хозяйств, проведенного в 2004 году, примерно 2 миллиона 232 тысячи парагвайцев проживают за чертой бедности (39,2% населения), так как их доходы ниже прожиточного минимума. </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 xml:space="preserve">306. </w:t>
      </w:r>
      <w:r>
        <w:rPr>
          <w:szCs w:val="26"/>
        </w:rPr>
        <w:tab/>
        <w:t xml:space="preserve">В самых бедных семьях около 10,4% семейных доходов формируются за счет помощи, поступающей от родственников, которые проживают как в стране, так и за рубежом.  Суммарные доходы 20% наиболее богатых семей страны (квинтильный коэффициент) в среднем в 11 раз превышают суммарные доходы 20% наиболее бедных семей.  Около 30% семей, относящихся к 20% беднейшего населения, получают питьевую воду через Предприятие санитарных услуг Парагвая (ЕССАП) или Национальную службу санитарии окружающей среды (СЕНАСА).  В то же время им практически недоступны такие коммунальные услуги, как канализация и телефон.  С другой стороны, в наиболее бедных семьях в среднем насчитывается 6 человек - в отличие от самых богатых, в которых в среднем по 3 человека.  Увязывая эти данные с вышеприведенными, можно сделать вывод, что среднее число детей в семьях с наименьшими доходами больше.  Главенствующая роль женщины в бедных и богатых слоях населения проявляется примерно одинаково, поэтому можно утверждать, что женщина является главой в каждой четвертой семье. </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b/>
          <w:bCs/>
          <w:szCs w:val="26"/>
        </w:rPr>
      </w:pPr>
      <w:r>
        <w:rPr>
          <w:b/>
          <w:bCs/>
          <w:szCs w:val="26"/>
        </w:rPr>
        <w:t xml:space="preserve">2. </w:t>
      </w:r>
      <w:r>
        <w:rPr>
          <w:b/>
          <w:bCs/>
          <w:szCs w:val="26"/>
        </w:rPr>
        <w:tab/>
        <w:t>Система защиты материнства</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szCs w:val="26"/>
        </w:rPr>
        <w:t xml:space="preserve">307. </w:t>
      </w:r>
      <w:r>
        <w:rPr>
          <w:szCs w:val="26"/>
        </w:rPr>
        <w:tab/>
        <w:t xml:space="preserve">Кроме вышеперечисленных аспектов социального страхования, далее остановимся более детально на вопросах защиты материнства. </w:t>
      </w:r>
    </w:p>
    <w:p w:rsidR="00000000" w:rsidRDefault="00000000"/>
    <w:p w:rsidR="00000000" w:rsidRDefault="00000000">
      <w:pPr>
        <w:shd w:val="clear" w:color="auto" w:fill="FFFFFF"/>
        <w:tabs>
          <w:tab w:val="left" w:pos="567"/>
          <w:tab w:val="left" w:pos="1134"/>
          <w:tab w:val="left" w:pos="1701"/>
          <w:tab w:val="left" w:pos="2268"/>
          <w:tab w:val="left" w:pos="7938"/>
        </w:tabs>
      </w:pPr>
      <w:r>
        <w:rPr>
          <w:b/>
          <w:bCs/>
          <w:szCs w:val="24"/>
        </w:rPr>
        <w:tab/>
        <w:t>2.1</w:t>
      </w:r>
      <w:r>
        <w:rPr>
          <w:b/>
          <w:bCs/>
          <w:szCs w:val="24"/>
        </w:rPr>
        <w:tab/>
        <w:t>Содержание системы защиты</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szCs w:val="24"/>
        </w:rPr>
        <w:t>308.</w:t>
      </w:r>
      <w:r>
        <w:rPr>
          <w:szCs w:val="24"/>
        </w:rPr>
        <w:tab/>
        <w:t>Во время беременности, родов и в послеродовой период Институт социального обеспечения предоставляет застрахованной работнице, супруге либо сожительнице застрахованного работника или пенсионера установленную законом медицинскую помощь, а также обязательный дородовой и послеродовой отпуск, денежное пособие и необходимое количество молока, если она сама не может вскармливать ребенка грудью.  Дочь застрахованного работника или пенсионера, хотя и является членом его семьи, не имеет право на пособие по беременности и родам.</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b/>
          <w:bCs/>
          <w:szCs w:val="24"/>
        </w:rPr>
        <w:tab/>
        <w:t>2.2</w:t>
      </w:r>
      <w:r>
        <w:rPr>
          <w:b/>
          <w:bCs/>
          <w:szCs w:val="24"/>
        </w:rPr>
        <w:tab/>
        <w:t>Продолжительность пребывания в родильном доме</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szCs w:val="24"/>
        </w:rPr>
        <w:t>309.</w:t>
      </w:r>
      <w:r>
        <w:rPr>
          <w:szCs w:val="24"/>
        </w:rPr>
        <w:tab/>
        <w:t>Продолжительность декретного отпуска составляет 63 рабочих дня, длительность обязательного послеродового пребывания в родильном доме - 48 часов после нормальных родов и от 72 часов до 5 суток при родах посредством операции кесаревого сечения.</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ind w:left="1134" w:hanging="1134"/>
      </w:pPr>
      <w:r>
        <w:rPr>
          <w:b/>
          <w:bCs/>
          <w:szCs w:val="24"/>
        </w:rPr>
        <w:tab/>
        <w:t>2.3</w:t>
      </w:r>
      <w:r>
        <w:rPr>
          <w:b/>
          <w:bCs/>
          <w:szCs w:val="24"/>
        </w:rPr>
        <w:tab/>
        <w:t>Социальные, медицинские и экономические льготы во время декретного отпуска</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szCs w:val="24"/>
        </w:rPr>
        <w:t>310.</w:t>
      </w:r>
      <w:r>
        <w:rPr>
          <w:szCs w:val="24"/>
        </w:rPr>
        <w:tab/>
        <w:t>Страхование риска по беременности и родам предусматривает предоставление застрахованным женщинам в период беременности, родов и в послеродовой период следующих услуг:  медицинскую, хирургическую, стоматологическую, медикаментозную помощь и госпитализацию в соответствии с нормативными документами Института социального обеспечения.  Эти же права распространяются на супруга (супругу) застрахованной (застрахованного) либо на сожителя (сожительницу) соответственно, с которым они открыто, постоянно и однозначно прожили не менее двух (2) лет, предшествовавших беременности.  Наряду с этим, Трудовой кодекс в пункте 2 статьи 133 устанавливает:  "...в период своего отсутствия на отпуск по беременности и родам либо в течение любого другого дополнительного периода между предполагаемым сроком и фактической датой рождения ребенка трудящаяся женщина имеет право на получение необходимой медицинской помощи и пособия за счет системы социального обеспечения...".  Период предоставляемого по месту работы отпуска по беременности и родам может достигать 90 дней.</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b/>
          <w:bCs/>
          <w:szCs w:val="24"/>
        </w:rPr>
        <w:t>3.</w:t>
      </w:r>
      <w:r>
        <w:rPr>
          <w:b/>
          <w:bCs/>
          <w:szCs w:val="24"/>
        </w:rPr>
        <w:tab/>
        <w:t>Эволюция законодательства в пользу уязвимых слоев населения</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szCs w:val="24"/>
        </w:rPr>
        <w:t>311.</w:t>
      </w:r>
      <w:r>
        <w:rPr>
          <w:szCs w:val="24"/>
        </w:rPr>
        <w:tab/>
        <w:t xml:space="preserve">За период, охватываемый настоящим докладом, правительственные и неправительственные организации выступили инициаторами внесения ряда изменений в действующие кодексы:  трудовой, избирательный, уголовный и процессуальный.  Помимо этого, ратификация Межамериканской конвенции о предотвращении и искоренении насилия в отношении женщин и наказании за него (Белемская конвенция) и Факультативного протокола к КЛДОЖ, введение в действие Закона об усыновлении </w:t>
      </w:r>
      <w:r>
        <w:rPr>
          <w:szCs w:val="26"/>
        </w:rPr>
        <w:t>(удочерении), Закона против бытового насилия, Кодекса о детях и подростках и Аграрного кодекса, а также принятие Конвенции Организации Объединенных Наций против транснациональной организованной преступности и Протокола о предупреждении и пресечении торговли людьми, особенно женщинами и детьми, и наказании за нее знаменуют собой крупные успехи в деле законодательного регулирования защиты прав этих наиболее уязвимых слоев населения.  Важным шагом явилась и ратификации Конвенции № 100 МОТ о равном вознаграждении за труд равной ценности.  Все эти правовые документы предусматривают равенство мужчины и женщины и официально вводят защиту прав человека женщин.</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szCs w:val="26"/>
        </w:rPr>
      </w:pPr>
      <w:r>
        <w:rPr>
          <w:szCs w:val="26"/>
        </w:rPr>
        <w:t>312.</w:t>
      </w:r>
      <w:r>
        <w:rPr>
          <w:szCs w:val="26"/>
        </w:rPr>
        <w:tab/>
        <w:t>Кроме того, главный общенациональный орган по защите прав женщин, образованный на самом высоком правительственном уровне, создал аналогичные государственные структуры во всех трех ветвях власти, среди основных задач которых фигурирует обеспечение тендерного равенства, что можно расценивать как признак развития государственного строительства в этой области, направленного на постепенную децентрализацию.  Также были образованы комиссии по вопросам равенства, равноправия мужчин и женщин и социального развития в обеих палатах Национального конгресса и Консультативная комиссия по вопросам гендерного равенства и равноправия при Муниципальном совете Асунсьона - опыт, который берут в качестве примера многие муниципальные советы страны.  Секретариаты по делам женщин действуют в 17 департаментах и 135 муниципалитетах из 234 насчитывающихся на территории Парагвая.</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313.</w:t>
      </w:r>
      <w:r>
        <w:rPr>
          <w:szCs w:val="26"/>
        </w:rPr>
        <w:tab/>
        <w:t>С другой стороны, учитывая нерешенность вопроса гендерного равенства в сельской местности, а также специфику билингвизма в Парагвае, реализуется Проект двуязычного обучения взрослого населения на языках гуарани и испанском, включающий такие темы, как равенство полов, работа и здоровье в общине. Он охватывает до 70% женщин в зависимости от их занятости, воспитывая в них привычку следить за собой и своим здоровьем, способность к самореализации по месту проживания.</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jc w:val="center"/>
      </w:pPr>
      <w:r>
        <w:rPr>
          <w:b/>
          <w:bCs/>
          <w:szCs w:val="26"/>
        </w:rPr>
        <w:t>В.</w:t>
      </w:r>
      <w:r>
        <w:rPr>
          <w:b/>
          <w:bCs/>
          <w:szCs w:val="26"/>
        </w:rPr>
        <w:tab/>
        <w:t>Положение детей и подростков</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b/>
          <w:bCs/>
          <w:szCs w:val="26"/>
        </w:rPr>
        <w:t>1.</w:t>
      </w:r>
      <w:r>
        <w:rPr>
          <w:b/>
          <w:bCs/>
          <w:szCs w:val="26"/>
        </w:rPr>
        <w:tab/>
        <w:t>Специальные меры по защите детей и подростков</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pPr>
      <w:r>
        <w:rPr>
          <w:szCs w:val="26"/>
        </w:rPr>
        <w:t>314.</w:t>
      </w:r>
      <w:r>
        <w:rPr>
          <w:szCs w:val="26"/>
        </w:rPr>
        <w:tab/>
        <w:t>Национальная политика в области детства и юношества (ПОЛНА) предусматривает деятельность в интересах детей и подростков, которую ведут сообща правительство, международные органы, гражданское общество, а также детские и юношеские организации в целях проведения в жизнь эффективной политики и программ, которые позволили бы детям страны легче адаптироваться к реалиям, нуждам и требованиям времени.  Высшим органом по осуществлению такой политики является Национальный совет по делам детей и подростков, а исполнительным органом - Секретариат по делам детей и подростков.  Национальная политика в области детства и юношества разработана на десятилетний период:  2003-2013 годы.</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szCs w:val="26"/>
        </w:rPr>
      </w:pPr>
      <w:r>
        <w:rPr>
          <w:szCs w:val="26"/>
        </w:rPr>
        <w:t>315.</w:t>
      </w:r>
      <w:r>
        <w:rPr>
          <w:szCs w:val="26"/>
        </w:rPr>
        <w:tab/>
        <w:t>Цель, которую преследует ПОЛНА - "обеспечить комплексное развитие детей и подростков Парагвая, а также эффективное соблюдение их прав и полноценное пользование ими".  Это подразумевает действия по двум сходящимся направлениям: формулирование и реализация универсальной базовой политики с акцентом на права человека, которая бы обеспечила комплексную защиту всех детей и подростков;  а также разработка и осуществление на практике политики, сфокусированной на проблематике, касающейся детей и подростков как особенно уязвимых групп населения.</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316.</w:t>
      </w:r>
      <w:r>
        <w:rPr>
          <w:szCs w:val="26"/>
        </w:rPr>
        <w:tab/>
        <w:t>Чтобы реально достичь этой цели, ПОЛНА стремится изменить подход и вводит критерий приоритетности действий, пытаясь добиться наибольшей эффективности проводимых мероприятий.  При этом считается, что "непременным требованием в деле защиты наиболее уязвимых слоев населения является развитие систем предоставления необходимых услуг, адекватных по потребностям и масштабам, населению с наименьшими доходами, с тем чтобы обеспечить ему базовые возможности и пути, требуемые для достижения надлежащего уровня развития человека" (Межамериканский институт ребенка, 2002:15).</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317.</w:t>
      </w:r>
      <w:r>
        <w:rPr>
          <w:szCs w:val="26"/>
        </w:rPr>
        <w:tab/>
        <w:t xml:space="preserve">ПОЛНА также предлагает изменить традиционный подход к планируемым мероприятиям:  при составлении программ и определении услуг исходить не из возможностей и ресурсов учреждения, ведающего пособиями и льготами (предложение), а из интересов их получателя, или бенефициара, т.е. поставить в центр внимания потребности, проблемы и права детей и подростков, которых это касается, а также их семей (спрос).  См. приложение </w:t>
      </w:r>
      <w:r>
        <w:rPr>
          <w:szCs w:val="26"/>
          <w:lang w:val="en-US"/>
        </w:rPr>
        <w:t>V</w:t>
      </w:r>
      <w:r>
        <w:rPr>
          <w:szCs w:val="26"/>
        </w:rPr>
        <w:t xml:space="preserve"> "Краткое изложение Национального плана действий в интересах детей и подростков"</w:t>
      </w:r>
      <w:r>
        <w:rPr>
          <w:rStyle w:val="FootnoteReference"/>
          <w:szCs w:val="26"/>
        </w:rPr>
        <w:footnoteReference w:id="24"/>
      </w:r>
      <w:r>
        <w:rPr>
          <w:szCs w:val="26"/>
        </w:rPr>
        <w:t>.</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pPr>
      <w:r>
        <w:rPr>
          <w:b/>
          <w:bCs/>
          <w:szCs w:val="26"/>
        </w:rPr>
        <w:t>2.</w:t>
      </w:r>
      <w:r>
        <w:rPr>
          <w:b/>
          <w:bCs/>
          <w:szCs w:val="26"/>
        </w:rPr>
        <w:tab/>
        <w:t>Законодательные основы защиты</w:t>
      </w:r>
    </w:p>
    <w:p w:rsidR="00000000" w:rsidRDefault="00000000">
      <w:pPr>
        <w:shd w:val="clear" w:color="auto" w:fill="FFFFFF"/>
        <w:tabs>
          <w:tab w:val="left" w:pos="567"/>
          <w:tab w:val="left" w:pos="1134"/>
          <w:tab w:val="left" w:pos="1701"/>
          <w:tab w:val="left" w:pos="2268"/>
          <w:tab w:val="left" w:pos="7938"/>
        </w:tabs>
      </w:pPr>
    </w:p>
    <w:p w:rsidR="00000000" w:rsidRDefault="00000000">
      <w:pPr>
        <w:shd w:val="clear" w:color="auto" w:fill="FFFFFF"/>
        <w:tabs>
          <w:tab w:val="left" w:pos="567"/>
          <w:tab w:val="left" w:pos="1134"/>
          <w:tab w:val="left" w:pos="1701"/>
          <w:tab w:val="left" w:pos="2268"/>
          <w:tab w:val="left" w:pos="7938"/>
        </w:tabs>
        <w:rPr>
          <w:szCs w:val="26"/>
        </w:rPr>
      </w:pPr>
      <w:r>
        <w:rPr>
          <w:szCs w:val="26"/>
        </w:rPr>
        <w:t>318.</w:t>
      </w:r>
      <w:r>
        <w:rPr>
          <w:szCs w:val="26"/>
        </w:rPr>
        <w:tab/>
        <w:t>Прогресс в законотворческом плане наметился в связи с принятием Кодекса о детях и подростках, цель которого - воплотить принципы Конвенции о правах ребенка и доктрины комплексной защиты в законодательстве страны, относящемся к вопросам детства и юношества.</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319.</w:t>
      </w:r>
      <w:r>
        <w:rPr>
          <w:szCs w:val="26"/>
        </w:rPr>
        <w:tab/>
        <w:t>Приведем некоторые конкретные аспекты вышеназванного Кодекса:</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numPr>
          <w:ilvl w:val="0"/>
          <w:numId w:val="136"/>
        </w:numPr>
        <w:shd w:val="clear" w:color="auto" w:fill="FFFFFF"/>
        <w:tabs>
          <w:tab w:val="left" w:pos="567"/>
          <w:tab w:val="left" w:pos="1134"/>
          <w:tab w:val="left" w:pos="1701"/>
          <w:tab w:val="left" w:pos="2268"/>
          <w:tab w:val="left" w:pos="7938"/>
        </w:tabs>
        <w:ind w:left="1134" w:hanging="567"/>
      </w:pPr>
      <w:r>
        <w:rPr>
          <w:szCs w:val="26"/>
        </w:rPr>
        <w:t>открытое и однозначное признание прав и гарантий детей и подростков;</w:t>
      </w:r>
    </w:p>
    <w:p w:rsidR="00000000" w:rsidRDefault="00000000">
      <w:pPr>
        <w:shd w:val="clear" w:color="auto" w:fill="FFFFFF"/>
        <w:tabs>
          <w:tab w:val="left" w:pos="567"/>
          <w:tab w:val="left" w:pos="1134"/>
          <w:tab w:val="left" w:pos="1701"/>
          <w:tab w:val="left" w:pos="2268"/>
          <w:tab w:val="left" w:pos="7938"/>
        </w:tabs>
        <w:ind w:left="1134" w:hanging="567"/>
      </w:pPr>
    </w:p>
    <w:p w:rsidR="00000000" w:rsidRDefault="00000000">
      <w:pPr>
        <w:numPr>
          <w:ilvl w:val="0"/>
          <w:numId w:val="136"/>
        </w:numPr>
        <w:shd w:val="clear" w:color="auto" w:fill="FFFFFF"/>
        <w:tabs>
          <w:tab w:val="left" w:pos="567"/>
          <w:tab w:val="left" w:pos="1134"/>
          <w:tab w:val="left" w:pos="1701"/>
          <w:tab w:val="left" w:pos="2268"/>
          <w:tab w:val="left" w:pos="7938"/>
        </w:tabs>
        <w:ind w:left="1134" w:hanging="567"/>
        <w:rPr>
          <w:szCs w:val="26"/>
        </w:rPr>
      </w:pPr>
      <w:r>
        <w:rPr>
          <w:szCs w:val="26"/>
        </w:rPr>
        <w:t>признание прав детей и подростков на участие в принятии решений различных вопросов;</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6"/>
        </w:numPr>
        <w:shd w:val="clear" w:color="auto" w:fill="FFFFFF"/>
        <w:tabs>
          <w:tab w:val="left" w:pos="567"/>
          <w:tab w:val="left" w:pos="1134"/>
          <w:tab w:val="left" w:pos="1701"/>
          <w:tab w:val="left" w:pos="2268"/>
          <w:tab w:val="left" w:pos="7938"/>
        </w:tabs>
        <w:ind w:left="1134" w:hanging="567"/>
        <w:rPr>
          <w:szCs w:val="26"/>
        </w:rPr>
      </w:pPr>
      <w:r>
        <w:rPr>
          <w:szCs w:val="26"/>
        </w:rPr>
        <w:t>организация специализированной и децентрализованной общественной системы, которая отвечает за проведение в жизнь социальной политики, направленной на решение социальных проблем, негативно сказывающихся на соблюдении прав ребенка, другими словами, восполнение пробела в виде отсутствия нормативно-правовой базы, касающейся социальной помощи детям;</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6"/>
        </w:numPr>
        <w:shd w:val="clear" w:color="auto" w:fill="FFFFFF"/>
        <w:tabs>
          <w:tab w:val="left" w:pos="567"/>
          <w:tab w:val="left" w:pos="1134"/>
          <w:tab w:val="left" w:pos="1701"/>
          <w:tab w:val="left" w:pos="2268"/>
          <w:tab w:val="left" w:pos="7938"/>
        </w:tabs>
        <w:ind w:left="1134" w:hanging="567"/>
        <w:rPr>
          <w:szCs w:val="26"/>
        </w:rPr>
      </w:pPr>
      <w:r>
        <w:rPr>
          <w:szCs w:val="26"/>
        </w:rPr>
        <w:t>создание специализированной и структурированной судебно-правовой системы для решения вопросов, связанных с детьми и подростками, которая позволяла бы рассматривать в судах уголовные дела подростков с учетом их специфики;</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6"/>
        </w:numPr>
        <w:shd w:val="clear" w:color="auto" w:fill="FFFFFF"/>
        <w:tabs>
          <w:tab w:val="left" w:pos="567"/>
          <w:tab w:val="left" w:pos="1134"/>
          <w:tab w:val="left" w:pos="1701"/>
          <w:tab w:val="left" w:pos="2268"/>
          <w:tab w:val="left" w:pos="7938"/>
        </w:tabs>
        <w:ind w:left="1134" w:hanging="567"/>
        <w:rPr>
          <w:szCs w:val="26"/>
        </w:rPr>
      </w:pPr>
      <w:r>
        <w:rPr>
          <w:szCs w:val="26"/>
        </w:rPr>
        <w:t>рассмотрение нарушений Уголовного кодекса со стороны подростков в особом порядке с гарантированным соблюдением их прав.</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320.</w:t>
      </w:r>
      <w:r>
        <w:rPr>
          <w:szCs w:val="26"/>
        </w:rPr>
        <w:tab/>
        <w:t>Кодекс о детях и подростках в разделе, посвященном праву детей на проживание в семье (статья 8 Закона № 1680), провозглашает право ребенка и подростка на жизнь и развитие в кругу своей семьи, а в случае недостатка или отсутствия у семьи материальных средств - право на то, чтобы эти средства им предоставило государство.  Кодекс также запрещает отрывать ребенка или подростка от его семьи, лишать родителей полностью либо частично родительских прав под предлогом отсутствия или недостатка материальных средств.</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321.</w:t>
      </w:r>
      <w:r>
        <w:rPr>
          <w:szCs w:val="26"/>
        </w:rPr>
        <w:tab/>
        <w:t>Тот же Закон в статье 9 устанавливает, что защита новорожденных осуществляется с первого дня беременности женщины и до истечения 45 дней после родов.  Ответственность государства определена в статье 10:  оно должно оказывать помощь неплатежеспособной беременной женщине, предоставляя ей жилье, питание и необходимые медикаменты;  оказывать помощь беременной женщине коренной народности с проявлением самого глубокого уважения к ее культуре;  разрабатывать специальные планы помощи несовершеннолетним беременным девушкам в интересах их защиты;  пропагандировать вскармливание грудных детей материнским молоком.  Поясняется, что беременной женщине оказываются все эти услуги даже в том случае, если ребенок родится мертвым или умрет в неонатальный период.</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322.</w:t>
      </w:r>
      <w:r>
        <w:rPr>
          <w:szCs w:val="26"/>
        </w:rPr>
        <w:tab/>
        <w:t>В статье 11 говорится об обязанности оказания беременной женщине неотложной медицинской помощи в самом ближайшем от ее места проживания лечебном учреждении.  Запрещается по причине неплатежеспособности беременной женщины, нехватки мест или других средств в данном лечебном учреждении отказывать в помощи пациентке с признаками скорых родов или нуждающейся в неотложном медицинском вмешательстве либо перенаправлять ее в другое лечебное учреждение, не оказав предварительно необходимую первичную врачебную помощь.</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pPr>
      <w:r>
        <w:rPr>
          <w:szCs w:val="26"/>
        </w:rPr>
        <w:t>323.</w:t>
      </w:r>
      <w:r>
        <w:rPr>
          <w:szCs w:val="26"/>
        </w:rPr>
        <w:tab/>
        <w:t>Ни в коем случае и ни под каким предлогом нельзя задерживать новорожденного или мать в лечебном учреждении, где были приняты роды, из-за неоплаты медицинских услуг (статья 12).</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13:  закрепляет право детей и подростков на здоровье;</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14:  закрепляет право на сексуальное и репродуктивное здоровье;</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15:  устанавливает бесплатность государственных программ здравоохранения (медицинской и стоматологической помощи);</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16:  устанавливает право на защиту от вредных веществ, табачных изделий и алкогольной продукции;</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17:  касается необходимых разрешений для проведения хирургической операции в случае угрозы смерти ребенка/подростка;</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18:  устанавливает право на удостоверение личности;</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19:  вводит обязанность регистрации новорожденных;</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20:  закрепляет право на образование;</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24:  устанавливает право на доступ к культуре и занятия спортом;</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25:  закрепляет право детей и подростков на защиту от всех форм эксплуатации;</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26:  устанавливает право на подачу жалоб и прошений;</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27:  устанавливает тайну судебного и/или административного разбирательства по делам детей и подростков;</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28:  устанавливает изъятия из тайны судебного и/или административного разбирательства по делам детей и подростков;</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29:  устанавливает запрет на публикацию (в средствах массовой информации) фамилий, фотографий или данных, которые бы позволили установить личность ребенка/подростка - жертвы преступления либо предполагаемого исполнителя деяния, подлежащего наказанию;</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30:  устанавливает обязанности детей и подростков;</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31 :  запрещает использование детей и подростков в качестве объекта сексуальной торговли;</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34:  устанавливает меры защиты и помощи;</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35:  устанавливает право на убежище, которое заключается в помещении ребенка/подростка в учреждение, предназначенное для защиты и ухода за детьми (в качестве исключительной и временной меры);</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37:  создает Национальную систему защиты и комплексного развития детей и подростков (НСЗРДП);</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39:  создает Национальный секретариат по делам детей и подростков;</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42:  создает Национальный совет по делам детей и подростков и определяет его состав;</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44:  создает советы по делам детей и подростков в департаментах страны и определяет их состав;</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46:  создает советы по делам детей и подростков на уровне муниципалитетов и определяет их состав;</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numPr>
          <w:ilvl w:val="0"/>
          <w:numId w:val="137"/>
        </w:numPr>
        <w:shd w:val="clear" w:color="auto" w:fill="FFFFFF"/>
        <w:tabs>
          <w:tab w:val="left" w:pos="567"/>
          <w:tab w:val="left" w:pos="1134"/>
          <w:tab w:val="left" w:pos="1701"/>
          <w:tab w:val="left" w:pos="2268"/>
          <w:tab w:val="left" w:pos="7938"/>
        </w:tabs>
        <w:ind w:left="1134" w:hanging="567"/>
        <w:rPr>
          <w:szCs w:val="26"/>
        </w:rPr>
      </w:pPr>
      <w:r>
        <w:rPr>
          <w:szCs w:val="26"/>
        </w:rPr>
        <w:t>Статья 48:  создает муниципальные советы по правам детей и подростков.</w:t>
      </w:r>
    </w:p>
    <w:p w:rsidR="00000000" w:rsidRDefault="00000000">
      <w:pPr>
        <w:shd w:val="clear" w:color="auto" w:fill="FFFFFF"/>
        <w:tabs>
          <w:tab w:val="left" w:pos="567"/>
          <w:tab w:val="left" w:pos="1134"/>
          <w:tab w:val="left" w:pos="1701"/>
          <w:tab w:val="left" w:pos="2268"/>
          <w:tab w:val="left" w:pos="7938"/>
        </w:tabs>
        <w:ind w:left="1134" w:hanging="567"/>
        <w:rPr>
          <w:szCs w:val="26"/>
        </w:rPr>
      </w:pP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324.</w:t>
      </w:r>
      <w:r>
        <w:rPr>
          <w:szCs w:val="26"/>
        </w:rPr>
        <w:tab/>
        <w:t>Указ № 4951 от 2 марта 2005 года Национального совета по делам детей и подростков определяет список производств и работ, опасных для здоровья детей.</w:t>
      </w:r>
    </w:p>
    <w:p w:rsidR="00000000" w:rsidRDefault="00000000">
      <w:pPr>
        <w:shd w:val="clear" w:color="auto" w:fill="FFFFFF"/>
        <w:tabs>
          <w:tab w:val="left" w:pos="567"/>
          <w:tab w:val="left" w:pos="1134"/>
          <w:tab w:val="left" w:pos="1701"/>
          <w:tab w:val="left" w:pos="2268"/>
          <w:tab w:val="left" w:pos="7938"/>
        </w:tabs>
        <w:rPr>
          <w:szCs w:val="26"/>
        </w:rPr>
      </w:pPr>
    </w:p>
    <w:p w:rsidR="00000000" w:rsidRDefault="00000000">
      <w:pPr>
        <w:shd w:val="clear" w:color="auto" w:fill="FFFFFF"/>
        <w:tabs>
          <w:tab w:val="left" w:pos="567"/>
          <w:tab w:val="left" w:pos="1134"/>
          <w:tab w:val="left" w:pos="1701"/>
          <w:tab w:val="left" w:pos="2268"/>
          <w:tab w:val="left" w:pos="7938"/>
        </w:tabs>
        <w:rPr>
          <w:szCs w:val="26"/>
        </w:rPr>
      </w:pPr>
      <w:r>
        <w:rPr>
          <w:szCs w:val="26"/>
        </w:rPr>
        <w:t>325.</w:t>
      </w:r>
      <w:r>
        <w:rPr>
          <w:szCs w:val="26"/>
        </w:rPr>
        <w:tab/>
        <w:t>В статье 1 Закона № 1136/97 говорится, что усыновление (удочерение) представляет собой правовой институт, направленный на защиту ребенка и подростка в рамках семьи и общества под контролем государства.  Приемный ребенок входит в состав семьи или образует семью с усыновителем в качестве сына (дочери) и перестает принадлежать к своей единокровной семье, за исключением случаев усыновления (удочерения) со стороны одного из супругов или сожителей.</w:t>
      </w:r>
    </w:p>
    <w:p w:rsidR="00000000" w:rsidRDefault="00000000"/>
    <w:p w:rsidR="00000000" w:rsidRDefault="00000000">
      <w:r>
        <w:t>326.</w:t>
      </w:r>
      <w:r>
        <w:tab/>
        <w:t>Муниципальные советы по правам детей и подростков (КОДЕНИ) - не обладающая юрисдикционными полномочиями инстанция, созданная в соответствии с Кодексом о детях и подростках, - занимаются на постоянной основе оказанием бесплатных услуг по защите, поощрению и отстаиванию прав ребенка.  Их решения могут быть пересмотрены по ходатайству ребенка или его опекуна, а их сотрудники могут быть признаны несоответствующими занимаемой должности в случае использования своего положения ради личной выгоды и/или совершения поступков, представляющих собой нарушение действующих законов.</w:t>
      </w:r>
    </w:p>
    <w:p w:rsidR="00000000" w:rsidRDefault="00000000"/>
    <w:p w:rsidR="00000000" w:rsidRDefault="00000000">
      <w:r>
        <w:t>327.</w:t>
      </w:r>
      <w:r>
        <w:tab/>
        <w:t>Функции этих муниципальных советов в соответствии со статьей 50 Кодекса о детях и подростках (Закон № 1680/1) заключаются в следующем:</w:t>
      </w:r>
    </w:p>
    <w:p w:rsidR="00000000" w:rsidRDefault="00000000"/>
    <w:p w:rsidR="00000000" w:rsidRDefault="00000000">
      <w:r>
        <w:tab/>
      </w:r>
      <w:r>
        <w:rPr>
          <w:lang w:val="en-US"/>
        </w:rPr>
        <w:t>a</w:t>
      </w:r>
      <w:r>
        <w:t>)</w:t>
      </w:r>
      <w:r>
        <w:tab/>
        <w:t>осуществлять превентивное вмешательство в случае угрозы нарушения прав ребенка или подростка, когда при этом не задействуются судебные органы, в качестве альтернативного варианта урегулирования конфликтов;</w:t>
      </w:r>
    </w:p>
    <w:p w:rsidR="00000000" w:rsidRDefault="00000000"/>
    <w:p w:rsidR="00000000" w:rsidRDefault="00000000">
      <w:r>
        <w:tab/>
      </w:r>
      <w:r>
        <w:rPr>
          <w:lang w:val="en-US"/>
        </w:rPr>
        <w:t>b</w:t>
      </w:r>
      <w:r>
        <w:t>)</w:t>
      </w:r>
      <w:r>
        <w:tab/>
        <w:t>проводить разъяснительную работу с семьями с привлечением конкретной информации в целях недопущения возникновения критических ситуаций;</w:t>
      </w:r>
    </w:p>
    <w:p w:rsidR="00000000" w:rsidRDefault="00000000"/>
    <w:p w:rsidR="00000000" w:rsidRDefault="00000000">
      <w:r>
        <w:tab/>
      </w:r>
      <w:r>
        <w:rPr>
          <w:lang w:val="en-US"/>
        </w:rPr>
        <w:t>c</w:t>
      </w:r>
      <w:r>
        <w:t>)</w:t>
      </w:r>
      <w:r>
        <w:tab/>
        <w:t>оказывать содействие деятельности государственных и частных организаций, занимающихся осуществлением программ защиты, и закрывать их в тех случаях, когда для этого есть основания;</w:t>
      </w:r>
    </w:p>
    <w:p w:rsidR="00000000" w:rsidRDefault="00000000"/>
    <w:p w:rsidR="00000000" w:rsidRDefault="00000000">
      <w:r>
        <w:tab/>
      </w:r>
      <w:r>
        <w:rPr>
          <w:lang w:val="en-US"/>
        </w:rPr>
        <w:t>d</w:t>
      </w:r>
      <w:r>
        <w:t>)</w:t>
      </w:r>
      <w:r>
        <w:tab/>
        <w:t>направлять в судебные органы дела, которые относятся к их компетенции;</w:t>
      </w:r>
    </w:p>
    <w:p w:rsidR="00000000" w:rsidRDefault="00000000"/>
    <w:p w:rsidR="00000000" w:rsidRDefault="00000000">
      <w:r>
        <w:tab/>
      </w:r>
      <w:r>
        <w:rPr>
          <w:lang w:val="en-US"/>
        </w:rPr>
        <w:t>e</w:t>
      </w:r>
      <w:r>
        <w:t>)</w:t>
      </w:r>
      <w:r>
        <w:tab/>
        <w:t>составлять списки детей и подростков, занимающихся трудовой деятельностью, в целях содействия осуществлению программ их защиты и оказания помощи их семьям;</w:t>
      </w:r>
    </w:p>
    <w:p w:rsidR="00000000" w:rsidRDefault="00000000"/>
    <w:p w:rsidR="00000000" w:rsidRDefault="00000000">
      <w:r>
        <w:tab/>
      </w:r>
      <w:r>
        <w:rPr>
          <w:lang w:val="en-US"/>
        </w:rPr>
        <w:t>f</w:t>
      </w:r>
      <w:r>
        <w:t>)</w:t>
      </w:r>
      <w:r>
        <w:tab/>
        <w:t>оказывать содействие принятию мер, являющихся альтернативой лишению свободы;</w:t>
      </w:r>
    </w:p>
    <w:p w:rsidR="00000000" w:rsidRDefault="00000000"/>
    <w:p w:rsidR="00000000" w:rsidRDefault="00000000">
      <w:r>
        <w:tab/>
      </w:r>
      <w:r>
        <w:rPr>
          <w:lang w:val="en-US"/>
        </w:rPr>
        <w:t>g</w:t>
      </w:r>
      <w:r>
        <w:t>)</w:t>
      </w:r>
      <w:r>
        <w:tab/>
        <w:t>координировать с учреждениями, занимающимися подготовкой кадров, профессионально-техническую подготовку работающих подростков;  и</w:t>
      </w:r>
    </w:p>
    <w:p w:rsidR="00000000" w:rsidRDefault="00000000"/>
    <w:p w:rsidR="00000000" w:rsidRDefault="00000000">
      <w:r>
        <w:tab/>
      </w:r>
      <w:r>
        <w:rPr>
          <w:lang w:val="en-US"/>
        </w:rPr>
        <w:t>h</w:t>
      </w:r>
      <w:r>
        <w:t>)</w:t>
      </w:r>
      <w:r>
        <w:tab/>
        <w:t>организовывать работу яслей и детских садов в целях обеспечения присмотра за детьми, чьи родители работают вне дома.</w:t>
      </w:r>
    </w:p>
    <w:p w:rsidR="00000000" w:rsidRDefault="00000000"/>
    <w:p w:rsidR="00000000" w:rsidRDefault="00000000">
      <w:r>
        <w:t>328.</w:t>
      </w:r>
      <w:r>
        <w:tab/>
        <w:t>В случае подтверждения угрозы для прав ребенка или их нарушения, когда ребенок или подросток оказываются в ситуациях, требующих защиты и поддержки, в соответствии со статьей 34 Кодекса о детях и подростках принимаются следующие меры:</w:t>
      </w:r>
    </w:p>
    <w:p w:rsidR="00000000" w:rsidRDefault="00000000"/>
    <w:p w:rsidR="00000000" w:rsidRDefault="00000000">
      <w:r>
        <w:tab/>
      </w:r>
      <w:r>
        <w:rPr>
          <w:lang w:val="en-US"/>
        </w:rPr>
        <w:t>a</w:t>
      </w:r>
      <w:r>
        <w:t>)</w:t>
      </w:r>
      <w:r>
        <w:tab/>
        <w:t>предупреждение отца, матери, опекуна или ответственного лица;</w:t>
      </w:r>
    </w:p>
    <w:p w:rsidR="00000000" w:rsidRDefault="00000000"/>
    <w:p w:rsidR="00000000" w:rsidRDefault="00000000">
      <w:r>
        <w:tab/>
      </w:r>
      <w:r>
        <w:rPr>
          <w:lang w:val="en-US"/>
        </w:rPr>
        <w:t>b</w:t>
      </w:r>
      <w:r>
        <w:t>)</w:t>
      </w:r>
      <w:r>
        <w:tab/>
        <w:t>проведение разъяснительной работы с ребенком или подростком и его семьей;</w:t>
      </w:r>
    </w:p>
    <w:p w:rsidR="00000000" w:rsidRDefault="00000000"/>
    <w:p w:rsidR="00000000" w:rsidRDefault="00000000">
      <w:r>
        <w:tab/>
      </w:r>
      <w:r>
        <w:rPr>
          <w:lang w:val="en-US"/>
        </w:rPr>
        <w:t>c</w:t>
      </w:r>
      <w:r>
        <w:t>)</w:t>
      </w:r>
      <w:r>
        <w:tab/>
        <w:t>временное предоставление ребенку или подростку и членам их семьи сопровождающих;</w:t>
      </w:r>
    </w:p>
    <w:p w:rsidR="00000000" w:rsidRDefault="00000000"/>
    <w:p w:rsidR="00000000" w:rsidRDefault="00000000">
      <w:r>
        <w:tab/>
      </w:r>
      <w:r>
        <w:rPr>
          <w:lang w:val="en-US"/>
        </w:rPr>
        <w:t>d</w:t>
      </w:r>
      <w:r>
        <w:t>)</w:t>
      </w:r>
      <w:r>
        <w:tab/>
        <w:t>направление ребенка в одно из заведений системы начального образования с обязательным его посещением;</w:t>
      </w:r>
    </w:p>
    <w:p w:rsidR="00000000" w:rsidRDefault="00000000"/>
    <w:p w:rsidR="00000000" w:rsidRDefault="00000000">
      <w:r>
        <w:tab/>
      </w:r>
      <w:r>
        <w:rPr>
          <w:lang w:val="en-US"/>
        </w:rPr>
        <w:t>e</w:t>
      </w:r>
      <w:r>
        <w:t>)</w:t>
      </w:r>
      <w:r>
        <w:tab/>
        <w:t>оказание медицинской и психологической помощи;</w:t>
      </w:r>
    </w:p>
    <w:p w:rsidR="00000000" w:rsidRDefault="00000000"/>
    <w:p w:rsidR="00000000" w:rsidRDefault="00000000">
      <w:r>
        <w:tab/>
      </w:r>
      <w:r>
        <w:rPr>
          <w:lang w:val="en-US"/>
        </w:rPr>
        <w:t>f</w:t>
      </w:r>
      <w:r>
        <w:t>)</w:t>
      </w:r>
      <w:r>
        <w:tab/>
        <w:t>в чрезвычайных ситуациях - предоставление материальных средств для содержания ребенка или подростка;</w:t>
      </w:r>
    </w:p>
    <w:p w:rsidR="00000000" w:rsidRDefault="00000000"/>
    <w:p w:rsidR="00000000" w:rsidRDefault="00000000">
      <w:r>
        <w:tab/>
      </w:r>
      <w:r>
        <w:rPr>
          <w:lang w:val="en-US"/>
        </w:rPr>
        <w:t>g</w:t>
      </w:r>
      <w:r>
        <w:t>)</w:t>
      </w:r>
      <w:r>
        <w:tab/>
        <w:t>предоставление крова;</w:t>
      </w:r>
    </w:p>
    <w:p w:rsidR="00000000" w:rsidRDefault="00000000"/>
    <w:p w:rsidR="00000000" w:rsidRDefault="00000000">
      <w:r>
        <w:tab/>
      </w:r>
      <w:r>
        <w:rPr>
          <w:lang w:val="en-US"/>
        </w:rPr>
        <w:t>h</w:t>
      </w:r>
      <w:r>
        <w:t>)</w:t>
      </w:r>
      <w:r>
        <w:tab/>
        <w:t>помещение ребенка или подростка в другую семью;  и</w:t>
      </w:r>
    </w:p>
    <w:p w:rsidR="00000000" w:rsidRDefault="00000000"/>
    <w:p w:rsidR="00000000" w:rsidRDefault="00000000">
      <w:r>
        <w:tab/>
      </w:r>
      <w:r>
        <w:rPr>
          <w:lang w:val="en-US"/>
        </w:rPr>
        <w:t>i</w:t>
      </w:r>
      <w:r>
        <w:t>)</w:t>
      </w:r>
      <w:r>
        <w:tab/>
        <w:t>помещение ребенка или подростка в домохозяйство.</w:t>
      </w:r>
    </w:p>
    <w:p w:rsidR="00000000" w:rsidRDefault="00000000"/>
    <w:p w:rsidR="00000000" w:rsidRDefault="00000000">
      <w:r>
        <w:t xml:space="preserve">В случае принятия мер, изложенных в подпунктах </w:t>
      </w:r>
      <w:r>
        <w:rPr>
          <w:lang w:val="en-US"/>
        </w:rPr>
        <w:t>g</w:t>
      </w:r>
      <w:r>
        <w:t>-</w:t>
      </w:r>
      <w:r>
        <w:rPr>
          <w:lang w:val="en-US"/>
        </w:rPr>
        <w:t>i</w:t>
      </w:r>
      <w:r>
        <w:t xml:space="preserve"> этой статьи, соответствующее решение должно быть подтверждено судебным органом.</w:t>
      </w:r>
    </w:p>
    <w:p w:rsidR="00000000" w:rsidRDefault="00000000"/>
    <w:p w:rsidR="00000000" w:rsidRDefault="00000000">
      <w:r>
        <w:t>329.</w:t>
      </w:r>
      <w:r>
        <w:tab/>
        <w:t>Что касается действующего законодательства в этой области, то в настоящее время в нем предусмотрены многочисленные меры защиты как по линии таких административных органов, как КОДЕНИ, так и по линии судебных органов, особенно в том, что касается решений судебных органов по детям в приютах, которые уклоняются от своей обязанности обеспечивать уход.</w:t>
      </w:r>
    </w:p>
    <w:p w:rsidR="00000000" w:rsidRDefault="00000000"/>
    <w:p w:rsidR="00000000" w:rsidRDefault="00000000">
      <w:pPr>
        <w:rPr>
          <w:b/>
          <w:bCs/>
        </w:rPr>
      </w:pPr>
      <w:r>
        <w:tab/>
      </w:r>
      <w:r>
        <w:rPr>
          <w:b/>
          <w:bCs/>
        </w:rPr>
        <w:t>2.1</w:t>
      </w:r>
      <w:r>
        <w:rPr>
          <w:b/>
          <w:bCs/>
        </w:rPr>
        <w:tab/>
        <w:t>Национальный совет по делам детей и подростков</w:t>
      </w:r>
    </w:p>
    <w:p w:rsidR="00000000" w:rsidRDefault="00000000">
      <w:pPr>
        <w:rPr>
          <w:b/>
          <w:bCs/>
        </w:rPr>
      </w:pPr>
    </w:p>
    <w:p w:rsidR="00000000" w:rsidRDefault="00000000">
      <w:r>
        <w:t>330.</w:t>
      </w:r>
      <w:r>
        <w:tab/>
        <w:t>Этот Совет будет учрежден Исполнительным секретарем Национального секретариата по делам детей и подростков, и в его составе будут представлены:</w:t>
      </w:r>
    </w:p>
    <w:p w:rsidR="00000000" w:rsidRDefault="00000000"/>
    <w:p w:rsidR="00000000" w:rsidRDefault="00000000">
      <w:pPr>
        <w:ind w:left="1134" w:hanging="567"/>
      </w:pPr>
      <w:r>
        <w:t>-</w:t>
      </w:r>
      <w:r>
        <w:tab/>
        <w:t>Национальный секретариат по делам детей и подростков;</w:t>
      </w:r>
    </w:p>
    <w:p w:rsidR="00000000" w:rsidRDefault="00000000">
      <w:pPr>
        <w:ind w:left="1134" w:hanging="567"/>
      </w:pPr>
    </w:p>
    <w:p w:rsidR="00000000" w:rsidRDefault="00000000">
      <w:r>
        <w:rPr>
          <w:lang w:val="en-US"/>
        </w:rPr>
        <w:tab/>
      </w:r>
      <w:r>
        <w:t>-</w:t>
      </w:r>
      <w:r>
        <w:tab/>
        <w:t>министерство здравоохранения и социального обеспечения;</w:t>
      </w:r>
    </w:p>
    <w:p w:rsidR="00000000" w:rsidRDefault="00000000"/>
    <w:p w:rsidR="00000000" w:rsidRDefault="00000000">
      <w:r>
        <w:tab/>
        <w:t>-</w:t>
      </w:r>
      <w:r>
        <w:tab/>
        <w:t>министерство образования и культуры;</w:t>
      </w:r>
    </w:p>
    <w:p w:rsidR="00000000" w:rsidRDefault="00000000"/>
    <w:p w:rsidR="00000000" w:rsidRDefault="00000000">
      <w:r>
        <w:tab/>
        <w:t>-</w:t>
      </w:r>
      <w:r>
        <w:tab/>
        <w:t>министерство юстиции и труда;</w:t>
      </w:r>
    </w:p>
    <w:p w:rsidR="00000000" w:rsidRDefault="00000000"/>
    <w:p w:rsidR="00000000" w:rsidRDefault="00000000">
      <w:r>
        <w:tab/>
        <w:t>-</w:t>
      </w:r>
      <w:r>
        <w:tab/>
        <w:t>министерство национальной обороны;</w:t>
      </w:r>
    </w:p>
    <w:p w:rsidR="00000000" w:rsidRDefault="00000000"/>
    <w:p w:rsidR="00000000" w:rsidRDefault="00000000">
      <w:r>
        <w:tab/>
        <w:t>-</w:t>
      </w:r>
      <w:r>
        <w:tab/>
        <w:t>генеральная прокуратура;</w:t>
      </w:r>
    </w:p>
    <w:p w:rsidR="00000000" w:rsidRDefault="00000000"/>
    <w:p w:rsidR="00000000" w:rsidRDefault="00000000">
      <w:r>
        <w:tab/>
        <w:t>-</w:t>
      </w:r>
      <w:r>
        <w:tab/>
        <w:t>советы департаментов;</w:t>
      </w:r>
    </w:p>
    <w:p w:rsidR="00000000" w:rsidRDefault="00000000"/>
    <w:p w:rsidR="00000000" w:rsidRDefault="00000000">
      <w:pPr>
        <w:ind w:left="1134" w:hanging="1134"/>
      </w:pPr>
      <w:r>
        <w:tab/>
        <w:t>-</w:t>
      </w:r>
      <w:r>
        <w:tab/>
        <w:t>общенациональные общественные некоммерческие неправительственные организации.</w:t>
      </w:r>
    </w:p>
    <w:p w:rsidR="00000000" w:rsidRDefault="00000000">
      <w:pPr>
        <w:ind w:left="1134" w:hanging="1134"/>
      </w:pPr>
    </w:p>
    <w:p w:rsidR="00000000" w:rsidRDefault="00000000">
      <w:r>
        <w:t>331.</w:t>
      </w:r>
      <w:r>
        <w:tab/>
        <w:t>Функции Совета заключаются, среди прочего, в том чтобы разрабатывать политику поощрения, поддержки и защиты прав детей и подростков и утверждать подготовленные Национальным секретариатом по делам детей и подростков конкретные планы и программы и контролировать их осуществление.</w:t>
      </w:r>
    </w:p>
    <w:p w:rsidR="00000000" w:rsidRDefault="00000000"/>
    <w:p w:rsidR="00000000" w:rsidRDefault="00000000">
      <w:pPr>
        <w:keepNext/>
        <w:rPr>
          <w:b/>
          <w:bCs/>
        </w:rPr>
      </w:pPr>
      <w:r>
        <w:rPr>
          <w:b/>
          <w:bCs/>
        </w:rPr>
        <w:t>3.</w:t>
      </w:r>
      <w:r>
        <w:rPr>
          <w:b/>
          <w:bCs/>
        </w:rPr>
        <w:tab/>
        <w:t>Муниципальный совет по правам детей и подростков (КОДЕНИ)</w:t>
      </w:r>
    </w:p>
    <w:p w:rsidR="00000000" w:rsidRDefault="00000000">
      <w:pPr>
        <w:keepNext/>
        <w:rPr>
          <w:b/>
          <w:bCs/>
        </w:rPr>
      </w:pPr>
    </w:p>
    <w:p w:rsidR="00000000" w:rsidRDefault="00000000">
      <w:pPr>
        <w:keepNext/>
      </w:pPr>
      <w:r>
        <w:t>332.</w:t>
      </w:r>
      <w:r>
        <w:tab/>
        <w:t xml:space="preserve">Задача этого органа состоит в том, чтобы на постоянной основе оказывать бесплатные услуги по защите, поощрению и отстаиванию прав детей и подростков.  При этом он не наделен юрисдикционными полномочиями.  Функции КОДЕНИ, среди прочего, заключаются в принятии и контроле за осуществлением следующих мер:  а)  специальная защита детей и подростков без какой-либо дискриминации по признаку принадлежности или по какой-то иной причине;  </w:t>
      </w:r>
      <w:r>
        <w:rPr>
          <w:lang w:val="en-US"/>
        </w:rPr>
        <w:t>b</w:t>
      </w:r>
      <w:r>
        <w:t xml:space="preserve">)  защита детей и подростков от экономической и социальной эксплуатации;  с)  выявление случаев привлечения несовершеннолетних к работам, вредно сказывающимся на их моральном состоянии и здоровье или создающим любую иную угрозу для их жизни;  </w:t>
      </w:r>
      <w:r>
        <w:rPr>
          <w:lang w:val="en-US"/>
        </w:rPr>
        <w:t>d</w:t>
      </w:r>
      <w:r>
        <w:t>)  контроль за соблюдением положений о минимальном возрасте при приеме детей на оплачиваемую работу.</w:t>
      </w:r>
    </w:p>
    <w:p w:rsidR="00000000" w:rsidRDefault="00000000">
      <w:pPr>
        <w:keepNext/>
      </w:pPr>
    </w:p>
    <w:p w:rsidR="00000000" w:rsidRDefault="00000000">
      <w:pPr>
        <w:rPr>
          <w:b/>
          <w:bCs/>
        </w:rPr>
      </w:pPr>
      <w:r>
        <w:rPr>
          <w:b/>
          <w:bCs/>
        </w:rPr>
        <w:t>4.</w:t>
      </w:r>
      <w:r>
        <w:rPr>
          <w:b/>
          <w:bCs/>
        </w:rPr>
        <w:tab/>
        <w:t>Конкретные меры, принимаемые в интересах детей и подростков</w:t>
      </w:r>
    </w:p>
    <w:p w:rsidR="00000000" w:rsidRDefault="00000000">
      <w:pPr>
        <w:rPr>
          <w:b/>
          <w:bCs/>
        </w:rPr>
      </w:pPr>
    </w:p>
    <w:p w:rsidR="00000000" w:rsidRDefault="00000000">
      <w:r>
        <w:t>333.</w:t>
      </w:r>
      <w:r>
        <w:tab/>
        <w:t>Цель Национального плана действий в интересах детей и подростков на пятилетний период (2003-2008 годов) заключается в расширении возможностей всех детей и подростков пользоваться их основными правами и свободами;  одна из его оперативных установок заключается в укреплении семьи (эта тема красной нитью проходит через все планы, программы и проекты Секретариата по делам детей и подростков), и особенно защите детей в раннем возрасте.</w:t>
      </w:r>
    </w:p>
    <w:p w:rsidR="00000000" w:rsidRDefault="00000000"/>
    <w:p w:rsidR="00000000" w:rsidRDefault="00000000">
      <w:r>
        <w:t>334.</w:t>
      </w:r>
      <w:r>
        <w:tab/>
        <w:t>В этой связи министерство образования и культуры и Межамериканский банк развития осуществляют проект "Компонент 4:  неформальное начальное образование", исходя из того, что в первые годы жизни ребенок требует к себе самого пристального внимания, поскольку второго шанса хорошо начать свою жизнь у ребенка не будет, и тех последствий, которые это имеет для остальных этапов жизни.</w:t>
      </w:r>
    </w:p>
    <w:p w:rsidR="00000000" w:rsidRDefault="00000000"/>
    <w:p w:rsidR="00000000" w:rsidRDefault="00000000">
      <w:r>
        <w:t>335.</w:t>
      </w:r>
      <w:r>
        <w:tab/>
        <w:t>В рамках Программы совершенствования начального и дошкольного образования, озаглавленной "Компонент 4:  уделение внимания неформальному образованию детей в раннем возрасте", была достигнута договоренность о ее передаче - начиная с июля - в ведение Секретариата по делам детей и подростков и обеспечении осуществления соглашения между министерством образования и культуры и Национальным секретариатом по делам детей и подростков, что выразилось в проведении следующих мероприятий:</w:t>
      </w:r>
    </w:p>
    <w:p w:rsidR="00000000" w:rsidRDefault="00000000"/>
    <w:p w:rsidR="00000000" w:rsidRDefault="00000000">
      <w:pPr>
        <w:ind w:left="1134" w:hanging="1134"/>
      </w:pPr>
      <w:r>
        <w:tab/>
        <w:t>-</w:t>
      </w:r>
      <w:r>
        <w:tab/>
        <w:t>был организован целый ряд национальных форумов по вопросам комплексного ухода за детьми в раннем возрасте;</w:t>
      </w:r>
    </w:p>
    <w:p w:rsidR="00000000" w:rsidRDefault="00000000">
      <w:pPr>
        <w:ind w:left="1134" w:hanging="1134"/>
      </w:pPr>
    </w:p>
    <w:p w:rsidR="00000000" w:rsidRDefault="00000000">
      <w:pPr>
        <w:ind w:left="1134" w:hanging="1134"/>
      </w:pPr>
      <w:r>
        <w:tab/>
        <w:t>-</w:t>
      </w:r>
      <w:r>
        <w:tab/>
        <w:t>была распространена информация об осуществлении "Компонента 4" в целях разработки государственной политики в отношении детей в раннем возрасте посредством проведения трех региональных форумов, в работе которых приняли участие 210 представителей различных организаций;</w:t>
      </w:r>
    </w:p>
    <w:p w:rsidR="00000000" w:rsidRDefault="00000000">
      <w:pPr>
        <w:ind w:left="1134" w:hanging="1134"/>
      </w:pPr>
    </w:p>
    <w:p w:rsidR="00000000" w:rsidRDefault="00000000">
      <w:pPr>
        <w:ind w:left="1134" w:hanging="1134"/>
      </w:pPr>
      <w:r>
        <w:tab/>
        <w:t>-</w:t>
      </w:r>
      <w:r>
        <w:tab/>
        <w:t>был организован международный форум, в работе которого приняли участие 554 представителя различных организаций;</w:t>
      </w:r>
    </w:p>
    <w:p w:rsidR="00000000" w:rsidRDefault="00000000">
      <w:pPr>
        <w:ind w:left="1134" w:hanging="1134"/>
      </w:pPr>
    </w:p>
    <w:p w:rsidR="00000000" w:rsidRDefault="00000000">
      <w:pPr>
        <w:ind w:left="1134" w:hanging="1134"/>
      </w:pPr>
      <w:r>
        <w:tab/>
        <w:t>-</w:t>
      </w:r>
      <w:r>
        <w:tab/>
        <w:t>в соответствии с соглашением в составе Национального секретариата по делам детей и подростков была создана техническая группа;</w:t>
      </w:r>
    </w:p>
    <w:p w:rsidR="00000000" w:rsidRDefault="00000000">
      <w:pPr>
        <w:ind w:left="1134" w:hanging="1134"/>
      </w:pPr>
    </w:p>
    <w:p w:rsidR="00000000" w:rsidRDefault="00000000">
      <w:pPr>
        <w:ind w:left="1134" w:hanging="1134"/>
      </w:pPr>
      <w:r>
        <w:tab/>
        <w:t>-</w:t>
      </w:r>
      <w:r>
        <w:tab/>
        <w:t>11 сентября 2005 года было направлено первое предложение об объявлении взносов в фонд для финансирования проектов в интересах детей в раннем возрасте;</w:t>
      </w:r>
    </w:p>
    <w:p w:rsidR="00000000" w:rsidRDefault="00000000">
      <w:pPr>
        <w:ind w:left="1134" w:hanging="1134"/>
      </w:pPr>
    </w:p>
    <w:p w:rsidR="00000000" w:rsidRDefault="00000000">
      <w:pPr>
        <w:ind w:left="1134" w:hanging="1134"/>
      </w:pPr>
      <w:r>
        <w:tab/>
        <w:t>-</w:t>
      </w:r>
      <w:r>
        <w:tab/>
        <w:t>к объявлению взносов на финансирование этого проекта были приглашены 89 организаций, представляющих гражданское общество.  22 и 30 июня, 1 июля и 14 и 15 июля были проведены три региональных форума, посвященные детям в раннем возрасте.  15 и 20 сентября 2005 года были организованы два семинара по подготовке кадров для организаций гражданского общества, занимающихся вопросами детей в раннем возрасте;</w:t>
      </w:r>
    </w:p>
    <w:p w:rsidR="00000000" w:rsidRDefault="00000000">
      <w:pPr>
        <w:ind w:left="1134" w:hanging="1134"/>
      </w:pPr>
    </w:p>
    <w:p w:rsidR="00000000" w:rsidRDefault="00000000">
      <w:pPr>
        <w:ind w:left="1134" w:hanging="1134"/>
      </w:pPr>
      <w:r>
        <w:tab/>
        <w:t>-</w:t>
      </w:r>
      <w:r>
        <w:tab/>
        <w:t>был разработан справочник для презентации проектов;</w:t>
      </w:r>
    </w:p>
    <w:p w:rsidR="00000000" w:rsidRDefault="00000000">
      <w:pPr>
        <w:ind w:left="1134" w:hanging="1134"/>
      </w:pPr>
    </w:p>
    <w:p w:rsidR="00000000" w:rsidRDefault="00000000">
      <w:pPr>
        <w:ind w:left="1134" w:hanging="1134"/>
      </w:pPr>
      <w:r>
        <w:tab/>
        <w:t>-</w:t>
      </w:r>
      <w:r>
        <w:tab/>
        <w:t>неправительственным организациям были предоставлены индивидуальные технические консультации.</w:t>
      </w:r>
    </w:p>
    <w:p w:rsidR="00000000" w:rsidRDefault="00000000">
      <w:pPr>
        <w:ind w:left="1134" w:hanging="1134"/>
      </w:pPr>
    </w:p>
    <w:p w:rsidR="00000000" w:rsidRDefault="00000000">
      <w:r>
        <w:t>336.</w:t>
      </w:r>
      <w:r>
        <w:tab/>
        <w:t>Кроме того, Национальный секретариат по делам детей и подростков занимается осуществлением экспериментального проекта оказания помощи семьям, живущим в условиях крайней нищеты, в рамках которого помощь, оказываемая покровителями, способствует организации микропредприятий, сразу же дающих положительный эффект в виде обеспечения доходов (от продажи зелени и фруктов), что дает минимальные средства для содержания детей.  Речь может идти также об оказании адресной помощи матерям-одиночкам, например о предоставлении каких-то медицинских принадлежностей, медикаментов или медицинской помощи, а также помощи в вопросах образования детей.  Этот экспериментальный проект, который осуществляется на протяжении уже двух месяцев, был очень хорошо воспринят населением, и к настоящему времени его бенефициарами стали 20 семей в Асунсьоне.</w:t>
      </w:r>
    </w:p>
    <w:p w:rsidR="00000000" w:rsidRDefault="00000000"/>
    <w:p w:rsidR="00000000" w:rsidRDefault="00000000">
      <w:r>
        <w:t>337.</w:t>
      </w:r>
      <w:r>
        <w:tab/>
        <w:t>В 2005-2006 годах Секретариат по делам детей разработал следующие программы:</w:t>
      </w:r>
    </w:p>
    <w:p w:rsidR="00000000" w:rsidRDefault="00000000"/>
    <w:p w:rsidR="00000000" w:rsidRDefault="00000000">
      <w:r>
        <w:tab/>
        <w:t>-</w:t>
      </w:r>
      <w:r>
        <w:tab/>
        <w:t>программа для беспризорных детей (КОНАСИКА);</w:t>
      </w:r>
    </w:p>
    <w:p w:rsidR="00000000" w:rsidRDefault="00000000"/>
    <w:p w:rsidR="00000000" w:rsidRDefault="00000000">
      <w:pPr>
        <w:ind w:left="1134" w:hanging="1134"/>
      </w:pPr>
      <w:r>
        <w:tab/>
        <w:t>-</w:t>
      </w:r>
      <w:r>
        <w:tab/>
        <w:t>"Текове Поти":  программа, призванная уберечь детей и подростков от потребления алкоголя, табака и других психоактивных веществ;</w:t>
      </w:r>
    </w:p>
    <w:p w:rsidR="00000000" w:rsidRDefault="00000000">
      <w:pPr>
        <w:ind w:left="1134" w:hanging="1134"/>
      </w:pPr>
    </w:p>
    <w:p w:rsidR="00000000" w:rsidRDefault="00000000">
      <w:pPr>
        <w:ind w:left="1134" w:hanging="1134"/>
      </w:pPr>
      <w:r>
        <w:tab/>
        <w:t>-</w:t>
      </w:r>
      <w:r>
        <w:tab/>
        <w:t>национальная программа комплексного ухода за детьми и подростками, имеющими инвалидность.</w:t>
      </w:r>
    </w:p>
    <w:p w:rsidR="00000000" w:rsidRDefault="00000000">
      <w:pPr>
        <w:ind w:left="1134" w:hanging="1134"/>
      </w:pPr>
    </w:p>
    <w:p w:rsidR="00000000" w:rsidRDefault="00000000">
      <w:r>
        <w:t>338.</w:t>
      </w:r>
      <w:r>
        <w:tab/>
        <w:t>В сфере здравоохранения существуют также программы, в соответствии с которыми предусматривается оказание бесплатной медицинской помощи детям и подросткам из малоимущих семей.  Кроме того, такие учреждения, как Секретариат по осуществлению социальных действий, Управление по вопросам благотворительной деятельности и социальной помощи и Парагвайская сеть для развития человеческого потенциала (РЕПАДЕХ), предоставляют услуги в области подготовки кадров и выделяют субсидии малоимущим семьям, на которых лежит обязанность дать образование попавшим в зависимость детям и обеспечить уход за ними.</w:t>
      </w:r>
    </w:p>
    <w:p w:rsidR="00000000" w:rsidRDefault="00000000"/>
    <w:p w:rsidR="00000000" w:rsidRDefault="00000000">
      <w:r>
        <w:t>339.</w:t>
      </w:r>
      <w:r>
        <w:tab/>
        <w:t>В декабре 2003 года Национальный совет по делам детей и подростков утвердил национальные планы предупреждения и ликвидации детского труда и охраны труда подростков и предупреждения и ликвидации сексуальной эксплуатации детей и подростков в Парагвае.  Впоследствии они были утверждены исполнительной властью Республики Парагвай Указом № 2645 от 8 июня 2004 года и Указом № 4269 от 6 декабря 2004 года, соответственно.  В соответствии с Указом № 4951 от 2 марта 2005 года составлен перечень опасных видов детского труда.</w:t>
      </w:r>
    </w:p>
    <w:p w:rsidR="00000000" w:rsidRDefault="00000000"/>
    <w:p w:rsidR="00000000" w:rsidRDefault="00000000">
      <w:r>
        <w:t>340.</w:t>
      </w:r>
      <w:r>
        <w:tab/>
        <w:t>Региональное управление по борьбе с сексуальной эксплуатацией детей в коммерческих целях в зоне трехсторонней границы (Сьюдад-дель-Эсте) стало центром, курирующим деятельность по осуществлению психосоциального и правового вмешательства.  Кроме того, действующие в этой зоне правительственные и неправительственные учреждения сформировали Комитет по борьбе с сексуальной эксплуатацией детей в коммерческих целях.  В этом контексте осуществлялась координация мероприятий и стратегий Советом по опеке над несовершеннолетними и консульством Парагвая в городе Фос-ду-Игуасу для оказания помощи и поддержки детям и подросткам, ставшим жертвами сексуальной эксплуатации в коммерческих целях, и беспризорным детям, которые живут поблизости от Моста дружбы и центра.  Это осуществляется в рамках двустороннего плана в сфере здравоохранения, принятого бразильско-парагвайским предприятием в Итайпу в целях согласования совместной деятельности двух стран (Бразилии и Парагвая) по обеспечению профилактики и оказанию медицинской помощи в рамках систем здравоохранения обеих стран.  Был начат процесс укрепления приютов, занимающихся оказанием помощи детям и подросткам, началась координация трехстороннего  (Аргентина, Бразилия и Парагвай) плана действий с учетом потребностей в деле оказания помощи детям в зоне тройной границы и выявления таких детей.  Региональное управление по борьбе с сексуальной эксплуатацией детей в коммерческих целях вошло в состав двустороннего комитета, учрежденного консульствами Парагвая и Бразилии в целях определения стратегии борьбы с контрабандой, пиратством, эксплуатацией несовершеннолетних (как трудовой, так и сексуальной) и торговлей людьми.  Его представители участвуют также в работе муниципального совета, действующего отдельно от регионального госпиталя города Сьюдад-дель-Эсте.  Были проведены мероприятия по повышению уровня информированности преподавателей, директоров в этом районе и руководителей в зоне, была осуществлена оценка программы по обеспечению непосредственного ухода, осуществляемой Центром по обеспечению ухода и профилактики для детей и подростков, подвергающихся сексуальной эксплуатации в коммерческих целях (СЕАПРА), и вместе с представителями Регионального управления по борьбе с сексуальной эксплуатацией в коммерческих целях были определены общие мероприятия.  Национальный комитет по обеспечению комплексного ухода за беспризорными детьми (КОНАСИКА), учрежденный Президентским указом № 4907 от 10 марта 2005 года, с тех пор осуществил программы в следующих направлениях:</w:t>
      </w:r>
    </w:p>
    <w:p w:rsidR="00000000" w:rsidRDefault="00000000"/>
    <w:p w:rsidR="00000000" w:rsidRDefault="00000000">
      <w:pPr>
        <w:ind w:left="1134" w:hanging="567"/>
      </w:pPr>
      <w:r>
        <w:t>-</w:t>
      </w:r>
      <w:r>
        <w:tab/>
        <w:t>Программа "Абрасо":  1 385 детей (2005 год);</w:t>
      </w:r>
    </w:p>
    <w:p w:rsidR="00000000" w:rsidRDefault="00000000">
      <w:pPr>
        <w:ind w:left="1134" w:hanging="567"/>
      </w:pPr>
    </w:p>
    <w:p w:rsidR="00000000" w:rsidRDefault="00000000">
      <w:pPr>
        <w:ind w:left="1134" w:hanging="567"/>
      </w:pPr>
      <w:r>
        <w:t>-</w:t>
      </w:r>
      <w:r>
        <w:tab/>
        <w:t>Программа Национального управления благотворительности (ДИБЕН):  500 детей (2005 год);</w:t>
      </w:r>
    </w:p>
    <w:p w:rsidR="00000000" w:rsidRDefault="00000000">
      <w:pPr>
        <w:ind w:left="1134" w:hanging="567"/>
      </w:pPr>
    </w:p>
    <w:p w:rsidR="00000000" w:rsidRDefault="00000000">
      <w:pPr>
        <w:ind w:left="1134" w:hanging="567"/>
      </w:pPr>
      <w:r>
        <w:t>-</w:t>
      </w:r>
      <w:r>
        <w:tab/>
        <w:t>Программа Национального управления благотворительности (ДИБЕН):  1 800 детей (2006 год);</w:t>
      </w:r>
    </w:p>
    <w:p w:rsidR="00000000" w:rsidRDefault="00000000">
      <w:pPr>
        <w:ind w:left="1134" w:hanging="567"/>
      </w:pPr>
    </w:p>
    <w:p w:rsidR="00000000" w:rsidRDefault="00000000">
      <w:pPr>
        <w:ind w:left="1134" w:hanging="567"/>
      </w:pPr>
      <w:r>
        <w:t>-</w:t>
      </w:r>
      <w:r>
        <w:tab/>
        <w:t>Программа восстановления прав брошенных детей:  42 ребенка;</w:t>
      </w:r>
    </w:p>
    <w:p w:rsidR="00000000" w:rsidRDefault="00000000">
      <w:pPr>
        <w:ind w:left="1134" w:hanging="567"/>
      </w:pPr>
    </w:p>
    <w:p w:rsidR="00000000" w:rsidRDefault="00000000">
      <w:pPr>
        <w:ind w:left="1134" w:hanging="567"/>
      </w:pPr>
      <w:r>
        <w:t>-</w:t>
      </w:r>
      <w:r>
        <w:tab/>
        <w:t>Программа регистрации детей:  421 ребенок;</w:t>
      </w:r>
    </w:p>
    <w:p w:rsidR="00000000" w:rsidRDefault="00000000">
      <w:pPr>
        <w:ind w:left="1134" w:hanging="567"/>
      </w:pPr>
    </w:p>
    <w:p w:rsidR="00000000" w:rsidRDefault="00000000">
      <w:pPr>
        <w:ind w:left="1134" w:hanging="567"/>
      </w:pPr>
      <w:r>
        <w:t>-</w:t>
      </w:r>
      <w:r>
        <w:tab/>
        <w:t>Программа детоксикации в рамках проекта АЛСЕЙНА:  62 ребенка;</w:t>
      </w:r>
    </w:p>
    <w:p w:rsidR="00000000" w:rsidRDefault="00000000">
      <w:pPr>
        <w:ind w:left="1134" w:hanging="567"/>
      </w:pPr>
    </w:p>
    <w:p w:rsidR="00000000" w:rsidRDefault="00000000">
      <w:pPr>
        <w:ind w:left="1134" w:hanging="567"/>
      </w:pPr>
      <w:r>
        <w:t>-</w:t>
      </w:r>
      <w:r>
        <w:tab/>
        <w:t>Центр для лиц, имеющих зависимость:  5 детей;</w:t>
      </w:r>
    </w:p>
    <w:p w:rsidR="00000000" w:rsidRDefault="00000000">
      <w:pPr>
        <w:ind w:left="1134" w:hanging="567"/>
      </w:pPr>
    </w:p>
    <w:p w:rsidR="00000000" w:rsidRDefault="00000000">
      <w:pPr>
        <w:ind w:left="1134" w:hanging="567"/>
      </w:pPr>
      <w:r>
        <w:t>-</w:t>
      </w:r>
      <w:r>
        <w:tab/>
        <w:t>Программа опеки в Тапе-Пиаху:  25 детей;</w:t>
      </w:r>
    </w:p>
    <w:p w:rsidR="00000000" w:rsidRDefault="00000000">
      <w:pPr>
        <w:ind w:left="1134" w:hanging="567"/>
      </w:pPr>
    </w:p>
    <w:p w:rsidR="00000000" w:rsidRDefault="00000000">
      <w:pPr>
        <w:ind w:left="1134" w:hanging="567"/>
      </w:pPr>
      <w:r>
        <w:t>-</w:t>
      </w:r>
      <w:r>
        <w:tab/>
        <w:t>Программа опеки в приюте королевы Марии:  1 ребенок;</w:t>
      </w:r>
    </w:p>
    <w:p w:rsidR="00000000" w:rsidRDefault="00000000">
      <w:pPr>
        <w:ind w:left="1134" w:hanging="567"/>
      </w:pPr>
    </w:p>
    <w:p w:rsidR="00000000" w:rsidRDefault="00000000">
      <w:pPr>
        <w:ind w:left="1134" w:hanging="567"/>
      </w:pPr>
      <w:r>
        <w:t>-</w:t>
      </w:r>
      <w:r>
        <w:tab/>
        <w:t>Программа опеки по линии организации "Объединенные Христосом":  1 ребенок;</w:t>
      </w:r>
    </w:p>
    <w:p w:rsidR="00000000" w:rsidRDefault="00000000">
      <w:pPr>
        <w:ind w:left="1134" w:hanging="567"/>
      </w:pPr>
    </w:p>
    <w:p w:rsidR="00000000" w:rsidRDefault="00000000">
      <w:pPr>
        <w:ind w:left="1134" w:hanging="567"/>
      </w:pPr>
      <w:r>
        <w:t>-</w:t>
      </w:r>
      <w:r>
        <w:tab/>
        <w:t>Программа расселения в семьях:  15 детей;</w:t>
      </w:r>
    </w:p>
    <w:p w:rsidR="00000000" w:rsidRDefault="00000000">
      <w:pPr>
        <w:ind w:left="1134" w:hanging="567"/>
      </w:pPr>
    </w:p>
    <w:p w:rsidR="00000000" w:rsidRDefault="00000000">
      <w:pPr>
        <w:ind w:left="1134" w:hanging="567"/>
      </w:pPr>
      <w:r>
        <w:t>-</w:t>
      </w:r>
      <w:r>
        <w:tab/>
        <w:t>Программа для вернувшихся на улицу:  15 детей;</w:t>
      </w:r>
    </w:p>
    <w:p w:rsidR="00000000" w:rsidRDefault="00000000">
      <w:pPr>
        <w:ind w:left="1134" w:hanging="567"/>
      </w:pPr>
    </w:p>
    <w:p w:rsidR="00000000" w:rsidRDefault="00000000">
      <w:pPr>
        <w:ind w:left="1134" w:hanging="567"/>
      </w:pPr>
      <w:r>
        <w:t>-</w:t>
      </w:r>
      <w:r>
        <w:tab/>
        <w:t>Программа передачи детей в ведение Парагвайского института коренных народов (община Такуаро):  19 детей;</w:t>
      </w:r>
    </w:p>
    <w:p w:rsidR="00000000" w:rsidRDefault="00000000">
      <w:pPr>
        <w:ind w:left="1134" w:hanging="567"/>
      </w:pPr>
    </w:p>
    <w:p w:rsidR="00000000" w:rsidRDefault="00000000">
      <w:pPr>
        <w:ind w:left="1134" w:hanging="567"/>
      </w:pPr>
      <w:r>
        <w:t>-</w:t>
      </w:r>
      <w:r>
        <w:tab/>
        <w:t>Программа разработки нового подхода к решению этой проблемы и координации усилий по осуществлению проектов с правительственными учреждениями и организациями гражданского общества (организация "Уличная школа", организация "Дон Боско Рога", приют "Мимби" и т.д.).</w:t>
      </w:r>
    </w:p>
    <w:p w:rsidR="00000000" w:rsidRDefault="00000000">
      <w:pPr>
        <w:ind w:left="1134" w:hanging="567"/>
      </w:pPr>
    </w:p>
    <w:p w:rsidR="00000000" w:rsidRDefault="00000000">
      <w:r>
        <w:t>341.</w:t>
      </w:r>
      <w:r>
        <w:tab/>
        <w:t>С сентября 2004 года Секретариат по делам детей осуществляет программу обеспечения профилактики и ухода в случае жестокого обращения с детьми и сексуальных надругательств над ними, цель которой состоит в создании децентрализованной государственной сети, призванной обеспечивать принятие мер по предупреждению на трех уровнях:  начальном (профилактика), вторичном (оказание помощи) и третичном (реабилитация).</w:t>
      </w:r>
    </w:p>
    <w:p w:rsidR="00000000" w:rsidRDefault="00000000"/>
    <w:p w:rsidR="00000000" w:rsidRDefault="00000000">
      <w:pPr>
        <w:rPr>
          <w:b/>
          <w:bCs/>
        </w:rPr>
      </w:pPr>
      <w:r>
        <w:rPr>
          <w:b/>
          <w:bCs/>
        </w:rPr>
        <w:t>5.</w:t>
      </w:r>
      <w:r>
        <w:rPr>
          <w:b/>
          <w:bCs/>
        </w:rPr>
        <w:tab/>
        <w:t>Детский труд</w:t>
      </w:r>
    </w:p>
    <w:p w:rsidR="00000000" w:rsidRDefault="00000000">
      <w:pPr>
        <w:rPr>
          <w:b/>
          <w:bCs/>
        </w:rPr>
      </w:pPr>
    </w:p>
    <w:p w:rsidR="00000000" w:rsidRDefault="00000000">
      <w:r>
        <w:t>342.</w:t>
      </w:r>
      <w:r>
        <w:tab/>
        <w:t>В соответствии с положениями статьи 58 Кодекса о детях и подростках в стране запрещено привлекать к оплачиваемому труду несовершеннолетних в возрасте 13 лет и младше.  С другой стороны, в Конституции страны, в частности в ее статье 90, предусмотрены гарантии применительно к несовершеннолетнему труженику с учетом его нормального физического, умственного и нравственного развития.  При всем при этом по существующим оценкам в Парагвае трудятся более 265 000 детей и подростков, что означает, что тем или иным видом экономической деятельности занимается 13,6% от общей численности населения в возрасте от 5 до 17 лет</w:t>
      </w:r>
      <w:r>
        <w:rPr>
          <w:rStyle w:val="FootnoteReference"/>
        </w:rPr>
        <w:footnoteReference w:id="25"/>
      </w:r>
      <w:r>
        <w:t>.  Из числа детей и подростков в возрасте от 5 до 17 лет, которые работают в Парагвае, 34,9%, или более 92 000 человек, не посещают никакого учреждения в системе формального образования.  Большинство из них утверждают, что они не учатся по экономическим причинам.  Часть из этих детей и подростков заняты в семейных хозяйствах или на сельскохозяйственном производстве, а это означает, что тем или иным видом домашнего труда в Парагвае занято 34,4% детей (672 081 человек) из общей численности детей и подростков в Парагвае (1 953 725 человек)</w:t>
      </w:r>
      <w:r>
        <w:rPr>
          <w:rStyle w:val="FootnoteReference"/>
        </w:rPr>
        <w:footnoteReference w:id="26"/>
      </w:r>
      <w:r>
        <w:t>.  Основными видами такого труда являются уборка дома (89,5%), стирка белья (52,6%), работа на кухне (41,4%), уход за маленькими детьми (41,2%) и глажение белья (34,6%).</w:t>
      </w:r>
    </w:p>
    <w:p w:rsidR="00000000" w:rsidRDefault="00000000"/>
    <w:p w:rsidR="00000000" w:rsidRDefault="00000000">
      <w:r>
        <w:t>343.</w:t>
      </w:r>
      <w:r>
        <w:tab/>
        <w:t>Кроме того, большинство работающих в Парагвае детей и подростков в возрасте от 10 до 17 лет (более 90 000 чел., или 37,5% от общей численности лиц этой категории) заняты в сельском хозяйстве, земледелии и скотоводстве и рыболовстве.  В Парагвае существуют различные виды детского труда в зависимости от типа трудовых отношений и формы участия в трудовом процессе.</w:t>
      </w:r>
    </w:p>
    <w:p w:rsidR="00000000" w:rsidRDefault="00000000"/>
    <w:p w:rsidR="00000000" w:rsidRDefault="00000000">
      <w:pPr>
        <w:rPr>
          <w:b/>
          <w:bCs/>
        </w:rPr>
      </w:pPr>
      <w:r>
        <w:tab/>
      </w:r>
      <w:r>
        <w:rPr>
          <w:b/>
          <w:bCs/>
        </w:rPr>
        <w:t>5.1</w:t>
      </w:r>
      <w:r>
        <w:rPr>
          <w:b/>
          <w:bCs/>
        </w:rPr>
        <w:tab/>
        <w:t>Детский труд в зависимости от типа трудовых отношений</w:t>
      </w:r>
    </w:p>
    <w:p w:rsidR="00000000" w:rsidRDefault="00000000">
      <w:pPr>
        <w:rPr>
          <w:b/>
          <w:bCs/>
        </w:rPr>
      </w:pPr>
    </w:p>
    <w:p w:rsidR="00000000" w:rsidRDefault="00000000">
      <w:r>
        <w:t>344.</w:t>
      </w:r>
      <w:r>
        <w:tab/>
      </w:r>
      <w:r>
        <w:rPr>
          <w:i/>
          <w:iCs/>
        </w:rPr>
        <w:t xml:space="preserve">Невознаграждаемый детский труд в сельской местности:  </w:t>
      </w:r>
      <w:r>
        <w:t>дети и подростки не получают непосредственного экономического вознаграждения за свой труд, работая в обмен на кров, питание, одежду и образование.  Такой вид труда встречается, главным образом, на небольших плантациях.</w:t>
      </w:r>
    </w:p>
    <w:p w:rsidR="00000000" w:rsidRDefault="00000000"/>
    <w:p w:rsidR="00000000" w:rsidRDefault="00000000">
      <w:r>
        <w:t>345.</w:t>
      </w:r>
      <w:r>
        <w:tab/>
      </w:r>
      <w:r>
        <w:rPr>
          <w:i/>
          <w:iCs/>
        </w:rPr>
        <w:t xml:space="preserve">Вознаграждаемый детский труд в сельской местности:  </w:t>
      </w:r>
      <w:r>
        <w:t>дети и подростки работают, а затем их отцы, матери или опекуны получают за них деньги.  Такой вид труда встречается на крупных плантациях, особенно во время посевных кампаний и уборочных работ.</w:t>
      </w:r>
    </w:p>
    <w:p w:rsidR="00000000" w:rsidRDefault="00000000"/>
    <w:p w:rsidR="00000000" w:rsidRDefault="00000000">
      <w:r>
        <w:t>346.</w:t>
      </w:r>
      <w:r>
        <w:tab/>
      </w:r>
      <w:r>
        <w:rPr>
          <w:i/>
          <w:iCs/>
        </w:rPr>
        <w:t xml:space="preserve">Комбинированный детский труд в сельской местности:  </w:t>
      </w:r>
      <w:r>
        <w:t>во многих случаях дети и подростки переводятся вместе с их родителями или опекунами с небольших или крупных плантаций на различные виды работ, и их труд из категории неоплачиваемого может переходить в категорию оплачиваемого труда или относится к обеим категориям.</w:t>
      </w:r>
    </w:p>
    <w:p w:rsidR="00000000" w:rsidRDefault="00000000"/>
    <w:p w:rsidR="00000000" w:rsidRDefault="00000000">
      <w:pPr>
        <w:rPr>
          <w:b/>
          <w:bCs/>
        </w:rPr>
      </w:pPr>
      <w:r>
        <w:tab/>
      </w:r>
      <w:r>
        <w:rPr>
          <w:b/>
          <w:bCs/>
        </w:rPr>
        <w:t>5.2</w:t>
      </w:r>
      <w:r>
        <w:rPr>
          <w:b/>
          <w:bCs/>
        </w:rPr>
        <w:tab/>
        <w:t>Детский труд в зависимости от вида собственности на место работы</w:t>
      </w:r>
    </w:p>
    <w:p w:rsidR="00000000" w:rsidRDefault="00000000">
      <w:pPr>
        <w:rPr>
          <w:b/>
          <w:bCs/>
        </w:rPr>
      </w:pPr>
    </w:p>
    <w:p w:rsidR="00000000" w:rsidRDefault="00000000">
      <w:r>
        <w:t>347.</w:t>
      </w:r>
      <w:r>
        <w:tab/>
      </w:r>
      <w:r>
        <w:rPr>
          <w:i/>
          <w:iCs/>
        </w:rPr>
        <w:t xml:space="preserve">Детский труд на семейной ферме:  </w:t>
      </w:r>
      <w:r>
        <w:t>дети и подростки работают в домах и на плантациях, принадлежащих семьям, которые ими владеют, как правило, на мелких фермах и на производствах, где продукция предназначена не для потребления в домохозяйстве, а для сбыта.</w:t>
      </w:r>
    </w:p>
    <w:p w:rsidR="00000000" w:rsidRDefault="00000000"/>
    <w:p w:rsidR="00000000" w:rsidRDefault="00000000">
      <w:r>
        <w:t>348.</w:t>
      </w:r>
      <w:r>
        <w:tab/>
      </w:r>
      <w:r>
        <w:rPr>
          <w:i/>
          <w:iCs/>
        </w:rPr>
        <w:t xml:space="preserve">Детский труд за пределами фермы:  </w:t>
      </w:r>
      <w:r>
        <w:t>речь идет о ситуациях, когда дети и подростки работают на физические или юридические лица, т.е. на крупных плантациях, как правило, рядом с родителями или опекунами, и этот труд вознаграждается.  Кроме того, работой за пределами фермы считаются торговля, даже в тех случаях, когда речь идет о продукции, произведенной на семейной ферме, но перевозимой на большие расстояния, а также мелкие сделки.</w:t>
      </w:r>
    </w:p>
    <w:p w:rsidR="00000000" w:rsidRDefault="00000000"/>
    <w:p w:rsidR="00000000" w:rsidRDefault="00000000">
      <w:pPr>
        <w:rPr>
          <w:b/>
          <w:bCs/>
        </w:rPr>
      </w:pPr>
      <w:r>
        <w:tab/>
      </w:r>
      <w:r>
        <w:rPr>
          <w:b/>
          <w:bCs/>
        </w:rPr>
        <w:t>5.3</w:t>
      </w:r>
      <w:r>
        <w:rPr>
          <w:b/>
          <w:bCs/>
        </w:rPr>
        <w:tab/>
        <w:t>Положение с усыновлением (удочерением) детей</w:t>
      </w:r>
    </w:p>
    <w:p w:rsidR="00000000" w:rsidRDefault="00000000">
      <w:pPr>
        <w:rPr>
          <w:b/>
          <w:bCs/>
        </w:rPr>
      </w:pPr>
    </w:p>
    <w:p w:rsidR="00000000" w:rsidRDefault="00000000">
      <w:r>
        <w:t>349.</w:t>
      </w:r>
      <w:r>
        <w:tab/>
        <w:t>В соответствии с Законом № 1136/97 создан Центр по усыновлению (удочерению) детей, являющийся центральным административным органом по вопросам усыновления (удочерения).  Его функция заключается в том, чтобы обеспечить сиротам и/или брошенным детям семью, которая заменила бы собой биологическую семью в тех случаях, когда биологическая семья не существует или не желает, либо не может обеспечить уход за ребенком.  После выдачи разрешения на усыновление Центр по вопросам усыновления (удочерения) на протяжении трех лет осуществляет контроль, после чего оформляется окончательное усыновление.  Кроме того, в статье 103 Кодекса о детях и подростках говорится, что ребенок или подросток, лишенный семьи по решению суда, может быть принят в семью временно в рамках опеки или попечения или усыновления (удочерения).  В ней также предусмотрено, что семья или лицо, которые принимают ребенка или подростка, будут обязаны обеспечить ему питание, образование, уход и защиту в том объеме, который полагается ему как члену семейной ячейки.</w:t>
      </w:r>
    </w:p>
    <w:p w:rsidR="00000000" w:rsidRDefault="00000000"/>
    <w:p w:rsidR="00000000" w:rsidRDefault="00000000">
      <w:r>
        <w:t>350.</w:t>
      </w:r>
      <w:r>
        <w:tab/>
        <w:t>Кроме того, Центр по вопросам усыновления (удочерения) детей осуществляет с 1999</w:t>
      </w:r>
      <w:r>
        <w:rPr>
          <w:lang w:val="en-US"/>
        </w:rPr>
        <w:t> </w:t>
      </w:r>
      <w:r>
        <w:t>года программу для принимающих семей, а Секретариат по делам детей осуществляет свои программы и проекты в рамках комплексного подхода к укреплению семьи.  За последние несколько лет было 24 случая возращения несовершеннолетних в Парагвай или из Парагвая в другие страны в рамках международного усыновления (удочерения).  В целях осуществления положений Гаагской конвенции 1980 года о гражданско-правовых аспектах международного похищения детей и Межамериканской конвенции о международном возвращении несовершеннолетних от 15 июля 1989 года, которые были ратифицированы Парагваем, Указом №  3230 от сентября 2004 года на Секретариат по делам детей были возложены функции центрального органа, отвечающего за международное возвращение несовершеннолетних, которые были похищены своими родителями.</w:t>
      </w:r>
    </w:p>
    <w:p w:rsidR="00000000" w:rsidRDefault="00000000"/>
    <w:p w:rsidR="00000000" w:rsidRDefault="00000000">
      <w:r>
        <w:t>351.</w:t>
      </w:r>
      <w:r>
        <w:tab/>
        <w:t>Кроме того, в рамках защиты детей, оказавшихся без биологической семьи, была создана Техническая группа по осуществлению контроля за приютами в системе специальной защиты, которая назначает сотрудников Национального секретариата по делам детей и подростков при администрации президента Республики, в контексте осуществления государственной политики обеспечения комплексного ухода за детьми и подростками в соответствии с резолюцией № 61/2006 Национального секретариата по делам детей и подростков от июня 2006 года.  Задача этого органа заключается в обеспечении благосостояния детей во временных приютах.</w:t>
      </w:r>
    </w:p>
    <w:p w:rsidR="00000000" w:rsidRDefault="00000000"/>
    <w:p w:rsidR="00000000" w:rsidRDefault="00000000">
      <w:pPr>
        <w:rPr>
          <w:b/>
          <w:bCs/>
        </w:rPr>
      </w:pPr>
      <w:r>
        <w:tab/>
      </w:r>
      <w:r>
        <w:rPr>
          <w:b/>
          <w:bCs/>
        </w:rPr>
        <w:t>5.4</w:t>
      </w:r>
      <w:r>
        <w:rPr>
          <w:b/>
          <w:bCs/>
        </w:rPr>
        <w:tab/>
        <w:t>Трудовые права детей</w:t>
      </w:r>
    </w:p>
    <w:p w:rsidR="00000000" w:rsidRDefault="00000000">
      <w:pPr>
        <w:rPr>
          <w:b/>
          <w:bCs/>
        </w:rPr>
      </w:pPr>
    </w:p>
    <w:p w:rsidR="00000000" w:rsidRDefault="00000000">
      <w:r>
        <w:t>352.</w:t>
      </w:r>
      <w:r>
        <w:tab/>
        <w:t xml:space="preserve">В подпункте </w:t>
      </w:r>
      <w:r>
        <w:rPr>
          <w:lang w:val="en-US"/>
        </w:rPr>
        <w:t>e</w:t>
      </w:r>
      <w:r>
        <w:t>) статьи 50 Кодекса о детях и подростках говорится, что одна из функций КОДЕНИ заключается в регистрации детей и подростков, занимающихся экономической деятельностью, в целях осуществления программ оказания помощи семьям и их защиты.  В функции КОДЕНИ входит информирование детей и подростков об их правах.  В статье 60 Кодекса говорится, что работодатель, берущий на работу подростков, обязан вести их список.  В статье 61 запрещается дискриминация подростков, имеющих особые потребности, в вопросах труда и вознаграждения.  Вся эта информация распространяется с помощью массовых просветительских кампаний и включается в учебные программы в системе начального образования.  Парагвайское государство принимает меры по ликвидации детского труда, главным образом по линии Национального совета по ликвидации детского труда (КОНАЕТИ), который координирует и осуществляет ряд мероприятий правительственных ведомств и организаций гражданского общества в целях искоренения трудовой эксплуатации детей в Парагвае.</w:t>
      </w:r>
    </w:p>
    <w:p w:rsidR="00000000" w:rsidRDefault="00000000"/>
    <w:p w:rsidR="00000000" w:rsidRDefault="00000000">
      <w:pPr>
        <w:rPr>
          <w:b/>
          <w:bCs/>
        </w:rPr>
      </w:pPr>
      <w:r>
        <w:tab/>
      </w:r>
      <w:r>
        <w:rPr>
          <w:b/>
          <w:bCs/>
        </w:rPr>
        <w:t>5.4</w:t>
      </w:r>
      <w:r>
        <w:rPr>
          <w:b/>
          <w:bCs/>
        </w:rPr>
        <w:tab/>
        <w:t>Защита детей и подростков от экономической и социальной эксплуатации</w:t>
      </w:r>
    </w:p>
    <w:p w:rsidR="00000000" w:rsidRDefault="00000000">
      <w:pPr>
        <w:rPr>
          <w:b/>
          <w:bCs/>
        </w:rPr>
      </w:pPr>
    </w:p>
    <w:p w:rsidR="00000000" w:rsidRDefault="00000000">
      <w:r>
        <w:t>353.</w:t>
      </w:r>
      <w:r>
        <w:tab/>
        <w:t>Учитывая сложившуюся ситуацию, парагвайское государство отразило в своем законодательстве различные международные договоры и приняло законы в целях искоренения сексуальной эксплуатации детей в коммерческих целях, торговли детьми и транснациональной организованной преступности и борьбы с этими явлениями.  Этой проблемой в Парагвае занимается целый ряд организаций.  В их число входят Отдел по правам человека Верховного суда, Секретариат по вопросам детей, Международная программа по упразднению детского труда Международной организации труда (ИПЕК/МОТ), ЮНИСЕФ и другие правительственные и неправительственные организации.  В настоящее время Отдел по правам человека, действующий через свой Координационный центр округа Альто-Парана, принимает активное участие в осуществлении ИПЕК/МОТ.</w:t>
      </w:r>
    </w:p>
    <w:p w:rsidR="00000000" w:rsidRDefault="00000000"/>
    <w:p w:rsidR="00000000" w:rsidRDefault="00000000">
      <w:r>
        <w:t>354.</w:t>
      </w:r>
      <w:r>
        <w:tab/>
        <w:t>Эти мероприятия осуществляются, главным образом, в зоне тройной границы (Парагвай, Аргентина и Бразилия) в департаменте Альта-Парана, где сильно развит секс-туризм.  Проблема сексуальной эксплуатации в коммерческих целях затрагивает не только детей и подростков, но и совершеннолетних.  Кроме того, речь не идет о каких-то отдельных случаях, поскольку эта проблема тесно связана с организованной преступностью, а также трансграничной торговлей.</w:t>
      </w:r>
    </w:p>
    <w:p w:rsidR="00000000" w:rsidRDefault="00000000"/>
    <w:p w:rsidR="00000000" w:rsidRDefault="00000000">
      <w:r>
        <w:t>355.</w:t>
      </w:r>
      <w:r>
        <w:tab/>
        <w:t>Национальный секретариат по делам детей и подростков, аргентинско-парагвайское предприятие в Ясирете и муниципалитет города Энкарнасьон заключили договоренность об открытии в июле 2006 года в городе Энкарнасьон, департамент Итапуа, регионального отделения Национального секретариата, которое будет заниматься конкретно вопросами сексуальной эксплуатации детей в коммерческих целях.</w:t>
      </w:r>
    </w:p>
    <w:p w:rsidR="00000000" w:rsidRDefault="00000000"/>
    <w:p w:rsidR="00000000" w:rsidRDefault="00000000">
      <w:r>
        <w:t>356.</w:t>
      </w:r>
      <w:r>
        <w:tab/>
        <w:t>Это отделение будет заниматься следующими лицами:  a)  детьми и подростками, подвергающимися сексуальной эксплуатации в коммерческих целях в городе Энкарнасьон и его окрестностях;  b)  семьями детей и подростков, подвергающихся сексуальной эксплуатации в коммерческих целях;  и  c)  принимающими семьями и расширенными семьями, в которые входят тети, дяди, крестные и т.д.</w:t>
      </w:r>
    </w:p>
    <w:p w:rsidR="00000000" w:rsidRDefault="00000000"/>
    <w:p w:rsidR="00000000" w:rsidRDefault="00000000">
      <w:r>
        <w:t>357.</w:t>
      </w:r>
      <w:r>
        <w:tab/>
        <w:t>Общей координацией мероприятий по осуществлению этого проекта занимается Национальный секретариат по детям детей и подростков, который является головным учреждением по осуществлению политики и программ в интересах детей и подростков в соответствии с Кодексом № 1680/01 (Кодекс о детях и подростках).  На него возложены функции разработки, координации, управления, стимулирования и согласования соответствующих мероприятий, осуществления контроля и сбора необходимой информации для Национальной системы комплексной защиты и улучшения положения детей и подростков.</w:t>
      </w:r>
    </w:p>
    <w:p w:rsidR="00000000" w:rsidRDefault="00000000"/>
    <w:p w:rsidR="00000000" w:rsidRDefault="00000000">
      <w:r>
        <w:t>358.</w:t>
      </w:r>
      <w:r>
        <w:tab/>
        <w:t xml:space="preserve">Что касается вопросов жестокого обращения, то в 2005 году Секретариат по делам женщин через Управление служб по оказанию помощи женщинам создал центр по вопросам жестокого обращения, который предоставляет жертвам и родственникам жертв любую информацию, касающуюся преступлений подобного рода.  Кроме того, он занимается вопросами поддержки, психологической помощи, консультаций по правовым и социальным вопросам и оказания неотложной медицинской помощи жертвам.  Была открыта телефонная линия, и был создан адрес электронной почты, с помощью которых можно передавать информацию о возможных случаях жестокого обращения. </w:t>
      </w:r>
    </w:p>
    <w:p w:rsidR="00000000" w:rsidRDefault="00000000"/>
    <w:p w:rsidR="00000000" w:rsidRDefault="00000000">
      <w:r>
        <w:t>359.</w:t>
      </w:r>
      <w:r>
        <w:tab/>
        <w:t>В период с января 2005 года по апрель 2006 года было отмечено 12 случаев жестокого обращения, при этом жертвами стали 42 лица женского пола, из которых 33 были совершеннолетними, а 9 - несовершеннолетними.  Четыре лица женского пола (2 совершеннолетних и 2 несовершеннолетних), ставшие жертвами жестокого обращения, с февраля 2006 года участвуют в осуществлении экспериментальной программы по разработке процедуры или плана реинтеграции жертв жестокого обращения при содействии отделения Международной организации по миграции (МОМ) в Аргентине.  Цель этой программы заключается  в обеспечении социальной реинтеграции жертв жестокого обращения, расширении имеющихся в их распоряжении социально-экономических возможностей и снижении вероятности их повторной виктимизации.  Речь, в частности, идет о выделении средств - максимум на шесть месяцев </w:t>
      </w:r>
      <w:r>
        <w:noBreakHyphen/>
        <w:t xml:space="preserve"> для осуществления реинтеграции;  предоставлении услуг психологов (государственных или частных, в зависимости от того, какой вид практики существует в зоне);  оказании медицинской помощи (силами государственных или частных учреждений, в зависимости от того, какой вид учреждений существует в зоне);  привитии навыков и/или преподавании предметов для начинающих или завершающих процесс получения начального или среднего образования;  оказании помощи в открытии микропредприятий и оформлении документов.  Выбор всех этих вариантов будет зависеть от желания и конкретных и потребностей жертвы и от того, каким образом она может перестроиться, чтобы изменить ситуацию крайней уязвимости. </w:t>
      </w:r>
    </w:p>
    <w:p w:rsidR="00000000" w:rsidRDefault="00000000"/>
    <w:p w:rsidR="00000000" w:rsidRDefault="00000000">
      <w:r>
        <w:t>360.</w:t>
      </w:r>
      <w:r>
        <w:tab/>
        <w:t>В августе и сентябре 2005 года осуществлялась информационно-просветительская кампания по проблеме жестокого обращения и сексуальной эксплуатации, которая заключалась в распространении информационных материалов (плакатов и листовок), трансляции по радио коротких роликов на языке гуарани и испанском языке в столице и по всей стране и размещении материалов в газете "Популяр".</w:t>
      </w:r>
    </w:p>
    <w:p w:rsidR="00000000" w:rsidRDefault="00000000"/>
    <w:p w:rsidR="00000000" w:rsidRDefault="00000000">
      <w:r>
        <w:t>361.</w:t>
      </w:r>
      <w:r>
        <w:tab/>
        <w:t xml:space="preserve">В апреле 2006 года был опубликован </w:t>
      </w:r>
      <w:r>
        <w:rPr>
          <w:i/>
          <w:iCs/>
        </w:rPr>
        <w:t>Справочник по общим процедурам осуществления вмешательства в случае жестокого обращения с лицами</w:t>
      </w:r>
      <w:r>
        <w:t>, цель которого заключалась в разработке общих установок, позволяющих подходить к проблеме жестокого обращения с лицами, особенно женщинами и детьми в Парагвае, с точки зрения необходимости гарантировать права человека пострадавших и привлечения к ответственности виновных.  Задача заключалась также в предоставлении информации и анализе принципиальных аспектов проблемы жестокого обращения, таких, как концепция и нормы, которые прямо или косвенно касаются жестокого обращения и жертв.</w:t>
      </w:r>
    </w:p>
    <w:p w:rsidR="00000000" w:rsidRDefault="00000000"/>
    <w:p w:rsidR="00000000" w:rsidRDefault="00000000">
      <w:pPr>
        <w:rPr>
          <w:b/>
          <w:bCs/>
        </w:rPr>
      </w:pPr>
      <w:r>
        <w:rPr>
          <w:b/>
          <w:bCs/>
        </w:rPr>
        <w:t>6.</w:t>
      </w:r>
      <w:r>
        <w:rPr>
          <w:b/>
          <w:bCs/>
        </w:rPr>
        <w:tab/>
        <w:t>Борьба с сексуальной эксплуатацией детей и подростков в коммерческих целях</w:t>
      </w:r>
    </w:p>
    <w:p w:rsidR="00000000" w:rsidRDefault="00000000">
      <w:pPr>
        <w:rPr>
          <w:b/>
          <w:bCs/>
        </w:rPr>
      </w:pPr>
    </w:p>
    <w:p w:rsidR="00000000" w:rsidRDefault="00000000">
      <w:r>
        <w:t>362.</w:t>
      </w:r>
      <w:r>
        <w:tab/>
        <w:t>С 2003 года в стране осуществляется Национальная политика в области детства и юношества (ПОЛНА) и Национальный план действий в интересах детей и подростков (ПНДП), которые были разработаны для того, чтобы "содействовать актуализации и институционализации подхода, основанного на учете прав детей, в рамках государственной политики, направленной на стимулирование и координацию переговоров и разработку договоренностей с ведомствами, отвечающими за разработку политики оживления экономической деятельности и программ борьбы с нищетой, которые включают в себя компоненты, касающиеся здравоохранения, водоснабжения и санитарии и доходоприносящих видов деятельности, иными словами, все основные меры, сказывающиеся на жизни детей и их семей"</w:t>
      </w:r>
      <w:r>
        <w:rPr>
          <w:rStyle w:val="FootnoteReference"/>
        </w:rPr>
        <w:footnoteReference w:id="27"/>
      </w:r>
      <w:r>
        <w:t xml:space="preserve">.  </w:t>
      </w:r>
    </w:p>
    <w:p w:rsidR="00000000" w:rsidRDefault="00000000"/>
    <w:p w:rsidR="00000000" w:rsidRDefault="00000000">
      <w:r>
        <w:t>363.</w:t>
      </w:r>
      <w:r>
        <w:tab/>
        <w:t>В упомянутых документах говорится и о проблеме сексуальной эксплуатации детей, и в этом смысле в них предусмотрены мероприятия по борьбе с сексуальной эксплуатацией детей посредством, среди прочего, их включения в национальные планы действий по секторам, оказания содействия в разработке и осуществлении на муниципальном уровне мер по борьбе с сексуальной эксплуатацией на улице и в населенных пунктах, оказания содействия принятию норм на муниципальном и национальном уровнях в целях борьбы с сексуальной эксплуатацией, оказания содействия эффективному применению правовых гарантий защиты и возмещения ущерба жертвам сексуальной эксплуатации, жестокого обращения и надругательств.</w:t>
      </w:r>
    </w:p>
    <w:p w:rsidR="00000000" w:rsidRDefault="00000000"/>
    <w:p w:rsidR="00000000" w:rsidRDefault="00000000">
      <w:pPr>
        <w:rPr>
          <w:b/>
          <w:bCs/>
        </w:rPr>
      </w:pPr>
      <w:r>
        <w:tab/>
      </w:r>
      <w:r>
        <w:rPr>
          <w:b/>
          <w:bCs/>
        </w:rPr>
        <w:t>6.1</w:t>
      </w:r>
      <w:r>
        <w:rPr>
          <w:b/>
          <w:bCs/>
        </w:rPr>
        <w:tab/>
        <w:t>Отправление правосудия</w:t>
      </w:r>
    </w:p>
    <w:p w:rsidR="00000000" w:rsidRDefault="00000000">
      <w:pPr>
        <w:rPr>
          <w:b/>
          <w:bCs/>
        </w:rPr>
      </w:pPr>
    </w:p>
    <w:p w:rsidR="00000000" w:rsidRDefault="00000000">
      <w:r>
        <w:t>364.</w:t>
      </w:r>
      <w:r>
        <w:tab/>
        <w:t>Сексуальная эксплуатация детей связана с совершением следующих преступлений, которые перечислены в Уголовном кодексе Республики Парагвай.</w:t>
      </w:r>
    </w:p>
    <w:p w:rsidR="00000000" w:rsidRDefault="00000000">
      <w:pPr>
        <w:pStyle w:val="Header"/>
      </w:pPr>
    </w:p>
    <w:p w:rsidR="00000000" w:rsidRDefault="00000000">
      <w:r>
        <w:pict>
          <v:shape id="_x0000_s2054" type="#_x0000_t75" style="position:absolute;margin-left:0;margin-top:0;width:441.85pt;height:203.65pt;z-index:4">
            <v:imagedata r:id="rId43" o:title=""/>
            <w10:wrap type="topAndBottom"/>
            <w10:anchorlock/>
          </v:shape>
        </w:pict>
      </w:r>
    </w:p>
    <w:p w:rsidR="00000000" w:rsidRDefault="00000000">
      <w:r>
        <w:t>365.</w:t>
      </w:r>
      <w:r>
        <w:tab/>
        <w:t>В мае 2004 года Отдел по правам человека Верховного суда проанализировал количество связанных с сексуальными надругательствами преступлений, которыми занимался суд в столице в течение трех предшествовавших этому лет (2000</w:t>
      </w:r>
      <w:r>
        <w:noBreakHyphen/>
        <w:t>2003 годы)</w:t>
      </w:r>
      <w:r>
        <w:rPr>
          <w:rStyle w:val="FootnoteReference"/>
        </w:rPr>
        <w:footnoteReference w:id="28"/>
      </w:r>
      <w:r>
        <w:t>.  За тот период было возбуждено 181 дело, 95% из которых были связаны с сексуальными надругательствами над детьми, а остальные дела - с надругательствами над беззащитными лицами или лицами, находящимися под опекой.  Вместе с тем, хотя эти цифры не позволяют с точностью определить, совершались ли эти преступления в контексте эксплуатации в коммерческих целях, они дают возможность оценить степень уязвимости детей в ситуации с преступлениями против сексуальной независимости.</w:t>
      </w:r>
    </w:p>
    <w:p w:rsidR="00000000" w:rsidRDefault="00000000"/>
    <w:p w:rsidR="00000000" w:rsidRDefault="00000000">
      <w:pPr>
        <w:keepNext/>
        <w:ind w:left="1134" w:hanging="1134"/>
        <w:rPr>
          <w:b/>
          <w:bCs/>
        </w:rPr>
      </w:pPr>
      <w:r>
        <w:rPr>
          <w:noProof/>
          <w:sz w:val="20"/>
          <w:lang w:eastAsia="ru-RU"/>
        </w:rPr>
        <w:pict>
          <v:shape id="_x0000_s2053" type="#_x0000_t75" style="position:absolute;left:0;text-align:left;margin-left:111.7pt;margin-top:36.6pt;width:244.3pt;height:204.85pt;z-index:3;visibility:visible;mso-wrap-edited:f" o:allowoverlap="f">
            <v:imagedata r:id="rId44" o:title=""/>
            <w10:wrap type="topAndBottom"/>
          </v:shape>
          <o:OLEObject Type="Embed" ProgID="Word.Picture.8" ShapeID="_x0000_s2053" DrawAspect="Content" ObjectID="_1394904879" r:id="rId45"/>
        </w:pict>
      </w:r>
      <w:r>
        <w:rPr>
          <w:b/>
          <w:bCs/>
        </w:rPr>
        <w:tab/>
        <w:t>6.2</w:t>
      </w:r>
      <w:r>
        <w:rPr>
          <w:b/>
          <w:bCs/>
        </w:rPr>
        <w:tab/>
        <w:t>Связанные с сексуальными надругательствами дела, возбужденные</w:t>
      </w:r>
      <w:r>
        <w:rPr>
          <w:b/>
          <w:bCs/>
        </w:rPr>
        <w:br/>
        <w:t>в столице в период 2000-2003 годов</w:t>
      </w:r>
    </w:p>
    <w:p w:rsidR="00000000" w:rsidRDefault="00000000"/>
    <w:p w:rsidR="00000000" w:rsidRDefault="00000000">
      <w:r>
        <w:tab/>
      </w:r>
      <w:r>
        <w:tab/>
        <w:t>Сексуальные надругательства над беззащитными лицами:  5 дел</w:t>
      </w:r>
    </w:p>
    <w:p w:rsidR="00000000" w:rsidRDefault="00000000">
      <w:r>
        <w:tab/>
      </w:r>
      <w:r>
        <w:tab/>
        <w:t>Сексуальные надругательства над лицами, находящими под опекой:  3 дела</w:t>
      </w:r>
    </w:p>
    <w:p w:rsidR="00000000" w:rsidRDefault="00000000">
      <w:r>
        <w:tab/>
      </w:r>
      <w:r>
        <w:tab/>
        <w:t>Сексуальные надругательства над детьми:  173 дела</w:t>
      </w:r>
    </w:p>
    <w:p w:rsidR="00000000" w:rsidRDefault="00000000"/>
    <w:p w:rsidR="00000000" w:rsidRDefault="00000000">
      <w:r>
        <w:t>366.</w:t>
      </w:r>
      <w:r>
        <w:tab/>
        <w:t>Несовершеннолетние жертвы наказуемых преступлений против половой свободы, которые обращаются в судебные органы, сталкиваются в ходе этого процесса с еще одной проблемой - повторной виктимизацией.  Речь идет о явлении, которое встречается не только в местных судах, но и во всех странах региона.</w:t>
      </w:r>
    </w:p>
    <w:p w:rsidR="00000000" w:rsidRDefault="00000000"/>
    <w:p w:rsidR="00000000" w:rsidRDefault="00000000">
      <w:r>
        <w:t>367.</w:t>
      </w:r>
      <w:r>
        <w:tab/>
        <w:t>Результаты проведенных расследований показывают, что несовершеннолетние жертвы не информируют о наказуемых деяниях против их половой свободы из</w:t>
      </w:r>
      <w:r>
        <w:noBreakHyphen/>
        <w:t>за того, что они испытывают страх и чувство стыда.  К этому следует добавить также нежелание подвергаться психологическому стрессу, вызванному болезненными воспоминаниями в ходе подачи жалоб и последующих собеседований, отсутствие специальных судебных процедур, недостаточную специальную помощь жертвам и неадекватность инфраструктуры, необходимой для оказания помощи жертвам.</w:t>
      </w:r>
    </w:p>
    <w:p w:rsidR="00000000" w:rsidRDefault="00000000"/>
    <w:p w:rsidR="00000000" w:rsidRDefault="00000000">
      <w:pPr>
        <w:ind w:left="1134" w:hanging="1134"/>
      </w:pPr>
      <w:r>
        <w:tab/>
      </w:r>
      <w:r>
        <w:rPr>
          <w:b/>
          <w:bCs/>
        </w:rPr>
        <w:t>6.3</w:t>
      </w:r>
      <w:r>
        <w:rPr>
          <w:b/>
          <w:bCs/>
        </w:rPr>
        <w:tab/>
        <w:t>Деятельность Отдела по правам человека Верховного суда</w:t>
      </w:r>
    </w:p>
    <w:p w:rsidR="00000000" w:rsidRDefault="00000000">
      <w:pPr>
        <w:ind w:left="1134" w:hanging="1134"/>
      </w:pPr>
    </w:p>
    <w:p w:rsidR="00000000" w:rsidRDefault="00000000">
      <w:r>
        <w:t>368.</w:t>
      </w:r>
      <w:r>
        <w:tab/>
        <w:t>С 2004 года Отдел по правам человека судебного округа Альто-Парана занимается проблемой сексуальной эксплуатации детей в коммерческих целях по линии программы ИПЕК/МОТ.  Осуществляемые этим Отделом мероприятия касаются вопросов защиты и распространения информации.  Вопросами защиты он занимается посредством принятия участия в межведомственной деятельности в целях координации совместных мероприятий по борьбе с этим явлением и его искоренению.  Что касается распространения информации, то это осуществляется с помощью практикумов, семинаров и кампаний, результаты которых излагаются ниже.</w:t>
      </w:r>
    </w:p>
    <w:p w:rsidR="00000000" w:rsidRDefault="00000000"/>
    <w:p w:rsidR="00000000" w:rsidRDefault="00000000">
      <w:pPr>
        <w:tabs>
          <w:tab w:val="clear" w:pos="1134"/>
          <w:tab w:val="clear" w:pos="1701"/>
          <w:tab w:val="left" w:pos="1276"/>
        </w:tabs>
        <w:ind w:left="1276" w:hanging="1276"/>
      </w:pPr>
      <w:r>
        <w:tab/>
      </w:r>
      <w:r>
        <w:rPr>
          <w:b/>
          <w:bCs/>
          <w:i/>
          <w:iCs/>
        </w:rPr>
        <w:t>6.3.1</w:t>
      </w:r>
      <w:r>
        <w:rPr>
          <w:b/>
          <w:bCs/>
          <w:i/>
          <w:iCs/>
        </w:rPr>
        <w:tab/>
        <w:t>Практикум по проблеме детского труда и адекватности законодательства (2003 год)</w:t>
      </w:r>
    </w:p>
    <w:p w:rsidR="00000000" w:rsidRDefault="00000000">
      <w:pPr>
        <w:tabs>
          <w:tab w:val="clear" w:pos="1134"/>
          <w:tab w:val="left" w:pos="1176"/>
        </w:tabs>
        <w:ind w:left="1176" w:hanging="1176"/>
      </w:pPr>
    </w:p>
    <w:p w:rsidR="00000000" w:rsidRDefault="00000000">
      <w:pPr>
        <w:tabs>
          <w:tab w:val="clear" w:pos="1134"/>
          <w:tab w:val="left" w:pos="1176"/>
        </w:tabs>
      </w:pPr>
      <w:r>
        <w:t>369.</w:t>
      </w:r>
      <w:r>
        <w:tab/>
        <w:t>Этот практикум предоставил возможность обсудить проблему детского труда судьям, которые занимаются проблемами детей, и судьям, которые занимаются трудовыми отношениями.  Благодаря состоявшемуся обмену информацией были сопоставлены нормы, закрепленные в трудовых кодексах, и нормы, применяемые в отношении детей.</w:t>
      </w:r>
    </w:p>
    <w:p w:rsidR="00000000" w:rsidRDefault="00000000">
      <w:pPr>
        <w:tabs>
          <w:tab w:val="clear" w:pos="1134"/>
          <w:tab w:val="left" w:pos="1176"/>
        </w:tabs>
      </w:pPr>
    </w:p>
    <w:p w:rsidR="00000000" w:rsidRDefault="00000000">
      <w:pPr>
        <w:tabs>
          <w:tab w:val="clear" w:pos="1134"/>
          <w:tab w:val="left" w:pos="1176"/>
        </w:tabs>
      </w:pPr>
      <w:r>
        <w:t>370.</w:t>
      </w:r>
      <w:r>
        <w:tab/>
        <w:t>Международная организация труда оказала Отделу по правам человека Верховного суда содействие в проведении практикума по проблеме детского труда и адекватности законодательства, чтобы судьи смогли высказаться в отношении законопроекта (разрабатываемого под эгидой МОТ), который регулирует вопросы труда подростков.  В работе этого практикума приняли участие судьи, занимающиеся трудовыми отношениями, судьи, занимающиеся проблемами детей и подростков, отечественные защитники, а также представители ЮНИСЕФ и неправительственных организаций.  По просьбе участвовавших в этой работе судей в целях продолжения обсуждения этого проекта был организован второй практикум, который состоялся 9 апреля 2003 года.</w:t>
      </w:r>
    </w:p>
    <w:p w:rsidR="00000000" w:rsidRDefault="00000000">
      <w:pPr>
        <w:tabs>
          <w:tab w:val="clear" w:pos="1134"/>
          <w:tab w:val="left" w:pos="1176"/>
        </w:tabs>
      </w:pPr>
    </w:p>
    <w:p w:rsidR="00000000" w:rsidRDefault="00000000">
      <w:pPr>
        <w:tabs>
          <w:tab w:val="clear" w:pos="1134"/>
          <w:tab w:val="left" w:pos="1276"/>
        </w:tabs>
        <w:ind w:left="1276" w:hanging="1276"/>
      </w:pPr>
      <w:r>
        <w:tab/>
      </w:r>
      <w:r>
        <w:rPr>
          <w:b/>
          <w:bCs/>
          <w:i/>
          <w:iCs/>
        </w:rPr>
        <w:t>6.3.2</w:t>
      </w:r>
      <w:r>
        <w:rPr>
          <w:b/>
          <w:bCs/>
          <w:i/>
          <w:iCs/>
        </w:rPr>
        <w:tab/>
        <w:t>Семинар-практикум по правам человека и правам детей в Парагвае, организованный Отделом по правам человека Верховного суда при содействии ИПЕК/МОТ и СИДСЕП (2003 год)</w:t>
      </w:r>
    </w:p>
    <w:p w:rsidR="00000000" w:rsidRDefault="00000000">
      <w:pPr>
        <w:tabs>
          <w:tab w:val="clear" w:pos="1134"/>
          <w:tab w:val="left" w:pos="1176"/>
        </w:tabs>
        <w:ind w:left="1176" w:hanging="1176"/>
      </w:pPr>
    </w:p>
    <w:p w:rsidR="00000000" w:rsidRDefault="00000000">
      <w:pPr>
        <w:tabs>
          <w:tab w:val="clear" w:pos="1134"/>
          <w:tab w:val="left" w:pos="1176"/>
        </w:tabs>
      </w:pPr>
      <w:r>
        <w:t>371.</w:t>
      </w:r>
      <w:r>
        <w:tab/>
        <w:t>Этот семинар-практикум проводился в следующие сроки:  5 ноября (Коронель-Овьедо), 6 ноября (Вильяррика), 17 ноября (Сьюдад-дель-Эсте), 20 ноября (Сан-Хуан-Баутиста-де-Мисьонес), 24 ноября (Консепсьон), 25 ноября (Педро-Хуан-Кабальеро), 1 декабря (Пилар), 2 декабря (Энкарнасьон) и 26 декабря (Асунсьон).</w:t>
      </w:r>
    </w:p>
    <w:p w:rsidR="00000000" w:rsidRDefault="00000000">
      <w:pPr>
        <w:tabs>
          <w:tab w:val="clear" w:pos="1134"/>
          <w:tab w:val="left" w:pos="1176"/>
        </w:tabs>
      </w:pPr>
    </w:p>
    <w:p w:rsidR="00000000" w:rsidRDefault="00000000">
      <w:pPr>
        <w:tabs>
          <w:tab w:val="clear" w:pos="1134"/>
          <w:tab w:val="left" w:pos="1176"/>
        </w:tabs>
      </w:pPr>
      <w:r>
        <w:t>372.</w:t>
      </w:r>
      <w:r>
        <w:tab/>
        <w:t>На этих практикумах были представлены два плана - план мероприятий по предупреждению и постепенному искоренению детского труда и охране труда подростков и план мероприятий по искоренению и предотвращению сексуальной эксплуатации детей в Парагвае.</w:t>
      </w:r>
    </w:p>
    <w:p w:rsidR="00000000" w:rsidRDefault="00000000">
      <w:pPr>
        <w:tabs>
          <w:tab w:val="clear" w:pos="1134"/>
          <w:tab w:val="left" w:pos="1176"/>
        </w:tabs>
      </w:pPr>
    </w:p>
    <w:p w:rsidR="00000000" w:rsidRDefault="00000000">
      <w:pPr>
        <w:tabs>
          <w:tab w:val="clear" w:pos="1134"/>
          <w:tab w:val="left" w:pos="1276"/>
        </w:tabs>
        <w:ind w:left="1276" w:hanging="1276"/>
        <w:rPr>
          <w:b/>
          <w:bCs/>
          <w:i/>
          <w:iCs/>
        </w:rPr>
      </w:pPr>
      <w:r>
        <w:tab/>
      </w:r>
      <w:r>
        <w:rPr>
          <w:b/>
          <w:bCs/>
          <w:i/>
          <w:iCs/>
        </w:rPr>
        <w:t>6.3.3</w:t>
      </w:r>
      <w:r>
        <w:rPr>
          <w:b/>
          <w:bCs/>
          <w:i/>
          <w:iCs/>
        </w:rPr>
        <w:tab/>
        <w:t>Трехсторонняя рабочая группа ИПЕК/МОТ по вопросу о сексуальной эксплуатации детей и подростков в коммерческих целях (2004 год)</w:t>
      </w:r>
    </w:p>
    <w:p w:rsidR="00000000" w:rsidRDefault="00000000">
      <w:pPr>
        <w:tabs>
          <w:tab w:val="clear" w:pos="1134"/>
          <w:tab w:val="left" w:pos="1276"/>
        </w:tabs>
        <w:ind w:left="1276" w:hanging="1276"/>
        <w:rPr>
          <w:b/>
          <w:bCs/>
          <w:i/>
          <w:iCs/>
        </w:rPr>
      </w:pPr>
    </w:p>
    <w:p w:rsidR="00000000" w:rsidRDefault="00000000">
      <w:pPr>
        <w:tabs>
          <w:tab w:val="clear" w:pos="1134"/>
          <w:tab w:val="left" w:pos="1176"/>
        </w:tabs>
      </w:pPr>
      <w:r>
        <w:t>373.</w:t>
      </w:r>
      <w:r>
        <w:tab/>
        <w:t>По просьбе Программы по предупреждению и ликвидации сексуальной эксплуатации детей и подростков в коммерческих целях Международной организации труда (ИПЕК/МОТ) Региональный отдел по правам человека Альто-Парана (при участии судей Апелляционного суда по уголовным делам детей и подростков и судей судов первой инстанции по делам детей и подростков) сформировал рабочую группу в составе адвокатов, защитников, судей и сотрудников полиции для рассмотрения предложений и рекомендаций, вытекающих из исследования, озаглавленного "Сексуальная эксплуатация детей и подростков в коммерческих целях в законодательстве Аргентины, Бразилии и Парагвая:  варианты согласования для стран МЕРКОСУР".  В задачу этой рабочей группы входит разработка предложений о сотрудничестве в правовой и социальной сферах в интересах защиты детей и подростков в зоне тройной границы и разработка специального протокола по оказанию взаимной правовой помощи в уголовных вопросах в зоне тройной границы.</w:t>
      </w:r>
    </w:p>
    <w:p w:rsidR="00000000" w:rsidRDefault="00000000">
      <w:pPr>
        <w:tabs>
          <w:tab w:val="clear" w:pos="1134"/>
          <w:tab w:val="left" w:pos="1176"/>
        </w:tabs>
      </w:pPr>
    </w:p>
    <w:p w:rsidR="00000000" w:rsidRDefault="00000000">
      <w:pPr>
        <w:tabs>
          <w:tab w:val="clear" w:pos="1134"/>
          <w:tab w:val="left" w:pos="1176"/>
        </w:tabs>
      </w:pPr>
      <w:r>
        <w:t>374.</w:t>
      </w:r>
      <w:r>
        <w:tab/>
        <w:t>Результаты исследования, озаглавленного "Сексуальная эксплуатация детей и подростков в законодательстве Аргентины, Бразилии и Парагвая:  варианты согласования для стран МЕРКОСУР", были представлены 23 июня 2004 года в Сьюдад</w:t>
      </w:r>
      <w:r>
        <w:noBreakHyphen/>
        <w:t>дель-Эсте и 29 июня 2004 года в Асунсьоне при содействии ИПЕК/МОТ, КОНАЭТИ, Отдела по правам человека Верховного суда столицы (29 июня 2004 года) и Регионального отдела по правам человека Альто-Парана (23 июня 2004 года).  Эти мероприятия были рассчитаны на тех, кто работает в системе отправления правосудия.  На них бесплатно распространялись информационные материалы.</w:t>
      </w:r>
    </w:p>
    <w:p w:rsidR="00000000" w:rsidRDefault="00000000">
      <w:pPr>
        <w:tabs>
          <w:tab w:val="clear" w:pos="1134"/>
          <w:tab w:val="left" w:pos="1176"/>
        </w:tabs>
      </w:pPr>
    </w:p>
    <w:p w:rsidR="00000000" w:rsidRDefault="00000000">
      <w:pPr>
        <w:tabs>
          <w:tab w:val="clear" w:pos="1134"/>
          <w:tab w:val="left" w:pos="1276"/>
        </w:tabs>
        <w:ind w:left="1276" w:hanging="1276"/>
      </w:pPr>
      <w:r>
        <w:tab/>
      </w:r>
      <w:r>
        <w:rPr>
          <w:b/>
          <w:bCs/>
          <w:i/>
          <w:iCs/>
        </w:rPr>
        <w:t>6.3.4</w:t>
      </w:r>
      <w:r>
        <w:rPr>
          <w:b/>
          <w:bCs/>
          <w:i/>
          <w:iCs/>
        </w:rPr>
        <w:tab/>
        <w:t>Семинар на тему "Процедуры, обеспечивающие уважение прав детей и подростков в ситуациях, связанных с сексуальным насилием"</w:t>
      </w:r>
    </w:p>
    <w:p w:rsidR="00000000" w:rsidRDefault="00000000">
      <w:pPr>
        <w:tabs>
          <w:tab w:val="clear" w:pos="1134"/>
          <w:tab w:val="left" w:pos="1176"/>
        </w:tabs>
        <w:ind w:left="1176" w:hanging="1176"/>
      </w:pPr>
    </w:p>
    <w:p w:rsidR="00000000" w:rsidRDefault="00000000">
      <w:pPr>
        <w:tabs>
          <w:tab w:val="clear" w:pos="1134"/>
          <w:tab w:val="left" w:pos="1176"/>
        </w:tabs>
      </w:pPr>
      <w:r>
        <w:t>375.</w:t>
      </w:r>
      <w:r>
        <w:tab/>
        <w:t>Этот семинар, организованный БЕКА и Отделом по правам человека Верховного суда, проводился 13 и 14 октября 2006 года в целях повышения уровня информированности сотрудников системы правосудия по вопросам применения принципов и критериев, закрепленных в Конвенции по правам ребенка, Факультативном протоколе к Конвенции о правах ребенка, касающемся торговли детьми, детской проституции и детской порнографии, и содействия внедрению в судебную систему практики, обеспечивающей соблюдение существующих договоренностей.  Это мероприятие проводилось под эгидой БИСЕ и было рассчитано на судей, общественных защитников и прокуроров.</w:t>
      </w:r>
    </w:p>
    <w:p w:rsidR="00000000" w:rsidRDefault="00000000">
      <w:pPr>
        <w:tabs>
          <w:tab w:val="clear" w:pos="1134"/>
          <w:tab w:val="left" w:pos="1176"/>
        </w:tabs>
      </w:pPr>
    </w:p>
    <w:p w:rsidR="00000000" w:rsidRDefault="00000000">
      <w:pPr>
        <w:tabs>
          <w:tab w:val="clear" w:pos="1134"/>
          <w:tab w:val="left" w:pos="1176"/>
        </w:tabs>
      </w:pPr>
      <w:r>
        <w:t>376.</w:t>
      </w:r>
      <w:r>
        <w:tab/>
        <w:t>Кроме того, в 2005 году Отдел по правам человека осуществил посредством подготовки исследований и аналитических разработок общую оценку социально-правовой ситуации в Парагвае и ее связь с проблемой сексуальной эксплуатации детей и подростков в коммерческих целях.  Для этого была проделана предварительная работа, связанная со сбором, систематизацией и анализом данных.</w:t>
      </w:r>
    </w:p>
    <w:p w:rsidR="00000000" w:rsidRDefault="00000000"/>
    <w:p w:rsidR="00000000" w:rsidRDefault="00000000">
      <w:pPr>
        <w:tabs>
          <w:tab w:val="clear" w:pos="1134"/>
          <w:tab w:val="clear" w:pos="1701"/>
          <w:tab w:val="left" w:pos="1276"/>
        </w:tabs>
        <w:ind w:left="1276" w:hanging="1276"/>
        <w:rPr>
          <w:b/>
          <w:bCs/>
          <w:i/>
          <w:iCs/>
        </w:rPr>
      </w:pPr>
      <w:r>
        <w:rPr>
          <w:lang w:val="en-US"/>
        </w:rPr>
        <w:tab/>
      </w:r>
      <w:r>
        <w:rPr>
          <w:b/>
          <w:bCs/>
          <w:i/>
          <w:iCs/>
        </w:rPr>
        <w:t>6.3.5</w:t>
      </w:r>
      <w:r>
        <w:rPr>
          <w:b/>
          <w:bCs/>
        </w:rPr>
        <w:tab/>
      </w:r>
      <w:r>
        <w:rPr>
          <w:b/>
          <w:bCs/>
          <w:i/>
          <w:iCs/>
        </w:rPr>
        <w:t>Практикум на тему "Политика борьбы и предотвращения сексуальной эксплуатации детей в коммерческих целях и защиты детей и подростков в зоне тройной границы (2005 год)</w:t>
      </w:r>
    </w:p>
    <w:p w:rsidR="00000000" w:rsidRDefault="00000000">
      <w:pPr>
        <w:tabs>
          <w:tab w:val="clear" w:pos="1134"/>
          <w:tab w:val="clear" w:pos="1701"/>
          <w:tab w:val="left" w:pos="1414"/>
        </w:tabs>
        <w:ind w:left="1496" w:hanging="1496"/>
        <w:rPr>
          <w:b/>
          <w:bCs/>
          <w:i/>
          <w:iCs/>
        </w:rPr>
      </w:pPr>
    </w:p>
    <w:p w:rsidR="00000000" w:rsidRDefault="00000000">
      <w:pPr>
        <w:tabs>
          <w:tab w:val="clear" w:pos="1134"/>
        </w:tabs>
      </w:pPr>
      <w:r>
        <w:t>377.</w:t>
      </w:r>
      <w:r>
        <w:tab/>
        <w:t xml:space="preserve">Этот практикум, организованный Региональным отделом по правам человека судебного округа Альто-Парана и ИПЕК/МОТ Сьюдад-дель-Эсте, проводился во дворце правосудия Сьюдад-дель-Эсте.  Он был рассчитан на сотрудников системы правосудия, представителей государственных учреждений и неправительственных организаций.  </w:t>
      </w:r>
    </w:p>
    <w:p w:rsidR="00000000" w:rsidRDefault="00000000">
      <w:pPr>
        <w:tabs>
          <w:tab w:val="clear" w:pos="1134"/>
        </w:tabs>
      </w:pPr>
    </w:p>
    <w:p w:rsidR="00000000" w:rsidRDefault="00000000">
      <w:pPr>
        <w:tabs>
          <w:tab w:val="clear" w:pos="1134"/>
          <w:tab w:val="clear" w:pos="1701"/>
          <w:tab w:val="left" w:pos="1276"/>
        </w:tabs>
        <w:ind w:left="1418" w:hanging="1418"/>
        <w:rPr>
          <w:b/>
          <w:bCs/>
          <w:i/>
          <w:iCs/>
        </w:rPr>
      </w:pPr>
      <w:r>
        <w:rPr>
          <w:i/>
          <w:iCs/>
        </w:rPr>
        <w:tab/>
      </w:r>
      <w:r>
        <w:rPr>
          <w:b/>
          <w:bCs/>
          <w:i/>
          <w:iCs/>
        </w:rPr>
        <w:t>6.3.6</w:t>
      </w:r>
      <w:r>
        <w:rPr>
          <w:b/>
          <w:bCs/>
          <w:i/>
          <w:iCs/>
        </w:rPr>
        <w:tab/>
        <w:t>Учебный курс по проблеме сексуальной эксплуатации детей в коммерческих целях</w:t>
      </w:r>
    </w:p>
    <w:p w:rsidR="00000000" w:rsidRDefault="00000000">
      <w:pPr>
        <w:tabs>
          <w:tab w:val="clear" w:pos="1134"/>
          <w:tab w:val="clear" w:pos="1701"/>
          <w:tab w:val="left" w:pos="1414"/>
        </w:tabs>
        <w:ind w:left="1496" w:hanging="1496"/>
        <w:rPr>
          <w:b/>
          <w:bCs/>
          <w:i/>
          <w:iCs/>
        </w:rPr>
      </w:pPr>
    </w:p>
    <w:p w:rsidR="00000000" w:rsidRDefault="00000000">
      <w:pPr>
        <w:tabs>
          <w:tab w:val="clear" w:pos="1134"/>
          <w:tab w:val="left" w:pos="1496"/>
        </w:tabs>
      </w:pPr>
      <w:r>
        <w:t>378.</w:t>
      </w:r>
      <w:r>
        <w:tab/>
        <w:t>Этот курс был организован МОТ при содействии Регионального отдела по правам человека судебного органа Альто-Парана.  Он был рассчитан на сотрудников судебных органов и социальных работников и проводился во дворце правосудия Сьюдад-дель-Эсте (2005 год).</w:t>
      </w:r>
    </w:p>
    <w:p w:rsidR="00000000" w:rsidRDefault="00000000">
      <w:pPr>
        <w:tabs>
          <w:tab w:val="clear" w:pos="1134"/>
          <w:tab w:val="left" w:pos="1496"/>
        </w:tabs>
      </w:pPr>
    </w:p>
    <w:p w:rsidR="00000000" w:rsidRDefault="00000000">
      <w:pPr>
        <w:tabs>
          <w:tab w:val="clear" w:pos="1134"/>
          <w:tab w:val="clear" w:pos="1701"/>
          <w:tab w:val="left" w:pos="1276"/>
        </w:tabs>
        <w:ind w:left="1276" w:hanging="1276"/>
        <w:rPr>
          <w:b/>
          <w:bCs/>
          <w:i/>
          <w:iCs/>
        </w:rPr>
      </w:pPr>
      <w:r>
        <w:rPr>
          <w:i/>
          <w:iCs/>
        </w:rPr>
        <w:tab/>
      </w:r>
      <w:r>
        <w:rPr>
          <w:b/>
          <w:bCs/>
          <w:i/>
          <w:iCs/>
        </w:rPr>
        <w:t>6.3.7</w:t>
      </w:r>
      <w:r>
        <w:rPr>
          <w:b/>
          <w:bCs/>
          <w:i/>
          <w:iCs/>
        </w:rPr>
        <w:tab/>
        <w:t>Анализ доклада о нарушениях прав беспризорных детей и подростков (незаконное лишение свободы в Сьюдад-дель-Эсте (2005 год)</w:t>
      </w:r>
    </w:p>
    <w:p w:rsidR="00000000" w:rsidRDefault="00000000">
      <w:pPr>
        <w:tabs>
          <w:tab w:val="clear" w:pos="1134"/>
          <w:tab w:val="clear" w:pos="1701"/>
          <w:tab w:val="left" w:pos="1414"/>
        </w:tabs>
        <w:ind w:left="1496" w:hanging="1496"/>
        <w:rPr>
          <w:b/>
          <w:bCs/>
          <w:i/>
          <w:iCs/>
        </w:rPr>
      </w:pPr>
    </w:p>
    <w:p w:rsidR="00000000" w:rsidRDefault="00000000">
      <w:pPr>
        <w:tabs>
          <w:tab w:val="clear" w:pos="1134"/>
        </w:tabs>
      </w:pPr>
      <w:r>
        <w:t>379.</w:t>
      </w:r>
      <w:r>
        <w:tab/>
        <w:t>Это мероприятие было проведено во дворце правосудия Сьюдад-дель-Эсте и включало в себя работу дискуссионной группы, где была возможность задать вопросы представителям органов власти.  Оно было рассчитано на судей, защитников, прокуроров, работников судебных органов, представителей государственных учреждений, неправительственных организаций и широкой общественности.</w:t>
      </w:r>
    </w:p>
    <w:p w:rsidR="00000000" w:rsidRDefault="00000000">
      <w:pPr>
        <w:tabs>
          <w:tab w:val="clear" w:pos="1134"/>
        </w:tabs>
      </w:pPr>
    </w:p>
    <w:p w:rsidR="00000000" w:rsidRDefault="00000000">
      <w:pPr>
        <w:keepNext/>
        <w:tabs>
          <w:tab w:val="clear" w:pos="1134"/>
        </w:tabs>
        <w:rPr>
          <w:b/>
          <w:bCs/>
        </w:rPr>
      </w:pPr>
      <w:r>
        <w:rPr>
          <w:b/>
          <w:bCs/>
        </w:rPr>
        <w:t>Статья 11</w:t>
      </w:r>
    </w:p>
    <w:p w:rsidR="00000000" w:rsidRDefault="00000000">
      <w:pPr>
        <w:keepNext/>
        <w:tabs>
          <w:tab w:val="clear" w:pos="1134"/>
        </w:tabs>
        <w:rPr>
          <w:b/>
          <w:bCs/>
        </w:rPr>
      </w:pPr>
    </w:p>
    <w:p w:rsidR="00000000" w:rsidRDefault="00000000">
      <w:pPr>
        <w:keepNext/>
        <w:tabs>
          <w:tab w:val="clear" w:pos="1134"/>
        </w:tabs>
        <w:jc w:val="center"/>
        <w:rPr>
          <w:b/>
          <w:bCs/>
        </w:rPr>
      </w:pPr>
      <w:r>
        <w:rPr>
          <w:b/>
          <w:bCs/>
        </w:rPr>
        <w:t>А.</w:t>
      </w:r>
      <w:r>
        <w:rPr>
          <w:b/>
          <w:bCs/>
        </w:rPr>
        <w:tab/>
        <w:t>Общее положение с правом на достаточное питание</w:t>
      </w:r>
    </w:p>
    <w:p w:rsidR="00000000" w:rsidRDefault="00000000">
      <w:pPr>
        <w:keepNext/>
        <w:tabs>
          <w:tab w:val="clear" w:pos="1134"/>
        </w:tabs>
        <w:jc w:val="center"/>
        <w:rPr>
          <w:b/>
          <w:bCs/>
        </w:rPr>
      </w:pPr>
    </w:p>
    <w:p w:rsidR="00000000" w:rsidRDefault="00000000">
      <w:pPr>
        <w:tabs>
          <w:tab w:val="clear" w:pos="1134"/>
        </w:tabs>
      </w:pPr>
      <w:r>
        <w:t>380.</w:t>
      </w:r>
      <w:r>
        <w:tab/>
        <w:t xml:space="preserve">В статье 72 Конституции страны, где речь идет о контроле за качеством, говорится следующее:  "государство осуществляет контроль за качеством пищевых, химических, фармацевтических и биологических продуктов на этапе производства, импорта и сбыта…".  Раздел </w:t>
      </w:r>
      <w:r>
        <w:rPr>
          <w:lang w:val="en-US"/>
        </w:rPr>
        <w:t>II</w:t>
      </w:r>
      <w:r>
        <w:t xml:space="preserve"> Санитарного кодекса, посвященный продуктам питания (Закон № 836/80), регламентирующие указы и постановления министерств образуют правовые рамки, в которых министерство здравоохранения и социального обеспечения через свой технический орган ИНАН (Национальный институт продовольствия и питания) ведет Национальный реестр продуктов питания, Санитарный реестр продуктов питания (СРПП) и Реестр предприятий (РП).  Эти реестры образуют базу данных о зарегистрированных продуктах, которые реализуются на территории страны.  Кроме того, внедренная в департаментах на территории всей страны Система контроля за продовольствием и питанием (СКПП) способствует получению информации, которая затем анализируется учреждением, занимающимся оценкой состояния питания населения, охваченного службами здравоохранения министерства здравоохранения и социального обеспечения.  В нашей стране не проводилось национального обследования состояния питания с разбивкой по возрастным группам и не составлялся реестр с разбивкой по продуктам питания, реализуемых на территории страны.  Из-за нехватки людских и финансовых ресурсов мониторинг является неполным, непоследовательным и нерегулярным.  Что касается достаточного питания, то страна располагает инструментами для проведения просветительских кампаний.  Речь идет о руководящих принципах, регулирующих вопросы питания в Парагвае, и руководящих принципов в отношении детей в возрасте до двух лет.  Эти принципы, пропагандирующие оптимальные, с точки зрения здоровья, режимы питания, применяются на уровне департаментов.  В стране нет национального плана мероприятий по обеспечению продовольственной безопасности, но при этом действуют общественные учреждения и организация гражданского общества, которые осуществляют программы питания в интересах различных слоев населения.  В числе этих структур следует назвать Канцелярию супруги президента, организацию "Пастораль дель Ниньо", организацию "Алтер Вида", организацию "Огуасу", организацию "МАГ" (планы самообеспечения продуктами питания) и организацию "САС".</w:t>
      </w:r>
    </w:p>
    <w:p w:rsidR="00000000" w:rsidRDefault="00000000">
      <w:pPr>
        <w:tabs>
          <w:tab w:val="clear" w:pos="1134"/>
        </w:tabs>
      </w:pPr>
    </w:p>
    <w:p w:rsidR="00000000" w:rsidRDefault="00000000">
      <w:pPr>
        <w:tabs>
          <w:tab w:val="clear" w:pos="1134"/>
        </w:tabs>
      </w:pPr>
      <w:r>
        <w:t>381.</w:t>
      </w:r>
      <w:r>
        <w:tab/>
        <w:t>Система контроля за продовольствием и питанием, внедренная ИНАН, распространяется на детей в возрасте до пяти лет, учащихся и беременных женщин.  Соответствующие данные передаются службами здравоохранения и обрабатываются ИНАН в целях оценки состояния питания.</w:t>
      </w:r>
    </w:p>
    <w:p w:rsidR="00000000" w:rsidRDefault="00000000">
      <w:pPr>
        <w:tabs>
          <w:tab w:val="clear" w:pos="1134"/>
        </w:tabs>
      </w:pPr>
    </w:p>
    <w:p w:rsidR="00000000" w:rsidRDefault="00000000">
      <w:pPr>
        <w:tabs>
          <w:tab w:val="clear" w:pos="1134"/>
        </w:tabs>
        <w:jc w:val="center"/>
        <w:rPr>
          <w:b/>
          <w:bCs/>
        </w:rPr>
      </w:pPr>
      <w:r>
        <w:rPr>
          <w:b/>
          <w:bCs/>
        </w:rPr>
        <w:t>Оценка степени недоедания на основе данных, полученных в рамках СКПП</w:t>
      </w:r>
      <w:r>
        <w:rPr>
          <w:b/>
          <w:bCs/>
        </w:rPr>
        <w:br/>
        <w:t>в 2003 году и в ходе Комплексного обследования</w:t>
      </w:r>
      <w:r>
        <w:rPr>
          <w:b/>
          <w:bCs/>
        </w:rPr>
        <w:br/>
        <w:t>домашних хозяйств в 2000/2001 годах</w:t>
      </w:r>
    </w:p>
    <w:p w:rsidR="00000000" w:rsidRDefault="00000000">
      <w:pPr>
        <w:tabs>
          <w:tab w:val="clear" w:pos="1134"/>
        </w:tabs>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48"/>
        <w:gridCol w:w="802"/>
        <w:gridCol w:w="787"/>
        <w:gridCol w:w="802"/>
        <w:gridCol w:w="760"/>
        <w:gridCol w:w="817"/>
        <w:gridCol w:w="838"/>
        <w:gridCol w:w="719"/>
        <w:gridCol w:w="717"/>
        <w:gridCol w:w="792"/>
        <w:gridCol w:w="765"/>
        <w:gridCol w:w="764"/>
      </w:tblGrid>
      <w:tr w:rsidR="00000000">
        <w:tblPrEx>
          <w:tblCellMar>
            <w:top w:w="0" w:type="dxa"/>
            <w:bottom w:w="0" w:type="dxa"/>
          </w:tblCellMar>
        </w:tblPrEx>
        <w:trPr>
          <w:cantSplit/>
        </w:trPr>
        <w:tc>
          <w:tcPr>
            <w:tcW w:w="848" w:type="dxa"/>
            <w:vAlign w:val="center"/>
          </w:tcPr>
          <w:p w:rsidR="00000000" w:rsidRDefault="00000000">
            <w:pPr>
              <w:jc w:val="center"/>
              <w:rPr>
                <w:b/>
                <w:bCs/>
                <w:spacing w:val="-4"/>
                <w:sz w:val="12"/>
              </w:rPr>
            </w:pPr>
            <w:r>
              <w:rPr>
                <w:b/>
                <w:bCs/>
                <w:spacing w:val="-4"/>
                <w:sz w:val="12"/>
              </w:rPr>
              <w:t>Округа</w:t>
            </w:r>
          </w:p>
        </w:tc>
        <w:tc>
          <w:tcPr>
            <w:tcW w:w="802" w:type="dxa"/>
            <w:vAlign w:val="center"/>
          </w:tcPr>
          <w:p w:rsidR="00000000" w:rsidRDefault="00000000">
            <w:pPr>
              <w:jc w:val="center"/>
              <w:rPr>
                <w:b/>
                <w:bCs/>
                <w:spacing w:val="-4"/>
                <w:sz w:val="12"/>
              </w:rPr>
            </w:pPr>
            <w:r>
              <w:rPr>
                <w:b/>
                <w:bCs/>
                <w:spacing w:val="-4"/>
                <w:sz w:val="12"/>
              </w:rPr>
              <w:t xml:space="preserve">Дети в возрасте от </w:t>
            </w:r>
          </w:p>
          <w:p w:rsidR="00000000" w:rsidRDefault="00000000">
            <w:pPr>
              <w:jc w:val="center"/>
              <w:rPr>
                <w:b/>
                <w:bCs/>
                <w:spacing w:val="-4"/>
                <w:sz w:val="12"/>
              </w:rPr>
            </w:pPr>
            <w:r>
              <w:rPr>
                <w:b/>
                <w:bCs/>
                <w:spacing w:val="-4"/>
                <w:sz w:val="12"/>
              </w:rPr>
              <w:t>0 до 6 месяцев, находящиеся под угрозой недоедания</w:t>
            </w:r>
          </w:p>
        </w:tc>
        <w:tc>
          <w:tcPr>
            <w:tcW w:w="787" w:type="dxa"/>
            <w:vAlign w:val="center"/>
          </w:tcPr>
          <w:p w:rsidR="00000000" w:rsidRDefault="00000000">
            <w:pPr>
              <w:jc w:val="center"/>
              <w:rPr>
                <w:b/>
                <w:bCs/>
                <w:spacing w:val="-4"/>
                <w:sz w:val="12"/>
              </w:rPr>
            </w:pPr>
            <w:r>
              <w:rPr>
                <w:b/>
                <w:bCs/>
                <w:spacing w:val="-4"/>
                <w:sz w:val="12"/>
              </w:rPr>
              <w:t xml:space="preserve">Дети в возрасте от </w:t>
            </w:r>
          </w:p>
          <w:p w:rsidR="00000000" w:rsidRDefault="00000000">
            <w:pPr>
              <w:jc w:val="center"/>
              <w:rPr>
                <w:b/>
                <w:bCs/>
                <w:spacing w:val="-4"/>
                <w:sz w:val="12"/>
              </w:rPr>
            </w:pPr>
            <w:r>
              <w:rPr>
                <w:b/>
                <w:bCs/>
                <w:spacing w:val="-4"/>
                <w:sz w:val="12"/>
              </w:rPr>
              <w:t xml:space="preserve">6 месяцев до </w:t>
            </w:r>
          </w:p>
          <w:p w:rsidR="00000000" w:rsidRDefault="00000000">
            <w:pPr>
              <w:jc w:val="center"/>
              <w:rPr>
                <w:b/>
                <w:bCs/>
                <w:spacing w:val="-4"/>
                <w:sz w:val="12"/>
              </w:rPr>
            </w:pPr>
            <w:r>
              <w:rPr>
                <w:b/>
                <w:bCs/>
                <w:spacing w:val="-4"/>
                <w:sz w:val="12"/>
              </w:rPr>
              <w:t>1 года, находящиеся под угрозой недоедания</w:t>
            </w:r>
          </w:p>
        </w:tc>
        <w:tc>
          <w:tcPr>
            <w:tcW w:w="802" w:type="dxa"/>
            <w:vAlign w:val="center"/>
          </w:tcPr>
          <w:p w:rsidR="00000000" w:rsidRDefault="00000000">
            <w:pPr>
              <w:jc w:val="center"/>
              <w:rPr>
                <w:b/>
                <w:bCs/>
                <w:spacing w:val="-4"/>
                <w:sz w:val="12"/>
              </w:rPr>
            </w:pPr>
            <w:r>
              <w:rPr>
                <w:b/>
                <w:bCs/>
                <w:spacing w:val="-4"/>
                <w:sz w:val="12"/>
              </w:rPr>
              <w:t>Дети в возрасте от 1 до 4 лет, находящиеся под угрозой недоедания</w:t>
            </w:r>
          </w:p>
        </w:tc>
        <w:tc>
          <w:tcPr>
            <w:tcW w:w="760" w:type="dxa"/>
            <w:vAlign w:val="center"/>
          </w:tcPr>
          <w:p w:rsidR="00000000" w:rsidRDefault="00000000">
            <w:pPr>
              <w:jc w:val="center"/>
              <w:rPr>
                <w:b/>
                <w:bCs/>
                <w:spacing w:val="-4"/>
                <w:sz w:val="12"/>
              </w:rPr>
            </w:pPr>
            <w:r>
              <w:rPr>
                <w:b/>
                <w:bCs/>
                <w:spacing w:val="-4"/>
                <w:sz w:val="12"/>
              </w:rPr>
              <w:t xml:space="preserve">Дети в возрасте от </w:t>
            </w:r>
          </w:p>
          <w:p w:rsidR="00000000" w:rsidRDefault="00000000">
            <w:pPr>
              <w:jc w:val="center"/>
              <w:rPr>
                <w:b/>
                <w:bCs/>
                <w:spacing w:val="-4"/>
                <w:sz w:val="12"/>
              </w:rPr>
            </w:pPr>
            <w:r>
              <w:rPr>
                <w:b/>
                <w:bCs/>
                <w:spacing w:val="-4"/>
                <w:sz w:val="12"/>
              </w:rPr>
              <w:t>0 до 6 месяцев, страдающие недоеданием в умеренной форме</w:t>
            </w:r>
          </w:p>
        </w:tc>
        <w:tc>
          <w:tcPr>
            <w:tcW w:w="817" w:type="dxa"/>
            <w:vAlign w:val="center"/>
          </w:tcPr>
          <w:p w:rsidR="00000000" w:rsidRDefault="00000000">
            <w:pPr>
              <w:jc w:val="center"/>
              <w:rPr>
                <w:b/>
                <w:bCs/>
                <w:spacing w:val="-4"/>
                <w:sz w:val="12"/>
              </w:rPr>
            </w:pPr>
            <w:r>
              <w:rPr>
                <w:b/>
                <w:bCs/>
                <w:spacing w:val="-4"/>
                <w:sz w:val="12"/>
              </w:rPr>
              <w:t xml:space="preserve">Дети в возрасте от </w:t>
            </w:r>
          </w:p>
          <w:p w:rsidR="00000000" w:rsidRDefault="00000000">
            <w:pPr>
              <w:jc w:val="center"/>
              <w:rPr>
                <w:b/>
                <w:bCs/>
                <w:spacing w:val="-4"/>
                <w:sz w:val="12"/>
              </w:rPr>
            </w:pPr>
            <w:r>
              <w:rPr>
                <w:b/>
                <w:bCs/>
                <w:spacing w:val="-4"/>
                <w:sz w:val="12"/>
              </w:rPr>
              <w:t xml:space="preserve">6 месяцев до </w:t>
            </w:r>
          </w:p>
          <w:p w:rsidR="00000000" w:rsidRDefault="00000000">
            <w:pPr>
              <w:jc w:val="center"/>
              <w:rPr>
                <w:b/>
                <w:bCs/>
                <w:spacing w:val="-4"/>
                <w:sz w:val="12"/>
              </w:rPr>
            </w:pPr>
            <w:r>
              <w:rPr>
                <w:b/>
                <w:bCs/>
                <w:spacing w:val="-4"/>
                <w:sz w:val="12"/>
              </w:rPr>
              <w:t xml:space="preserve">1 года, страдающие недоеданием в умеренной форме </w:t>
            </w:r>
          </w:p>
        </w:tc>
        <w:tc>
          <w:tcPr>
            <w:tcW w:w="838" w:type="dxa"/>
            <w:vAlign w:val="center"/>
          </w:tcPr>
          <w:p w:rsidR="00000000" w:rsidRDefault="00000000">
            <w:pPr>
              <w:jc w:val="center"/>
              <w:rPr>
                <w:b/>
                <w:bCs/>
                <w:spacing w:val="-4"/>
                <w:sz w:val="12"/>
              </w:rPr>
            </w:pPr>
            <w:r>
              <w:rPr>
                <w:b/>
                <w:bCs/>
                <w:spacing w:val="-4"/>
                <w:sz w:val="12"/>
              </w:rPr>
              <w:t xml:space="preserve">Дети в возрасте от </w:t>
            </w:r>
          </w:p>
          <w:p w:rsidR="00000000" w:rsidRDefault="00000000">
            <w:pPr>
              <w:jc w:val="center"/>
              <w:rPr>
                <w:b/>
                <w:bCs/>
                <w:spacing w:val="-4"/>
                <w:sz w:val="12"/>
              </w:rPr>
            </w:pPr>
            <w:r>
              <w:rPr>
                <w:b/>
                <w:bCs/>
                <w:spacing w:val="-4"/>
                <w:sz w:val="12"/>
              </w:rPr>
              <w:t xml:space="preserve">1 до 4 лет, страдающие недоеданием в умеренной форме </w:t>
            </w:r>
          </w:p>
        </w:tc>
        <w:tc>
          <w:tcPr>
            <w:tcW w:w="719" w:type="dxa"/>
            <w:vAlign w:val="center"/>
          </w:tcPr>
          <w:p w:rsidR="00000000" w:rsidRDefault="00000000">
            <w:pPr>
              <w:jc w:val="center"/>
              <w:rPr>
                <w:b/>
                <w:bCs/>
                <w:spacing w:val="-4"/>
                <w:sz w:val="12"/>
              </w:rPr>
            </w:pPr>
            <w:r>
              <w:rPr>
                <w:b/>
                <w:bCs/>
                <w:spacing w:val="-4"/>
                <w:sz w:val="12"/>
              </w:rPr>
              <w:t>Общее число детей, находящих-ся под угрозой недоедания</w:t>
            </w:r>
          </w:p>
        </w:tc>
        <w:tc>
          <w:tcPr>
            <w:tcW w:w="717" w:type="dxa"/>
            <w:vAlign w:val="center"/>
          </w:tcPr>
          <w:p w:rsidR="00000000" w:rsidRDefault="00000000">
            <w:pPr>
              <w:jc w:val="center"/>
              <w:rPr>
                <w:b/>
                <w:bCs/>
                <w:spacing w:val="-4"/>
                <w:sz w:val="12"/>
              </w:rPr>
            </w:pPr>
            <w:r>
              <w:rPr>
                <w:b/>
                <w:bCs/>
                <w:spacing w:val="-4"/>
                <w:sz w:val="12"/>
              </w:rPr>
              <w:t>Общее число детей, страдающих недоеданием в умеренной или тяжкой форме</w:t>
            </w:r>
          </w:p>
        </w:tc>
        <w:tc>
          <w:tcPr>
            <w:tcW w:w="792" w:type="dxa"/>
            <w:vAlign w:val="center"/>
          </w:tcPr>
          <w:p w:rsidR="00000000" w:rsidRDefault="00000000">
            <w:pPr>
              <w:jc w:val="center"/>
              <w:rPr>
                <w:b/>
                <w:bCs/>
                <w:spacing w:val="-4"/>
                <w:sz w:val="12"/>
              </w:rPr>
            </w:pPr>
            <w:r>
              <w:rPr>
                <w:b/>
                <w:bCs/>
                <w:spacing w:val="-4"/>
                <w:sz w:val="12"/>
              </w:rPr>
              <w:t>Общее число недоедающих</w:t>
            </w:r>
          </w:p>
        </w:tc>
        <w:tc>
          <w:tcPr>
            <w:tcW w:w="765" w:type="dxa"/>
            <w:vAlign w:val="center"/>
          </w:tcPr>
          <w:p w:rsidR="00000000" w:rsidRDefault="00000000">
            <w:pPr>
              <w:jc w:val="center"/>
              <w:rPr>
                <w:b/>
                <w:bCs/>
                <w:spacing w:val="-4"/>
                <w:sz w:val="12"/>
              </w:rPr>
            </w:pPr>
            <w:r>
              <w:rPr>
                <w:b/>
                <w:bCs/>
                <w:spacing w:val="-4"/>
                <w:sz w:val="12"/>
              </w:rPr>
              <w:t>Общее число беременных женщин, страдающих недоеданием</w:t>
            </w:r>
          </w:p>
        </w:tc>
        <w:tc>
          <w:tcPr>
            <w:tcW w:w="764" w:type="dxa"/>
            <w:vAlign w:val="center"/>
          </w:tcPr>
          <w:p w:rsidR="00000000" w:rsidRDefault="00000000">
            <w:pPr>
              <w:jc w:val="center"/>
              <w:rPr>
                <w:b/>
                <w:bCs/>
                <w:spacing w:val="-4"/>
                <w:sz w:val="12"/>
              </w:rPr>
            </w:pPr>
            <w:r>
              <w:rPr>
                <w:b/>
                <w:bCs/>
                <w:spacing w:val="-4"/>
                <w:sz w:val="12"/>
              </w:rPr>
              <w:t>Общее число бенефициа-ров</w:t>
            </w:r>
          </w:p>
        </w:tc>
      </w:tr>
      <w:tr w:rsidR="00000000">
        <w:tblPrEx>
          <w:tblCellMar>
            <w:top w:w="0" w:type="dxa"/>
            <w:bottom w:w="0" w:type="dxa"/>
          </w:tblCellMar>
        </w:tblPrEx>
        <w:trPr>
          <w:cantSplit/>
        </w:trPr>
        <w:tc>
          <w:tcPr>
            <w:tcW w:w="848" w:type="dxa"/>
          </w:tcPr>
          <w:p w:rsidR="00000000" w:rsidRDefault="00000000">
            <w:pPr>
              <w:rPr>
                <w:spacing w:val="-4"/>
                <w:sz w:val="13"/>
              </w:rPr>
            </w:pPr>
            <w:r>
              <w:rPr>
                <w:spacing w:val="-4"/>
                <w:sz w:val="13"/>
              </w:rPr>
              <w:t>Коронель-Овьедо</w:t>
            </w:r>
          </w:p>
        </w:tc>
        <w:tc>
          <w:tcPr>
            <w:tcW w:w="802" w:type="dxa"/>
            <w:vAlign w:val="bottom"/>
          </w:tcPr>
          <w:p w:rsidR="00000000" w:rsidRDefault="00000000">
            <w:pPr>
              <w:tabs>
                <w:tab w:val="decimal" w:pos="471"/>
              </w:tabs>
              <w:jc w:val="center"/>
              <w:rPr>
                <w:sz w:val="13"/>
              </w:rPr>
            </w:pPr>
            <w:r>
              <w:rPr>
                <w:sz w:val="13"/>
              </w:rPr>
              <w:t>36</w:t>
            </w:r>
          </w:p>
        </w:tc>
        <w:tc>
          <w:tcPr>
            <w:tcW w:w="787" w:type="dxa"/>
            <w:vAlign w:val="bottom"/>
          </w:tcPr>
          <w:p w:rsidR="00000000" w:rsidRDefault="00000000">
            <w:pPr>
              <w:tabs>
                <w:tab w:val="decimal" w:pos="507"/>
              </w:tabs>
              <w:jc w:val="center"/>
              <w:rPr>
                <w:sz w:val="13"/>
              </w:rPr>
            </w:pPr>
            <w:r>
              <w:rPr>
                <w:sz w:val="13"/>
              </w:rPr>
              <w:t>36</w:t>
            </w:r>
          </w:p>
        </w:tc>
        <w:tc>
          <w:tcPr>
            <w:tcW w:w="802" w:type="dxa"/>
            <w:vAlign w:val="bottom"/>
          </w:tcPr>
          <w:p w:rsidR="00000000" w:rsidRDefault="00000000">
            <w:pPr>
              <w:tabs>
                <w:tab w:val="decimal" w:pos="471"/>
              </w:tabs>
              <w:jc w:val="center"/>
              <w:rPr>
                <w:sz w:val="13"/>
              </w:rPr>
            </w:pPr>
            <w:r>
              <w:rPr>
                <w:sz w:val="13"/>
              </w:rPr>
              <w:t>281</w:t>
            </w:r>
          </w:p>
        </w:tc>
        <w:tc>
          <w:tcPr>
            <w:tcW w:w="760" w:type="dxa"/>
            <w:vAlign w:val="bottom"/>
          </w:tcPr>
          <w:p w:rsidR="00000000" w:rsidRDefault="00000000">
            <w:pPr>
              <w:tabs>
                <w:tab w:val="decimal" w:pos="471"/>
              </w:tabs>
              <w:jc w:val="center"/>
              <w:rPr>
                <w:sz w:val="13"/>
              </w:rPr>
            </w:pPr>
            <w:r>
              <w:rPr>
                <w:sz w:val="13"/>
              </w:rPr>
              <w:t>9</w:t>
            </w:r>
          </w:p>
        </w:tc>
        <w:tc>
          <w:tcPr>
            <w:tcW w:w="817" w:type="dxa"/>
            <w:vAlign w:val="bottom"/>
          </w:tcPr>
          <w:p w:rsidR="00000000" w:rsidRDefault="00000000">
            <w:pPr>
              <w:tabs>
                <w:tab w:val="decimal" w:pos="471"/>
              </w:tabs>
              <w:jc w:val="center"/>
              <w:rPr>
                <w:sz w:val="13"/>
              </w:rPr>
            </w:pPr>
            <w:r>
              <w:rPr>
                <w:sz w:val="13"/>
              </w:rPr>
              <w:t>9</w:t>
            </w:r>
          </w:p>
        </w:tc>
        <w:tc>
          <w:tcPr>
            <w:tcW w:w="838" w:type="dxa"/>
            <w:vAlign w:val="bottom"/>
          </w:tcPr>
          <w:p w:rsidR="00000000" w:rsidRDefault="00000000">
            <w:pPr>
              <w:tabs>
                <w:tab w:val="decimal" w:pos="471"/>
              </w:tabs>
              <w:jc w:val="center"/>
              <w:rPr>
                <w:sz w:val="13"/>
              </w:rPr>
            </w:pPr>
            <w:r>
              <w:rPr>
                <w:sz w:val="13"/>
              </w:rPr>
              <w:t>70</w:t>
            </w:r>
          </w:p>
        </w:tc>
        <w:tc>
          <w:tcPr>
            <w:tcW w:w="719" w:type="dxa"/>
            <w:vAlign w:val="bottom"/>
          </w:tcPr>
          <w:p w:rsidR="00000000" w:rsidRDefault="00000000">
            <w:pPr>
              <w:tabs>
                <w:tab w:val="decimal" w:pos="453"/>
              </w:tabs>
              <w:jc w:val="center"/>
              <w:rPr>
                <w:sz w:val="13"/>
              </w:rPr>
            </w:pPr>
            <w:r>
              <w:rPr>
                <w:sz w:val="13"/>
              </w:rPr>
              <w:t>353</w:t>
            </w:r>
          </w:p>
        </w:tc>
        <w:tc>
          <w:tcPr>
            <w:tcW w:w="717" w:type="dxa"/>
            <w:vAlign w:val="bottom"/>
          </w:tcPr>
          <w:p w:rsidR="00000000" w:rsidRDefault="00000000">
            <w:pPr>
              <w:tabs>
                <w:tab w:val="decimal" w:pos="452"/>
              </w:tabs>
              <w:jc w:val="center"/>
              <w:rPr>
                <w:sz w:val="13"/>
              </w:rPr>
            </w:pPr>
            <w:r>
              <w:rPr>
                <w:sz w:val="13"/>
              </w:rPr>
              <w:t>88</w:t>
            </w:r>
          </w:p>
        </w:tc>
        <w:tc>
          <w:tcPr>
            <w:tcW w:w="792" w:type="dxa"/>
            <w:vAlign w:val="bottom"/>
          </w:tcPr>
          <w:p w:rsidR="00000000" w:rsidRDefault="00000000">
            <w:pPr>
              <w:tabs>
                <w:tab w:val="decimal" w:pos="510"/>
              </w:tabs>
              <w:jc w:val="center"/>
              <w:rPr>
                <w:sz w:val="13"/>
              </w:rPr>
            </w:pPr>
            <w:r>
              <w:rPr>
                <w:sz w:val="13"/>
              </w:rPr>
              <w:t>441</w:t>
            </w:r>
          </w:p>
        </w:tc>
        <w:tc>
          <w:tcPr>
            <w:tcW w:w="765" w:type="dxa"/>
            <w:vAlign w:val="bottom"/>
          </w:tcPr>
          <w:p w:rsidR="00000000" w:rsidRDefault="00000000">
            <w:pPr>
              <w:tabs>
                <w:tab w:val="clear" w:pos="567"/>
                <w:tab w:val="decimal" w:pos="572"/>
              </w:tabs>
              <w:jc w:val="center"/>
              <w:rPr>
                <w:sz w:val="13"/>
              </w:rPr>
            </w:pPr>
            <w:r>
              <w:rPr>
                <w:sz w:val="13"/>
              </w:rPr>
              <w:t>132</w:t>
            </w:r>
          </w:p>
        </w:tc>
        <w:tc>
          <w:tcPr>
            <w:tcW w:w="764" w:type="dxa"/>
            <w:vAlign w:val="bottom"/>
          </w:tcPr>
          <w:p w:rsidR="00000000" w:rsidRDefault="00000000">
            <w:pPr>
              <w:tabs>
                <w:tab w:val="clear" w:pos="567"/>
                <w:tab w:val="decimal" w:pos="572"/>
              </w:tabs>
              <w:jc w:val="center"/>
              <w:rPr>
                <w:sz w:val="13"/>
              </w:rPr>
            </w:pPr>
            <w:r>
              <w:rPr>
                <w:sz w:val="13"/>
              </w:rPr>
              <w:t>573</w:t>
            </w:r>
          </w:p>
        </w:tc>
      </w:tr>
      <w:tr w:rsidR="00000000">
        <w:tblPrEx>
          <w:tblCellMar>
            <w:top w:w="0" w:type="dxa"/>
            <w:bottom w:w="0" w:type="dxa"/>
          </w:tblCellMar>
        </w:tblPrEx>
        <w:trPr>
          <w:cantSplit/>
        </w:trPr>
        <w:tc>
          <w:tcPr>
            <w:tcW w:w="848" w:type="dxa"/>
          </w:tcPr>
          <w:p w:rsidR="00000000" w:rsidRDefault="00000000">
            <w:pPr>
              <w:rPr>
                <w:spacing w:val="-4"/>
                <w:sz w:val="13"/>
              </w:rPr>
            </w:pPr>
            <w:r>
              <w:rPr>
                <w:spacing w:val="-4"/>
                <w:sz w:val="13"/>
              </w:rPr>
              <w:t>Сан Эстанислао</w:t>
            </w:r>
          </w:p>
        </w:tc>
        <w:tc>
          <w:tcPr>
            <w:tcW w:w="802" w:type="dxa"/>
          </w:tcPr>
          <w:p w:rsidR="00000000" w:rsidRDefault="00000000">
            <w:pPr>
              <w:tabs>
                <w:tab w:val="decimal" w:pos="471"/>
              </w:tabs>
              <w:jc w:val="center"/>
              <w:rPr>
                <w:sz w:val="13"/>
              </w:rPr>
            </w:pPr>
            <w:r>
              <w:rPr>
                <w:sz w:val="13"/>
              </w:rPr>
              <w:t>25</w:t>
            </w:r>
          </w:p>
        </w:tc>
        <w:tc>
          <w:tcPr>
            <w:tcW w:w="787" w:type="dxa"/>
          </w:tcPr>
          <w:p w:rsidR="00000000" w:rsidRDefault="00000000">
            <w:pPr>
              <w:tabs>
                <w:tab w:val="decimal" w:pos="507"/>
              </w:tabs>
              <w:jc w:val="center"/>
              <w:rPr>
                <w:sz w:val="13"/>
              </w:rPr>
            </w:pPr>
            <w:r>
              <w:rPr>
                <w:sz w:val="13"/>
              </w:rPr>
              <w:t>25</w:t>
            </w:r>
          </w:p>
        </w:tc>
        <w:tc>
          <w:tcPr>
            <w:tcW w:w="802" w:type="dxa"/>
          </w:tcPr>
          <w:p w:rsidR="00000000" w:rsidRDefault="00000000">
            <w:pPr>
              <w:tabs>
                <w:tab w:val="decimal" w:pos="471"/>
              </w:tabs>
              <w:jc w:val="center"/>
              <w:rPr>
                <w:sz w:val="13"/>
              </w:rPr>
            </w:pPr>
            <w:r>
              <w:rPr>
                <w:sz w:val="13"/>
              </w:rPr>
              <w:t>196</w:t>
            </w:r>
          </w:p>
        </w:tc>
        <w:tc>
          <w:tcPr>
            <w:tcW w:w="760" w:type="dxa"/>
          </w:tcPr>
          <w:p w:rsidR="00000000" w:rsidRDefault="00000000">
            <w:pPr>
              <w:tabs>
                <w:tab w:val="decimal" w:pos="471"/>
              </w:tabs>
              <w:jc w:val="center"/>
              <w:rPr>
                <w:sz w:val="13"/>
              </w:rPr>
            </w:pPr>
            <w:r>
              <w:rPr>
                <w:sz w:val="13"/>
              </w:rPr>
              <w:t>6</w:t>
            </w:r>
          </w:p>
        </w:tc>
        <w:tc>
          <w:tcPr>
            <w:tcW w:w="817" w:type="dxa"/>
          </w:tcPr>
          <w:p w:rsidR="00000000" w:rsidRDefault="00000000">
            <w:pPr>
              <w:tabs>
                <w:tab w:val="decimal" w:pos="471"/>
              </w:tabs>
              <w:jc w:val="center"/>
              <w:rPr>
                <w:sz w:val="13"/>
              </w:rPr>
            </w:pPr>
            <w:r>
              <w:rPr>
                <w:sz w:val="13"/>
              </w:rPr>
              <w:t>6</w:t>
            </w:r>
          </w:p>
        </w:tc>
        <w:tc>
          <w:tcPr>
            <w:tcW w:w="838" w:type="dxa"/>
          </w:tcPr>
          <w:p w:rsidR="00000000" w:rsidRDefault="00000000">
            <w:pPr>
              <w:tabs>
                <w:tab w:val="decimal" w:pos="471"/>
              </w:tabs>
              <w:jc w:val="center"/>
              <w:rPr>
                <w:sz w:val="13"/>
              </w:rPr>
            </w:pPr>
            <w:r>
              <w:rPr>
                <w:sz w:val="13"/>
              </w:rPr>
              <w:t>49</w:t>
            </w:r>
          </w:p>
        </w:tc>
        <w:tc>
          <w:tcPr>
            <w:tcW w:w="719" w:type="dxa"/>
          </w:tcPr>
          <w:p w:rsidR="00000000" w:rsidRDefault="00000000">
            <w:pPr>
              <w:tabs>
                <w:tab w:val="decimal" w:pos="453"/>
              </w:tabs>
              <w:jc w:val="center"/>
              <w:rPr>
                <w:sz w:val="13"/>
              </w:rPr>
            </w:pPr>
            <w:r>
              <w:rPr>
                <w:sz w:val="13"/>
              </w:rPr>
              <w:t>246</w:t>
            </w:r>
          </w:p>
        </w:tc>
        <w:tc>
          <w:tcPr>
            <w:tcW w:w="717" w:type="dxa"/>
          </w:tcPr>
          <w:p w:rsidR="00000000" w:rsidRDefault="00000000">
            <w:pPr>
              <w:tabs>
                <w:tab w:val="decimal" w:pos="452"/>
              </w:tabs>
              <w:jc w:val="center"/>
              <w:rPr>
                <w:sz w:val="13"/>
              </w:rPr>
            </w:pPr>
            <w:r>
              <w:rPr>
                <w:sz w:val="13"/>
              </w:rPr>
              <w:t>61</w:t>
            </w:r>
          </w:p>
        </w:tc>
        <w:tc>
          <w:tcPr>
            <w:tcW w:w="792" w:type="dxa"/>
          </w:tcPr>
          <w:p w:rsidR="00000000" w:rsidRDefault="00000000">
            <w:pPr>
              <w:tabs>
                <w:tab w:val="decimal" w:pos="510"/>
              </w:tabs>
              <w:jc w:val="center"/>
              <w:rPr>
                <w:sz w:val="13"/>
              </w:rPr>
            </w:pPr>
            <w:r>
              <w:rPr>
                <w:sz w:val="13"/>
              </w:rPr>
              <w:t>307</w:t>
            </w:r>
          </w:p>
        </w:tc>
        <w:tc>
          <w:tcPr>
            <w:tcW w:w="765" w:type="dxa"/>
          </w:tcPr>
          <w:p w:rsidR="00000000" w:rsidRDefault="00000000">
            <w:pPr>
              <w:tabs>
                <w:tab w:val="clear" w:pos="567"/>
                <w:tab w:val="decimal" w:pos="572"/>
              </w:tabs>
              <w:jc w:val="center"/>
              <w:rPr>
                <w:sz w:val="13"/>
              </w:rPr>
            </w:pPr>
            <w:r>
              <w:rPr>
                <w:sz w:val="13"/>
              </w:rPr>
              <w:t>77</w:t>
            </w:r>
          </w:p>
        </w:tc>
        <w:tc>
          <w:tcPr>
            <w:tcW w:w="764" w:type="dxa"/>
          </w:tcPr>
          <w:p w:rsidR="00000000" w:rsidRDefault="00000000">
            <w:pPr>
              <w:tabs>
                <w:tab w:val="clear" w:pos="567"/>
                <w:tab w:val="decimal" w:pos="572"/>
              </w:tabs>
              <w:jc w:val="center"/>
              <w:rPr>
                <w:sz w:val="13"/>
              </w:rPr>
            </w:pPr>
            <w:r>
              <w:rPr>
                <w:sz w:val="13"/>
              </w:rPr>
              <w:t>384</w:t>
            </w:r>
          </w:p>
        </w:tc>
      </w:tr>
      <w:tr w:rsidR="00000000">
        <w:tblPrEx>
          <w:tblCellMar>
            <w:top w:w="0" w:type="dxa"/>
            <w:bottom w:w="0" w:type="dxa"/>
          </w:tblCellMar>
        </w:tblPrEx>
        <w:trPr>
          <w:cantSplit/>
        </w:trPr>
        <w:tc>
          <w:tcPr>
            <w:tcW w:w="848" w:type="dxa"/>
          </w:tcPr>
          <w:p w:rsidR="00000000" w:rsidRDefault="00000000">
            <w:pPr>
              <w:rPr>
                <w:spacing w:val="-4"/>
                <w:sz w:val="13"/>
              </w:rPr>
            </w:pPr>
            <w:r>
              <w:rPr>
                <w:spacing w:val="-4"/>
                <w:sz w:val="13"/>
              </w:rPr>
              <w:t>Сан-Педро</w:t>
            </w:r>
          </w:p>
        </w:tc>
        <w:tc>
          <w:tcPr>
            <w:tcW w:w="802" w:type="dxa"/>
          </w:tcPr>
          <w:p w:rsidR="00000000" w:rsidRDefault="00000000">
            <w:pPr>
              <w:tabs>
                <w:tab w:val="decimal" w:pos="471"/>
              </w:tabs>
              <w:jc w:val="center"/>
              <w:rPr>
                <w:sz w:val="13"/>
              </w:rPr>
            </w:pPr>
            <w:r>
              <w:rPr>
                <w:sz w:val="13"/>
              </w:rPr>
              <w:t>14</w:t>
            </w:r>
          </w:p>
        </w:tc>
        <w:tc>
          <w:tcPr>
            <w:tcW w:w="787" w:type="dxa"/>
          </w:tcPr>
          <w:p w:rsidR="00000000" w:rsidRDefault="00000000">
            <w:pPr>
              <w:tabs>
                <w:tab w:val="decimal" w:pos="507"/>
              </w:tabs>
              <w:jc w:val="center"/>
              <w:rPr>
                <w:sz w:val="13"/>
              </w:rPr>
            </w:pPr>
            <w:r>
              <w:rPr>
                <w:sz w:val="13"/>
              </w:rPr>
              <w:t>14</w:t>
            </w:r>
          </w:p>
        </w:tc>
        <w:tc>
          <w:tcPr>
            <w:tcW w:w="802" w:type="dxa"/>
          </w:tcPr>
          <w:p w:rsidR="00000000" w:rsidRDefault="00000000">
            <w:pPr>
              <w:tabs>
                <w:tab w:val="decimal" w:pos="471"/>
              </w:tabs>
              <w:jc w:val="center"/>
              <w:rPr>
                <w:sz w:val="13"/>
              </w:rPr>
            </w:pPr>
            <w:r>
              <w:rPr>
                <w:sz w:val="13"/>
              </w:rPr>
              <w:t>109</w:t>
            </w:r>
          </w:p>
        </w:tc>
        <w:tc>
          <w:tcPr>
            <w:tcW w:w="760" w:type="dxa"/>
          </w:tcPr>
          <w:p w:rsidR="00000000" w:rsidRDefault="00000000">
            <w:pPr>
              <w:tabs>
                <w:tab w:val="decimal" w:pos="471"/>
              </w:tabs>
              <w:jc w:val="center"/>
              <w:rPr>
                <w:sz w:val="13"/>
              </w:rPr>
            </w:pPr>
            <w:r>
              <w:rPr>
                <w:sz w:val="13"/>
              </w:rPr>
              <w:t>3</w:t>
            </w:r>
          </w:p>
        </w:tc>
        <w:tc>
          <w:tcPr>
            <w:tcW w:w="817" w:type="dxa"/>
          </w:tcPr>
          <w:p w:rsidR="00000000" w:rsidRDefault="00000000">
            <w:pPr>
              <w:tabs>
                <w:tab w:val="decimal" w:pos="471"/>
              </w:tabs>
              <w:jc w:val="center"/>
              <w:rPr>
                <w:sz w:val="13"/>
              </w:rPr>
            </w:pPr>
            <w:r>
              <w:rPr>
                <w:sz w:val="13"/>
              </w:rPr>
              <w:t>3</w:t>
            </w:r>
          </w:p>
        </w:tc>
        <w:tc>
          <w:tcPr>
            <w:tcW w:w="838" w:type="dxa"/>
          </w:tcPr>
          <w:p w:rsidR="00000000" w:rsidRDefault="00000000">
            <w:pPr>
              <w:tabs>
                <w:tab w:val="decimal" w:pos="471"/>
              </w:tabs>
              <w:jc w:val="center"/>
              <w:rPr>
                <w:sz w:val="13"/>
              </w:rPr>
            </w:pPr>
            <w:r>
              <w:rPr>
                <w:sz w:val="13"/>
              </w:rPr>
              <w:t>27</w:t>
            </w:r>
          </w:p>
        </w:tc>
        <w:tc>
          <w:tcPr>
            <w:tcW w:w="719" w:type="dxa"/>
          </w:tcPr>
          <w:p w:rsidR="00000000" w:rsidRDefault="00000000">
            <w:pPr>
              <w:tabs>
                <w:tab w:val="decimal" w:pos="453"/>
              </w:tabs>
              <w:jc w:val="center"/>
              <w:rPr>
                <w:sz w:val="13"/>
              </w:rPr>
            </w:pPr>
            <w:r>
              <w:rPr>
                <w:sz w:val="13"/>
              </w:rPr>
              <w:t>137</w:t>
            </w:r>
          </w:p>
        </w:tc>
        <w:tc>
          <w:tcPr>
            <w:tcW w:w="717" w:type="dxa"/>
          </w:tcPr>
          <w:p w:rsidR="00000000" w:rsidRDefault="00000000">
            <w:pPr>
              <w:tabs>
                <w:tab w:val="decimal" w:pos="452"/>
              </w:tabs>
              <w:jc w:val="center"/>
              <w:rPr>
                <w:sz w:val="13"/>
              </w:rPr>
            </w:pPr>
            <w:r>
              <w:rPr>
                <w:sz w:val="13"/>
              </w:rPr>
              <w:t>33</w:t>
            </w:r>
          </w:p>
        </w:tc>
        <w:tc>
          <w:tcPr>
            <w:tcW w:w="792" w:type="dxa"/>
          </w:tcPr>
          <w:p w:rsidR="00000000" w:rsidRDefault="00000000">
            <w:pPr>
              <w:tabs>
                <w:tab w:val="decimal" w:pos="510"/>
              </w:tabs>
              <w:jc w:val="center"/>
              <w:rPr>
                <w:sz w:val="13"/>
              </w:rPr>
            </w:pPr>
            <w:r>
              <w:rPr>
                <w:sz w:val="13"/>
              </w:rPr>
              <w:t>170</w:t>
            </w:r>
          </w:p>
        </w:tc>
        <w:tc>
          <w:tcPr>
            <w:tcW w:w="765" w:type="dxa"/>
          </w:tcPr>
          <w:p w:rsidR="00000000" w:rsidRDefault="00000000">
            <w:pPr>
              <w:tabs>
                <w:tab w:val="clear" w:pos="567"/>
                <w:tab w:val="decimal" w:pos="572"/>
              </w:tabs>
              <w:jc w:val="center"/>
              <w:rPr>
                <w:sz w:val="13"/>
              </w:rPr>
            </w:pPr>
            <w:r>
              <w:rPr>
                <w:sz w:val="13"/>
              </w:rPr>
              <w:t>67</w:t>
            </w:r>
          </w:p>
        </w:tc>
        <w:tc>
          <w:tcPr>
            <w:tcW w:w="764" w:type="dxa"/>
          </w:tcPr>
          <w:p w:rsidR="00000000" w:rsidRDefault="00000000">
            <w:pPr>
              <w:tabs>
                <w:tab w:val="clear" w:pos="567"/>
                <w:tab w:val="decimal" w:pos="572"/>
              </w:tabs>
              <w:jc w:val="center"/>
              <w:rPr>
                <w:sz w:val="13"/>
              </w:rPr>
            </w:pPr>
            <w:r>
              <w:rPr>
                <w:sz w:val="13"/>
              </w:rPr>
              <w:t>237</w:t>
            </w:r>
          </w:p>
        </w:tc>
      </w:tr>
      <w:tr w:rsidR="00000000">
        <w:tblPrEx>
          <w:tblCellMar>
            <w:top w:w="0" w:type="dxa"/>
            <w:bottom w:w="0" w:type="dxa"/>
          </w:tblCellMar>
        </w:tblPrEx>
        <w:trPr>
          <w:cantSplit/>
        </w:trPr>
        <w:tc>
          <w:tcPr>
            <w:tcW w:w="848" w:type="dxa"/>
          </w:tcPr>
          <w:p w:rsidR="00000000" w:rsidRDefault="00000000">
            <w:pPr>
              <w:rPr>
                <w:spacing w:val="-4"/>
                <w:sz w:val="13"/>
              </w:rPr>
            </w:pPr>
            <w:r>
              <w:rPr>
                <w:spacing w:val="-4"/>
                <w:sz w:val="13"/>
              </w:rPr>
              <w:t>Сан-Хуан Пепомусено</w:t>
            </w:r>
          </w:p>
        </w:tc>
        <w:tc>
          <w:tcPr>
            <w:tcW w:w="802" w:type="dxa"/>
            <w:vAlign w:val="bottom"/>
          </w:tcPr>
          <w:p w:rsidR="00000000" w:rsidRDefault="00000000">
            <w:pPr>
              <w:tabs>
                <w:tab w:val="decimal" w:pos="471"/>
              </w:tabs>
              <w:jc w:val="center"/>
              <w:rPr>
                <w:sz w:val="13"/>
                <w:lang w:val="en-US"/>
              </w:rPr>
            </w:pPr>
            <w:r>
              <w:rPr>
                <w:sz w:val="13"/>
                <w:lang w:val="en-US"/>
              </w:rPr>
              <w:t>9</w:t>
            </w:r>
          </w:p>
        </w:tc>
        <w:tc>
          <w:tcPr>
            <w:tcW w:w="787" w:type="dxa"/>
            <w:vAlign w:val="bottom"/>
          </w:tcPr>
          <w:p w:rsidR="00000000" w:rsidRDefault="00000000">
            <w:pPr>
              <w:tabs>
                <w:tab w:val="decimal" w:pos="507"/>
              </w:tabs>
              <w:jc w:val="center"/>
              <w:rPr>
                <w:sz w:val="13"/>
                <w:lang w:val="en-US"/>
              </w:rPr>
            </w:pPr>
            <w:r>
              <w:rPr>
                <w:sz w:val="13"/>
                <w:lang w:val="en-US"/>
              </w:rPr>
              <w:t>9</w:t>
            </w:r>
          </w:p>
        </w:tc>
        <w:tc>
          <w:tcPr>
            <w:tcW w:w="802" w:type="dxa"/>
            <w:vAlign w:val="bottom"/>
          </w:tcPr>
          <w:p w:rsidR="00000000" w:rsidRDefault="00000000">
            <w:pPr>
              <w:tabs>
                <w:tab w:val="decimal" w:pos="471"/>
              </w:tabs>
              <w:jc w:val="center"/>
              <w:rPr>
                <w:sz w:val="13"/>
                <w:lang w:val="en-US"/>
              </w:rPr>
            </w:pPr>
            <w:r>
              <w:rPr>
                <w:sz w:val="13"/>
                <w:lang w:val="en-US"/>
              </w:rPr>
              <w:t>72</w:t>
            </w:r>
          </w:p>
        </w:tc>
        <w:tc>
          <w:tcPr>
            <w:tcW w:w="760" w:type="dxa"/>
            <w:vAlign w:val="bottom"/>
          </w:tcPr>
          <w:p w:rsidR="00000000" w:rsidRDefault="00000000">
            <w:pPr>
              <w:tabs>
                <w:tab w:val="decimal" w:pos="471"/>
              </w:tabs>
              <w:jc w:val="center"/>
              <w:rPr>
                <w:sz w:val="13"/>
                <w:lang w:val="en-US"/>
              </w:rPr>
            </w:pPr>
            <w:r>
              <w:rPr>
                <w:sz w:val="13"/>
                <w:lang w:val="en-US"/>
              </w:rPr>
              <w:t>2</w:t>
            </w:r>
          </w:p>
        </w:tc>
        <w:tc>
          <w:tcPr>
            <w:tcW w:w="817" w:type="dxa"/>
            <w:vAlign w:val="bottom"/>
          </w:tcPr>
          <w:p w:rsidR="00000000" w:rsidRDefault="00000000">
            <w:pPr>
              <w:tabs>
                <w:tab w:val="decimal" w:pos="471"/>
              </w:tabs>
              <w:jc w:val="center"/>
              <w:rPr>
                <w:sz w:val="13"/>
                <w:lang w:val="en-US"/>
              </w:rPr>
            </w:pPr>
            <w:r>
              <w:rPr>
                <w:sz w:val="13"/>
                <w:lang w:val="en-US"/>
              </w:rPr>
              <w:t>2</w:t>
            </w:r>
          </w:p>
        </w:tc>
        <w:tc>
          <w:tcPr>
            <w:tcW w:w="838" w:type="dxa"/>
            <w:vAlign w:val="bottom"/>
          </w:tcPr>
          <w:p w:rsidR="00000000" w:rsidRDefault="00000000">
            <w:pPr>
              <w:tabs>
                <w:tab w:val="decimal" w:pos="471"/>
              </w:tabs>
              <w:jc w:val="center"/>
              <w:rPr>
                <w:sz w:val="13"/>
                <w:lang w:val="en-US"/>
              </w:rPr>
            </w:pPr>
            <w:r>
              <w:rPr>
                <w:sz w:val="13"/>
                <w:lang w:val="en-US"/>
              </w:rPr>
              <w:t>18</w:t>
            </w:r>
          </w:p>
        </w:tc>
        <w:tc>
          <w:tcPr>
            <w:tcW w:w="719" w:type="dxa"/>
            <w:vAlign w:val="bottom"/>
          </w:tcPr>
          <w:p w:rsidR="00000000" w:rsidRDefault="00000000">
            <w:pPr>
              <w:tabs>
                <w:tab w:val="decimal" w:pos="453"/>
              </w:tabs>
              <w:jc w:val="center"/>
              <w:rPr>
                <w:sz w:val="13"/>
                <w:lang w:val="en-US"/>
              </w:rPr>
            </w:pPr>
            <w:r>
              <w:rPr>
                <w:sz w:val="13"/>
                <w:lang w:val="en-US"/>
              </w:rPr>
              <w:t>90</w:t>
            </w:r>
          </w:p>
        </w:tc>
        <w:tc>
          <w:tcPr>
            <w:tcW w:w="717" w:type="dxa"/>
            <w:vAlign w:val="bottom"/>
          </w:tcPr>
          <w:p w:rsidR="00000000" w:rsidRDefault="00000000">
            <w:pPr>
              <w:tabs>
                <w:tab w:val="decimal" w:pos="452"/>
              </w:tabs>
              <w:jc w:val="center"/>
              <w:rPr>
                <w:sz w:val="13"/>
                <w:lang w:val="en-US"/>
              </w:rPr>
            </w:pPr>
            <w:r>
              <w:rPr>
                <w:sz w:val="13"/>
                <w:lang w:val="en-US"/>
              </w:rPr>
              <w:t>22</w:t>
            </w:r>
          </w:p>
        </w:tc>
        <w:tc>
          <w:tcPr>
            <w:tcW w:w="792" w:type="dxa"/>
            <w:vAlign w:val="bottom"/>
          </w:tcPr>
          <w:p w:rsidR="00000000" w:rsidRDefault="00000000">
            <w:pPr>
              <w:tabs>
                <w:tab w:val="decimal" w:pos="510"/>
              </w:tabs>
              <w:jc w:val="center"/>
              <w:rPr>
                <w:sz w:val="13"/>
                <w:lang w:val="en-US"/>
              </w:rPr>
            </w:pPr>
            <w:r>
              <w:rPr>
                <w:sz w:val="13"/>
                <w:lang w:val="en-US"/>
              </w:rPr>
              <w:t>112</w:t>
            </w:r>
          </w:p>
        </w:tc>
        <w:tc>
          <w:tcPr>
            <w:tcW w:w="765" w:type="dxa"/>
            <w:vAlign w:val="bottom"/>
          </w:tcPr>
          <w:p w:rsidR="00000000" w:rsidRDefault="00000000">
            <w:pPr>
              <w:tabs>
                <w:tab w:val="clear" w:pos="567"/>
                <w:tab w:val="decimal" w:pos="572"/>
              </w:tabs>
              <w:jc w:val="center"/>
              <w:rPr>
                <w:sz w:val="13"/>
                <w:lang w:val="en-US"/>
              </w:rPr>
            </w:pPr>
            <w:r>
              <w:rPr>
                <w:sz w:val="13"/>
                <w:lang w:val="en-US"/>
              </w:rPr>
              <w:t>100</w:t>
            </w:r>
          </w:p>
        </w:tc>
        <w:tc>
          <w:tcPr>
            <w:tcW w:w="764" w:type="dxa"/>
            <w:vAlign w:val="bottom"/>
          </w:tcPr>
          <w:p w:rsidR="00000000" w:rsidRDefault="00000000">
            <w:pPr>
              <w:tabs>
                <w:tab w:val="clear" w:pos="567"/>
                <w:tab w:val="decimal" w:pos="572"/>
              </w:tabs>
              <w:jc w:val="center"/>
              <w:rPr>
                <w:sz w:val="13"/>
                <w:lang w:val="en-US"/>
              </w:rPr>
            </w:pPr>
            <w:r>
              <w:rPr>
                <w:sz w:val="13"/>
                <w:lang w:val="en-US"/>
              </w:rPr>
              <w:t>212</w:t>
            </w:r>
          </w:p>
        </w:tc>
      </w:tr>
      <w:tr w:rsidR="00000000">
        <w:tblPrEx>
          <w:tblCellMar>
            <w:top w:w="0" w:type="dxa"/>
            <w:bottom w:w="0" w:type="dxa"/>
          </w:tblCellMar>
        </w:tblPrEx>
        <w:trPr>
          <w:cantSplit/>
        </w:trPr>
        <w:tc>
          <w:tcPr>
            <w:tcW w:w="848" w:type="dxa"/>
          </w:tcPr>
          <w:p w:rsidR="00000000" w:rsidRDefault="00000000">
            <w:pPr>
              <w:tabs>
                <w:tab w:val="left" w:pos="240"/>
              </w:tabs>
              <w:rPr>
                <w:b/>
                <w:bCs/>
                <w:spacing w:val="-4"/>
                <w:sz w:val="13"/>
              </w:rPr>
            </w:pPr>
            <w:r>
              <w:rPr>
                <w:spacing w:val="-4"/>
                <w:sz w:val="13"/>
                <w:lang w:val="en-US"/>
              </w:rPr>
              <w:tab/>
            </w:r>
            <w:r>
              <w:rPr>
                <w:b/>
                <w:bCs/>
                <w:spacing w:val="-4"/>
                <w:sz w:val="13"/>
              </w:rPr>
              <w:t>Итого</w:t>
            </w:r>
          </w:p>
        </w:tc>
        <w:tc>
          <w:tcPr>
            <w:tcW w:w="802" w:type="dxa"/>
          </w:tcPr>
          <w:p w:rsidR="00000000" w:rsidRDefault="00000000">
            <w:pPr>
              <w:tabs>
                <w:tab w:val="decimal" w:pos="471"/>
              </w:tabs>
              <w:jc w:val="center"/>
              <w:rPr>
                <w:b/>
                <w:bCs/>
                <w:sz w:val="13"/>
              </w:rPr>
            </w:pPr>
            <w:r>
              <w:rPr>
                <w:b/>
                <w:bCs/>
                <w:sz w:val="13"/>
              </w:rPr>
              <w:t>84</w:t>
            </w:r>
          </w:p>
        </w:tc>
        <w:tc>
          <w:tcPr>
            <w:tcW w:w="787" w:type="dxa"/>
          </w:tcPr>
          <w:p w:rsidR="00000000" w:rsidRDefault="00000000">
            <w:pPr>
              <w:tabs>
                <w:tab w:val="decimal" w:pos="507"/>
              </w:tabs>
              <w:jc w:val="center"/>
              <w:rPr>
                <w:b/>
                <w:bCs/>
                <w:sz w:val="13"/>
              </w:rPr>
            </w:pPr>
            <w:r>
              <w:rPr>
                <w:b/>
                <w:bCs/>
                <w:sz w:val="13"/>
              </w:rPr>
              <w:t>84</w:t>
            </w:r>
          </w:p>
        </w:tc>
        <w:tc>
          <w:tcPr>
            <w:tcW w:w="802" w:type="dxa"/>
          </w:tcPr>
          <w:p w:rsidR="00000000" w:rsidRDefault="00000000">
            <w:pPr>
              <w:tabs>
                <w:tab w:val="decimal" w:pos="471"/>
              </w:tabs>
              <w:jc w:val="center"/>
              <w:rPr>
                <w:b/>
                <w:bCs/>
                <w:sz w:val="13"/>
              </w:rPr>
            </w:pPr>
            <w:r>
              <w:rPr>
                <w:b/>
                <w:bCs/>
                <w:sz w:val="13"/>
              </w:rPr>
              <w:t>658</w:t>
            </w:r>
          </w:p>
        </w:tc>
        <w:tc>
          <w:tcPr>
            <w:tcW w:w="760" w:type="dxa"/>
          </w:tcPr>
          <w:p w:rsidR="00000000" w:rsidRDefault="00000000">
            <w:pPr>
              <w:tabs>
                <w:tab w:val="decimal" w:pos="471"/>
              </w:tabs>
              <w:jc w:val="center"/>
              <w:rPr>
                <w:b/>
                <w:bCs/>
                <w:sz w:val="13"/>
              </w:rPr>
            </w:pPr>
            <w:r>
              <w:rPr>
                <w:b/>
                <w:bCs/>
                <w:sz w:val="13"/>
              </w:rPr>
              <w:t>20</w:t>
            </w:r>
          </w:p>
        </w:tc>
        <w:tc>
          <w:tcPr>
            <w:tcW w:w="817" w:type="dxa"/>
          </w:tcPr>
          <w:p w:rsidR="00000000" w:rsidRDefault="00000000">
            <w:pPr>
              <w:tabs>
                <w:tab w:val="decimal" w:pos="471"/>
              </w:tabs>
              <w:jc w:val="center"/>
              <w:rPr>
                <w:b/>
                <w:bCs/>
                <w:sz w:val="13"/>
              </w:rPr>
            </w:pPr>
            <w:r>
              <w:rPr>
                <w:b/>
                <w:bCs/>
                <w:sz w:val="13"/>
              </w:rPr>
              <w:t>20</w:t>
            </w:r>
          </w:p>
        </w:tc>
        <w:tc>
          <w:tcPr>
            <w:tcW w:w="838" w:type="dxa"/>
          </w:tcPr>
          <w:p w:rsidR="00000000" w:rsidRDefault="00000000">
            <w:pPr>
              <w:tabs>
                <w:tab w:val="decimal" w:pos="471"/>
              </w:tabs>
              <w:jc w:val="center"/>
              <w:rPr>
                <w:b/>
                <w:bCs/>
                <w:sz w:val="13"/>
              </w:rPr>
            </w:pPr>
            <w:r>
              <w:rPr>
                <w:b/>
                <w:bCs/>
                <w:sz w:val="13"/>
              </w:rPr>
              <w:t>164</w:t>
            </w:r>
          </w:p>
        </w:tc>
        <w:tc>
          <w:tcPr>
            <w:tcW w:w="719" w:type="dxa"/>
          </w:tcPr>
          <w:p w:rsidR="00000000" w:rsidRDefault="00000000">
            <w:pPr>
              <w:tabs>
                <w:tab w:val="decimal" w:pos="453"/>
              </w:tabs>
              <w:jc w:val="center"/>
              <w:rPr>
                <w:b/>
                <w:bCs/>
                <w:sz w:val="13"/>
              </w:rPr>
            </w:pPr>
            <w:r>
              <w:rPr>
                <w:b/>
                <w:bCs/>
                <w:sz w:val="13"/>
              </w:rPr>
              <w:t>826</w:t>
            </w:r>
          </w:p>
        </w:tc>
        <w:tc>
          <w:tcPr>
            <w:tcW w:w="717" w:type="dxa"/>
          </w:tcPr>
          <w:p w:rsidR="00000000" w:rsidRDefault="00000000">
            <w:pPr>
              <w:tabs>
                <w:tab w:val="decimal" w:pos="452"/>
              </w:tabs>
              <w:jc w:val="center"/>
              <w:rPr>
                <w:b/>
                <w:bCs/>
                <w:sz w:val="13"/>
              </w:rPr>
            </w:pPr>
            <w:r>
              <w:rPr>
                <w:b/>
                <w:bCs/>
                <w:sz w:val="13"/>
              </w:rPr>
              <w:t>204</w:t>
            </w:r>
          </w:p>
        </w:tc>
        <w:tc>
          <w:tcPr>
            <w:tcW w:w="792" w:type="dxa"/>
          </w:tcPr>
          <w:p w:rsidR="00000000" w:rsidRDefault="00000000">
            <w:pPr>
              <w:tabs>
                <w:tab w:val="decimal" w:pos="510"/>
              </w:tabs>
              <w:jc w:val="center"/>
              <w:rPr>
                <w:b/>
                <w:bCs/>
                <w:sz w:val="13"/>
              </w:rPr>
            </w:pPr>
            <w:r>
              <w:rPr>
                <w:b/>
                <w:bCs/>
                <w:sz w:val="13"/>
              </w:rPr>
              <w:t>1.030</w:t>
            </w:r>
          </w:p>
        </w:tc>
        <w:tc>
          <w:tcPr>
            <w:tcW w:w="765" w:type="dxa"/>
          </w:tcPr>
          <w:p w:rsidR="00000000" w:rsidRDefault="00000000">
            <w:pPr>
              <w:tabs>
                <w:tab w:val="clear" w:pos="567"/>
                <w:tab w:val="decimal" w:pos="572"/>
              </w:tabs>
              <w:jc w:val="center"/>
              <w:rPr>
                <w:b/>
                <w:bCs/>
                <w:sz w:val="13"/>
              </w:rPr>
            </w:pPr>
            <w:r>
              <w:rPr>
                <w:b/>
                <w:bCs/>
                <w:sz w:val="13"/>
              </w:rPr>
              <w:t>376</w:t>
            </w:r>
          </w:p>
        </w:tc>
        <w:tc>
          <w:tcPr>
            <w:tcW w:w="764" w:type="dxa"/>
          </w:tcPr>
          <w:p w:rsidR="00000000" w:rsidRDefault="00000000">
            <w:pPr>
              <w:tabs>
                <w:tab w:val="clear" w:pos="567"/>
                <w:tab w:val="decimal" w:pos="572"/>
              </w:tabs>
              <w:jc w:val="center"/>
              <w:rPr>
                <w:b/>
                <w:bCs/>
                <w:sz w:val="13"/>
              </w:rPr>
            </w:pPr>
            <w:r>
              <w:rPr>
                <w:b/>
                <w:bCs/>
                <w:sz w:val="13"/>
              </w:rPr>
              <w:t>1.406</w:t>
            </w:r>
          </w:p>
        </w:tc>
      </w:tr>
    </w:tbl>
    <w:p w:rsidR="00000000" w:rsidRDefault="00000000">
      <w:pPr>
        <w:tabs>
          <w:tab w:val="clear" w:pos="1134"/>
        </w:tabs>
        <w:jc w:val="center"/>
        <w:rPr>
          <w:b/>
          <w:bCs/>
          <w:lang w:val="en-US"/>
        </w:rPr>
      </w:pPr>
    </w:p>
    <w:p w:rsidR="00000000" w:rsidRDefault="00000000">
      <w:pPr>
        <w:tabs>
          <w:tab w:val="clear" w:pos="1134"/>
        </w:tabs>
        <w:jc w:val="center"/>
        <w:rPr>
          <w:b/>
          <w:bCs/>
          <w:lang w:val="en-US"/>
        </w:rPr>
      </w:pPr>
    </w:p>
    <w:bookmarkStart w:id="64" w:name="_MON_1239619302"/>
    <w:bookmarkStart w:id="65" w:name="_MON_1239619454"/>
    <w:bookmarkStart w:id="66" w:name="_MON_1239620199"/>
    <w:bookmarkStart w:id="67" w:name="_MON_1239620353"/>
    <w:bookmarkStart w:id="68" w:name="_MON_1246095230"/>
    <w:bookmarkStart w:id="69" w:name="_MON_1246101911"/>
    <w:bookmarkStart w:id="70" w:name="_MON_1246101993"/>
    <w:bookmarkStart w:id="71" w:name="_MON_1246102005"/>
    <w:bookmarkStart w:id="72" w:name="_MON_1246102433"/>
    <w:bookmarkStart w:id="73" w:name="_MON_1246102485"/>
    <w:bookmarkStart w:id="74" w:name="_MON_1246102516"/>
    <w:bookmarkStart w:id="75" w:name="_MON_1246103468"/>
    <w:bookmarkStart w:id="76" w:name="_MON_1246262903"/>
    <w:bookmarkStart w:id="77" w:name="_MON_1246263140"/>
    <w:bookmarkEnd w:id="64"/>
    <w:bookmarkEnd w:id="65"/>
    <w:bookmarkEnd w:id="66"/>
    <w:bookmarkEnd w:id="67"/>
    <w:bookmarkEnd w:id="68"/>
    <w:bookmarkEnd w:id="69"/>
    <w:bookmarkEnd w:id="70"/>
    <w:bookmarkEnd w:id="71"/>
    <w:bookmarkEnd w:id="72"/>
    <w:bookmarkEnd w:id="73"/>
    <w:bookmarkEnd w:id="74"/>
    <w:bookmarkEnd w:id="75"/>
    <w:bookmarkEnd w:id="76"/>
    <w:bookmarkEnd w:id="77"/>
    <w:p w:rsidR="00000000" w:rsidRDefault="00000000">
      <w:pPr>
        <w:tabs>
          <w:tab w:val="clear" w:pos="1134"/>
        </w:tabs>
        <w:jc w:val="center"/>
        <w:rPr>
          <w:lang w:val="en-US"/>
        </w:rPr>
      </w:pPr>
      <w:r>
        <w:object w:dxaOrig="8525" w:dyaOrig="5126">
          <v:shape id="_x0000_i1035" type="#_x0000_t75" style="width:426.75pt;height:256.5pt" o:ole="">
            <v:imagedata r:id="rId46" o:title=""/>
          </v:shape>
          <o:OLEObject Type="Embed" ProgID="Word.Picture.8" ShapeID="_x0000_i1035" DrawAspect="Content" ObjectID="_1394904860" r:id="rId47"/>
        </w:object>
      </w:r>
    </w:p>
    <w:p w:rsidR="00000000" w:rsidRDefault="00000000">
      <w:pPr>
        <w:tabs>
          <w:tab w:val="clear" w:pos="1134"/>
        </w:tabs>
      </w:pPr>
      <w:r>
        <w:rPr>
          <w:b/>
          <w:bCs/>
          <w:noProof/>
          <w:sz w:val="20"/>
          <w:lang w:eastAsia="ru-RU"/>
        </w:rPr>
        <w:pict>
          <v:shape id="_x0000_s2055" type="#_x0000_t75" style="position:absolute;margin-left:0;margin-top:758.7pt;width:426.25pt;height:256.3pt;z-index:5;visibility:visible;mso-wrap-edited:f" wrapcoords="6503 63 2738 189 2776 884 10800 1074 2586 1453 2586 2021 10800 2084 4297 2526 4297 3095 7758 3221 10496 4105 532 4611 418 4863 951 5116 456 5811 456 6063 951 6126 418 7074 456 7200 951 8147 456 8147 456 8400 951 9158 456 9411 456 9663 951 10168 456 10611 456 10737 951 11179 456 11874 456 11937 951 12189 608 13011 608 13200 951 13200 570 14211 570 14653 6617 15221 10800 15221 10800 16232 1407 16926 1369 17432 16885 17432 16999 17053 15972 16863 10800 16232 10800 15221 17037 14779 17417 14211 16885 14211 16846 8526 13842 8147 8746 8147 17075 7705 17151 5305 16542 5305 16999 5053 17075 4611 10800 4105 11180 4105 14717 3221 16238 3095 16124 2526 10800 2084 18596 2021 18596 1453 10800 1074 18444 884 18368 189 6731 63 6503 63">
            <v:imagedata r:id="rId48" o:title=""/>
            <w10:anchorlock/>
          </v:shape>
          <o:OLEObject Type="Embed" ProgID="Word.Picture.8" ShapeID="_x0000_s2055" DrawAspect="Content" ObjectID="_1394904880" r:id="rId49"/>
        </w:pict>
      </w:r>
    </w:p>
    <w:p w:rsidR="00000000" w:rsidRDefault="00000000">
      <w:r>
        <w:rPr>
          <w:noProof/>
          <w:sz w:val="20"/>
          <w:lang w:eastAsia="ru-RU"/>
        </w:rPr>
        <w:pict>
          <v:shape id="_x0000_s2056" type="#_x0000_t75" style="position:absolute;margin-left:0;margin-top:0;width:427.55pt;height:433.2pt;z-index:6;visibility:visible;mso-wrap-edited:f">
            <v:imagedata r:id="rId50" o:title=""/>
            <w10:wrap type="topAndBottom"/>
            <w10:anchorlock/>
          </v:shape>
          <o:OLEObject Type="Embed" ProgID="Word.Picture.8" ShapeID="_x0000_s2056" DrawAspect="Content" ObjectID="_1394904881" r:id="rId51"/>
        </w:pict>
      </w:r>
    </w:p>
    <w:p w:rsidR="00000000" w:rsidRDefault="00000000">
      <w:pPr>
        <w:spacing w:after="240"/>
      </w:pPr>
      <w:r>
        <w:rPr>
          <w:lang w:val="en-US"/>
        </w:rPr>
        <w:br w:type="page"/>
      </w:r>
    </w:p>
    <w:p w:rsidR="00000000" w:rsidRDefault="00000000">
      <w:pPr>
        <w:spacing w:after="240"/>
      </w:pPr>
      <w:r>
        <w:rPr>
          <w:noProof/>
          <w:sz w:val="20"/>
          <w:lang w:eastAsia="es-ES"/>
        </w:rPr>
        <w:pict>
          <v:shape id="_x0000_s2057" type="#_x0000_t75" style="position:absolute;margin-left:16.25pt;margin-top:98.65pt;width:424.5pt;height:294.4pt;z-index:7;visibility:visible;mso-wrap-edited:f;mso-position-vertical-relative:page" wrapcoords="4198 385 3015 385 3015 769 878 2034 878 2253 1450 3023 1527 3902 916 3957 916 4342 1527 4782 1527 5661 916 5936 916 6266 1527 6540 1527 7420 916 7860 916 8244 1527 8299 1527 9179 878 10058 1488 10937 878 11817 878 11982 1412 12696 1527 13576 916 13740 916 14070 1527 14455 1527 15334 916 15774 916 16049 1527 16214 1527 17093 1107 17643 1030 17808 1069 18577 3091 18852 7175 18852 6411 19072 6220 19182 6220 19511 8434 19511 9312 19511 15151 18962 19387 18852 20799 18632 20837 17973 19616 17093 19616 15939 18700 15774 14464 15334 15914 15334 15799 14950 4351 14455 4427 4067 4160 4012 4351 3737 4351 3353 1679 3023 11601 2198 14120 2144 17707 1649 17669 1264 18623 824 18318 385 7671 385 4198 385" o:allowoverlap="f">
            <v:imagedata r:id="rId52" o:title=""/>
            <w10:wrap anchory="page"/>
          </v:shape>
          <o:OLEObject Type="Embed" ProgID="Word.Picture.8" ShapeID="_x0000_s2057" DrawAspect="Content" ObjectID="_1394904882" r:id="rId53"/>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 w:rsidR="00000000" w:rsidRDefault="00000000"/>
    <w:p w:rsidR="00000000" w:rsidRDefault="00000000">
      <w:pPr>
        <w:spacing w:after="240"/>
      </w:pPr>
    </w:p>
    <w:p w:rsidR="00000000" w:rsidRDefault="00000000">
      <w:r>
        <w:rPr>
          <w:noProof/>
          <w:sz w:val="20"/>
          <w:lang w:eastAsia="es-ES"/>
        </w:rPr>
        <w:pict>
          <v:shape id="_x0000_s2058" type="#_x0000_t75" style="position:absolute;margin-left:13pt;margin-top:422.05pt;width:436.5pt;height:295.5pt;z-index:8;visibility:visible;mso-wrap-edited:f;mso-position-vertical-relative:page" wrapcoords="3938 824 2714 824 2561 934 2561 2034 6958 2583 153 2693 115 3133 879 3463 879 4342 153 4672 153 5111 879 5221 879 6101 153 6540 153 6980 879 6980 879 7860 268 8409 115 8629 115 8849 803 9618 191 10498 153 10718 612 11267 879 11377 879 12256 153 12311 153 12751 879 13136 879 14015 153 14290 153 14730 879 14895 879 15774 153 16269 153 16653 879 16653 879 17533 344 18247 344 18522 2905 19292 3211 19456 10131 19511 18656 19511 18771 19511 18886 19292 19153 19292 21485 18522 21524 18357 21027 18082 19421 17533 19497 16818 18656 16708 12616 16653 12654 13905 12539 13631 12234 12971 5811 12256 5887 4507 5582 4452 1032 4342 8716 4012 11201 3573 11240 2693 14451 2583 18045 2144 18083 934 16783 824 7646 824 3938 824" o:allowoverlap="f">
            <v:imagedata r:id="rId54" o:title=""/>
            <w10:wrap anchory="page"/>
          </v:shape>
          <o:OLEObject Type="Embed" ProgID="Word.Picture.8" ShapeID="_x0000_s2058" DrawAspect="Content" ObjectID="_1394904883" r:id="rId55"/>
        </w:pict>
      </w:r>
    </w:p>
    <w:p w:rsidR="00000000" w:rsidRDefault="00000000"/>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 w:rsidR="00000000" w:rsidRDefault="00000000"/>
    <w:p w:rsidR="00000000" w:rsidRDefault="00000000">
      <w:pPr>
        <w:spacing w:after="240" w:line="240" w:lineRule="auto"/>
      </w:pPr>
      <w:r>
        <w:rPr>
          <w:noProof/>
          <w:sz w:val="20"/>
          <w:lang w:eastAsia="ru-RU"/>
        </w:rPr>
        <w:pict>
          <v:shape id="_x0000_s2059" type="#_x0000_t202" style="position:absolute;margin-left:77.15pt;margin-top:13.2pt;width:363.1pt;height:50.8pt;z-index:9" stroked="f">
            <v:textbox style="mso-next-textbox:#_x0000_s2059" inset="0,0,0,0">
              <w:txbxContent>
                <w:p w:rsidR="00000000" w:rsidRDefault="00000000">
                  <w:pPr>
                    <w:spacing w:line="240" w:lineRule="auto"/>
                    <w:rPr>
                      <w:b/>
                      <w:bCs/>
                      <w:sz w:val="20"/>
                    </w:rPr>
                  </w:pPr>
                  <w:r>
                    <w:rPr>
                      <w:b/>
                      <w:bCs/>
                      <w:sz w:val="20"/>
                    </w:rPr>
                    <w:t>Состояние питания детей, посещающих школы в шести санитарных регионах (Каасапа, Мисьонес, Сентраль, Сан-Педро, Парагуари, Альто-Парана)</w:t>
                  </w:r>
                </w:p>
                <w:p w:rsidR="00000000" w:rsidRDefault="00000000">
                  <w:pPr>
                    <w:spacing w:line="240" w:lineRule="auto"/>
                    <w:jc w:val="center"/>
                    <w:rPr>
                      <w:b/>
                      <w:bCs/>
                      <w:sz w:val="20"/>
                    </w:rPr>
                  </w:pPr>
                  <w:r>
                    <w:rPr>
                      <w:b/>
                      <w:bCs/>
                      <w:sz w:val="20"/>
                    </w:rPr>
                    <w:t>Парагвай</w:t>
                  </w:r>
                </w:p>
                <w:p w:rsidR="00000000" w:rsidRDefault="00000000">
                  <w:pPr>
                    <w:spacing w:line="240" w:lineRule="auto"/>
                    <w:jc w:val="center"/>
                    <w:rPr>
                      <w:b/>
                      <w:bCs/>
                      <w:sz w:val="20"/>
                    </w:rPr>
                  </w:pPr>
                  <w:r>
                    <w:rPr>
                      <w:b/>
                      <w:bCs/>
                      <w:sz w:val="20"/>
                    </w:rPr>
                    <w:t>2003 год</w:t>
                  </w:r>
                </w:p>
              </w:txbxContent>
            </v:textbox>
          </v:shape>
        </w:pict>
      </w:r>
      <w:r>
        <w:rPr>
          <w:noProof/>
          <w:sz w:val="20"/>
          <w:lang w:eastAsia="ru-RU"/>
        </w:rPr>
        <w:pict>
          <v:shape id="_x0000_s2061" type="#_x0000_t202" style="position:absolute;margin-left:232.4pt;margin-top:231.85pt;width:65.45pt;height:21.1pt;z-index:11" stroked="f">
            <v:textbox inset="0,0,0,0">
              <w:txbxContent>
                <w:p w:rsidR="00000000" w:rsidRDefault="00000000">
                  <w:pPr>
                    <w:spacing w:line="216" w:lineRule="auto"/>
                    <w:rPr>
                      <w:sz w:val="18"/>
                    </w:rPr>
                  </w:pPr>
                  <w:r>
                    <w:rPr>
                      <w:sz w:val="18"/>
                    </w:rPr>
                    <w:t>СКПП - ИНАН</w:t>
                  </w:r>
                </w:p>
                <w:p w:rsidR="00000000" w:rsidRDefault="00000000">
                  <w:pPr>
                    <w:spacing w:line="192" w:lineRule="auto"/>
                    <w:rPr>
                      <w:sz w:val="18"/>
                    </w:rPr>
                  </w:pPr>
                  <w:r>
                    <w:rPr>
                      <w:sz w:val="18"/>
                    </w:rPr>
                    <w:t>МЗСО</w:t>
                  </w:r>
                </w:p>
              </w:txbxContent>
            </v:textbox>
          </v:shape>
        </w:pict>
      </w:r>
      <w:r>
        <w:rPr>
          <w:noProof/>
          <w:sz w:val="20"/>
          <w:lang w:eastAsia="ru-RU"/>
        </w:rPr>
        <w:pict>
          <v:shape id="_x0000_s2060" type="#_x0000_t202" style="position:absolute;margin-left:117.6pt;margin-top:209.2pt;width:212.1pt;height:18.9pt;z-index:10" stroked="f">
            <v:textbox inset="0,0,0,0">
              <w:txbxContent>
                <w:p w:rsidR="00000000" w:rsidRDefault="00000000">
                  <w:pPr>
                    <w:tabs>
                      <w:tab w:val="clear" w:pos="1701"/>
                      <w:tab w:val="clear" w:pos="6237"/>
                      <w:tab w:val="left" w:pos="1778"/>
                      <w:tab w:val="left" w:pos="3179"/>
                    </w:tabs>
                    <w:spacing w:line="216" w:lineRule="auto"/>
                    <w:ind w:firstLine="14"/>
                    <w:rPr>
                      <w:sz w:val="18"/>
                    </w:rPr>
                  </w:pPr>
                  <w:r>
                    <w:rPr>
                      <w:sz w:val="18"/>
                    </w:rPr>
                    <w:t>Нормальный</w:t>
                  </w:r>
                  <w:r>
                    <w:rPr>
                      <w:sz w:val="18"/>
                    </w:rPr>
                    <w:tab/>
                  </w:r>
                  <w:r>
                    <w:rPr>
                      <w:sz w:val="18"/>
                    </w:rPr>
                    <w:tab/>
                    <w:t>Угроза</w:t>
                  </w:r>
                  <w:r>
                    <w:rPr>
                      <w:sz w:val="18"/>
                    </w:rPr>
                    <w:tab/>
                    <w:t xml:space="preserve">Маленький </w:t>
                  </w:r>
                </w:p>
                <w:p w:rsidR="00000000" w:rsidRDefault="00000000">
                  <w:pPr>
                    <w:tabs>
                      <w:tab w:val="clear" w:pos="1701"/>
                      <w:tab w:val="clear" w:pos="6237"/>
                      <w:tab w:val="left" w:pos="1652"/>
                      <w:tab w:val="left" w:pos="3388"/>
                    </w:tabs>
                    <w:spacing w:line="216" w:lineRule="auto"/>
                    <w:ind w:firstLine="392"/>
                    <w:rPr>
                      <w:sz w:val="18"/>
                    </w:rPr>
                  </w:pPr>
                  <w:r>
                    <w:rPr>
                      <w:sz w:val="18"/>
                    </w:rPr>
                    <w:t>рост</w:t>
                  </w:r>
                  <w:r>
                    <w:rPr>
                      <w:sz w:val="18"/>
                    </w:rPr>
                    <w:tab/>
                  </w:r>
                  <w:r>
                    <w:rPr>
                      <w:sz w:val="18"/>
                    </w:rPr>
                    <w:tab/>
                    <w:t>недоедания</w:t>
                  </w:r>
                  <w:r>
                    <w:rPr>
                      <w:sz w:val="18"/>
                    </w:rPr>
                    <w:tab/>
                  </w:r>
                  <w:r>
                    <w:rPr>
                      <w:sz w:val="18"/>
                    </w:rPr>
                    <w:tab/>
                    <w:t>рост</w:t>
                  </w:r>
                </w:p>
              </w:txbxContent>
            </v:textbox>
          </v:shape>
        </w:pict>
      </w:r>
      <w:r>
        <w:rPr>
          <w:noProof/>
          <w:lang w:eastAsia="zh-CN"/>
        </w:rPr>
        <w:pict>
          <v:shape id="_x0000_s2073" type="#_x0000_t202" style="position:absolute;margin-left:77.3pt;margin-top:212.4pt;width:35.3pt;height:11.75pt;z-index:23" stroked="f">
            <v:textbox inset="0,0,0,0">
              <w:txbxContent>
                <w:p w:rsidR="00000000" w:rsidRDefault="00000000">
                  <w:pPr>
                    <w:rPr>
                      <w:sz w:val="18"/>
                      <w:szCs w:val="18"/>
                    </w:rPr>
                  </w:pPr>
                  <w:r>
                    <w:rPr>
                      <w:sz w:val="18"/>
                      <w:szCs w:val="18"/>
                    </w:rPr>
                    <w:t>человек</w:t>
                  </w:r>
                </w:p>
              </w:txbxContent>
            </v:textbox>
          </v:shape>
        </w:pict>
      </w:r>
      <w:r>
        <w:pict>
          <v:shape id="_x0000_i1036" type="#_x0000_t75" style="width:383.25pt;height:267pt" o:allowoverlap="f">
            <v:imagedata r:id="rId56" o:title=""/>
          </v:shape>
        </w:pict>
      </w:r>
    </w:p>
    <w:p w:rsidR="00000000" w:rsidRDefault="00000000">
      <w:pPr>
        <w:spacing w:after="240" w:line="240" w:lineRule="auto"/>
      </w:pPr>
      <w:r>
        <w:rPr>
          <w:noProof/>
          <w:sz w:val="20"/>
          <w:lang w:eastAsia="ru-RU"/>
        </w:rPr>
        <w:pict>
          <v:shape id="_x0000_s2062" type="#_x0000_t202" style="position:absolute;margin-left:109.1pt;margin-top:23.1pt;width:346.2pt;height:38.1pt;z-index:12" stroked="f">
            <v:textbox style="mso-next-textbox:#_x0000_s2062" inset="0,0,0,0">
              <w:txbxContent>
                <w:p w:rsidR="00000000" w:rsidRDefault="00000000">
                  <w:pPr>
                    <w:spacing w:line="240" w:lineRule="auto"/>
                    <w:jc w:val="center"/>
                    <w:rPr>
                      <w:b/>
                      <w:bCs/>
                      <w:sz w:val="20"/>
                    </w:rPr>
                  </w:pPr>
                  <w:r>
                    <w:rPr>
                      <w:b/>
                      <w:bCs/>
                      <w:sz w:val="20"/>
                    </w:rPr>
                    <w:t>Состояние питания детей, посещающих школы в пяти санитарных регионах (Каасапа, Сан-Педро, Кордильера, Амамбай, Мисьонес),</w:t>
                  </w:r>
                  <w:r>
                    <w:rPr>
                      <w:b/>
                      <w:bCs/>
                      <w:sz w:val="20"/>
                    </w:rPr>
                    <w:br/>
                    <w:t>2004 год</w:t>
                  </w:r>
                </w:p>
              </w:txbxContent>
            </v:textbox>
          </v:shape>
        </w:pict>
      </w:r>
      <w:r>
        <w:rPr>
          <w:noProof/>
          <w:sz w:val="20"/>
          <w:lang w:eastAsia="ru-RU"/>
        </w:rPr>
        <w:pict>
          <v:shape id="_x0000_s2070" type="#_x0000_t202" style="position:absolute;margin-left:373.15pt;margin-top:302.7pt;width:65.45pt;height:22.1pt;z-index:20" stroked="f">
            <v:textbox inset="0,0,0,0">
              <w:txbxContent>
                <w:p w:rsidR="00000000" w:rsidRDefault="00000000">
                  <w:pPr>
                    <w:spacing w:line="216" w:lineRule="auto"/>
                    <w:rPr>
                      <w:sz w:val="18"/>
                    </w:rPr>
                  </w:pPr>
                  <w:r>
                    <w:rPr>
                      <w:sz w:val="18"/>
                    </w:rPr>
                    <w:t>СКПП - ИНАН</w:t>
                  </w:r>
                </w:p>
                <w:p w:rsidR="00000000" w:rsidRDefault="00000000">
                  <w:pPr>
                    <w:spacing w:line="216" w:lineRule="auto"/>
                    <w:rPr>
                      <w:sz w:val="18"/>
                    </w:rPr>
                  </w:pPr>
                  <w:r>
                    <w:rPr>
                      <w:sz w:val="18"/>
                    </w:rPr>
                    <w:t>МЗСО</w:t>
                  </w:r>
                </w:p>
              </w:txbxContent>
            </v:textbox>
          </v:shape>
        </w:pict>
      </w:r>
      <w:r>
        <w:rPr>
          <w:noProof/>
          <w:sz w:val="20"/>
          <w:lang w:eastAsia="ru-RU"/>
        </w:rPr>
        <w:pict>
          <v:shape id="_x0000_s2069" type="#_x0000_t202" style="position:absolute;margin-left:234.65pt;margin-top:303.35pt;width:95.65pt;height:8.7pt;z-index:19" stroked="f">
            <v:textbox inset="0,0,0,0">
              <w:txbxContent>
                <w:p w:rsidR="00000000" w:rsidRDefault="00000000">
                  <w:pPr>
                    <w:tabs>
                      <w:tab w:val="clear" w:pos="567"/>
                      <w:tab w:val="left" w:pos="224"/>
                    </w:tabs>
                    <w:spacing w:line="216" w:lineRule="auto"/>
                    <w:ind w:left="224" w:hanging="224"/>
                    <w:rPr>
                      <w:sz w:val="18"/>
                    </w:rPr>
                  </w:pPr>
                  <w:r>
                    <w:rPr>
                      <w:sz w:val="18"/>
                    </w:rPr>
                    <w:t>*</w:t>
                  </w:r>
                  <w:r>
                    <w:rPr>
                      <w:sz w:val="18"/>
                    </w:rPr>
                    <w:tab/>
                    <w:t>Индекс массы тела</w:t>
                  </w:r>
                </w:p>
              </w:txbxContent>
            </v:textbox>
          </v:shape>
        </w:pict>
      </w:r>
      <w:r>
        <w:rPr>
          <w:noProof/>
          <w:sz w:val="20"/>
          <w:lang w:eastAsia="ru-RU"/>
        </w:rPr>
        <w:pict>
          <v:shape id="_x0000_s2068" type="#_x0000_t202" style="position:absolute;margin-left:118.3pt;margin-top:302.6pt;width:65.45pt;height:10.95pt;z-index:18" stroked="f">
            <v:textbox inset="0,0,0,0">
              <w:txbxContent>
                <w:p w:rsidR="00000000" w:rsidRDefault="00000000">
                  <w:pPr>
                    <w:spacing w:line="216" w:lineRule="auto"/>
                    <w:jc w:val="center"/>
                    <w:rPr>
                      <w:sz w:val="18"/>
                    </w:rPr>
                  </w:pPr>
                  <w:r>
                    <w:rPr>
                      <w:sz w:val="18"/>
                    </w:rPr>
                    <w:t>3 256 человек</w:t>
                  </w:r>
                </w:p>
              </w:txbxContent>
            </v:textbox>
          </v:shape>
        </w:pict>
      </w:r>
      <w:r>
        <w:rPr>
          <w:noProof/>
          <w:sz w:val="20"/>
          <w:lang w:eastAsia="ru-RU"/>
        </w:rPr>
        <w:pict>
          <v:shape id="_x0000_s2064" type="#_x0000_t202" style="position:absolute;margin-left:181.7pt;margin-top:256.95pt;width:73.1pt;height:38.1pt;z-index:14" stroked="f">
            <v:textbox inset="0,0,0,0">
              <w:txbxContent>
                <w:p w:rsidR="00000000" w:rsidRDefault="00000000">
                  <w:pPr>
                    <w:spacing w:line="216" w:lineRule="auto"/>
                    <w:jc w:val="center"/>
                    <w:rPr>
                      <w:sz w:val="18"/>
                    </w:rPr>
                  </w:pPr>
                  <w:r>
                    <w:rPr>
                      <w:sz w:val="18"/>
                    </w:rPr>
                    <w:t>Находящиеся</w:t>
                  </w:r>
                  <w:r>
                    <w:rPr>
                      <w:sz w:val="18"/>
                    </w:rPr>
                    <w:br/>
                    <w:t>в зоне риска с точки зрения недоедания</w:t>
                  </w:r>
                </w:p>
              </w:txbxContent>
            </v:textbox>
          </v:shape>
        </w:pict>
      </w:r>
      <w:r>
        <w:rPr>
          <w:noProof/>
          <w:sz w:val="20"/>
          <w:lang w:eastAsia="ru-RU"/>
        </w:rPr>
        <w:pict>
          <v:shape id="_x0000_s2067" type="#_x0000_t202" style="position:absolute;margin-left:381.2pt;margin-top:256.95pt;width:69.9pt;height:29.05pt;z-index:17" stroked="f">
            <v:textbox inset="0,0,0,0">
              <w:txbxContent>
                <w:p w:rsidR="00000000" w:rsidRDefault="00000000">
                  <w:pPr>
                    <w:spacing w:line="216" w:lineRule="auto"/>
                    <w:jc w:val="center"/>
                    <w:rPr>
                      <w:sz w:val="18"/>
                    </w:rPr>
                  </w:pPr>
                  <w:r>
                    <w:rPr>
                      <w:sz w:val="18"/>
                    </w:rPr>
                    <w:t>Страдающие ожирением</w:t>
                  </w:r>
                </w:p>
              </w:txbxContent>
            </v:textbox>
          </v:shape>
        </w:pict>
      </w:r>
      <w:r>
        <w:rPr>
          <w:noProof/>
          <w:sz w:val="20"/>
          <w:lang w:eastAsia="ru-RU"/>
        </w:rPr>
        <w:pict>
          <v:shape id="_x0000_s2066" type="#_x0000_t202" style="position:absolute;margin-left:321.8pt;margin-top:256.95pt;width:60.85pt;height:29.05pt;z-index:16" stroked="f">
            <v:textbox inset="0,0,0,0">
              <w:txbxContent>
                <w:p w:rsidR="00000000" w:rsidRDefault="00000000">
                  <w:pPr>
                    <w:spacing w:line="216" w:lineRule="auto"/>
                    <w:jc w:val="center"/>
                    <w:rPr>
                      <w:sz w:val="18"/>
                    </w:rPr>
                  </w:pPr>
                  <w:r>
                    <w:rPr>
                      <w:sz w:val="18"/>
                    </w:rPr>
                    <w:t>Имеющие излишний вес</w:t>
                  </w:r>
                </w:p>
              </w:txbxContent>
            </v:textbox>
          </v:shape>
        </w:pict>
      </w:r>
      <w:r>
        <w:rPr>
          <w:noProof/>
          <w:sz w:val="20"/>
          <w:lang w:eastAsia="ru-RU"/>
        </w:rPr>
        <w:pict>
          <v:shape id="_x0000_s2065" type="#_x0000_t202" style="position:absolute;margin-left:254.3pt;margin-top:257.6pt;width:65.45pt;height:21pt;z-index:15" stroked="f">
            <v:textbox inset="0,0,0,0">
              <w:txbxContent>
                <w:p w:rsidR="00000000" w:rsidRDefault="00000000">
                  <w:pPr>
                    <w:spacing w:line="216" w:lineRule="auto"/>
                    <w:jc w:val="center"/>
                    <w:rPr>
                      <w:sz w:val="18"/>
                    </w:rPr>
                  </w:pPr>
                  <w:r>
                    <w:rPr>
                      <w:sz w:val="18"/>
                    </w:rPr>
                    <w:t>Страдающие от недоедания</w:t>
                  </w:r>
                </w:p>
              </w:txbxContent>
            </v:textbox>
          </v:shape>
        </w:pict>
      </w:r>
      <w:r>
        <w:rPr>
          <w:noProof/>
          <w:sz w:val="20"/>
          <w:lang w:eastAsia="ru-RU"/>
        </w:rPr>
        <w:pict>
          <v:shape id="_x0000_s2063" type="#_x0000_t202" style="position:absolute;margin-left:113.75pt;margin-top:257.2pt;width:65.45pt;height:19.9pt;z-index:13" stroked="f">
            <v:textbox inset="0,0,0,0">
              <w:txbxContent>
                <w:p w:rsidR="00000000" w:rsidRDefault="00000000">
                  <w:pPr>
                    <w:spacing w:line="216" w:lineRule="auto"/>
                    <w:jc w:val="center"/>
                    <w:rPr>
                      <w:sz w:val="18"/>
                    </w:rPr>
                  </w:pPr>
                  <w:r>
                    <w:rPr>
                      <w:sz w:val="18"/>
                    </w:rPr>
                    <w:t>Питающиеся нормально</w:t>
                  </w:r>
                </w:p>
              </w:txbxContent>
            </v:textbox>
          </v:shape>
        </w:pict>
      </w:r>
      <w:r>
        <w:object w:dxaOrig="7947" w:dyaOrig="5779">
          <v:shape id="_x0000_i1037" type="#_x0000_t75" style="width:468pt;height:339.75pt" o:ole="" o:allowoverlap="f">
            <v:imagedata r:id="rId57" o:title=""/>
          </v:shape>
          <o:OLEObject Type="Embed" ProgID="Word.Picture.8" ShapeID="_x0000_i1037" DrawAspect="Content" ObjectID="_1394904861" r:id="rId58"/>
        </w:object>
      </w:r>
    </w:p>
    <w:p w:rsidR="00000000" w:rsidRDefault="00000000"/>
    <w:p w:rsidR="00000000" w:rsidRDefault="00000000">
      <w:pPr>
        <w:spacing w:line="720" w:lineRule="auto"/>
      </w:pPr>
      <w:r>
        <w:rPr>
          <w:noProof/>
          <w:sz w:val="20"/>
          <w:lang w:eastAsia="ru-RU"/>
        </w:rPr>
        <w:pict>
          <v:shape id="_x0000_s2072" type="#_x0000_t202" style="position:absolute;margin-left:86.1pt;margin-top:196.95pt;width:271.15pt;height:36.05pt;z-index:22" stroked="f">
            <v:textbox style="mso-next-textbox:#_x0000_s2072" inset=".5mm,.3mm,.5mm,.3mm">
              <w:txbxContent>
                <w:p w:rsidR="00000000" w:rsidRDefault="00000000">
                  <w:pPr>
                    <w:tabs>
                      <w:tab w:val="left" w:pos="3416"/>
                    </w:tabs>
                    <w:spacing w:line="240" w:lineRule="auto"/>
                    <w:rPr>
                      <w:sz w:val="14"/>
                    </w:rPr>
                  </w:pPr>
                  <w:r>
                    <w:rPr>
                      <w:sz w:val="12"/>
                    </w:rPr>
                    <w:t xml:space="preserve">1 461 человек   </w:t>
                  </w:r>
                  <w:r>
                    <w:rPr>
                      <w:sz w:val="14"/>
                    </w:rPr>
                    <w:t>Нормальный</w:t>
                  </w:r>
                  <w:r>
                    <w:rPr>
                      <w:sz w:val="14"/>
                    </w:rPr>
                    <w:tab/>
                    <w:t>Угроза маленького роста</w:t>
                  </w:r>
                  <w:r>
                    <w:rPr>
                      <w:sz w:val="14"/>
                    </w:rPr>
                    <w:tab/>
                    <w:t xml:space="preserve">        Маленький рост</w:t>
                  </w:r>
                </w:p>
                <w:p w:rsidR="00000000" w:rsidRDefault="00000000">
                  <w:pPr>
                    <w:tabs>
                      <w:tab w:val="left" w:pos="3416"/>
                    </w:tabs>
                    <w:spacing w:line="240" w:lineRule="auto"/>
                    <w:rPr>
                      <w:sz w:val="14"/>
                    </w:rPr>
                  </w:pPr>
                  <w:r>
                    <w:rPr>
                      <w:sz w:val="14"/>
                    </w:rPr>
                    <w:tab/>
                    <w:t xml:space="preserve">             рост</w:t>
                  </w:r>
                  <w:r>
                    <w:rPr>
                      <w:sz w:val="14"/>
                    </w:rPr>
                    <w:tab/>
                    <w:t xml:space="preserve">      Дисбаланс питания</w:t>
                  </w:r>
                  <w:r>
                    <w:rPr>
                      <w:sz w:val="14"/>
                    </w:rPr>
                    <w:tab/>
                  </w:r>
                </w:p>
                <w:p w:rsidR="00000000" w:rsidRDefault="00000000">
                  <w:pPr>
                    <w:tabs>
                      <w:tab w:val="left" w:pos="3416"/>
                    </w:tabs>
                    <w:spacing w:line="240" w:lineRule="auto"/>
                    <w:rPr>
                      <w:sz w:val="14"/>
                    </w:rPr>
                  </w:pPr>
                  <w:r>
                    <w:rPr>
                      <w:sz w:val="14"/>
                    </w:rPr>
                    <w:tab/>
                  </w:r>
                  <w:r>
                    <w:rPr>
                      <w:sz w:val="14"/>
                    </w:rPr>
                    <w:tab/>
                  </w:r>
                  <w:r>
                    <w:rPr>
                      <w:sz w:val="14"/>
                    </w:rPr>
                    <w:tab/>
                  </w:r>
                  <w:r>
                    <w:rPr>
                      <w:sz w:val="14"/>
                    </w:rPr>
                    <w:tab/>
                  </w:r>
                  <w:r>
                    <w:rPr>
                      <w:sz w:val="14"/>
                    </w:rPr>
                    <w:tab/>
                    <w:t>СКПП - ИНАН</w:t>
                  </w:r>
                  <w:r>
                    <w:rPr>
                      <w:sz w:val="14"/>
                    </w:rPr>
                    <w:br/>
                  </w:r>
                  <w:r>
                    <w:rPr>
                      <w:sz w:val="14"/>
                    </w:rPr>
                    <w:tab/>
                  </w:r>
                  <w:r>
                    <w:rPr>
                      <w:sz w:val="14"/>
                    </w:rPr>
                    <w:tab/>
                  </w:r>
                  <w:r>
                    <w:rPr>
                      <w:sz w:val="14"/>
                    </w:rPr>
                    <w:tab/>
                  </w:r>
                  <w:r>
                    <w:rPr>
                      <w:sz w:val="14"/>
                    </w:rPr>
                    <w:tab/>
                  </w:r>
                  <w:r>
                    <w:rPr>
                      <w:sz w:val="14"/>
                    </w:rPr>
                    <w:tab/>
                    <w:t>МЗСО</w:t>
                  </w:r>
                </w:p>
              </w:txbxContent>
            </v:textbox>
          </v:shape>
        </w:pict>
      </w:r>
      <w:r>
        <w:rPr>
          <w:noProof/>
          <w:sz w:val="20"/>
          <w:lang w:eastAsia="ru-RU"/>
        </w:rPr>
        <w:pict>
          <v:shape id="_x0000_s2071" type="#_x0000_t202" style="position:absolute;margin-left:93.35pt;margin-top:2.15pt;width:342.1pt;height:58.55pt;z-index:21" stroked="f">
            <v:textbox style="mso-next-textbox:#_x0000_s2071" inset=".5mm,.5mm,.5mm,.5mm">
              <w:txbxContent>
                <w:p w:rsidR="00000000" w:rsidRDefault="00000000">
                  <w:pPr>
                    <w:spacing w:line="180" w:lineRule="exact"/>
                    <w:jc w:val="center"/>
                    <w:rPr>
                      <w:b/>
                      <w:bCs/>
                      <w:sz w:val="18"/>
                    </w:rPr>
                  </w:pPr>
                  <w:r>
                    <w:rPr>
                      <w:b/>
                      <w:bCs/>
                      <w:sz w:val="18"/>
                    </w:rPr>
                    <w:t>Состояние питания детей, посещающих школы в шести санитарных регионах (Каасапа, Мисьонес, Сентраль, Сан</w:t>
                  </w:r>
                  <w:r>
                    <w:rPr>
                      <w:b/>
                      <w:bCs/>
                      <w:sz w:val="18"/>
                    </w:rPr>
                    <w:noBreakHyphen/>
                    <w:t>Педро, Парагуари, Альта</w:t>
                  </w:r>
                  <w:r>
                    <w:rPr>
                      <w:b/>
                      <w:bCs/>
                      <w:sz w:val="18"/>
                    </w:rPr>
                    <w:noBreakHyphen/>
                    <w:t>Парана)</w:t>
                  </w:r>
                </w:p>
                <w:p w:rsidR="00000000" w:rsidRDefault="00000000">
                  <w:pPr>
                    <w:spacing w:line="180" w:lineRule="exact"/>
                    <w:jc w:val="center"/>
                    <w:rPr>
                      <w:b/>
                      <w:bCs/>
                      <w:sz w:val="18"/>
                    </w:rPr>
                  </w:pPr>
                  <w:r>
                    <w:rPr>
                      <w:b/>
                      <w:bCs/>
                      <w:sz w:val="18"/>
                    </w:rPr>
                    <w:t>Парагвай</w:t>
                  </w:r>
                </w:p>
                <w:p w:rsidR="00000000" w:rsidRDefault="00000000">
                  <w:pPr>
                    <w:spacing w:line="180" w:lineRule="exact"/>
                    <w:jc w:val="center"/>
                    <w:rPr>
                      <w:b/>
                      <w:bCs/>
                      <w:sz w:val="18"/>
                    </w:rPr>
                  </w:pPr>
                  <w:r>
                    <w:rPr>
                      <w:b/>
                      <w:bCs/>
                      <w:sz w:val="18"/>
                    </w:rPr>
                    <w:t>2003 год</w:t>
                  </w:r>
                </w:p>
              </w:txbxContent>
            </v:textbox>
          </v:shape>
        </w:pict>
      </w:r>
      <w:r>
        <w:pict>
          <v:shape id="_x0000_i1038" type="#_x0000_t75" style="width:360.75pt;height:251.25pt" o:allowoverlap="f">
            <v:imagedata r:id="rId59" o:title=""/>
          </v:shape>
        </w:pict>
      </w:r>
    </w:p>
    <w:bookmarkStart w:id="78" w:name="_MON_1246108347"/>
    <w:bookmarkStart w:id="79" w:name="_MON_1246109516"/>
    <w:bookmarkStart w:id="80" w:name="_MON_1246109596"/>
    <w:bookmarkStart w:id="81" w:name="_MON_1246109615"/>
    <w:bookmarkStart w:id="82" w:name="_MON_1246109864"/>
    <w:bookmarkEnd w:id="78"/>
    <w:bookmarkEnd w:id="79"/>
    <w:bookmarkEnd w:id="80"/>
    <w:bookmarkEnd w:id="81"/>
    <w:bookmarkEnd w:id="82"/>
    <w:p w:rsidR="00000000" w:rsidRDefault="00000000">
      <w:pPr>
        <w:spacing w:line="720" w:lineRule="auto"/>
      </w:pPr>
      <w:r>
        <w:object w:dxaOrig="8460" w:dyaOrig="5775">
          <v:shape id="_x0000_i1039" type="#_x0000_t75" style="width:423pt;height:288.75pt" o:ole="">
            <v:imagedata r:id="rId60" o:title=""/>
          </v:shape>
          <o:OLEObject Type="Embed" ProgID="Word.Picture.8" ShapeID="_x0000_i1039" DrawAspect="Content" ObjectID="_1394904862" r:id="rId61"/>
        </w:object>
      </w:r>
    </w:p>
    <w:p w:rsidR="00000000" w:rsidRDefault="00000000">
      <w:pPr>
        <w:spacing w:line="720" w:lineRule="auto"/>
      </w:pPr>
    </w:p>
    <w:p w:rsidR="00000000" w:rsidRDefault="00000000">
      <w:r>
        <w:t>382.</w:t>
      </w:r>
      <w:r>
        <w:tab/>
        <w:t>Изменений в политике и законах, которые негативно сказываются на доступе уязвимых слоев населения или наименее защищенных регионов к достаточному питанию, не видно.  Вместо этого правительством выдвинут целый ряд инициатив по различным аспектам питания и производства продовольствия.</w:t>
      </w:r>
    </w:p>
    <w:p w:rsidR="00000000" w:rsidRDefault="00000000"/>
    <w:p w:rsidR="00000000" w:rsidRDefault="00000000">
      <w:pPr>
        <w:rPr>
          <w:b/>
          <w:bCs/>
        </w:rPr>
      </w:pPr>
      <w:r>
        <w:rPr>
          <w:b/>
          <w:bCs/>
        </w:rPr>
        <w:t>1.</w:t>
      </w:r>
      <w:r>
        <w:rPr>
          <w:b/>
          <w:bCs/>
        </w:rPr>
        <w:tab/>
        <w:t>Доступ к достаточному питанию</w:t>
      </w:r>
    </w:p>
    <w:p w:rsidR="00000000" w:rsidRDefault="00000000">
      <w:pPr>
        <w:rPr>
          <w:b/>
          <w:bCs/>
        </w:rPr>
      </w:pPr>
    </w:p>
    <w:p w:rsidR="00000000" w:rsidRDefault="00000000">
      <w:r>
        <w:t>383.</w:t>
      </w:r>
      <w:r>
        <w:tab/>
        <w:t xml:space="preserve">С 2005 года правительство стало выделять из бюджета средства на оказание продовольственной помощи и помощи в области питания (ПРОАН).  Предусматривается оказание продовольственной помощи детям в возрасте до 5 лет и беременным женщинам, страдающим недоеданием, до тех пор пока их питание не будет нормализовано.  Речь идет о совершенно новой для страны программе, которая рассчитана на 35 000 страдающих недоеданием детей в возрасте до 5 лет и беременных женщин.  Они отбирались из уязвимых слоев населения с уделением особого внимания группам, проживающим в условиях крайней нищеты.  В настоящее время эта программа осуществляется в двух округах департамента Каасапа, трех округах департамента Сан-Педро и одном округе департамента Каагуасу.  В тех местах, где осуществляется эта программа, предоставляются порошковое молоко, витаминные добавки и хлебные злаки.  </w:t>
      </w:r>
    </w:p>
    <w:p w:rsidR="00000000" w:rsidRDefault="00000000"/>
    <w:p w:rsidR="00000000" w:rsidRDefault="00000000">
      <w:r>
        <w:t>384.</w:t>
      </w:r>
      <w:r>
        <w:tab/>
        <w:t>Кроме того, эта (нормативная и оперативная) национальная программа, предусматривающая оказание продовольственной помощи и помощи в области питания детям в возрасте до 5 лет, которые страдают общим недоеданием или находятся в группе риска, и беременным женщинам с недостаточным весом, является одним из основных элементов стратегии борьбы с нищетой и неравенством, призванной обеспечить восстановление человеческого потенциала, и представляет собой одно из направлений деятельности правительства по достижению целей в области развития, сформулированных в Декларации тысячелетия.  Ее цель заключается в улучшении качества жизни женщин и детей в Парагвае посредством нормализации питания детей в возрасте до 5 лет и беременных женщин.  Для этого предусматривается уменьшить степень недоедания у детей в возрасте до 5 лет и беременных женщин с недостаточным весом.</w:t>
      </w:r>
    </w:p>
    <w:p w:rsidR="00000000" w:rsidRDefault="00000000"/>
    <w:p w:rsidR="00000000" w:rsidRDefault="00000000">
      <w:r>
        <w:t>385.</w:t>
      </w:r>
      <w:r>
        <w:tab/>
        <w:t>Конкретные задачи заключаются в следующем:  1)  уменьшить число детей в возрасте до 5 лет, страдающих недоеданием, в отдельных округах;  2)  уменьшить число беременных женщин с недостаточным весом в отдельных округах;  3)  способствовать расширению практики грудного кормления;  4)  способствовать комплексному уходу за детьми и женщинами по линии служб здравоохранения;  5)  укреплять СКПП;  6)  способствовать мобилизации общественности на решение задач нормализации питания детей в возрасте до 5 лет и беременных женщин и предотвращения недоедания;  7)  укреплять регулярную программу во всех ее компонентах;  и  8)</w:t>
      </w:r>
      <w:r>
        <w:rPr>
          <w:lang w:val="en-US"/>
        </w:rPr>
        <w:t>  </w:t>
      </w:r>
      <w:r>
        <w:t>осуществлять постоянную оценку хода осуществления этой программы.</w:t>
      </w:r>
    </w:p>
    <w:p w:rsidR="00000000" w:rsidRDefault="00000000"/>
    <w:p w:rsidR="00000000" w:rsidRDefault="00000000">
      <w:pPr>
        <w:rPr>
          <w:b/>
          <w:bCs/>
        </w:rPr>
      </w:pPr>
      <w:r>
        <w:rPr>
          <w:b/>
          <w:bCs/>
        </w:rPr>
        <w:t>2.</w:t>
      </w:r>
      <w:r>
        <w:rPr>
          <w:b/>
          <w:bCs/>
        </w:rPr>
        <w:tab/>
        <w:t>Программа дополнительного питания в школах</w:t>
      </w:r>
    </w:p>
    <w:p w:rsidR="00000000" w:rsidRDefault="00000000">
      <w:pPr>
        <w:rPr>
          <w:b/>
          <w:bCs/>
        </w:rPr>
      </w:pPr>
    </w:p>
    <w:p w:rsidR="00000000" w:rsidRDefault="00000000">
      <w:r>
        <w:t>386.</w:t>
      </w:r>
      <w:r>
        <w:tab/>
        <w:t xml:space="preserve">Министерство образования и культуры осуществляет программу дополнительного питания в школах, цель которой состоит в содействии улучшению условий для получения образования детьми из малоимущих семей и, следовательно, в обеспечении равенства возможностей для получения образования.  Она включает в себя бесплатное предоставление на ежедневной основе каждому ребенку дополнительного питания, которое состоит из витаминизированного молока и твердой пищи.  Эту программу, реализуемую с 1997 года, предполагается осуществлять на постоянной основе и наращивать при наличии бюджетных средств.  </w:t>
      </w:r>
    </w:p>
    <w:p w:rsidR="00000000" w:rsidRDefault="00000000"/>
    <w:p w:rsidR="00000000" w:rsidRDefault="00000000">
      <w:r>
        <w:t>387.</w:t>
      </w:r>
      <w:r>
        <w:tab/>
        <w:t>С момента ее осуществления ею были охвачены 86 329 школьников в 454 школах.  Ею были охвачены Асунсьон и департаменты Консепсьон, Сан-Педро, Кордильера, Гуайра, Каагуасу, Мисьонес, Парагуари, Сентраль, Ньеэмбуку, Пресиденте-Аес и Канендию.</w:t>
      </w:r>
    </w:p>
    <w:p w:rsidR="00000000" w:rsidRDefault="00000000"/>
    <w:p w:rsidR="00000000" w:rsidRDefault="00000000">
      <w:pPr>
        <w:rPr>
          <w:b/>
          <w:bCs/>
        </w:rPr>
      </w:pPr>
      <w:r>
        <w:rPr>
          <w:b/>
          <w:bCs/>
        </w:rPr>
        <w:t>3.</w:t>
      </w:r>
      <w:r>
        <w:rPr>
          <w:b/>
          <w:bCs/>
        </w:rPr>
        <w:tab/>
        <w:t>Положение в сельских районах</w:t>
      </w:r>
    </w:p>
    <w:p w:rsidR="00000000" w:rsidRDefault="00000000">
      <w:pPr>
        <w:rPr>
          <w:b/>
          <w:bCs/>
        </w:rPr>
      </w:pPr>
    </w:p>
    <w:p w:rsidR="00000000" w:rsidRDefault="00000000">
      <w:r>
        <w:t>388.</w:t>
      </w:r>
      <w:r>
        <w:tab/>
        <w:t>Прежде всего следует дать общий обзор положения в сельских районах Парагвая.  В настоящее время в сельской местности проживает 47% от общей численности населения страны.  В сельском хозяйстве и животноводстве и лесоводстве занято 35% трудоспособного населения.  На долю сельского сектора приходится 25% ВВП и 90% объема экспорта.  Темпы роста доли сельского хозяйства и животноводства в ВВП составляют 2,45% в год, что ниже годовых темпов роста численности населения, которые составляют 2,8%.  Главной и самой острой проблемой в стране является то, что 75% крестьянских ферм находится в состоянии упадка, т.е. речь идет о том, что эта проблема затрагивает 190 000 из 280 000 существующих в стране семейных хозяйств.</w:t>
      </w:r>
    </w:p>
    <w:p w:rsidR="00000000" w:rsidRDefault="00000000"/>
    <w:p w:rsidR="00000000" w:rsidRDefault="00000000">
      <w:r>
        <w:t>389.</w:t>
      </w:r>
      <w:r>
        <w:tab/>
        <w:t>Хотя точных данных о численности безземельных крестьян нет, имеющиеся неофициальные оценки, а также количество возникших за последние годы конфликтов свидетельствуют о серьезном характере этой проблемы.  Согласно обследованию земледельческих и животноводческих хозяйств, которое проводилось в 1991 году, 115 000 хозяйств имеют участки площадью меньше 5 га, а 66 000 хозяйств имеют участки площадью 5-10 га.  Доля хозяйств, которые имеют более 1 000 га земли, составляет менее 1%.  Они в свою очередь контролируют 24 млн. га земли или 77% учтенных земель.</w:t>
      </w:r>
    </w:p>
    <w:p w:rsidR="00000000" w:rsidRDefault="00000000"/>
    <w:p w:rsidR="00000000" w:rsidRDefault="00000000">
      <w:pPr>
        <w:keepNext/>
        <w:rPr>
          <w:b/>
          <w:bCs/>
        </w:rPr>
      </w:pPr>
      <w:r>
        <w:rPr>
          <w:b/>
          <w:bCs/>
        </w:rPr>
        <w:tab/>
        <w:t>3.1</w:t>
      </w:r>
      <w:r>
        <w:rPr>
          <w:b/>
          <w:bCs/>
        </w:rPr>
        <w:tab/>
        <w:t>Правовые рамки защиты сельского населения</w:t>
      </w:r>
    </w:p>
    <w:p w:rsidR="00000000" w:rsidRDefault="00000000">
      <w:pPr>
        <w:keepNext/>
        <w:rPr>
          <w:b/>
          <w:bCs/>
        </w:rPr>
      </w:pPr>
    </w:p>
    <w:p w:rsidR="00000000" w:rsidRDefault="00000000">
      <w:r>
        <w:t>390.</w:t>
      </w:r>
      <w:r>
        <w:tab/>
        <w:t>Для парагвайского государства аграрная реформа более не сводится к простому перераспределению земель.  С появлением нового Аграрного статута доступ к земле стал одним из компонентов - хотя и важных - сельского хозяйства.  Основу аграрной реформы составляют производство, производительная сфера и продовольственная безопасность.  В новом Аграрном статуте говорится, что аграрная реформа и развитие сельских районов являются неотъемлемыми элементами одного и того же процесса.  В статьях 2 и 25 нового аграрного закона устраняются ограничения, свойственные этим двум подходам.  В них говорится, что обеспечить "развитие сельских районов в результате аграрной реформы" будет невозможно без "рационального распределения сельскохозяйственных земель среди бенефициаров настоящего Закона" и "содействия внедрению устойчивых систем производства", которые обеспечат "закрепление на землях крестьянских семей".</w:t>
      </w:r>
    </w:p>
    <w:p w:rsidR="00000000" w:rsidRDefault="00000000"/>
    <w:p w:rsidR="00000000" w:rsidRDefault="00000000">
      <w:r>
        <w:t>391.</w:t>
      </w:r>
      <w:r>
        <w:tab/>
        <w:t>Закон № 1863/02 о создании Аграрного статута, который заменяет собой Закон</w:t>
      </w:r>
      <w:r>
        <w:rPr>
          <w:lang w:val="en-US"/>
        </w:rPr>
        <w:t> </w:t>
      </w:r>
      <w:r>
        <w:t>№ 852/63, в частности статья 2 этого Закона, озаглавленная "Аграрная реформа и развитие сельских районов", призваны обеспечить адекватность аграрной структуры, которая способствовала бы закреплению семей на землях, укреплению семейных крестьянских хозяйств и упорядоченному вовлечению их в процесс национального развития в интересах искоренения нищеты в сельских районах и ликвидации ее последствий путем осуществления общей стратегии, включающей такие аспекты, как производительность, экологическая устойчивость, широкое участие населения и справедливое распределение.</w:t>
      </w:r>
    </w:p>
    <w:p w:rsidR="00000000" w:rsidRDefault="00000000"/>
    <w:p w:rsidR="00000000" w:rsidRDefault="00000000">
      <w:r>
        <w:t>392.</w:t>
      </w:r>
      <w:r>
        <w:tab/>
        <w:t>Был также принят Закон № 2419/04, в соответствии с которым Институт по обеспечению благосостояния сельских районов (ИБР) был преобразован в Национальный институт развития сельских районов и земли (ИНДЕРТ).  Цель этого института состоит в содействии упорядоченному вовлечению крестьян в процесс социально-экономического развития страны.  Кроме того, институт занимается вопросами обеспечения адекватности аграрной структуры, способствуя расширению доступа к землям в сельской местности путем нормализации и упорядочения отношений, связанных с землевладением, координацией усилий и создания условий, способствующих такому развитию, которое позволяло бы закрепляться на землях и тем самым улучшать положение производителей, на которых рассчитана эта программа.  Речь идет об осуществлении стратегии, которая предусматривала бы повышение производительности и обеспечение широкого участия населения и экологической устойчивости.</w:t>
      </w:r>
    </w:p>
    <w:p w:rsidR="00000000" w:rsidRDefault="00000000"/>
    <w:p w:rsidR="00000000" w:rsidRDefault="00000000">
      <w:pPr>
        <w:keepNext/>
        <w:spacing w:line="240" w:lineRule="auto"/>
        <w:jc w:val="center"/>
        <w:rPr>
          <w:b/>
          <w:bCs/>
        </w:rPr>
      </w:pPr>
      <w:r>
        <w:rPr>
          <w:b/>
          <w:bCs/>
        </w:rPr>
        <w:t>В.</w:t>
      </w:r>
      <w:r>
        <w:rPr>
          <w:b/>
          <w:bCs/>
        </w:rPr>
        <w:tab/>
        <w:t>Право на жилье</w:t>
      </w:r>
    </w:p>
    <w:p w:rsidR="00000000" w:rsidRDefault="00000000">
      <w:pPr>
        <w:keepNext/>
        <w:spacing w:line="240" w:lineRule="auto"/>
        <w:jc w:val="center"/>
        <w:rPr>
          <w:b/>
          <w:bCs/>
        </w:rPr>
      </w:pPr>
    </w:p>
    <w:p w:rsidR="00000000" w:rsidRDefault="00000000">
      <w:pPr>
        <w:keepNext/>
        <w:spacing w:line="240" w:lineRule="auto"/>
      </w:pPr>
      <w:r>
        <w:rPr>
          <w:b/>
          <w:bCs/>
        </w:rPr>
        <w:t>1.</w:t>
      </w:r>
      <w:r>
        <w:rPr>
          <w:b/>
          <w:bCs/>
        </w:rPr>
        <w:tab/>
        <w:t>Положение с жильем в Парагвае</w:t>
      </w:r>
    </w:p>
    <w:p w:rsidR="00000000" w:rsidRDefault="00000000">
      <w:pPr>
        <w:keepNext/>
        <w:spacing w:line="240" w:lineRule="auto"/>
      </w:pPr>
    </w:p>
    <w:p w:rsidR="00000000" w:rsidRDefault="00000000">
      <w:r>
        <w:t>393.</w:t>
      </w:r>
      <w:r>
        <w:tab/>
        <w:t>Для Парагвая характерны высокие темпы роста численности населения, устойчивый процесс урбанизации, структура населения, в которой преобладает молодежь, и высокие темпы создания новых домохозяйств.  Все это определяет существенный спрос на жилье среди всех социально-экономических слоев населения, которое концентрируется главным образом в городских центрах, в первую очередь в районе Большого Асунсьона.  В настоящее время в районе Большого Асунсьона проживает 31% от общей численности населения и 55% от численности городского населения страны.</w:t>
      </w:r>
    </w:p>
    <w:p w:rsidR="00000000" w:rsidRDefault="00000000"/>
    <w:p w:rsidR="00000000" w:rsidRDefault="00000000">
      <w:r>
        <w:t>394.</w:t>
      </w:r>
      <w:r>
        <w:tab/>
        <w:t>Результаты проведенной в 2002 году переписи населения и жилого фонда свидетельствуют о том, что в стране с населением 5,2 млн. жителей наблюдаются высокие темпы роста численности населения, которые составили в среднем 2,5% в год за последний период, прошедший между переписями (1992-2002 годы).  За счет этого Парагвай фигурирует среди стран с наиболее высоким показателем роста численности населения в Латинской Америке.  С другой стороны, размеры домохозяйств уменьшаются как в городах, так и в сельских районах, и в среднем на домохозяйство и занимаемое им жилье приходится в среднем 4,5 человека.</w:t>
      </w:r>
    </w:p>
    <w:p w:rsidR="00000000" w:rsidRDefault="00000000"/>
    <w:p w:rsidR="00000000" w:rsidRDefault="00000000">
      <w:r>
        <w:t>395.</w:t>
      </w:r>
      <w:r>
        <w:tab/>
        <w:t>В Парагвае, где численность городского населения приближается к 3 млн. человек, наблюдается средняя степень урбанизации, если мы примем во внимание тот факт, что в городах в настоящее время проживает 74% населения Латинской Америки.  Страна имеет такую демографическую структуру, в которой явно преобладает молодежь.  Этим объясняется тенденция к высоким темпам создания новых домохозяйств, что определяет валовой спрос на новое жилье.  Расширение жилого фонда свидетельствует о том, что в количественном выражении эта тенденция соответствует тенденции к созданию новых домохозяйств.  В среднем за последний период между переписями (1992-2002 годы) ежегодно появлялось в среднем 24 327 новых единиц жилья.  Результаты упомянутого обследования свидетельствуют о том, что из общего количества единиц занятого жилья 58% находятся в городах, что несколько превосходит долю городского населения (56,74%).</w:t>
      </w:r>
    </w:p>
    <w:p w:rsidR="00000000" w:rsidRDefault="00000000"/>
    <w:p w:rsidR="00000000" w:rsidRDefault="00000000">
      <w:pPr>
        <w:keepNext/>
      </w:pPr>
      <w:r>
        <w:tab/>
      </w:r>
      <w:r>
        <w:rPr>
          <w:b/>
          <w:bCs/>
        </w:rPr>
        <w:t>1.1</w:t>
      </w:r>
      <w:r>
        <w:rPr>
          <w:b/>
          <w:bCs/>
        </w:rPr>
        <w:tab/>
        <w:t>Качество жилья</w:t>
      </w:r>
    </w:p>
    <w:p w:rsidR="00000000" w:rsidRDefault="00000000">
      <w:pPr>
        <w:keepNext/>
      </w:pPr>
    </w:p>
    <w:p w:rsidR="00000000" w:rsidRDefault="00000000">
      <w:r>
        <w:t>396.</w:t>
      </w:r>
      <w:r>
        <w:tab/>
        <w:t>Результаты проведенного в 2003 году постоянного обследования домашних хозяйств показывают, что у четверти жилого фонда Парагвая есть проблемы качества, у 22% домохозяйств есть проблемы скученности и у такой же доли домохозяйств нет никакого доступа к санитарно-гигиеническим средствам.  Проблемы качества жилья усугубляются в сельских районах, где 40% домохозяйств имеют плохое и тесное жилье.  В городских районах проблемы низкого качества жилья и скученности затрагивают 15% домохозяйств, в то время как проблема отсутствия доступа к санитарно-гигиеническим средствам существует у 23% домохозяйств.  Охват санитарно-гигиеническими средствами через коммунальную систему является весьма незначительным.  Менее 44% домохозяйств подключены к системам снабжения питьевой водой, 10% домохозяйств имеют канализацию и 31% домохозяйств пользуются услугами, связанными с уборкой мусора.  Если принять во внимание тот факт, что 41,4% населения живет за чертой бедности, которая определяется по корзине основных потребительских товаров, и сравнить это с ранее зарегистрированными показателями качества, то становится очевидным, что малоимущим семьям приходится предпринимать огромные усилия для того, чтобы обеспечить себя жильем, особенно в городских районах.</w:t>
      </w:r>
    </w:p>
    <w:p w:rsidR="00000000" w:rsidRDefault="00000000">
      <w:pPr>
        <w:spacing w:line="216" w:lineRule="auto"/>
      </w:pPr>
    </w:p>
    <w:p w:rsidR="00000000" w:rsidRDefault="00000000">
      <w:pPr>
        <w:autoSpaceDE w:val="0"/>
        <w:autoSpaceDN w:val="0"/>
        <w:adjustRightInd w:val="0"/>
        <w:spacing w:line="216" w:lineRule="auto"/>
        <w:ind w:left="567"/>
        <w:jc w:val="center"/>
        <w:rPr>
          <w:b/>
        </w:rPr>
      </w:pPr>
      <w:r>
        <w:rPr>
          <w:b/>
        </w:rPr>
        <w:t>Таблица 1</w:t>
      </w:r>
    </w:p>
    <w:p w:rsidR="00000000" w:rsidRDefault="00000000">
      <w:pPr>
        <w:autoSpaceDE w:val="0"/>
        <w:autoSpaceDN w:val="0"/>
        <w:adjustRightInd w:val="0"/>
        <w:spacing w:line="216" w:lineRule="auto"/>
        <w:ind w:left="567"/>
        <w:jc w:val="center"/>
        <w:rPr>
          <w:b/>
        </w:rPr>
      </w:pPr>
    </w:p>
    <w:p w:rsidR="00000000" w:rsidRDefault="00000000">
      <w:pPr>
        <w:autoSpaceDE w:val="0"/>
        <w:autoSpaceDN w:val="0"/>
        <w:adjustRightInd w:val="0"/>
        <w:spacing w:line="216" w:lineRule="auto"/>
        <w:ind w:left="567"/>
        <w:jc w:val="center"/>
        <w:rPr>
          <w:b/>
        </w:rPr>
      </w:pPr>
      <w:r>
        <w:rPr>
          <w:b/>
        </w:rPr>
        <w:t>Индивидуальное жилье с разбивкой по городским и сельским районам и основным услугам, 1992-2002 годы</w:t>
      </w:r>
    </w:p>
    <w:p w:rsidR="00000000" w:rsidRDefault="00000000">
      <w:pPr>
        <w:autoSpaceDE w:val="0"/>
        <w:autoSpaceDN w:val="0"/>
        <w:adjustRightInd w:val="0"/>
        <w:spacing w:line="216" w:lineRule="auto"/>
        <w:ind w:left="567"/>
        <w:jc w:val="center"/>
        <w:rPr>
          <w:b/>
          <w:bCs/>
          <w:i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17"/>
        <w:gridCol w:w="1064"/>
        <w:gridCol w:w="1363"/>
        <w:gridCol w:w="1063"/>
        <w:gridCol w:w="1363"/>
        <w:gridCol w:w="1063"/>
        <w:gridCol w:w="1362"/>
      </w:tblGrid>
      <w:tr w:rsidR="00000000">
        <w:tblPrEx>
          <w:tblCellMar>
            <w:top w:w="0" w:type="dxa"/>
            <w:bottom w:w="0" w:type="dxa"/>
          </w:tblCellMar>
        </w:tblPrEx>
        <w:trPr>
          <w:cantSplit/>
          <w:jc w:val="center"/>
        </w:trPr>
        <w:tc>
          <w:tcPr>
            <w:tcW w:w="1167" w:type="pct"/>
            <w:vMerge w:val="restart"/>
            <w:vAlign w:val="center"/>
          </w:tcPr>
          <w:p w:rsidR="00000000" w:rsidRDefault="00000000">
            <w:pPr>
              <w:autoSpaceDE w:val="0"/>
              <w:autoSpaceDN w:val="0"/>
              <w:adjustRightInd w:val="0"/>
              <w:spacing w:before="60" w:line="240" w:lineRule="auto"/>
              <w:jc w:val="center"/>
              <w:rPr>
                <w:b/>
                <w:bCs/>
                <w:sz w:val="20"/>
              </w:rPr>
            </w:pPr>
          </w:p>
        </w:tc>
        <w:tc>
          <w:tcPr>
            <w:tcW w:w="1838" w:type="pct"/>
            <w:gridSpan w:val="3"/>
            <w:vAlign w:val="center"/>
          </w:tcPr>
          <w:p w:rsidR="00000000" w:rsidRDefault="00000000">
            <w:pPr>
              <w:pStyle w:val="BodyTextIndent"/>
              <w:spacing w:before="60" w:after="0"/>
              <w:ind w:left="0"/>
              <w:jc w:val="center"/>
              <w:rPr>
                <w:b/>
                <w:bCs/>
                <w:sz w:val="20"/>
                <w:lang w:val="ru-RU"/>
              </w:rPr>
            </w:pPr>
            <w:r>
              <w:rPr>
                <w:b/>
                <w:bCs/>
                <w:sz w:val="20"/>
              </w:rPr>
              <w:t>1992</w:t>
            </w:r>
            <w:r>
              <w:rPr>
                <w:b/>
                <w:bCs/>
                <w:sz w:val="20"/>
                <w:lang w:val="ru-RU"/>
              </w:rPr>
              <w:t xml:space="preserve"> год</w:t>
            </w:r>
          </w:p>
        </w:tc>
        <w:tc>
          <w:tcPr>
            <w:tcW w:w="1995" w:type="pct"/>
            <w:gridSpan w:val="3"/>
            <w:vAlign w:val="center"/>
          </w:tcPr>
          <w:p w:rsidR="00000000" w:rsidRDefault="00000000">
            <w:pPr>
              <w:pStyle w:val="BodyTextIndent"/>
              <w:spacing w:before="60" w:after="0"/>
              <w:ind w:left="0"/>
              <w:jc w:val="center"/>
              <w:rPr>
                <w:b/>
                <w:bCs/>
                <w:sz w:val="20"/>
                <w:lang w:val="ru-RU"/>
              </w:rPr>
            </w:pPr>
            <w:r>
              <w:rPr>
                <w:b/>
                <w:bCs/>
                <w:sz w:val="20"/>
              </w:rPr>
              <w:t>2002</w:t>
            </w:r>
            <w:r>
              <w:rPr>
                <w:b/>
                <w:bCs/>
                <w:sz w:val="20"/>
                <w:lang w:val="ru-RU"/>
              </w:rPr>
              <w:t xml:space="preserve"> год</w:t>
            </w:r>
          </w:p>
        </w:tc>
      </w:tr>
      <w:tr w:rsidR="00000000">
        <w:tblPrEx>
          <w:tblCellMar>
            <w:top w:w="0" w:type="dxa"/>
            <w:bottom w:w="0" w:type="dxa"/>
          </w:tblCellMar>
        </w:tblPrEx>
        <w:trPr>
          <w:cantSplit/>
          <w:jc w:val="center"/>
        </w:trPr>
        <w:tc>
          <w:tcPr>
            <w:tcW w:w="1167" w:type="pct"/>
            <w:vMerge/>
            <w:vAlign w:val="center"/>
          </w:tcPr>
          <w:p w:rsidR="00000000" w:rsidRDefault="00000000">
            <w:pPr>
              <w:autoSpaceDE w:val="0"/>
              <w:autoSpaceDN w:val="0"/>
              <w:adjustRightInd w:val="0"/>
              <w:spacing w:before="60" w:line="240" w:lineRule="auto"/>
              <w:jc w:val="center"/>
              <w:rPr>
                <w:b/>
                <w:bCs/>
                <w:sz w:val="20"/>
              </w:rPr>
            </w:pPr>
          </w:p>
        </w:tc>
        <w:tc>
          <w:tcPr>
            <w:tcW w:w="560" w:type="pct"/>
            <w:vAlign w:val="center"/>
          </w:tcPr>
          <w:p w:rsidR="00000000" w:rsidRDefault="00000000">
            <w:pPr>
              <w:pStyle w:val="BodyTextIndent"/>
              <w:spacing w:before="60" w:after="0"/>
              <w:ind w:left="0"/>
              <w:jc w:val="center"/>
              <w:rPr>
                <w:b/>
                <w:bCs/>
                <w:sz w:val="20"/>
                <w:lang w:val="ru-RU"/>
              </w:rPr>
            </w:pPr>
            <w:r>
              <w:rPr>
                <w:b/>
                <w:bCs/>
                <w:sz w:val="20"/>
                <w:lang w:val="ru-RU"/>
              </w:rPr>
              <w:t>В целом по стране</w:t>
            </w:r>
          </w:p>
        </w:tc>
        <w:tc>
          <w:tcPr>
            <w:tcW w:w="718" w:type="pct"/>
            <w:vAlign w:val="center"/>
          </w:tcPr>
          <w:p w:rsidR="00000000" w:rsidRDefault="00000000">
            <w:pPr>
              <w:pStyle w:val="ListBullet"/>
              <w:numPr>
                <w:ilvl w:val="0"/>
                <w:numId w:val="0"/>
              </w:numPr>
              <w:spacing w:before="60" w:line="240" w:lineRule="auto"/>
              <w:jc w:val="center"/>
              <w:rPr>
                <w:b/>
                <w:bCs/>
                <w:sz w:val="20"/>
              </w:rPr>
            </w:pPr>
            <w:r>
              <w:rPr>
                <w:b/>
                <w:bCs/>
                <w:sz w:val="20"/>
              </w:rPr>
              <w:t>Городские районы</w:t>
            </w:r>
          </w:p>
        </w:tc>
        <w:tc>
          <w:tcPr>
            <w:tcW w:w="560" w:type="pct"/>
            <w:vAlign w:val="center"/>
          </w:tcPr>
          <w:p w:rsidR="00000000" w:rsidRDefault="00000000">
            <w:pPr>
              <w:pStyle w:val="ListBullet"/>
              <w:numPr>
                <w:ilvl w:val="0"/>
                <w:numId w:val="0"/>
              </w:numPr>
              <w:spacing w:before="60" w:line="240" w:lineRule="auto"/>
              <w:jc w:val="center"/>
              <w:rPr>
                <w:b/>
                <w:bCs/>
                <w:sz w:val="20"/>
              </w:rPr>
            </w:pPr>
            <w:r>
              <w:rPr>
                <w:b/>
                <w:bCs/>
                <w:sz w:val="20"/>
              </w:rPr>
              <w:t>Сельские районы</w:t>
            </w:r>
          </w:p>
        </w:tc>
        <w:tc>
          <w:tcPr>
            <w:tcW w:w="718" w:type="pct"/>
            <w:vAlign w:val="center"/>
          </w:tcPr>
          <w:p w:rsidR="00000000" w:rsidRDefault="00000000">
            <w:pPr>
              <w:pStyle w:val="BodyTextIndent"/>
              <w:spacing w:before="60" w:after="0"/>
              <w:ind w:left="0"/>
              <w:jc w:val="center"/>
              <w:rPr>
                <w:b/>
                <w:bCs/>
                <w:sz w:val="20"/>
                <w:lang w:val="ru-RU"/>
              </w:rPr>
            </w:pPr>
            <w:r>
              <w:rPr>
                <w:b/>
                <w:bCs/>
                <w:sz w:val="20"/>
                <w:lang w:val="ru-RU"/>
              </w:rPr>
              <w:t>В целом по стране</w:t>
            </w:r>
          </w:p>
        </w:tc>
        <w:tc>
          <w:tcPr>
            <w:tcW w:w="560" w:type="pct"/>
            <w:vAlign w:val="center"/>
          </w:tcPr>
          <w:p w:rsidR="00000000" w:rsidRDefault="00000000">
            <w:pPr>
              <w:pStyle w:val="ListBullet"/>
              <w:numPr>
                <w:ilvl w:val="0"/>
                <w:numId w:val="0"/>
              </w:numPr>
              <w:spacing w:before="60" w:line="240" w:lineRule="auto"/>
              <w:jc w:val="center"/>
              <w:rPr>
                <w:b/>
                <w:bCs/>
                <w:sz w:val="20"/>
              </w:rPr>
            </w:pPr>
            <w:r>
              <w:rPr>
                <w:b/>
                <w:bCs/>
                <w:sz w:val="20"/>
              </w:rPr>
              <w:t>Сельские районы</w:t>
            </w:r>
          </w:p>
        </w:tc>
        <w:tc>
          <w:tcPr>
            <w:tcW w:w="717" w:type="pct"/>
            <w:vAlign w:val="center"/>
          </w:tcPr>
          <w:p w:rsidR="00000000" w:rsidRDefault="00000000">
            <w:pPr>
              <w:pStyle w:val="ListBullet"/>
              <w:numPr>
                <w:ilvl w:val="0"/>
                <w:numId w:val="0"/>
              </w:numPr>
              <w:spacing w:before="60" w:line="240" w:lineRule="auto"/>
              <w:jc w:val="center"/>
              <w:rPr>
                <w:b/>
                <w:bCs/>
                <w:sz w:val="20"/>
              </w:rPr>
            </w:pPr>
            <w:r>
              <w:rPr>
                <w:b/>
                <w:bCs/>
                <w:sz w:val="20"/>
              </w:rPr>
              <w:t>Городские районы</w:t>
            </w:r>
          </w:p>
        </w:tc>
      </w:tr>
      <w:tr w:rsidR="00000000">
        <w:tblPrEx>
          <w:tblCellMar>
            <w:top w:w="0" w:type="dxa"/>
            <w:bottom w:w="0" w:type="dxa"/>
          </w:tblCellMar>
        </w:tblPrEx>
        <w:trPr>
          <w:jc w:val="center"/>
        </w:trPr>
        <w:tc>
          <w:tcPr>
            <w:tcW w:w="1167" w:type="pct"/>
            <w:vAlign w:val="center"/>
          </w:tcPr>
          <w:p w:rsidR="00000000" w:rsidRDefault="00000000">
            <w:pPr>
              <w:pStyle w:val="BodyTextIndent"/>
              <w:spacing w:before="60" w:after="0"/>
              <w:ind w:left="0"/>
              <w:rPr>
                <w:b/>
                <w:bCs/>
                <w:sz w:val="20"/>
                <w:lang w:val="ru-RU"/>
              </w:rPr>
            </w:pPr>
            <w:r>
              <w:rPr>
                <w:b/>
                <w:bCs/>
                <w:sz w:val="20"/>
                <w:lang w:val="ru-RU"/>
              </w:rPr>
              <w:t>Всего</w:t>
            </w:r>
          </w:p>
        </w:tc>
        <w:tc>
          <w:tcPr>
            <w:tcW w:w="560" w:type="pct"/>
            <w:vAlign w:val="center"/>
          </w:tcPr>
          <w:p w:rsidR="00000000" w:rsidRDefault="00000000">
            <w:pPr>
              <w:pStyle w:val="BodyTextIndent"/>
              <w:spacing w:before="60" w:after="0"/>
              <w:ind w:left="0"/>
              <w:jc w:val="right"/>
              <w:rPr>
                <w:b/>
                <w:bCs/>
                <w:sz w:val="20"/>
              </w:rPr>
            </w:pPr>
            <w:r>
              <w:rPr>
                <w:b/>
                <w:bCs/>
                <w:sz w:val="20"/>
              </w:rPr>
              <w:t>855 547</w:t>
            </w:r>
          </w:p>
        </w:tc>
        <w:tc>
          <w:tcPr>
            <w:tcW w:w="718" w:type="pct"/>
            <w:vAlign w:val="center"/>
          </w:tcPr>
          <w:p w:rsidR="00000000" w:rsidRDefault="00000000">
            <w:pPr>
              <w:pStyle w:val="BodyTextIndent"/>
              <w:spacing w:before="60" w:after="0"/>
              <w:ind w:left="0"/>
              <w:jc w:val="right"/>
              <w:rPr>
                <w:b/>
                <w:bCs/>
                <w:sz w:val="20"/>
              </w:rPr>
            </w:pPr>
            <w:r>
              <w:rPr>
                <w:b/>
                <w:bCs/>
                <w:sz w:val="20"/>
              </w:rPr>
              <w:t>443 691</w:t>
            </w:r>
          </w:p>
        </w:tc>
        <w:tc>
          <w:tcPr>
            <w:tcW w:w="560" w:type="pct"/>
            <w:vAlign w:val="center"/>
          </w:tcPr>
          <w:p w:rsidR="00000000" w:rsidRDefault="00000000">
            <w:pPr>
              <w:pStyle w:val="BodyTextIndent"/>
              <w:spacing w:before="60" w:after="0"/>
              <w:ind w:left="0"/>
              <w:jc w:val="right"/>
              <w:rPr>
                <w:b/>
                <w:bCs/>
                <w:sz w:val="20"/>
              </w:rPr>
            </w:pPr>
            <w:r>
              <w:rPr>
                <w:b/>
                <w:bCs/>
                <w:sz w:val="20"/>
              </w:rPr>
              <w:t>411 856</w:t>
            </w:r>
          </w:p>
        </w:tc>
        <w:tc>
          <w:tcPr>
            <w:tcW w:w="718" w:type="pct"/>
            <w:vAlign w:val="center"/>
          </w:tcPr>
          <w:p w:rsidR="00000000" w:rsidRDefault="00000000">
            <w:pPr>
              <w:pStyle w:val="BodyTextIndent"/>
              <w:spacing w:before="60" w:after="0"/>
              <w:ind w:left="0"/>
              <w:jc w:val="right"/>
              <w:rPr>
                <w:b/>
                <w:bCs/>
                <w:sz w:val="20"/>
              </w:rPr>
            </w:pPr>
            <w:r>
              <w:rPr>
                <w:b/>
                <w:bCs/>
                <w:sz w:val="20"/>
              </w:rPr>
              <w:t>1 098 005</w:t>
            </w:r>
          </w:p>
        </w:tc>
        <w:tc>
          <w:tcPr>
            <w:tcW w:w="560" w:type="pct"/>
            <w:vAlign w:val="center"/>
          </w:tcPr>
          <w:p w:rsidR="00000000" w:rsidRDefault="00000000">
            <w:pPr>
              <w:pStyle w:val="BodyTextIndent"/>
              <w:spacing w:before="60" w:after="0"/>
              <w:ind w:left="0"/>
              <w:jc w:val="right"/>
              <w:rPr>
                <w:b/>
                <w:bCs/>
                <w:sz w:val="20"/>
              </w:rPr>
            </w:pPr>
            <w:r>
              <w:rPr>
                <w:b/>
                <w:bCs/>
                <w:sz w:val="20"/>
              </w:rPr>
              <w:t>643 920</w:t>
            </w:r>
          </w:p>
        </w:tc>
        <w:tc>
          <w:tcPr>
            <w:tcW w:w="717" w:type="pct"/>
            <w:vAlign w:val="center"/>
          </w:tcPr>
          <w:p w:rsidR="00000000" w:rsidRDefault="00000000">
            <w:pPr>
              <w:pStyle w:val="BodyTextIndent"/>
              <w:spacing w:before="60" w:after="0"/>
              <w:ind w:left="0"/>
              <w:jc w:val="right"/>
              <w:rPr>
                <w:b/>
                <w:bCs/>
                <w:sz w:val="20"/>
              </w:rPr>
            </w:pPr>
            <w:r>
              <w:rPr>
                <w:b/>
                <w:bCs/>
                <w:sz w:val="20"/>
              </w:rPr>
              <w:t>454 085</w:t>
            </w:r>
          </w:p>
        </w:tc>
      </w:tr>
      <w:tr w:rsidR="00000000">
        <w:tblPrEx>
          <w:tblCellMar>
            <w:top w:w="0" w:type="dxa"/>
            <w:bottom w:w="0" w:type="dxa"/>
          </w:tblCellMar>
        </w:tblPrEx>
        <w:trPr>
          <w:jc w:val="center"/>
        </w:trPr>
        <w:tc>
          <w:tcPr>
            <w:tcW w:w="1167" w:type="pct"/>
            <w:vAlign w:val="center"/>
          </w:tcPr>
          <w:p w:rsidR="00000000" w:rsidRDefault="00000000">
            <w:pPr>
              <w:pStyle w:val="BodyTextIndent"/>
              <w:spacing w:before="60" w:after="0"/>
              <w:ind w:left="0"/>
              <w:rPr>
                <w:b/>
                <w:bCs/>
                <w:sz w:val="20"/>
                <w:lang w:val="ru-RU"/>
              </w:rPr>
            </w:pPr>
            <w:r>
              <w:rPr>
                <w:b/>
                <w:bCs/>
                <w:sz w:val="20"/>
                <w:lang w:val="ru-RU"/>
              </w:rPr>
              <w:t>Электричество</w:t>
            </w:r>
          </w:p>
        </w:tc>
        <w:tc>
          <w:tcPr>
            <w:tcW w:w="560" w:type="pct"/>
            <w:vAlign w:val="center"/>
          </w:tcPr>
          <w:p w:rsidR="00000000" w:rsidRDefault="00000000">
            <w:pPr>
              <w:pStyle w:val="BodyTextIndent"/>
              <w:spacing w:before="60" w:after="0"/>
              <w:ind w:left="0"/>
              <w:jc w:val="right"/>
              <w:rPr>
                <w:sz w:val="20"/>
              </w:rPr>
            </w:pPr>
            <w:r>
              <w:rPr>
                <w:sz w:val="20"/>
              </w:rPr>
              <w:t>504 842</w:t>
            </w:r>
          </w:p>
        </w:tc>
        <w:tc>
          <w:tcPr>
            <w:tcW w:w="718" w:type="pct"/>
            <w:vAlign w:val="center"/>
          </w:tcPr>
          <w:p w:rsidR="00000000" w:rsidRDefault="00000000">
            <w:pPr>
              <w:pStyle w:val="BodyTextIndent"/>
              <w:spacing w:before="60" w:after="0"/>
              <w:ind w:left="0"/>
              <w:jc w:val="right"/>
              <w:rPr>
                <w:sz w:val="20"/>
              </w:rPr>
            </w:pPr>
            <w:r>
              <w:rPr>
                <w:sz w:val="20"/>
              </w:rPr>
              <w:t>409 090</w:t>
            </w:r>
          </w:p>
        </w:tc>
        <w:tc>
          <w:tcPr>
            <w:tcW w:w="560" w:type="pct"/>
            <w:vAlign w:val="center"/>
          </w:tcPr>
          <w:p w:rsidR="00000000" w:rsidRDefault="00000000">
            <w:pPr>
              <w:pStyle w:val="BodyTextIndent"/>
              <w:spacing w:before="60" w:after="0"/>
              <w:ind w:left="0"/>
              <w:jc w:val="right"/>
              <w:rPr>
                <w:sz w:val="20"/>
              </w:rPr>
            </w:pPr>
            <w:r>
              <w:rPr>
                <w:sz w:val="20"/>
              </w:rPr>
              <w:t>95 752</w:t>
            </w:r>
          </w:p>
        </w:tc>
        <w:tc>
          <w:tcPr>
            <w:tcW w:w="718" w:type="pct"/>
            <w:vAlign w:val="center"/>
          </w:tcPr>
          <w:p w:rsidR="00000000" w:rsidRDefault="00000000">
            <w:pPr>
              <w:pStyle w:val="BodyTextIndent"/>
              <w:spacing w:before="60" w:after="0"/>
              <w:ind w:left="0"/>
              <w:jc w:val="right"/>
              <w:rPr>
                <w:sz w:val="20"/>
              </w:rPr>
            </w:pPr>
            <w:r>
              <w:rPr>
                <w:sz w:val="20"/>
              </w:rPr>
              <w:t>978 766</w:t>
            </w:r>
          </w:p>
        </w:tc>
        <w:tc>
          <w:tcPr>
            <w:tcW w:w="560" w:type="pct"/>
            <w:vAlign w:val="center"/>
          </w:tcPr>
          <w:p w:rsidR="00000000" w:rsidRDefault="00000000">
            <w:pPr>
              <w:pStyle w:val="BodyTextIndent"/>
              <w:spacing w:before="60" w:after="0"/>
              <w:ind w:left="0"/>
              <w:jc w:val="right"/>
              <w:rPr>
                <w:sz w:val="20"/>
              </w:rPr>
            </w:pPr>
            <w:r>
              <w:rPr>
                <w:sz w:val="20"/>
              </w:rPr>
              <w:t>625 602</w:t>
            </w:r>
          </w:p>
        </w:tc>
        <w:tc>
          <w:tcPr>
            <w:tcW w:w="717" w:type="pct"/>
            <w:vAlign w:val="center"/>
          </w:tcPr>
          <w:p w:rsidR="00000000" w:rsidRDefault="00000000">
            <w:pPr>
              <w:pStyle w:val="BodyTextIndent"/>
              <w:spacing w:before="60" w:after="0"/>
              <w:ind w:left="0"/>
              <w:jc w:val="right"/>
              <w:rPr>
                <w:sz w:val="20"/>
              </w:rPr>
            </w:pPr>
            <w:r>
              <w:rPr>
                <w:sz w:val="20"/>
              </w:rPr>
              <w:t>353 164</w:t>
            </w:r>
          </w:p>
        </w:tc>
      </w:tr>
      <w:tr w:rsidR="00000000">
        <w:tblPrEx>
          <w:tblCellMar>
            <w:top w:w="0" w:type="dxa"/>
            <w:bottom w:w="0" w:type="dxa"/>
          </w:tblCellMar>
        </w:tblPrEx>
        <w:trPr>
          <w:jc w:val="center"/>
        </w:trPr>
        <w:tc>
          <w:tcPr>
            <w:tcW w:w="1167" w:type="pct"/>
            <w:vAlign w:val="center"/>
          </w:tcPr>
          <w:p w:rsidR="00000000" w:rsidRDefault="00000000">
            <w:pPr>
              <w:pStyle w:val="BodyTextIndent"/>
              <w:spacing w:before="60" w:after="0"/>
              <w:ind w:left="0"/>
              <w:rPr>
                <w:b/>
                <w:bCs/>
                <w:sz w:val="20"/>
              </w:rPr>
            </w:pPr>
            <w:r>
              <w:rPr>
                <w:b/>
                <w:bCs/>
                <w:sz w:val="20"/>
                <w:lang w:val="ru-RU"/>
              </w:rPr>
              <w:t>Водопроводная вода</w:t>
            </w:r>
            <w:r>
              <w:rPr>
                <w:b/>
                <w:bCs/>
                <w:sz w:val="20"/>
                <w:vertAlign w:val="superscript"/>
              </w:rPr>
              <w:t>*</w:t>
            </w:r>
          </w:p>
        </w:tc>
        <w:tc>
          <w:tcPr>
            <w:tcW w:w="560" w:type="pct"/>
            <w:vAlign w:val="center"/>
          </w:tcPr>
          <w:p w:rsidR="00000000" w:rsidRDefault="00000000">
            <w:pPr>
              <w:pStyle w:val="BodyTextIndent"/>
              <w:spacing w:before="60" w:after="0"/>
              <w:ind w:left="0"/>
              <w:jc w:val="right"/>
              <w:rPr>
                <w:sz w:val="20"/>
              </w:rPr>
            </w:pPr>
            <w:r>
              <w:rPr>
                <w:sz w:val="20"/>
              </w:rPr>
              <w:t>269 443</w:t>
            </w:r>
          </w:p>
        </w:tc>
        <w:tc>
          <w:tcPr>
            <w:tcW w:w="718" w:type="pct"/>
            <w:vAlign w:val="center"/>
          </w:tcPr>
          <w:p w:rsidR="00000000" w:rsidRDefault="00000000">
            <w:pPr>
              <w:pStyle w:val="BodyTextIndent"/>
              <w:spacing w:before="60" w:after="0"/>
              <w:ind w:left="0"/>
              <w:jc w:val="right"/>
              <w:rPr>
                <w:sz w:val="20"/>
              </w:rPr>
            </w:pPr>
            <w:r>
              <w:rPr>
                <w:sz w:val="20"/>
              </w:rPr>
              <w:t>256 909</w:t>
            </w:r>
          </w:p>
        </w:tc>
        <w:tc>
          <w:tcPr>
            <w:tcW w:w="560" w:type="pct"/>
            <w:vAlign w:val="center"/>
          </w:tcPr>
          <w:p w:rsidR="00000000" w:rsidRDefault="00000000">
            <w:pPr>
              <w:pStyle w:val="BodyTextIndent"/>
              <w:spacing w:before="60" w:after="0"/>
              <w:ind w:left="0"/>
              <w:jc w:val="right"/>
              <w:rPr>
                <w:sz w:val="20"/>
              </w:rPr>
            </w:pPr>
            <w:r>
              <w:rPr>
                <w:sz w:val="20"/>
              </w:rPr>
              <w:t>12 534</w:t>
            </w:r>
          </w:p>
        </w:tc>
        <w:tc>
          <w:tcPr>
            <w:tcW w:w="718" w:type="pct"/>
            <w:vAlign w:val="center"/>
          </w:tcPr>
          <w:p w:rsidR="00000000" w:rsidRDefault="00000000">
            <w:pPr>
              <w:pStyle w:val="BodyTextIndent"/>
              <w:spacing w:before="60" w:after="0"/>
              <w:ind w:left="0"/>
              <w:jc w:val="right"/>
              <w:rPr>
                <w:sz w:val="20"/>
              </w:rPr>
            </w:pPr>
            <w:r>
              <w:rPr>
                <w:sz w:val="20"/>
              </w:rPr>
              <w:t>578 639</w:t>
            </w:r>
          </w:p>
        </w:tc>
        <w:tc>
          <w:tcPr>
            <w:tcW w:w="560" w:type="pct"/>
            <w:vAlign w:val="center"/>
          </w:tcPr>
          <w:p w:rsidR="00000000" w:rsidRDefault="00000000">
            <w:pPr>
              <w:pStyle w:val="BodyTextIndent"/>
              <w:spacing w:before="60" w:after="0"/>
              <w:ind w:left="0"/>
              <w:jc w:val="right"/>
              <w:rPr>
                <w:sz w:val="20"/>
              </w:rPr>
            </w:pPr>
            <w:r>
              <w:rPr>
                <w:sz w:val="20"/>
              </w:rPr>
              <w:t>476 500</w:t>
            </w:r>
          </w:p>
        </w:tc>
        <w:tc>
          <w:tcPr>
            <w:tcW w:w="717" w:type="pct"/>
            <w:vAlign w:val="center"/>
          </w:tcPr>
          <w:p w:rsidR="00000000" w:rsidRDefault="00000000">
            <w:pPr>
              <w:pStyle w:val="BodyTextIndent"/>
              <w:spacing w:before="60" w:after="0"/>
              <w:ind w:left="0"/>
              <w:jc w:val="right"/>
              <w:rPr>
                <w:sz w:val="20"/>
              </w:rPr>
            </w:pPr>
            <w:r>
              <w:rPr>
                <w:sz w:val="20"/>
              </w:rPr>
              <w:t>102 139</w:t>
            </w:r>
          </w:p>
        </w:tc>
      </w:tr>
      <w:tr w:rsidR="00000000">
        <w:tblPrEx>
          <w:tblCellMar>
            <w:top w:w="0" w:type="dxa"/>
            <w:bottom w:w="0" w:type="dxa"/>
          </w:tblCellMar>
        </w:tblPrEx>
        <w:trPr>
          <w:jc w:val="center"/>
        </w:trPr>
        <w:tc>
          <w:tcPr>
            <w:tcW w:w="1167" w:type="pct"/>
            <w:vAlign w:val="center"/>
          </w:tcPr>
          <w:p w:rsidR="00000000" w:rsidRDefault="00000000">
            <w:pPr>
              <w:pStyle w:val="BodyTextIndent"/>
              <w:spacing w:before="60" w:after="0"/>
              <w:ind w:left="0"/>
              <w:rPr>
                <w:b/>
                <w:bCs/>
                <w:sz w:val="20"/>
                <w:lang w:val="ru-RU"/>
              </w:rPr>
            </w:pPr>
            <w:r>
              <w:rPr>
                <w:b/>
                <w:bCs/>
                <w:sz w:val="20"/>
                <w:lang w:val="ru-RU"/>
              </w:rPr>
              <w:t>Туалеты, соединенные с системой канализации</w:t>
            </w:r>
          </w:p>
        </w:tc>
        <w:tc>
          <w:tcPr>
            <w:tcW w:w="560" w:type="pct"/>
            <w:vAlign w:val="center"/>
          </w:tcPr>
          <w:p w:rsidR="00000000" w:rsidRDefault="00000000">
            <w:pPr>
              <w:pStyle w:val="BodyTextIndent"/>
              <w:spacing w:before="60" w:after="0"/>
              <w:ind w:left="0"/>
              <w:jc w:val="right"/>
              <w:rPr>
                <w:sz w:val="20"/>
              </w:rPr>
            </w:pPr>
            <w:r>
              <w:rPr>
                <w:sz w:val="20"/>
              </w:rPr>
              <w:t>65 817</w:t>
            </w:r>
          </w:p>
        </w:tc>
        <w:tc>
          <w:tcPr>
            <w:tcW w:w="718" w:type="pct"/>
            <w:vAlign w:val="center"/>
          </w:tcPr>
          <w:p w:rsidR="00000000" w:rsidRDefault="00000000">
            <w:pPr>
              <w:pStyle w:val="BodyTextIndent"/>
              <w:spacing w:before="60" w:after="0"/>
              <w:ind w:left="0"/>
              <w:jc w:val="right"/>
              <w:rPr>
                <w:sz w:val="20"/>
              </w:rPr>
            </w:pPr>
            <w:r>
              <w:rPr>
                <w:sz w:val="20"/>
              </w:rPr>
              <w:t>65 802</w:t>
            </w:r>
          </w:p>
        </w:tc>
        <w:tc>
          <w:tcPr>
            <w:tcW w:w="560" w:type="pct"/>
            <w:vAlign w:val="center"/>
          </w:tcPr>
          <w:p w:rsidR="00000000" w:rsidRDefault="00000000">
            <w:pPr>
              <w:pStyle w:val="BodyTextIndent"/>
              <w:spacing w:before="60" w:after="0"/>
              <w:ind w:left="0"/>
              <w:jc w:val="right"/>
              <w:rPr>
                <w:sz w:val="20"/>
              </w:rPr>
            </w:pPr>
            <w:r>
              <w:rPr>
                <w:sz w:val="20"/>
              </w:rPr>
              <w:t>15</w:t>
            </w:r>
          </w:p>
        </w:tc>
        <w:tc>
          <w:tcPr>
            <w:tcW w:w="718" w:type="pct"/>
            <w:vAlign w:val="center"/>
          </w:tcPr>
          <w:p w:rsidR="00000000" w:rsidRDefault="00000000">
            <w:pPr>
              <w:pStyle w:val="BodyTextIndent"/>
              <w:spacing w:before="60" w:after="0"/>
              <w:ind w:left="0"/>
              <w:jc w:val="right"/>
              <w:rPr>
                <w:sz w:val="20"/>
              </w:rPr>
            </w:pPr>
            <w:r>
              <w:rPr>
                <w:sz w:val="20"/>
              </w:rPr>
              <w:t>103 565</w:t>
            </w:r>
          </w:p>
        </w:tc>
        <w:tc>
          <w:tcPr>
            <w:tcW w:w="560" w:type="pct"/>
            <w:vAlign w:val="center"/>
          </w:tcPr>
          <w:p w:rsidR="00000000" w:rsidRDefault="00000000">
            <w:pPr>
              <w:pStyle w:val="BodyTextIndent"/>
              <w:spacing w:before="60" w:after="0"/>
              <w:ind w:left="0"/>
              <w:jc w:val="right"/>
              <w:rPr>
                <w:sz w:val="20"/>
              </w:rPr>
            </w:pPr>
            <w:r>
              <w:rPr>
                <w:sz w:val="20"/>
              </w:rPr>
              <w:t>103 565</w:t>
            </w:r>
          </w:p>
        </w:tc>
        <w:tc>
          <w:tcPr>
            <w:tcW w:w="717" w:type="pct"/>
            <w:vAlign w:val="center"/>
          </w:tcPr>
          <w:p w:rsidR="00000000" w:rsidRDefault="00000000">
            <w:pPr>
              <w:pStyle w:val="BodyTextIndent"/>
              <w:spacing w:before="60" w:after="0"/>
              <w:ind w:left="0"/>
              <w:jc w:val="right"/>
              <w:rPr>
                <w:sz w:val="20"/>
              </w:rPr>
            </w:pPr>
            <w:r>
              <w:rPr>
                <w:sz w:val="20"/>
              </w:rPr>
              <w:t>-</w:t>
            </w:r>
          </w:p>
        </w:tc>
      </w:tr>
      <w:tr w:rsidR="00000000">
        <w:tblPrEx>
          <w:tblCellMar>
            <w:top w:w="0" w:type="dxa"/>
            <w:bottom w:w="0" w:type="dxa"/>
          </w:tblCellMar>
        </w:tblPrEx>
        <w:trPr>
          <w:jc w:val="center"/>
        </w:trPr>
        <w:tc>
          <w:tcPr>
            <w:tcW w:w="1167" w:type="pct"/>
            <w:vAlign w:val="center"/>
          </w:tcPr>
          <w:p w:rsidR="00000000" w:rsidRDefault="00000000">
            <w:pPr>
              <w:pStyle w:val="BodyTextIndent"/>
              <w:spacing w:before="60" w:after="0"/>
              <w:ind w:left="0"/>
              <w:rPr>
                <w:b/>
                <w:bCs/>
                <w:sz w:val="20"/>
                <w:lang w:val="ru-RU"/>
              </w:rPr>
            </w:pPr>
            <w:r>
              <w:rPr>
                <w:b/>
                <w:bCs/>
                <w:sz w:val="20"/>
                <w:lang w:val="ru-RU"/>
              </w:rPr>
              <w:t>Туалеты, не соединенные с системой канализации</w:t>
            </w:r>
          </w:p>
        </w:tc>
        <w:tc>
          <w:tcPr>
            <w:tcW w:w="560" w:type="pct"/>
            <w:vAlign w:val="center"/>
          </w:tcPr>
          <w:p w:rsidR="00000000" w:rsidRDefault="00000000">
            <w:pPr>
              <w:pStyle w:val="BodyTextIndent"/>
              <w:spacing w:before="60" w:after="0"/>
              <w:ind w:left="0"/>
              <w:jc w:val="right"/>
              <w:rPr>
                <w:sz w:val="20"/>
              </w:rPr>
            </w:pPr>
            <w:r>
              <w:rPr>
                <w:sz w:val="20"/>
              </w:rPr>
              <w:t>231 047</w:t>
            </w:r>
          </w:p>
        </w:tc>
        <w:tc>
          <w:tcPr>
            <w:tcW w:w="718" w:type="pct"/>
            <w:vAlign w:val="center"/>
          </w:tcPr>
          <w:p w:rsidR="00000000" w:rsidRDefault="00000000">
            <w:pPr>
              <w:pStyle w:val="BodyTextIndent"/>
              <w:spacing w:before="60" w:after="0"/>
              <w:ind w:left="0"/>
              <w:jc w:val="right"/>
              <w:rPr>
                <w:sz w:val="20"/>
              </w:rPr>
            </w:pPr>
            <w:r>
              <w:rPr>
                <w:sz w:val="20"/>
              </w:rPr>
              <w:t>198 878</w:t>
            </w:r>
          </w:p>
        </w:tc>
        <w:tc>
          <w:tcPr>
            <w:tcW w:w="560" w:type="pct"/>
            <w:vAlign w:val="center"/>
          </w:tcPr>
          <w:p w:rsidR="00000000" w:rsidRDefault="00000000">
            <w:pPr>
              <w:pStyle w:val="BodyTextIndent"/>
              <w:spacing w:before="60" w:after="0"/>
              <w:ind w:left="0"/>
              <w:jc w:val="right"/>
              <w:rPr>
                <w:sz w:val="20"/>
              </w:rPr>
            </w:pPr>
            <w:r>
              <w:rPr>
                <w:sz w:val="20"/>
              </w:rPr>
              <w:t>32 169</w:t>
            </w:r>
          </w:p>
        </w:tc>
        <w:tc>
          <w:tcPr>
            <w:tcW w:w="718" w:type="pct"/>
            <w:vAlign w:val="center"/>
          </w:tcPr>
          <w:p w:rsidR="00000000" w:rsidRDefault="00000000">
            <w:pPr>
              <w:pStyle w:val="BodyTextIndent"/>
              <w:spacing w:before="60" w:after="0"/>
              <w:ind w:left="0"/>
              <w:jc w:val="right"/>
              <w:rPr>
                <w:sz w:val="20"/>
              </w:rPr>
            </w:pPr>
            <w:r>
              <w:rPr>
                <w:sz w:val="20"/>
              </w:rPr>
              <w:t>588 003</w:t>
            </w:r>
          </w:p>
        </w:tc>
        <w:tc>
          <w:tcPr>
            <w:tcW w:w="560" w:type="pct"/>
            <w:vAlign w:val="center"/>
          </w:tcPr>
          <w:p w:rsidR="00000000" w:rsidRDefault="00000000">
            <w:pPr>
              <w:pStyle w:val="BodyTextIndent"/>
              <w:spacing w:before="60" w:after="0"/>
              <w:ind w:left="0"/>
              <w:jc w:val="right"/>
              <w:rPr>
                <w:sz w:val="20"/>
              </w:rPr>
            </w:pPr>
            <w:r>
              <w:rPr>
                <w:sz w:val="20"/>
              </w:rPr>
              <w:t>450 981</w:t>
            </w:r>
          </w:p>
        </w:tc>
        <w:tc>
          <w:tcPr>
            <w:tcW w:w="717" w:type="pct"/>
            <w:vAlign w:val="center"/>
          </w:tcPr>
          <w:p w:rsidR="00000000" w:rsidRDefault="00000000">
            <w:pPr>
              <w:pStyle w:val="BodyTextIndent"/>
              <w:spacing w:before="60" w:after="0"/>
              <w:ind w:left="0"/>
              <w:jc w:val="right"/>
              <w:rPr>
                <w:sz w:val="20"/>
              </w:rPr>
            </w:pPr>
            <w:r>
              <w:rPr>
                <w:sz w:val="20"/>
              </w:rPr>
              <w:t>137 022</w:t>
            </w:r>
          </w:p>
        </w:tc>
      </w:tr>
      <w:tr w:rsidR="00000000">
        <w:tblPrEx>
          <w:tblCellMar>
            <w:top w:w="0" w:type="dxa"/>
            <w:bottom w:w="0" w:type="dxa"/>
          </w:tblCellMar>
        </w:tblPrEx>
        <w:trPr>
          <w:jc w:val="center"/>
        </w:trPr>
        <w:tc>
          <w:tcPr>
            <w:tcW w:w="1167" w:type="pct"/>
            <w:vAlign w:val="center"/>
          </w:tcPr>
          <w:p w:rsidR="00000000" w:rsidRDefault="00000000">
            <w:pPr>
              <w:pStyle w:val="BodyTextIndent"/>
              <w:spacing w:before="60" w:after="0"/>
              <w:ind w:left="0"/>
              <w:rPr>
                <w:b/>
                <w:bCs/>
                <w:sz w:val="20"/>
                <w:lang w:val="ru-RU"/>
              </w:rPr>
            </w:pPr>
            <w:r>
              <w:rPr>
                <w:b/>
                <w:bCs/>
                <w:sz w:val="20"/>
                <w:lang w:val="ru-RU"/>
              </w:rPr>
              <w:t>Уборка мусора</w:t>
            </w:r>
          </w:p>
        </w:tc>
        <w:tc>
          <w:tcPr>
            <w:tcW w:w="560" w:type="pct"/>
            <w:vAlign w:val="center"/>
          </w:tcPr>
          <w:p w:rsidR="00000000" w:rsidRDefault="00000000">
            <w:pPr>
              <w:pStyle w:val="BodyTextIndent"/>
              <w:spacing w:before="60" w:after="0"/>
              <w:ind w:left="0"/>
              <w:jc w:val="right"/>
              <w:rPr>
                <w:sz w:val="20"/>
              </w:rPr>
            </w:pPr>
            <w:r>
              <w:rPr>
                <w:sz w:val="20"/>
              </w:rPr>
              <w:t>181 726</w:t>
            </w:r>
          </w:p>
        </w:tc>
        <w:tc>
          <w:tcPr>
            <w:tcW w:w="718" w:type="pct"/>
            <w:vAlign w:val="center"/>
          </w:tcPr>
          <w:p w:rsidR="00000000" w:rsidRDefault="00000000">
            <w:pPr>
              <w:pStyle w:val="BodyTextIndent"/>
              <w:spacing w:before="60" w:after="0"/>
              <w:ind w:left="0"/>
              <w:jc w:val="right"/>
              <w:rPr>
                <w:sz w:val="20"/>
              </w:rPr>
            </w:pPr>
            <w:r>
              <w:rPr>
                <w:sz w:val="20"/>
              </w:rPr>
              <w:t>181 453</w:t>
            </w:r>
          </w:p>
        </w:tc>
        <w:tc>
          <w:tcPr>
            <w:tcW w:w="560" w:type="pct"/>
            <w:vAlign w:val="center"/>
          </w:tcPr>
          <w:p w:rsidR="00000000" w:rsidRDefault="00000000">
            <w:pPr>
              <w:pStyle w:val="BodyTextIndent"/>
              <w:spacing w:before="60" w:after="0"/>
              <w:ind w:left="0"/>
              <w:jc w:val="right"/>
              <w:rPr>
                <w:sz w:val="20"/>
              </w:rPr>
            </w:pPr>
            <w:r>
              <w:rPr>
                <w:sz w:val="20"/>
              </w:rPr>
              <w:t>273</w:t>
            </w:r>
          </w:p>
        </w:tc>
        <w:tc>
          <w:tcPr>
            <w:tcW w:w="718" w:type="pct"/>
            <w:vAlign w:val="center"/>
          </w:tcPr>
          <w:p w:rsidR="00000000" w:rsidRDefault="00000000">
            <w:pPr>
              <w:pStyle w:val="BodyTextIndent"/>
              <w:spacing w:before="60" w:after="0"/>
              <w:ind w:left="0"/>
              <w:jc w:val="right"/>
              <w:rPr>
                <w:sz w:val="20"/>
              </w:rPr>
            </w:pPr>
            <w:r>
              <w:rPr>
                <w:sz w:val="20"/>
              </w:rPr>
              <w:t>369 231</w:t>
            </w:r>
          </w:p>
        </w:tc>
        <w:tc>
          <w:tcPr>
            <w:tcW w:w="560" w:type="pct"/>
            <w:vAlign w:val="center"/>
          </w:tcPr>
          <w:p w:rsidR="00000000" w:rsidRDefault="00000000">
            <w:pPr>
              <w:pStyle w:val="BodyTextIndent"/>
              <w:spacing w:before="60" w:after="0"/>
              <w:ind w:left="0"/>
              <w:jc w:val="right"/>
              <w:rPr>
                <w:sz w:val="20"/>
              </w:rPr>
            </w:pPr>
            <w:r>
              <w:rPr>
                <w:sz w:val="20"/>
              </w:rPr>
              <w:t>358 012</w:t>
            </w:r>
          </w:p>
        </w:tc>
        <w:tc>
          <w:tcPr>
            <w:tcW w:w="717" w:type="pct"/>
            <w:vAlign w:val="center"/>
          </w:tcPr>
          <w:p w:rsidR="00000000" w:rsidRDefault="00000000">
            <w:pPr>
              <w:pStyle w:val="BodyTextIndent"/>
              <w:spacing w:before="60" w:after="0"/>
              <w:ind w:left="0"/>
              <w:jc w:val="right"/>
              <w:rPr>
                <w:sz w:val="20"/>
              </w:rPr>
            </w:pPr>
            <w:r>
              <w:rPr>
                <w:sz w:val="20"/>
              </w:rPr>
              <w:t>11 219</w:t>
            </w:r>
          </w:p>
        </w:tc>
      </w:tr>
      <w:tr w:rsidR="00000000">
        <w:tblPrEx>
          <w:tblCellMar>
            <w:top w:w="0" w:type="dxa"/>
            <w:bottom w:w="0" w:type="dxa"/>
          </w:tblCellMar>
        </w:tblPrEx>
        <w:trPr>
          <w:cantSplit/>
          <w:jc w:val="center"/>
        </w:trPr>
        <w:tc>
          <w:tcPr>
            <w:tcW w:w="1167" w:type="pct"/>
            <w:vAlign w:val="center"/>
          </w:tcPr>
          <w:p w:rsidR="00000000" w:rsidRDefault="00000000">
            <w:pPr>
              <w:pStyle w:val="BodyTextIndent"/>
              <w:tabs>
                <w:tab w:val="decimal" w:pos="804"/>
              </w:tabs>
              <w:spacing w:before="60" w:after="0"/>
              <w:ind w:left="0"/>
              <w:jc w:val="center"/>
              <w:rPr>
                <w:b/>
                <w:bCs/>
                <w:sz w:val="20"/>
              </w:rPr>
            </w:pPr>
          </w:p>
        </w:tc>
        <w:tc>
          <w:tcPr>
            <w:tcW w:w="3833" w:type="pct"/>
            <w:gridSpan w:val="6"/>
            <w:vAlign w:val="center"/>
          </w:tcPr>
          <w:p w:rsidR="00000000" w:rsidRDefault="00000000">
            <w:pPr>
              <w:pStyle w:val="BodyTextIndent"/>
              <w:tabs>
                <w:tab w:val="decimal" w:pos="804"/>
              </w:tabs>
              <w:spacing w:before="60" w:after="0"/>
              <w:ind w:left="0"/>
              <w:jc w:val="center"/>
              <w:rPr>
                <w:b/>
                <w:bCs/>
                <w:sz w:val="20"/>
              </w:rPr>
            </w:pPr>
            <w:r>
              <w:rPr>
                <w:b/>
                <w:bCs/>
                <w:sz w:val="20"/>
              </w:rPr>
              <w:t>(</w:t>
            </w:r>
            <w:r>
              <w:rPr>
                <w:b/>
                <w:bCs/>
                <w:sz w:val="20"/>
                <w:lang w:val="ru-RU"/>
              </w:rPr>
              <w:t>Доля в процентах</w:t>
            </w:r>
            <w:r>
              <w:rPr>
                <w:b/>
                <w:bCs/>
                <w:sz w:val="20"/>
              </w:rPr>
              <w:t>)</w:t>
            </w:r>
          </w:p>
        </w:tc>
      </w:tr>
      <w:tr w:rsidR="00000000">
        <w:tblPrEx>
          <w:tblCellMar>
            <w:top w:w="0" w:type="dxa"/>
            <w:bottom w:w="0" w:type="dxa"/>
          </w:tblCellMar>
        </w:tblPrEx>
        <w:trPr>
          <w:jc w:val="center"/>
        </w:trPr>
        <w:tc>
          <w:tcPr>
            <w:tcW w:w="1167" w:type="pct"/>
            <w:vAlign w:val="center"/>
          </w:tcPr>
          <w:p w:rsidR="00000000" w:rsidRDefault="00000000">
            <w:pPr>
              <w:pStyle w:val="BodyTextIndent"/>
              <w:spacing w:before="60" w:after="0"/>
              <w:ind w:left="0"/>
              <w:rPr>
                <w:b/>
                <w:bCs/>
                <w:sz w:val="20"/>
                <w:lang w:val="ru-RU"/>
              </w:rPr>
            </w:pPr>
            <w:r>
              <w:rPr>
                <w:b/>
                <w:bCs/>
                <w:sz w:val="20"/>
                <w:lang w:val="ru-RU"/>
              </w:rPr>
              <w:t>Всего</w:t>
            </w:r>
          </w:p>
        </w:tc>
        <w:tc>
          <w:tcPr>
            <w:tcW w:w="560" w:type="pct"/>
            <w:vAlign w:val="center"/>
          </w:tcPr>
          <w:p w:rsidR="00000000" w:rsidRDefault="00000000">
            <w:pPr>
              <w:pStyle w:val="BodyTextIndent"/>
              <w:spacing w:before="60" w:after="0"/>
              <w:ind w:left="0"/>
              <w:jc w:val="right"/>
              <w:rPr>
                <w:b/>
                <w:bCs/>
                <w:sz w:val="20"/>
              </w:rPr>
            </w:pPr>
            <w:r>
              <w:rPr>
                <w:b/>
                <w:bCs/>
                <w:sz w:val="20"/>
              </w:rPr>
              <w:t>100,0</w:t>
            </w:r>
          </w:p>
        </w:tc>
        <w:tc>
          <w:tcPr>
            <w:tcW w:w="718" w:type="pct"/>
            <w:vAlign w:val="center"/>
          </w:tcPr>
          <w:p w:rsidR="00000000" w:rsidRDefault="00000000">
            <w:pPr>
              <w:pStyle w:val="BodyTextIndent"/>
              <w:spacing w:before="60" w:after="0"/>
              <w:ind w:left="0"/>
              <w:jc w:val="right"/>
              <w:rPr>
                <w:b/>
                <w:bCs/>
                <w:sz w:val="20"/>
              </w:rPr>
            </w:pPr>
            <w:r>
              <w:rPr>
                <w:b/>
                <w:bCs/>
                <w:sz w:val="20"/>
              </w:rPr>
              <w:t>100,0</w:t>
            </w:r>
          </w:p>
        </w:tc>
        <w:tc>
          <w:tcPr>
            <w:tcW w:w="560" w:type="pct"/>
            <w:vAlign w:val="center"/>
          </w:tcPr>
          <w:p w:rsidR="00000000" w:rsidRDefault="00000000">
            <w:pPr>
              <w:pStyle w:val="BodyTextIndent"/>
              <w:spacing w:before="60" w:after="0"/>
              <w:ind w:left="0"/>
              <w:jc w:val="right"/>
              <w:rPr>
                <w:b/>
                <w:bCs/>
                <w:sz w:val="20"/>
              </w:rPr>
            </w:pPr>
            <w:r>
              <w:rPr>
                <w:b/>
                <w:bCs/>
                <w:sz w:val="20"/>
              </w:rPr>
              <w:t>100,0</w:t>
            </w:r>
          </w:p>
        </w:tc>
        <w:tc>
          <w:tcPr>
            <w:tcW w:w="718" w:type="pct"/>
            <w:vAlign w:val="center"/>
          </w:tcPr>
          <w:p w:rsidR="00000000" w:rsidRDefault="00000000">
            <w:pPr>
              <w:pStyle w:val="BodyTextIndent"/>
              <w:spacing w:before="60" w:after="0"/>
              <w:ind w:left="0"/>
              <w:jc w:val="right"/>
              <w:rPr>
                <w:b/>
                <w:bCs/>
                <w:sz w:val="20"/>
              </w:rPr>
            </w:pPr>
            <w:r>
              <w:rPr>
                <w:b/>
                <w:bCs/>
                <w:sz w:val="20"/>
              </w:rPr>
              <w:t>100,0</w:t>
            </w:r>
          </w:p>
        </w:tc>
        <w:tc>
          <w:tcPr>
            <w:tcW w:w="560" w:type="pct"/>
            <w:vAlign w:val="center"/>
          </w:tcPr>
          <w:p w:rsidR="00000000" w:rsidRDefault="00000000">
            <w:pPr>
              <w:pStyle w:val="BodyTextIndent"/>
              <w:spacing w:before="60" w:after="0"/>
              <w:ind w:left="0"/>
              <w:jc w:val="right"/>
              <w:rPr>
                <w:b/>
                <w:bCs/>
                <w:sz w:val="20"/>
              </w:rPr>
            </w:pPr>
            <w:r>
              <w:rPr>
                <w:b/>
                <w:bCs/>
                <w:sz w:val="20"/>
              </w:rPr>
              <w:t>100,0</w:t>
            </w:r>
          </w:p>
        </w:tc>
        <w:tc>
          <w:tcPr>
            <w:tcW w:w="717" w:type="pct"/>
            <w:vAlign w:val="center"/>
          </w:tcPr>
          <w:p w:rsidR="00000000" w:rsidRDefault="00000000">
            <w:pPr>
              <w:pStyle w:val="BodyTextIndent"/>
              <w:spacing w:before="60" w:after="0"/>
              <w:ind w:left="0"/>
              <w:jc w:val="right"/>
              <w:rPr>
                <w:b/>
                <w:bCs/>
                <w:sz w:val="20"/>
              </w:rPr>
            </w:pPr>
            <w:r>
              <w:rPr>
                <w:b/>
                <w:bCs/>
                <w:sz w:val="20"/>
              </w:rPr>
              <w:t>100,0</w:t>
            </w:r>
          </w:p>
        </w:tc>
      </w:tr>
      <w:tr w:rsidR="00000000">
        <w:tblPrEx>
          <w:tblCellMar>
            <w:top w:w="0" w:type="dxa"/>
            <w:bottom w:w="0" w:type="dxa"/>
          </w:tblCellMar>
        </w:tblPrEx>
        <w:trPr>
          <w:jc w:val="center"/>
        </w:trPr>
        <w:tc>
          <w:tcPr>
            <w:tcW w:w="1167" w:type="pct"/>
            <w:vAlign w:val="center"/>
          </w:tcPr>
          <w:p w:rsidR="00000000" w:rsidRDefault="00000000">
            <w:pPr>
              <w:pStyle w:val="BodyTextIndent"/>
              <w:spacing w:before="60" w:after="0"/>
              <w:ind w:left="0"/>
              <w:rPr>
                <w:b/>
                <w:bCs/>
                <w:sz w:val="20"/>
                <w:lang w:val="ru-RU"/>
              </w:rPr>
            </w:pPr>
            <w:r>
              <w:rPr>
                <w:b/>
                <w:bCs/>
                <w:sz w:val="20"/>
                <w:lang w:val="ru-RU"/>
              </w:rPr>
              <w:t>Электричество</w:t>
            </w:r>
          </w:p>
        </w:tc>
        <w:tc>
          <w:tcPr>
            <w:tcW w:w="560" w:type="pct"/>
            <w:vAlign w:val="center"/>
          </w:tcPr>
          <w:p w:rsidR="00000000" w:rsidRDefault="00000000">
            <w:pPr>
              <w:pStyle w:val="BodyTextIndent"/>
              <w:spacing w:before="60" w:after="0"/>
              <w:ind w:left="0"/>
              <w:jc w:val="right"/>
              <w:rPr>
                <w:sz w:val="20"/>
              </w:rPr>
            </w:pPr>
            <w:r>
              <w:rPr>
                <w:sz w:val="20"/>
              </w:rPr>
              <w:t>59,0</w:t>
            </w:r>
          </w:p>
        </w:tc>
        <w:tc>
          <w:tcPr>
            <w:tcW w:w="718" w:type="pct"/>
            <w:vAlign w:val="center"/>
          </w:tcPr>
          <w:p w:rsidR="00000000" w:rsidRDefault="00000000">
            <w:pPr>
              <w:pStyle w:val="BodyTextIndent"/>
              <w:spacing w:before="60" w:after="0"/>
              <w:ind w:left="0"/>
              <w:jc w:val="right"/>
              <w:rPr>
                <w:sz w:val="20"/>
              </w:rPr>
            </w:pPr>
            <w:r>
              <w:rPr>
                <w:sz w:val="20"/>
              </w:rPr>
              <w:t>92,2</w:t>
            </w:r>
          </w:p>
        </w:tc>
        <w:tc>
          <w:tcPr>
            <w:tcW w:w="560" w:type="pct"/>
            <w:vAlign w:val="center"/>
          </w:tcPr>
          <w:p w:rsidR="00000000" w:rsidRDefault="00000000">
            <w:pPr>
              <w:pStyle w:val="BodyTextIndent"/>
              <w:spacing w:before="60" w:after="0"/>
              <w:ind w:left="0"/>
              <w:jc w:val="right"/>
              <w:rPr>
                <w:sz w:val="20"/>
              </w:rPr>
            </w:pPr>
            <w:r>
              <w:rPr>
                <w:sz w:val="20"/>
              </w:rPr>
              <w:t>23,2</w:t>
            </w:r>
          </w:p>
        </w:tc>
        <w:tc>
          <w:tcPr>
            <w:tcW w:w="718" w:type="pct"/>
            <w:vAlign w:val="center"/>
          </w:tcPr>
          <w:p w:rsidR="00000000" w:rsidRDefault="00000000">
            <w:pPr>
              <w:pStyle w:val="BodyTextIndent"/>
              <w:spacing w:before="60" w:after="0"/>
              <w:ind w:left="0"/>
              <w:jc w:val="right"/>
              <w:rPr>
                <w:sz w:val="20"/>
              </w:rPr>
            </w:pPr>
            <w:r>
              <w:rPr>
                <w:sz w:val="20"/>
              </w:rPr>
              <w:t>89,1</w:t>
            </w:r>
          </w:p>
        </w:tc>
        <w:tc>
          <w:tcPr>
            <w:tcW w:w="560" w:type="pct"/>
            <w:vAlign w:val="center"/>
          </w:tcPr>
          <w:p w:rsidR="00000000" w:rsidRDefault="00000000">
            <w:pPr>
              <w:pStyle w:val="BodyTextIndent"/>
              <w:spacing w:before="60" w:after="0"/>
              <w:ind w:left="0"/>
              <w:jc w:val="right"/>
              <w:rPr>
                <w:sz w:val="20"/>
              </w:rPr>
            </w:pPr>
            <w:r>
              <w:rPr>
                <w:sz w:val="20"/>
              </w:rPr>
              <w:t>97,2</w:t>
            </w:r>
          </w:p>
        </w:tc>
        <w:tc>
          <w:tcPr>
            <w:tcW w:w="717" w:type="pct"/>
            <w:vAlign w:val="center"/>
          </w:tcPr>
          <w:p w:rsidR="00000000" w:rsidRDefault="00000000">
            <w:pPr>
              <w:pStyle w:val="BodyTextIndent"/>
              <w:spacing w:before="60" w:after="0"/>
              <w:ind w:left="0"/>
              <w:jc w:val="right"/>
              <w:rPr>
                <w:sz w:val="20"/>
              </w:rPr>
            </w:pPr>
            <w:r>
              <w:rPr>
                <w:sz w:val="20"/>
              </w:rPr>
              <w:t>77,8</w:t>
            </w:r>
          </w:p>
        </w:tc>
      </w:tr>
      <w:tr w:rsidR="00000000">
        <w:tblPrEx>
          <w:tblCellMar>
            <w:top w:w="0" w:type="dxa"/>
            <w:bottom w:w="0" w:type="dxa"/>
          </w:tblCellMar>
        </w:tblPrEx>
        <w:trPr>
          <w:jc w:val="center"/>
        </w:trPr>
        <w:tc>
          <w:tcPr>
            <w:tcW w:w="1167" w:type="pct"/>
            <w:vAlign w:val="center"/>
          </w:tcPr>
          <w:p w:rsidR="00000000" w:rsidRDefault="00000000">
            <w:pPr>
              <w:pStyle w:val="BodyTextIndent"/>
              <w:spacing w:before="60" w:after="0"/>
              <w:ind w:left="0"/>
              <w:rPr>
                <w:b/>
                <w:bCs/>
                <w:sz w:val="20"/>
              </w:rPr>
            </w:pPr>
            <w:r>
              <w:rPr>
                <w:b/>
                <w:bCs/>
                <w:sz w:val="20"/>
                <w:lang w:val="ru-RU"/>
              </w:rPr>
              <w:t>Водопроводная вода</w:t>
            </w:r>
            <w:r>
              <w:rPr>
                <w:b/>
                <w:bCs/>
                <w:sz w:val="20"/>
                <w:vertAlign w:val="superscript"/>
              </w:rPr>
              <w:t>*</w:t>
            </w:r>
          </w:p>
        </w:tc>
        <w:tc>
          <w:tcPr>
            <w:tcW w:w="560" w:type="pct"/>
            <w:vAlign w:val="center"/>
          </w:tcPr>
          <w:p w:rsidR="00000000" w:rsidRDefault="00000000">
            <w:pPr>
              <w:pStyle w:val="BodyTextIndent"/>
              <w:spacing w:before="60" w:after="0"/>
              <w:ind w:left="0"/>
              <w:jc w:val="right"/>
              <w:rPr>
                <w:sz w:val="20"/>
              </w:rPr>
            </w:pPr>
            <w:r>
              <w:rPr>
                <w:sz w:val="20"/>
              </w:rPr>
              <w:t>31,5</w:t>
            </w:r>
          </w:p>
        </w:tc>
        <w:tc>
          <w:tcPr>
            <w:tcW w:w="718" w:type="pct"/>
            <w:vAlign w:val="center"/>
          </w:tcPr>
          <w:p w:rsidR="00000000" w:rsidRDefault="00000000">
            <w:pPr>
              <w:pStyle w:val="BodyTextIndent"/>
              <w:spacing w:before="60" w:after="0"/>
              <w:ind w:left="0"/>
              <w:jc w:val="right"/>
              <w:rPr>
                <w:sz w:val="20"/>
              </w:rPr>
            </w:pPr>
            <w:r>
              <w:rPr>
                <w:sz w:val="20"/>
              </w:rPr>
              <w:t>57,9</w:t>
            </w:r>
          </w:p>
        </w:tc>
        <w:tc>
          <w:tcPr>
            <w:tcW w:w="560" w:type="pct"/>
            <w:vAlign w:val="center"/>
          </w:tcPr>
          <w:p w:rsidR="00000000" w:rsidRDefault="00000000">
            <w:pPr>
              <w:pStyle w:val="BodyTextIndent"/>
              <w:spacing w:before="60" w:after="0"/>
              <w:ind w:left="0"/>
              <w:jc w:val="right"/>
              <w:rPr>
                <w:sz w:val="20"/>
              </w:rPr>
            </w:pPr>
            <w:r>
              <w:rPr>
                <w:sz w:val="20"/>
              </w:rPr>
              <w:t>3,0</w:t>
            </w:r>
          </w:p>
        </w:tc>
        <w:tc>
          <w:tcPr>
            <w:tcW w:w="718" w:type="pct"/>
            <w:vAlign w:val="center"/>
          </w:tcPr>
          <w:p w:rsidR="00000000" w:rsidRDefault="00000000">
            <w:pPr>
              <w:pStyle w:val="BodyTextIndent"/>
              <w:spacing w:before="60" w:after="0"/>
              <w:ind w:left="0"/>
              <w:jc w:val="right"/>
              <w:rPr>
                <w:sz w:val="20"/>
              </w:rPr>
            </w:pPr>
            <w:r>
              <w:rPr>
                <w:sz w:val="20"/>
              </w:rPr>
              <w:t>52,7</w:t>
            </w:r>
          </w:p>
        </w:tc>
        <w:tc>
          <w:tcPr>
            <w:tcW w:w="560" w:type="pct"/>
            <w:vAlign w:val="center"/>
          </w:tcPr>
          <w:p w:rsidR="00000000" w:rsidRDefault="00000000">
            <w:pPr>
              <w:pStyle w:val="BodyTextIndent"/>
              <w:spacing w:before="60" w:after="0"/>
              <w:ind w:left="0"/>
              <w:jc w:val="right"/>
              <w:rPr>
                <w:sz w:val="20"/>
              </w:rPr>
            </w:pPr>
            <w:r>
              <w:rPr>
                <w:sz w:val="20"/>
              </w:rPr>
              <w:t>74,0</w:t>
            </w:r>
          </w:p>
        </w:tc>
        <w:tc>
          <w:tcPr>
            <w:tcW w:w="717" w:type="pct"/>
            <w:vAlign w:val="center"/>
          </w:tcPr>
          <w:p w:rsidR="00000000" w:rsidRDefault="00000000">
            <w:pPr>
              <w:pStyle w:val="BodyTextIndent"/>
              <w:spacing w:before="60" w:after="0"/>
              <w:ind w:left="0"/>
              <w:jc w:val="right"/>
              <w:rPr>
                <w:sz w:val="20"/>
              </w:rPr>
            </w:pPr>
            <w:r>
              <w:rPr>
                <w:sz w:val="20"/>
              </w:rPr>
              <w:t>22,5</w:t>
            </w:r>
          </w:p>
        </w:tc>
      </w:tr>
      <w:tr w:rsidR="00000000">
        <w:tblPrEx>
          <w:tblCellMar>
            <w:top w:w="0" w:type="dxa"/>
            <w:bottom w:w="0" w:type="dxa"/>
          </w:tblCellMar>
        </w:tblPrEx>
        <w:trPr>
          <w:jc w:val="center"/>
        </w:trPr>
        <w:tc>
          <w:tcPr>
            <w:tcW w:w="1167" w:type="pct"/>
            <w:vAlign w:val="center"/>
          </w:tcPr>
          <w:p w:rsidR="00000000" w:rsidRDefault="00000000">
            <w:pPr>
              <w:pStyle w:val="BodyTextIndent"/>
              <w:spacing w:before="60" w:after="0"/>
              <w:ind w:left="0"/>
              <w:rPr>
                <w:b/>
                <w:bCs/>
                <w:sz w:val="20"/>
                <w:lang w:val="ru-RU"/>
              </w:rPr>
            </w:pPr>
            <w:r>
              <w:rPr>
                <w:b/>
                <w:bCs/>
                <w:sz w:val="20"/>
                <w:lang w:val="ru-RU"/>
              </w:rPr>
              <w:t>Туалеты, соединенные с системой канализации</w:t>
            </w:r>
          </w:p>
        </w:tc>
        <w:tc>
          <w:tcPr>
            <w:tcW w:w="560" w:type="pct"/>
            <w:vAlign w:val="center"/>
          </w:tcPr>
          <w:p w:rsidR="00000000" w:rsidRDefault="00000000">
            <w:pPr>
              <w:pStyle w:val="BodyTextIndent"/>
              <w:spacing w:before="60" w:after="0"/>
              <w:ind w:left="0"/>
              <w:jc w:val="right"/>
              <w:rPr>
                <w:sz w:val="20"/>
              </w:rPr>
            </w:pPr>
            <w:r>
              <w:rPr>
                <w:sz w:val="20"/>
              </w:rPr>
              <w:t>7,7</w:t>
            </w:r>
          </w:p>
        </w:tc>
        <w:tc>
          <w:tcPr>
            <w:tcW w:w="718" w:type="pct"/>
            <w:vAlign w:val="center"/>
          </w:tcPr>
          <w:p w:rsidR="00000000" w:rsidRDefault="00000000">
            <w:pPr>
              <w:pStyle w:val="BodyTextIndent"/>
              <w:spacing w:before="60" w:after="0"/>
              <w:ind w:left="0"/>
              <w:jc w:val="right"/>
              <w:rPr>
                <w:sz w:val="20"/>
              </w:rPr>
            </w:pPr>
            <w:r>
              <w:rPr>
                <w:sz w:val="20"/>
              </w:rPr>
              <w:t>14,8</w:t>
            </w:r>
          </w:p>
        </w:tc>
        <w:tc>
          <w:tcPr>
            <w:tcW w:w="560" w:type="pct"/>
            <w:vAlign w:val="center"/>
          </w:tcPr>
          <w:p w:rsidR="00000000" w:rsidRDefault="00000000">
            <w:pPr>
              <w:pStyle w:val="BodyTextIndent"/>
              <w:spacing w:before="60" w:after="0"/>
              <w:ind w:left="0"/>
              <w:jc w:val="right"/>
              <w:rPr>
                <w:sz w:val="20"/>
              </w:rPr>
            </w:pPr>
            <w:r>
              <w:rPr>
                <w:sz w:val="20"/>
              </w:rPr>
              <w:t>0,0</w:t>
            </w:r>
          </w:p>
        </w:tc>
        <w:tc>
          <w:tcPr>
            <w:tcW w:w="718" w:type="pct"/>
            <w:vAlign w:val="center"/>
          </w:tcPr>
          <w:p w:rsidR="00000000" w:rsidRDefault="00000000">
            <w:pPr>
              <w:pStyle w:val="BodyTextIndent"/>
              <w:spacing w:before="60" w:after="0"/>
              <w:ind w:left="0"/>
              <w:jc w:val="right"/>
              <w:rPr>
                <w:sz w:val="20"/>
              </w:rPr>
            </w:pPr>
            <w:r>
              <w:rPr>
                <w:sz w:val="20"/>
              </w:rPr>
              <w:t>9,4</w:t>
            </w:r>
          </w:p>
        </w:tc>
        <w:tc>
          <w:tcPr>
            <w:tcW w:w="560" w:type="pct"/>
            <w:vAlign w:val="center"/>
          </w:tcPr>
          <w:p w:rsidR="00000000" w:rsidRDefault="00000000">
            <w:pPr>
              <w:pStyle w:val="BodyTextIndent"/>
              <w:spacing w:before="60" w:after="0"/>
              <w:ind w:left="0"/>
              <w:jc w:val="right"/>
              <w:rPr>
                <w:sz w:val="20"/>
              </w:rPr>
            </w:pPr>
            <w:r>
              <w:rPr>
                <w:sz w:val="20"/>
              </w:rPr>
              <w:t>16,1</w:t>
            </w:r>
          </w:p>
        </w:tc>
        <w:tc>
          <w:tcPr>
            <w:tcW w:w="717" w:type="pct"/>
            <w:vAlign w:val="center"/>
          </w:tcPr>
          <w:p w:rsidR="00000000" w:rsidRDefault="00000000">
            <w:pPr>
              <w:pStyle w:val="BodyTextIndent"/>
              <w:spacing w:before="60" w:after="0"/>
              <w:ind w:left="0"/>
              <w:jc w:val="right"/>
              <w:rPr>
                <w:sz w:val="20"/>
              </w:rPr>
            </w:pPr>
            <w:r>
              <w:rPr>
                <w:sz w:val="20"/>
              </w:rPr>
              <w:t>0,0</w:t>
            </w:r>
          </w:p>
        </w:tc>
      </w:tr>
      <w:tr w:rsidR="00000000">
        <w:tblPrEx>
          <w:tblCellMar>
            <w:top w:w="0" w:type="dxa"/>
            <w:bottom w:w="0" w:type="dxa"/>
          </w:tblCellMar>
        </w:tblPrEx>
        <w:trPr>
          <w:jc w:val="center"/>
        </w:trPr>
        <w:tc>
          <w:tcPr>
            <w:tcW w:w="1167" w:type="pct"/>
            <w:vAlign w:val="center"/>
          </w:tcPr>
          <w:p w:rsidR="00000000" w:rsidRDefault="00000000">
            <w:pPr>
              <w:pStyle w:val="BodyTextIndent"/>
              <w:spacing w:before="60" w:after="0"/>
              <w:ind w:left="0"/>
              <w:rPr>
                <w:b/>
                <w:bCs/>
                <w:sz w:val="20"/>
                <w:lang w:val="ru-RU"/>
              </w:rPr>
            </w:pPr>
            <w:r>
              <w:rPr>
                <w:b/>
                <w:bCs/>
                <w:sz w:val="20"/>
                <w:lang w:val="ru-RU"/>
              </w:rPr>
              <w:t>Туалеты, не соединенные с системой канализации</w:t>
            </w:r>
          </w:p>
        </w:tc>
        <w:tc>
          <w:tcPr>
            <w:tcW w:w="560" w:type="pct"/>
            <w:vAlign w:val="center"/>
          </w:tcPr>
          <w:p w:rsidR="00000000" w:rsidRDefault="00000000">
            <w:pPr>
              <w:pStyle w:val="BodyTextIndent"/>
              <w:spacing w:before="60" w:after="0"/>
              <w:ind w:left="0"/>
              <w:jc w:val="right"/>
              <w:rPr>
                <w:sz w:val="20"/>
              </w:rPr>
            </w:pPr>
            <w:r>
              <w:rPr>
                <w:sz w:val="20"/>
              </w:rPr>
              <w:t>27,0</w:t>
            </w:r>
          </w:p>
        </w:tc>
        <w:tc>
          <w:tcPr>
            <w:tcW w:w="718" w:type="pct"/>
            <w:vAlign w:val="center"/>
          </w:tcPr>
          <w:p w:rsidR="00000000" w:rsidRDefault="00000000">
            <w:pPr>
              <w:pStyle w:val="BodyTextIndent"/>
              <w:spacing w:before="60" w:after="0"/>
              <w:ind w:left="0"/>
              <w:jc w:val="right"/>
              <w:rPr>
                <w:sz w:val="20"/>
              </w:rPr>
            </w:pPr>
            <w:r>
              <w:rPr>
                <w:sz w:val="20"/>
              </w:rPr>
              <w:t>44,8</w:t>
            </w:r>
          </w:p>
        </w:tc>
        <w:tc>
          <w:tcPr>
            <w:tcW w:w="560" w:type="pct"/>
            <w:vAlign w:val="center"/>
          </w:tcPr>
          <w:p w:rsidR="00000000" w:rsidRDefault="00000000">
            <w:pPr>
              <w:pStyle w:val="BodyTextIndent"/>
              <w:spacing w:before="60" w:after="0"/>
              <w:ind w:left="0"/>
              <w:jc w:val="right"/>
              <w:rPr>
                <w:sz w:val="20"/>
              </w:rPr>
            </w:pPr>
            <w:r>
              <w:rPr>
                <w:sz w:val="20"/>
              </w:rPr>
              <w:t>7,8</w:t>
            </w:r>
          </w:p>
        </w:tc>
        <w:tc>
          <w:tcPr>
            <w:tcW w:w="718" w:type="pct"/>
            <w:vAlign w:val="center"/>
          </w:tcPr>
          <w:p w:rsidR="00000000" w:rsidRDefault="00000000">
            <w:pPr>
              <w:pStyle w:val="BodyTextIndent"/>
              <w:spacing w:before="60" w:after="0"/>
              <w:ind w:left="0"/>
              <w:jc w:val="right"/>
              <w:rPr>
                <w:sz w:val="20"/>
              </w:rPr>
            </w:pPr>
            <w:r>
              <w:rPr>
                <w:sz w:val="20"/>
              </w:rPr>
              <w:t>53,6</w:t>
            </w:r>
          </w:p>
        </w:tc>
        <w:tc>
          <w:tcPr>
            <w:tcW w:w="560" w:type="pct"/>
            <w:vAlign w:val="center"/>
          </w:tcPr>
          <w:p w:rsidR="00000000" w:rsidRDefault="00000000">
            <w:pPr>
              <w:pStyle w:val="BodyTextIndent"/>
              <w:spacing w:before="60" w:after="0"/>
              <w:ind w:left="0"/>
              <w:jc w:val="right"/>
              <w:rPr>
                <w:sz w:val="20"/>
              </w:rPr>
            </w:pPr>
            <w:r>
              <w:rPr>
                <w:sz w:val="20"/>
              </w:rPr>
              <w:t>70,0</w:t>
            </w:r>
          </w:p>
        </w:tc>
        <w:tc>
          <w:tcPr>
            <w:tcW w:w="717" w:type="pct"/>
            <w:vAlign w:val="center"/>
          </w:tcPr>
          <w:p w:rsidR="00000000" w:rsidRDefault="00000000">
            <w:pPr>
              <w:pStyle w:val="BodyTextIndent"/>
              <w:spacing w:before="60" w:after="0"/>
              <w:ind w:left="0"/>
              <w:jc w:val="right"/>
              <w:rPr>
                <w:sz w:val="20"/>
              </w:rPr>
            </w:pPr>
            <w:r>
              <w:rPr>
                <w:sz w:val="20"/>
              </w:rPr>
              <w:t>30,2</w:t>
            </w:r>
          </w:p>
        </w:tc>
      </w:tr>
      <w:tr w:rsidR="00000000">
        <w:tblPrEx>
          <w:tblCellMar>
            <w:top w:w="0" w:type="dxa"/>
            <w:bottom w:w="0" w:type="dxa"/>
          </w:tblCellMar>
        </w:tblPrEx>
        <w:trPr>
          <w:jc w:val="center"/>
        </w:trPr>
        <w:tc>
          <w:tcPr>
            <w:tcW w:w="1167" w:type="pct"/>
            <w:vAlign w:val="center"/>
          </w:tcPr>
          <w:p w:rsidR="00000000" w:rsidRDefault="00000000">
            <w:pPr>
              <w:pStyle w:val="BodyTextIndent"/>
              <w:spacing w:before="60" w:after="0"/>
              <w:ind w:left="0"/>
              <w:rPr>
                <w:b/>
                <w:bCs/>
                <w:sz w:val="20"/>
                <w:lang w:val="ru-RU"/>
              </w:rPr>
            </w:pPr>
            <w:r>
              <w:rPr>
                <w:b/>
                <w:bCs/>
                <w:sz w:val="20"/>
                <w:lang w:val="ru-RU"/>
              </w:rPr>
              <w:t>Уборка мусора</w:t>
            </w:r>
          </w:p>
        </w:tc>
        <w:tc>
          <w:tcPr>
            <w:tcW w:w="560" w:type="pct"/>
            <w:vAlign w:val="center"/>
          </w:tcPr>
          <w:p w:rsidR="00000000" w:rsidRDefault="00000000">
            <w:pPr>
              <w:pStyle w:val="BodyTextIndent"/>
              <w:spacing w:before="60" w:after="0"/>
              <w:ind w:left="0"/>
              <w:jc w:val="right"/>
              <w:rPr>
                <w:sz w:val="20"/>
              </w:rPr>
            </w:pPr>
            <w:r>
              <w:rPr>
                <w:sz w:val="20"/>
              </w:rPr>
              <w:t>21,2</w:t>
            </w:r>
          </w:p>
        </w:tc>
        <w:tc>
          <w:tcPr>
            <w:tcW w:w="718" w:type="pct"/>
            <w:vAlign w:val="center"/>
          </w:tcPr>
          <w:p w:rsidR="00000000" w:rsidRDefault="00000000">
            <w:pPr>
              <w:pStyle w:val="BodyTextIndent"/>
              <w:spacing w:before="60" w:after="0"/>
              <w:ind w:left="0"/>
              <w:jc w:val="right"/>
              <w:rPr>
                <w:sz w:val="20"/>
              </w:rPr>
            </w:pPr>
            <w:r>
              <w:rPr>
                <w:sz w:val="20"/>
              </w:rPr>
              <w:t>40,9</w:t>
            </w:r>
          </w:p>
        </w:tc>
        <w:tc>
          <w:tcPr>
            <w:tcW w:w="560" w:type="pct"/>
            <w:vAlign w:val="center"/>
          </w:tcPr>
          <w:p w:rsidR="00000000" w:rsidRDefault="00000000">
            <w:pPr>
              <w:pStyle w:val="BodyTextIndent"/>
              <w:spacing w:before="60" w:after="0"/>
              <w:ind w:left="0"/>
              <w:jc w:val="right"/>
              <w:rPr>
                <w:sz w:val="20"/>
              </w:rPr>
            </w:pPr>
            <w:r>
              <w:rPr>
                <w:sz w:val="20"/>
              </w:rPr>
              <w:t>0,1</w:t>
            </w:r>
          </w:p>
        </w:tc>
        <w:tc>
          <w:tcPr>
            <w:tcW w:w="718" w:type="pct"/>
            <w:vAlign w:val="center"/>
          </w:tcPr>
          <w:p w:rsidR="00000000" w:rsidRDefault="00000000">
            <w:pPr>
              <w:pStyle w:val="BodyTextIndent"/>
              <w:spacing w:before="60" w:after="0"/>
              <w:ind w:left="0"/>
              <w:jc w:val="right"/>
              <w:rPr>
                <w:sz w:val="20"/>
              </w:rPr>
            </w:pPr>
            <w:r>
              <w:rPr>
                <w:sz w:val="20"/>
              </w:rPr>
              <w:t>33,6</w:t>
            </w:r>
          </w:p>
        </w:tc>
        <w:tc>
          <w:tcPr>
            <w:tcW w:w="560" w:type="pct"/>
            <w:vAlign w:val="center"/>
          </w:tcPr>
          <w:p w:rsidR="00000000" w:rsidRDefault="00000000">
            <w:pPr>
              <w:pStyle w:val="BodyTextIndent"/>
              <w:spacing w:before="60" w:after="0"/>
              <w:ind w:left="0"/>
              <w:jc w:val="right"/>
              <w:rPr>
                <w:sz w:val="20"/>
              </w:rPr>
            </w:pPr>
            <w:r>
              <w:rPr>
                <w:sz w:val="20"/>
              </w:rPr>
              <w:t>55,6</w:t>
            </w:r>
          </w:p>
        </w:tc>
        <w:tc>
          <w:tcPr>
            <w:tcW w:w="717" w:type="pct"/>
            <w:vAlign w:val="center"/>
          </w:tcPr>
          <w:p w:rsidR="00000000" w:rsidRDefault="00000000">
            <w:pPr>
              <w:pStyle w:val="BodyTextIndent"/>
              <w:spacing w:before="60" w:after="0"/>
              <w:ind w:left="0"/>
              <w:jc w:val="right"/>
              <w:rPr>
                <w:sz w:val="20"/>
              </w:rPr>
            </w:pPr>
            <w:r>
              <w:rPr>
                <w:sz w:val="20"/>
              </w:rPr>
              <w:t>2,5</w:t>
            </w:r>
          </w:p>
        </w:tc>
      </w:tr>
    </w:tbl>
    <w:p w:rsidR="00000000" w:rsidRDefault="00000000">
      <w:pPr>
        <w:autoSpaceDE w:val="0"/>
        <w:autoSpaceDN w:val="0"/>
        <w:adjustRightInd w:val="0"/>
        <w:spacing w:line="216" w:lineRule="auto"/>
        <w:rPr>
          <w:i/>
          <w:iCs/>
          <w:sz w:val="16"/>
        </w:rPr>
      </w:pPr>
    </w:p>
    <w:p w:rsidR="00000000" w:rsidRDefault="00000000">
      <w:pPr>
        <w:autoSpaceDE w:val="0"/>
        <w:autoSpaceDN w:val="0"/>
        <w:adjustRightInd w:val="0"/>
        <w:spacing w:line="216" w:lineRule="auto"/>
      </w:pPr>
      <w:r>
        <w:rPr>
          <w:i/>
          <w:iCs/>
        </w:rPr>
        <w:t>Источник</w:t>
      </w:r>
      <w:r>
        <w:t>:  Окончательные результаты по Парагваю.  Перечень населения и жилого фонда в стране 2002 года.</w:t>
      </w:r>
    </w:p>
    <w:p w:rsidR="00000000" w:rsidRDefault="00000000">
      <w:pPr>
        <w:autoSpaceDE w:val="0"/>
        <w:autoSpaceDN w:val="0"/>
        <w:adjustRightInd w:val="0"/>
        <w:spacing w:line="216" w:lineRule="auto"/>
        <w:rPr>
          <w:sz w:val="16"/>
        </w:rPr>
      </w:pPr>
    </w:p>
    <w:p w:rsidR="00000000" w:rsidRDefault="00000000">
      <w:pPr>
        <w:autoSpaceDE w:val="0"/>
        <w:autoSpaceDN w:val="0"/>
        <w:adjustRightInd w:val="0"/>
        <w:spacing w:line="216" w:lineRule="auto"/>
      </w:pPr>
      <w:r>
        <w:rPr>
          <w:b/>
          <w:bCs/>
          <w:vertAlign w:val="superscript"/>
        </w:rPr>
        <w:t>*</w:t>
      </w:r>
      <w:r>
        <w:t xml:space="preserve"> </w:t>
      </w:r>
      <w:r>
        <w:tab/>
        <w:t>Включая коммунальную (ЕССАП/СЕНАСА) и частную сети.</w:t>
      </w:r>
    </w:p>
    <w:p w:rsidR="00000000" w:rsidRDefault="00000000">
      <w:pPr>
        <w:autoSpaceDE w:val="0"/>
        <w:autoSpaceDN w:val="0"/>
        <w:adjustRightInd w:val="0"/>
        <w:spacing w:line="216" w:lineRule="auto"/>
        <w:jc w:val="center"/>
        <w:rPr>
          <w:b/>
          <w:bCs/>
        </w:rPr>
      </w:pPr>
      <w:r>
        <w:rPr>
          <w:b/>
          <w:bCs/>
        </w:rPr>
        <w:t>График 1</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noProof/>
          <w:lang w:val="en-US" w:eastAsia="es-ES"/>
        </w:rPr>
      </w:pPr>
      <w:r>
        <w:rPr>
          <w:b/>
          <w:bCs/>
          <w:noProof/>
          <w:lang w:eastAsia="es-ES"/>
        </w:rPr>
        <w:t>Индивидуальное жилье, имеющее электричество и водопровод</w:t>
      </w:r>
    </w:p>
    <w:p w:rsidR="00000000" w:rsidRDefault="00000000">
      <w:pPr>
        <w:autoSpaceDE w:val="0"/>
        <w:autoSpaceDN w:val="0"/>
        <w:adjustRightInd w:val="0"/>
        <w:jc w:val="center"/>
        <w:rPr>
          <w:b/>
          <w:bCs/>
          <w:noProof/>
          <w:lang w:val="en-US" w:eastAsia="es-ES"/>
        </w:rPr>
      </w:pPr>
    </w:p>
    <w:p w:rsidR="00000000" w:rsidRDefault="00000000">
      <w:pPr>
        <w:autoSpaceDE w:val="0"/>
        <w:autoSpaceDN w:val="0"/>
        <w:adjustRightInd w:val="0"/>
        <w:jc w:val="center"/>
        <w:rPr>
          <w:b/>
          <w:bCs/>
          <w:lang w:val="en-US"/>
        </w:rPr>
      </w:pPr>
    </w:p>
    <w:p w:rsidR="00000000" w:rsidRDefault="00000000">
      <w:pPr>
        <w:autoSpaceDE w:val="0"/>
        <w:autoSpaceDN w:val="0"/>
        <w:adjustRightInd w:val="0"/>
        <w:rPr>
          <w:i/>
          <w:iCs/>
          <w:lang w:val="en-US"/>
        </w:rPr>
      </w:pPr>
      <w:r>
        <w:rPr>
          <w:noProof/>
          <w:sz w:val="20"/>
          <w:lang w:eastAsia="ru-RU"/>
        </w:rPr>
        <w:pict>
          <v:shape id="_x0000_s2074" type="#_x0000_t75" style="position:absolute;margin-left:99pt;margin-top:189.2pt;width:278.05pt;height:161.4pt;z-index:24;visibility:visible;mso-wrap-edited:f;mso-position-vertical-relative:page" wrapcoords="175 502 175 20997 21367 20997 21367 502 175 502" o:allowoverlap="f">
            <v:imagedata r:id="rId62" o:title=""/>
            <w10:wrap type="square" side="right"/>
          </v:shape>
          <o:OLEObject Type="Embed" ProgID="Word.Picture.8" ShapeID="_x0000_s2074" DrawAspect="Content" ObjectID="_1394904884" r:id="rId63"/>
        </w:pict>
      </w:r>
    </w:p>
    <w:p w:rsidR="00000000" w:rsidRDefault="00000000">
      <w:pPr>
        <w:autoSpaceDE w:val="0"/>
        <w:autoSpaceDN w:val="0"/>
        <w:adjustRightInd w:val="0"/>
        <w:rPr>
          <w:i/>
          <w:iCs/>
          <w:lang w:val="en-US"/>
        </w:rPr>
      </w:pPr>
    </w:p>
    <w:p w:rsidR="00000000" w:rsidRDefault="00000000">
      <w:pPr>
        <w:autoSpaceDE w:val="0"/>
        <w:autoSpaceDN w:val="0"/>
        <w:adjustRightInd w:val="0"/>
        <w:rPr>
          <w:i/>
          <w:iCs/>
          <w:lang w:val="en-US"/>
        </w:rPr>
      </w:pPr>
    </w:p>
    <w:p w:rsidR="00000000" w:rsidRDefault="00000000">
      <w:pPr>
        <w:autoSpaceDE w:val="0"/>
        <w:autoSpaceDN w:val="0"/>
        <w:adjustRightInd w:val="0"/>
        <w:rPr>
          <w:i/>
          <w:iCs/>
          <w:lang w:val="en-US"/>
        </w:rPr>
      </w:pPr>
    </w:p>
    <w:p w:rsidR="00000000" w:rsidRDefault="00000000">
      <w:pPr>
        <w:autoSpaceDE w:val="0"/>
        <w:autoSpaceDN w:val="0"/>
        <w:adjustRightInd w:val="0"/>
        <w:rPr>
          <w:i/>
          <w:iCs/>
          <w:lang w:val="en-US"/>
        </w:rPr>
      </w:pPr>
    </w:p>
    <w:p w:rsidR="00000000" w:rsidRDefault="00000000">
      <w:pPr>
        <w:autoSpaceDE w:val="0"/>
        <w:autoSpaceDN w:val="0"/>
        <w:adjustRightInd w:val="0"/>
        <w:rPr>
          <w:i/>
          <w:iCs/>
          <w:lang w:val="en-US"/>
        </w:rPr>
      </w:pPr>
    </w:p>
    <w:p w:rsidR="00000000" w:rsidRDefault="00000000">
      <w:pPr>
        <w:autoSpaceDE w:val="0"/>
        <w:autoSpaceDN w:val="0"/>
        <w:adjustRightInd w:val="0"/>
        <w:rPr>
          <w:i/>
          <w:iCs/>
          <w:lang w:val="en-US"/>
        </w:rPr>
      </w:pPr>
    </w:p>
    <w:p w:rsidR="00000000" w:rsidRDefault="00000000">
      <w:pPr>
        <w:autoSpaceDE w:val="0"/>
        <w:autoSpaceDN w:val="0"/>
        <w:adjustRightInd w:val="0"/>
        <w:rPr>
          <w:i/>
          <w:iCs/>
          <w:lang w:val="en-US"/>
        </w:rPr>
      </w:pPr>
    </w:p>
    <w:p w:rsidR="00000000" w:rsidRDefault="00000000">
      <w:pPr>
        <w:autoSpaceDE w:val="0"/>
        <w:autoSpaceDN w:val="0"/>
        <w:adjustRightInd w:val="0"/>
        <w:rPr>
          <w:i/>
          <w:iCs/>
          <w:lang w:val="en-US"/>
        </w:rPr>
      </w:pPr>
    </w:p>
    <w:p w:rsidR="00000000" w:rsidRDefault="00000000">
      <w:pPr>
        <w:autoSpaceDE w:val="0"/>
        <w:autoSpaceDN w:val="0"/>
        <w:adjustRightInd w:val="0"/>
        <w:rPr>
          <w:i/>
          <w:iCs/>
          <w:lang w:val="en-US"/>
        </w:rPr>
      </w:pPr>
    </w:p>
    <w:p w:rsidR="00000000" w:rsidRDefault="00000000">
      <w:pPr>
        <w:autoSpaceDE w:val="0"/>
        <w:autoSpaceDN w:val="0"/>
        <w:adjustRightInd w:val="0"/>
        <w:rPr>
          <w:i/>
          <w:iCs/>
          <w:lang w:val="en-US"/>
        </w:rPr>
      </w:pPr>
    </w:p>
    <w:p w:rsidR="00000000" w:rsidRDefault="00000000">
      <w:pPr>
        <w:autoSpaceDE w:val="0"/>
        <w:autoSpaceDN w:val="0"/>
        <w:adjustRightInd w:val="0"/>
        <w:spacing w:line="216" w:lineRule="auto"/>
      </w:pPr>
      <w:r>
        <w:rPr>
          <w:noProof/>
          <w:sz w:val="20"/>
          <w:lang w:eastAsia="ru-RU"/>
        </w:rPr>
        <w:pict>
          <v:shape id="_x0000_s2076" type="#_x0000_t202" style="position:absolute;margin-left:243pt;margin-top:156.35pt;width:45pt;height:18pt;z-index:26;mso-position-vertical-relative:page" o:allowoverlap="f">
            <v:textbox style="mso-next-textbox:#_x0000_s2076" inset="0,0,0,0">
              <w:txbxContent>
                <w:p w:rsidR="00000000" w:rsidRDefault="00000000">
                  <w:pPr>
                    <w:jc w:val="center"/>
                    <w:rPr>
                      <w:sz w:val="18"/>
                    </w:rPr>
                  </w:pPr>
                  <w:r>
                    <w:rPr>
                      <w:sz w:val="18"/>
                    </w:rPr>
                    <w:t>2002 год</w:t>
                  </w:r>
                </w:p>
              </w:txbxContent>
            </v:textbox>
            <w10:wrap type="square" side="right"/>
          </v:shape>
        </w:pict>
      </w:r>
      <w:r>
        <w:rPr>
          <w:noProof/>
          <w:sz w:val="20"/>
          <w:lang w:eastAsia="ru-RU"/>
        </w:rPr>
        <w:pict>
          <v:shape id="_x0000_s2075" type="#_x0000_t202" style="position:absolute;margin-left:135pt;margin-top:156.35pt;width:36pt;height:18pt;z-index:25;mso-position-vertical-relative:page" o:allowoverlap="f">
            <v:textbox style="mso-next-textbox:#_x0000_s2075" inset="0,0,0,0">
              <w:txbxContent>
                <w:p w:rsidR="00000000" w:rsidRDefault="00000000">
                  <w:pPr>
                    <w:jc w:val="center"/>
                    <w:rPr>
                      <w:sz w:val="18"/>
                    </w:rPr>
                  </w:pPr>
                  <w:r>
                    <w:rPr>
                      <w:sz w:val="18"/>
                    </w:rPr>
                    <w:t>1992 год</w:t>
                  </w:r>
                </w:p>
              </w:txbxContent>
            </v:textbox>
            <w10:wrap type="square" side="right"/>
          </v:shape>
        </w:pict>
      </w:r>
      <w:r>
        <w:rPr>
          <w:i/>
          <w:iCs/>
        </w:rPr>
        <w:t>Источник</w:t>
      </w:r>
      <w:r>
        <w:t>:  Окончательные результаты по Парагваю.  Перечень населения и жилого фонда в стране 2002 года.</w:t>
      </w:r>
    </w:p>
    <w:p w:rsidR="00000000" w:rsidRDefault="00000000">
      <w:pPr>
        <w:jc w:val="center"/>
      </w:pPr>
    </w:p>
    <w:p w:rsidR="00000000" w:rsidRDefault="00000000">
      <w:pPr>
        <w:spacing w:line="216" w:lineRule="auto"/>
        <w:jc w:val="center"/>
        <w:rPr>
          <w:b/>
          <w:bCs/>
        </w:rPr>
      </w:pPr>
      <w:r>
        <w:rPr>
          <w:b/>
          <w:bCs/>
        </w:rPr>
        <w:t>График 2</w:t>
      </w:r>
    </w:p>
    <w:p w:rsidR="00000000" w:rsidRDefault="00000000">
      <w:pPr>
        <w:spacing w:line="216" w:lineRule="auto"/>
        <w:jc w:val="center"/>
        <w:rPr>
          <w:b/>
          <w:bCs/>
        </w:rPr>
      </w:pPr>
    </w:p>
    <w:p w:rsidR="00000000" w:rsidRDefault="00000000">
      <w:pPr>
        <w:spacing w:line="216" w:lineRule="auto"/>
        <w:jc w:val="center"/>
        <w:rPr>
          <w:b/>
          <w:bCs/>
        </w:rPr>
      </w:pPr>
      <w:r>
        <w:rPr>
          <w:b/>
          <w:bCs/>
        </w:rPr>
        <w:t xml:space="preserve">Индивидуальное жилье с разбивкой по городским и сельским районам </w:t>
      </w:r>
      <w:r>
        <w:rPr>
          <w:b/>
          <w:bCs/>
        </w:rPr>
        <w:br/>
        <w:t>и основным услугам, 2002 год</w:t>
      </w:r>
    </w:p>
    <w:p w:rsidR="00000000" w:rsidRDefault="00000000">
      <w:pPr>
        <w:spacing w:line="216" w:lineRule="auto"/>
        <w:jc w:val="center"/>
        <w:rPr>
          <w:b/>
          <w:bCs/>
        </w:rPr>
      </w:pPr>
    </w:p>
    <w:bookmarkStart w:id="83" w:name="_MON_1239782346"/>
    <w:bookmarkStart w:id="84" w:name="_MON_1239788612"/>
    <w:bookmarkStart w:id="85" w:name="_MON_1246106297"/>
    <w:bookmarkStart w:id="86" w:name="_MON_1246106886"/>
    <w:bookmarkStart w:id="87" w:name="_MON_1246107906"/>
    <w:bookmarkEnd w:id="83"/>
    <w:bookmarkEnd w:id="84"/>
    <w:bookmarkEnd w:id="85"/>
    <w:bookmarkEnd w:id="86"/>
    <w:bookmarkEnd w:id="87"/>
    <w:p w:rsidR="00000000" w:rsidRDefault="00000000">
      <w:r>
        <w:object w:dxaOrig="8834" w:dyaOrig="3778">
          <v:shape id="_x0000_i1040" type="#_x0000_t75" style="width:441.75pt;height:189pt" o:ole="">
            <v:imagedata r:id="rId64" o:title=""/>
          </v:shape>
          <o:OLEObject Type="Embed" ProgID="Word.Picture.8" ShapeID="_x0000_i1040" DrawAspect="Content" ObjectID="_1394904863" r:id="rId65"/>
        </w:object>
      </w:r>
    </w:p>
    <w:p w:rsidR="00000000" w:rsidRDefault="00000000">
      <w:pPr>
        <w:spacing w:line="216" w:lineRule="auto"/>
      </w:pPr>
    </w:p>
    <w:p w:rsidR="00000000" w:rsidRDefault="00000000">
      <w:pPr>
        <w:spacing w:line="216" w:lineRule="auto"/>
      </w:pPr>
      <w:r>
        <w:rPr>
          <w:i/>
          <w:iCs/>
        </w:rPr>
        <w:t xml:space="preserve">Источник:  </w:t>
      </w:r>
      <w:r>
        <w:t>Окончательные результаты по Парагваю.  Перечень населения и жилого фонда в стране 2002 года.</w:t>
      </w:r>
    </w:p>
    <w:p w:rsidR="00000000" w:rsidRDefault="00000000"/>
    <w:p w:rsidR="00000000" w:rsidRDefault="00000000">
      <w:r>
        <w:t>397.</w:t>
      </w:r>
      <w:r>
        <w:tab/>
        <w:t>В целом по стране насчитывается 222 298 единиц жилья, у которого есть проблемы качества.  Из этого количества 48 194 единицы находятся в городских районах, а 174 104 единицы - сельских районах.  В таблице 2 приводятся данные о жилье с проблемами с указанием типа жилья (ранчо, импровизированное жилье, жилье иного типа) и строительных материалов, из которых сделаны внешние стены, пол и потолок.</w:t>
      </w:r>
    </w:p>
    <w:p w:rsidR="00000000" w:rsidRDefault="00000000"/>
    <w:p w:rsidR="00000000" w:rsidRDefault="00000000">
      <w:pPr>
        <w:jc w:val="center"/>
        <w:rPr>
          <w:b/>
          <w:bCs/>
        </w:rPr>
      </w:pPr>
      <w:r>
        <w:rPr>
          <w:b/>
          <w:bCs/>
        </w:rPr>
        <w:t>Таблица 2</w:t>
      </w:r>
    </w:p>
    <w:p w:rsidR="00000000" w:rsidRDefault="00000000">
      <w:pPr>
        <w:jc w:val="center"/>
        <w:rPr>
          <w:b/>
          <w:bCs/>
        </w:rPr>
      </w:pPr>
    </w:p>
    <w:p w:rsidR="00000000" w:rsidRDefault="00000000">
      <w:pPr>
        <w:jc w:val="center"/>
        <w:rPr>
          <w:b/>
          <w:bCs/>
        </w:rPr>
      </w:pPr>
      <w:r>
        <w:rPr>
          <w:b/>
          <w:bCs/>
        </w:rPr>
        <w:t>Индивидуальное жилье с проблемами качества с разбивкой по городским и сельским районам и с указанием типа жилья и строительных материалов, из которых сделаны внешние стены, пол и потолок, 2002 год</w:t>
      </w:r>
    </w:p>
    <w:p w:rsidR="00000000" w:rsidRDefault="00000000">
      <w:pPr>
        <w:jc w:val="center"/>
        <w:rPr>
          <w:b/>
          <w:bCs/>
        </w:rPr>
      </w:pPr>
    </w:p>
    <w:tbl>
      <w:tblPr>
        <w:tblW w:w="9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911"/>
        <w:gridCol w:w="9"/>
        <w:gridCol w:w="1475"/>
        <w:gridCol w:w="9"/>
        <w:gridCol w:w="1051"/>
        <w:gridCol w:w="1838"/>
        <w:gridCol w:w="8"/>
        <w:gridCol w:w="1112"/>
      </w:tblGrid>
      <w:tr w:rsidR="00000000">
        <w:tblPrEx>
          <w:tblCellMar>
            <w:top w:w="0" w:type="dxa"/>
            <w:bottom w:w="0" w:type="dxa"/>
          </w:tblCellMar>
        </w:tblPrEx>
        <w:trPr>
          <w:cantSplit/>
          <w:tblHeader/>
        </w:trPr>
        <w:tc>
          <w:tcPr>
            <w:tcW w:w="3911" w:type="dxa"/>
            <w:vMerge w:val="restart"/>
            <w:vAlign w:val="center"/>
          </w:tcPr>
          <w:p w:rsidR="00000000" w:rsidRDefault="00000000">
            <w:pPr>
              <w:autoSpaceDE w:val="0"/>
              <w:autoSpaceDN w:val="0"/>
              <w:adjustRightInd w:val="0"/>
              <w:spacing w:before="60" w:line="240" w:lineRule="auto"/>
              <w:jc w:val="center"/>
              <w:rPr>
                <w:b/>
                <w:bCs/>
                <w:sz w:val="19"/>
              </w:rPr>
            </w:pPr>
            <w:r>
              <w:rPr>
                <w:b/>
                <w:bCs/>
                <w:iCs/>
                <w:sz w:val="19"/>
              </w:rPr>
              <w:t>Городские и сельские районы и строительные материалы, из которых сделаны внешние стены, пол и потолок</w:t>
            </w:r>
          </w:p>
        </w:tc>
        <w:tc>
          <w:tcPr>
            <w:tcW w:w="5502" w:type="dxa"/>
            <w:gridSpan w:val="7"/>
            <w:vAlign w:val="center"/>
          </w:tcPr>
          <w:p w:rsidR="00000000" w:rsidRDefault="00000000">
            <w:pPr>
              <w:autoSpaceDE w:val="0"/>
              <w:autoSpaceDN w:val="0"/>
              <w:adjustRightInd w:val="0"/>
              <w:spacing w:before="60" w:line="240" w:lineRule="auto"/>
              <w:jc w:val="center"/>
              <w:rPr>
                <w:b/>
                <w:bCs/>
                <w:sz w:val="19"/>
              </w:rPr>
            </w:pPr>
            <w:r>
              <w:rPr>
                <w:b/>
                <w:bCs/>
                <w:iCs/>
                <w:sz w:val="19"/>
              </w:rPr>
              <w:t>Индивидуальное жилье, занятое жильцами</w:t>
            </w:r>
          </w:p>
        </w:tc>
      </w:tr>
      <w:tr w:rsidR="00000000">
        <w:tblPrEx>
          <w:tblCellMar>
            <w:top w:w="0" w:type="dxa"/>
            <w:bottom w:w="0" w:type="dxa"/>
          </w:tblCellMar>
        </w:tblPrEx>
        <w:trPr>
          <w:cantSplit/>
          <w:tblHeader/>
        </w:trPr>
        <w:tc>
          <w:tcPr>
            <w:tcW w:w="3911" w:type="dxa"/>
            <w:vMerge/>
            <w:vAlign w:val="center"/>
          </w:tcPr>
          <w:p w:rsidR="00000000" w:rsidRDefault="00000000">
            <w:pPr>
              <w:autoSpaceDE w:val="0"/>
              <w:autoSpaceDN w:val="0"/>
              <w:adjustRightInd w:val="0"/>
              <w:spacing w:before="60" w:line="240" w:lineRule="auto"/>
              <w:jc w:val="center"/>
              <w:rPr>
                <w:b/>
                <w:bCs/>
                <w:sz w:val="19"/>
              </w:rPr>
            </w:pPr>
          </w:p>
        </w:tc>
        <w:tc>
          <w:tcPr>
            <w:tcW w:w="1484" w:type="dxa"/>
            <w:gridSpan w:val="2"/>
            <w:vMerge w:val="restart"/>
            <w:vAlign w:val="center"/>
          </w:tcPr>
          <w:p w:rsidR="00000000" w:rsidRDefault="00000000">
            <w:pPr>
              <w:autoSpaceDE w:val="0"/>
              <w:autoSpaceDN w:val="0"/>
              <w:adjustRightInd w:val="0"/>
              <w:spacing w:before="60" w:line="240" w:lineRule="auto"/>
              <w:jc w:val="center"/>
              <w:rPr>
                <w:b/>
                <w:bCs/>
                <w:sz w:val="19"/>
              </w:rPr>
            </w:pPr>
            <w:r>
              <w:rPr>
                <w:b/>
                <w:bCs/>
                <w:sz w:val="19"/>
              </w:rPr>
              <w:t>Всего</w:t>
            </w:r>
          </w:p>
        </w:tc>
        <w:tc>
          <w:tcPr>
            <w:tcW w:w="4018" w:type="dxa"/>
            <w:gridSpan w:val="5"/>
            <w:vAlign w:val="center"/>
          </w:tcPr>
          <w:p w:rsidR="00000000" w:rsidRDefault="00000000">
            <w:pPr>
              <w:autoSpaceDE w:val="0"/>
              <w:autoSpaceDN w:val="0"/>
              <w:adjustRightInd w:val="0"/>
              <w:spacing w:before="60" w:line="240" w:lineRule="auto"/>
              <w:jc w:val="center"/>
              <w:rPr>
                <w:b/>
                <w:bCs/>
                <w:sz w:val="19"/>
              </w:rPr>
            </w:pPr>
            <w:r>
              <w:rPr>
                <w:b/>
                <w:bCs/>
                <w:sz w:val="19"/>
              </w:rPr>
              <w:t>Вид жилья</w:t>
            </w:r>
          </w:p>
        </w:tc>
      </w:tr>
      <w:tr w:rsidR="00000000">
        <w:tblPrEx>
          <w:tblCellMar>
            <w:top w:w="0" w:type="dxa"/>
            <w:bottom w:w="0" w:type="dxa"/>
          </w:tblCellMar>
        </w:tblPrEx>
        <w:trPr>
          <w:cantSplit/>
          <w:tblHeader/>
        </w:trPr>
        <w:tc>
          <w:tcPr>
            <w:tcW w:w="3911" w:type="dxa"/>
            <w:vMerge/>
            <w:vAlign w:val="center"/>
          </w:tcPr>
          <w:p w:rsidR="00000000" w:rsidRDefault="00000000">
            <w:pPr>
              <w:autoSpaceDE w:val="0"/>
              <w:autoSpaceDN w:val="0"/>
              <w:adjustRightInd w:val="0"/>
              <w:spacing w:before="60" w:line="240" w:lineRule="auto"/>
              <w:jc w:val="center"/>
              <w:rPr>
                <w:b/>
                <w:bCs/>
                <w:sz w:val="19"/>
              </w:rPr>
            </w:pPr>
          </w:p>
        </w:tc>
        <w:tc>
          <w:tcPr>
            <w:tcW w:w="1484" w:type="dxa"/>
            <w:gridSpan w:val="2"/>
            <w:vMerge/>
            <w:vAlign w:val="center"/>
          </w:tcPr>
          <w:p w:rsidR="00000000" w:rsidRDefault="00000000">
            <w:pPr>
              <w:autoSpaceDE w:val="0"/>
              <w:autoSpaceDN w:val="0"/>
              <w:adjustRightInd w:val="0"/>
              <w:spacing w:before="60" w:line="240" w:lineRule="auto"/>
              <w:jc w:val="center"/>
              <w:rPr>
                <w:b/>
                <w:bCs/>
                <w:sz w:val="19"/>
              </w:rPr>
            </w:pPr>
          </w:p>
        </w:tc>
        <w:tc>
          <w:tcPr>
            <w:tcW w:w="1060" w:type="dxa"/>
            <w:gridSpan w:val="2"/>
            <w:vAlign w:val="center"/>
          </w:tcPr>
          <w:p w:rsidR="00000000" w:rsidRDefault="00000000">
            <w:pPr>
              <w:autoSpaceDE w:val="0"/>
              <w:autoSpaceDN w:val="0"/>
              <w:adjustRightInd w:val="0"/>
              <w:spacing w:before="60" w:line="240" w:lineRule="auto"/>
              <w:jc w:val="center"/>
              <w:rPr>
                <w:b/>
                <w:bCs/>
                <w:sz w:val="19"/>
              </w:rPr>
            </w:pPr>
            <w:r>
              <w:rPr>
                <w:b/>
                <w:bCs/>
                <w:sz w:val="19"/>
              </w:rPr>
              <w:t>Ранчо</w:t>
            </w:r>
          </w:p>
        </w:tc>
        <w:tc>
          <w:tcPr>
            <w:tcW w:w="1838" w:type="dxa"/>
            <w:vAlign w:val="center"/>
          </w:tcPr>
          <w:p w:rsidR="00000000" w:rsidRDefault="00000000">
            <w:pPr>
              <w:autoSpaceDE w:val="0"/>
              <w:autoSpaceDN w:val="0"/>
              <w:adjustRightInd w:val="0"/>
              <w:spacing w:before="60" w:line="240" w:lineRule="auto"/>
              <w:jc w:val="center"/>
              <w:rPr>
                <w:b/>
                <w:bCs/>
                <w:sz w:val="19"/>
              </w:rPr>
            </w:pPr>
            <w:r>
              <w:rPr>
                <w:b/>
                <w:bCs/>
                <w:sz w:val="19"/>
              </w:rPr>
              <w:t>Импровизированное жилье</w:t>
            </w:r>
          </w:p>
        </w:tc>
        <w:tc>
          <w:tcPr>
            <w:tcW w:w="1120" w:type="dxa"/>
            <w:gridSpan w:val="2"/>
            <w:vAlign w:val="center"/>
          </w:tcPr>
          <w:p w:rsidR="00000000" w:rsidRDefault="00000000">
            <w:pPr>
              <w:autoSpaceDE w:val="0"/>
              <w:autoSpaceDN w:val="0"/>
              <w:adjustRightInd w:val="0"/>
              <w:spacing w:before="60" w:line="240" w:lineRule="auto"/>
              <w:jc w:val="center"/>
              <w:rPr>
                <w:b/>
                <w:bCs/>
                <w:sz w:val="19"/>
              </w:rPr>
            </w:pPr>
            <w:r>
              <w:rPr>
                <w:b/>
                <w:bCs/>
                <w:sz w:val="19"/>
              </w:rPr>
              <w:t>Жилье иного типа</w:t>
            </w:r>
          </w:p>
        </w:tc>
      </w:tr>
      <w:tr w:rsidR="00000000">
        <w:tblPrEx>
          <w:tblCellMar>
            <w:top w:w="0" w:type="dxa"/>
            <w:bottom w:w="0" w:type="dxa"/>
          </w:tblCellMar>
        </w:tblPrEx>
        <w:trPr>
          <w:cantSplit/>
        </w:trPr>
        <w:tc>
          <w:tcPr>
            <w:tcW w:w="3911" w:type="dxa"/>
          </w:tcPr>
          <w:p w:rsidR="00000000" w:rsidRDefault="00000000">
            <w:pPr>
              <w:pStyle w:val="BodyTextIndent"/>
              <w:spacing w:before="60" w:after="0"/>
              <w:ind w:left="0"/>
              <w:rPr>
                <w:b/>
                <w:bCs/>
                <w:sz w:val="19"/>
              </w:rPr>
            </w:pPr>
            <w:r>
              <w:rPr>
                <w:b/>
                <w:bCs/>
                <w:sz w:val="19"/>
                <w:lang w:val="ru-RU"/>
              </w:rPr>
              <w:t>Всего по стране</w:t>
            </w:r>
          </w:p>
        </w:tc>
        <w:tc>
          <w:tcPr>
            <w:tcW w:w="1484" w:type="dxa"/>
            <w:gridSpan w:val="2"/>
          </w:tcPr>
          <w:p w:rsidR="00000000" w:rsidRDefault="00000000">
            <w:pPr>
              <w:pStyle w:val="BodyTextIndent"/>
              <w:tabs>
                <w:tab w:val="decimal" w:pos="1010"/>
              </w:tabs>
              <w:spacing w:before="60" w:after="0"/>
              <w:ind w:left="0"/>
              <w:rPr>
                <w:b/>
                <w:bCs/>
                <w:sz w:val="19"/>
              </w:rPr>
            </w:pPr>
          </w:p>
        </w:tc>
        <w:tc>
          <w:tcPr>
            <w:tcW w:w="1060" w:type="dxa"/>
            <w:gridSpan w:val="2"/>
          </w:tcPr>
          <w:p w:rsidR="00000000" w:rsidRDefault="00000000">
            <w:pPr>
              <w:pStyle w:val="BodyTextIndent"/>
              <w:tabs>
                <w:tab w:val="decimal" w:pos="834"/>
              </w:tabs>
              <w:spacing w:before="60" w:after="0"/>
              <w:ind w:left="0"/>
              <w:rPr>
                <w:b/>
                <w:bCs/>
                <w:sz w:val="19"/>
              </w:rPr>
            </w:pPr>
          </w:p>
        </w:tc>
        <w:tc>
          <w:tcPr>
            <w:tcW w:w="1838" w:type="dxa"/>
          </w:tcPr>
          <w:p w:rsidR="00000000" w:rsidRDefault="00000000">
            <w:pPr>
              <w:pStyle w:val="BodyTextIndent"/>
              <w:tabs>
                <w:tab w:val="decimal" w:pos="1010"/>
              </w:tabs>
              <w:spacing w:before="60" w:after="0"/>
              <w:ind w:left="0"/>
              <w:rPr>
                <w:b/>
                <w:bCs/>
                <w:sz w:val="19"/>
              </w:rPr>
            </w:pPr>
          </w:p>
        </w:tc>
        <w:tc>
          <w:tcPr>
            <w:tcW w:w="1120" w:type="dxa"/>
            <w:gridSpan w:val="2"/>
          </w:tcPr>
          <w:p w:rsidR="00000000" w:rsidRDefault="00000000">
            <w:pPr>
              <w:pStyle w:val="BodyTextIndent"/>
              <w:tabs>
                <w:tab w:val="decimal" w:pos="835"/>
              </w:tabs>
              <w:spacing w:before="60" w:after="0"/>
              <w:ind w:left="0"/>
              <w:rPr>
                <w:b/>
                <w:bCs/>
                <w:sz w:val="19"/>
              </w:rPr>
            </w:pPr>
          </w:p>
        </w:tc>
      </w:tr>
      <w:tr w:rsidR="00000000">
        <w:tblPrEx>
          <w:tblCellMar>
            <w:top w:w="0" w:type="dxa"/>
            <w:bottom w:w="0" w:type="dxa"/>
          </w:tblCellMar>
        </w:tblPrEx>
        <w:trPr>
          <w:cantSplit/>
        </w:trPr>
        <w:tc>
          <w:tcPr>
            <w:tcW w:w="3911" w:type="dxa"/>
          </w:tcPr>
          <w:p w:rsidR="00000000" w:rsidRDefault="00000000">
            <w:pPr>
              <w:pStyle w:val="BodyTextIndent"/>
              <w:spacing w:before="60" w:after="0"/>
              <w:ind w:left="0"/>
              <w:rPr>
                <w:sz w:val="19"/>
                <w:lang w:val="ru-RU"/>
              </w:rPr>
            </w:pPr>
            <w:r>
              <w:rPr>
                <w:sz w:val="19"/>
                <w:lang w:val="ru-RU"/>
              </w:rPr>
              <w:t>Общее количество единиц жилья</w:t>
            </w:r>
          </w:p>
        </w:tc>
        <w:tc>
          <w:tcPr>
            <w:tcW w:w="1484" w:type="dxa"/>
            <w:gridSpan w:val="2"/>
          </w:tcPr>
          <w:p w:rsidR="00000000" w:rsidRDefault="00000000">
            <w:pPr>
              <w:pStyle w:val="BodyTextIndent"/>
              <w:tabs>
                <w:tab w:val="decimal" w:pos="1257"/>
              </w:tabs>
              <w:spacing w:before="60" w:after="0"/>
              <w:ind w:left="0" w:right="170"/>
              <w:rPr>
                <w:sz w:val="19"/>
              </w:rPr>
            </w:pPr>
            <w:r>
              <w:rPr>
                <w:sz w:val="19"/>
              </w:rPr>
              <w:t>222 298</w:t>
            </w:r>
          </w:p>
        </w:tc>
        <w:tc>
          <w:tcPr>
            <w:tcW w:w="1060" w:type="dxa"/>
            <w:gridSpan w:val="2"/>
          </w:tcPr>
          <w:p w:rsidR="00000000" w:rsidRDefault="00000000">
            <w:pPr>
              <w:pStyle w:val="BodyTextIndent"/>
              <w:tabs>
                <w:tab w:val="decimal" w:pos="834"/>
              </w:tabs>
              <w:spacing w:before="60" w:after="0"/>
              <w:ind w:left="0" w:right="170"/>
              <w:rPr>
                <w:sz w:val="19"/>
              </w:rPr>
            </w:pPr>
            <w:r>
              <w:rPr>
                <w:sz w:val="19"/>
              </w:rPr>
              <w:t>216 251</w:t>
            </w:r>
          </w:p>
        </w:tc>
        <w:tc>
          <w:tcPr>
            <w:tcW w:w="1838" w:type="dxa"/>
          </w:tcPr>
          <w:p w:rsidR="00000000" w:rsidRDefault="00000000">
            <w:pPr>
              <w:pStyle w:val="BodyTextIndent"/>
              <w:tabs>
                <w:tab w:val="decimal" w:pos="1010"/>
              </w:tabs>
              <w:spacing w:before="60" w:after="0"/>
              <w:ind w:left="0" w:right="227"/>
              <w:rPr>
                <w:sz w:val="19"/>
              </w:rPr>
            </w:pPr>
            <w:r>
              <w:rPr>
                <w:sz w:val="19"/>
              </w:rPr>
              <w:t>2 091</w:t>
            </w:r>
          </w:p>
        </w:tc>
        <w:tc>
          <w:tcPr>
            <w:tcW w:w="1120" w:type="dxa"/>
            <w:gridSpan w:val="2"/>
          </w:tcPr>
          <w:p w:rsidR="00000000" w:rsidRDefault="00000000">
            <w:pPr>
              <w:pStyle w:val="BodyTextIndent"/>
              <w:tabs>
                <w:tab w:val="decimal" w:pos="835"/>
              </w:tabs>
              <w:spacing w:before="60" w:after="0"/>
              <w:ind w:left="0" w:right="227"/>
              <w:rPr>
                <w:sz w:val="19"/>
              </w:rPr>
            </w:pPr>
            <w:r>
              <w:rPr>
                <w:sz w:val="19"/>
              </w:rPr>
              <w:t>3 956</w:t>
            </w:r>
          </w:p>
        </w:tc>
      </w:tr>
      <w:tr w:rsidR="00000000">
        <w:tblPrEx>
          <w:tblCellMar>
            <w:top w:w="0" w:type="dxa"/>
            <w:bottom w:w="0" w:type="dxa"/>
          </w:tblCellMar>
        </w:tblPrEx>
        <w:trPr>
          <w:cantSplit/>
        </w:trPr>
        <w:tc>
          <w:tcPr>
            <w:tcW w:w="3911" w:type="dxa"/>
          </w:tcPr>
          <w:p w:rsidR="00000000" w:rsidRDefault="00000000">
            <w:pPr>
              <w:pStyle w:val="BodyTextIndent"/>
              <w:tabs>
                <w:tab w:val="left" w:pos="374"/>
              </w:tabs>
              <w:spacing w:before="60" w:after="0"/>
              <w:ind w:left="0"/>
              <w:rPr>
                <w:sz w:val="19"/>
                <w:lang w:val="ru-RU"/>
              </w:rPr>
            </w:pPr>
            <w:r>
              <w:rPr>
                <w:sz w:val="19"/>
              </w:rPr>
              <w:t>A.</w:t>
            </w:r>
            <w:r>
              <w:rPr>
                <w:sz w:val="19"/>
                <w:lang w:val="ru-RU"/>
              </w:rPr>
              <w:tab/>
              <w:t>Внешние стены</w:t>
            </w:r>
          </w:p>
        </w:tc>
        <w:tc>
          <w:tcPr>
            <w:tcW w:w="1484" w:type="dxa"/>
            <w:gridSpan w:val="2"/>
          </w:tcPr>
          <w:p w:rsidR="00000000" w:rsidRDefault="00000000">
            <w:pPr>
              <w:pStyle w:val="BodyTextIndent"/>
              <w:tabs>
                <w:tab w:val="decimal" w:pos="1257"/>
              </w:tabs>
              <w:spacing w:before="60" w:after="0"/>
              <w:ind w:left="0" w:right="170"/>
              <w:rPr>
                <w:sz w:val="19"/>
              </w:rPr>
            </w:pPr>
          </w:p>
        </w:tc>
        <w:tc>
          <w:tcPr>
            <w:tcW w:w="1060" w:type="dxa"/>
            <w:gridSpan w:val="2"/>
          </w:tcPr>
          <w:p w:rsidR="00000000" w:rsidRDefault="00000000">
            <w:pPr>
              <w:pStyle w:val="BodyTextIndent"/>
              <w:tabs>
                <w:tab w:val="decimal" w:pos="834"/>
              </w:tabs>
              <w:spacing w:before="60" w:after="0"/>
              <w:ind w:left="0" w:right="170"/>
              <w:rPr>
                <w:sz w:val="19"/>
              </w:rPr>
            </w:pPr>
          </w:p>
        </w:tc>
        <w:tc>
          <w:tcPr>
            <w:tcW w:w="1838" w:type="dxa"/>
          </w:tcPr>
          <w:p w:rsidR="00000000" w:rsidRDefault="00000000">
            <w:pPr>
              <w:pStyle w:val="BodyTextIndent"/>
              <w:tabs>
                <w:tab w:val="decimal" w:pos="1010"/>
              </w:tabs>
              <w:spacing w:before="60" w:after="0"/>
              <w:ind w:left="0" w:right="227"/>
              <w:rPr>
                <w:sz w:val="19"/>
              </w:rPr>
            </w:pPr>
          </w:p>
        </w:tc>
        <w:tc>
          <w:tcPr>
            <w:tcW w:w="1120" w:type="dxa"/>
            <w:gridSpan w:val="2"/>
          </w:tcPr>
          <w:p w:rsidR="00000000" w:rsidRDefault="00000000">
            <w:pPr>
              <w:pStyle w:val="BodyTextIndent"/>
              <w:tabs>
                <w:tab w:val="decimal" w:pos="835"/>
              </w:tabs>
              <w:spacing w:before="60" w:after="0"/>
              <w:ind w:left="0" w:right="227"/>
              <w:rPr>
                <w:sz w:val="19"/>
              </w:rPr>
            </w:pPr>
          </w:p>
        </w:tc>
      </w:tr>
      <w:tr w:rsidR="00000000">
        <w:tblPrEx>
          <w:tblCellMar>
            <w:top w:w="0" w:type="dxa"/>
            <w:bottom w:w="0" w:type="dxa"/>
          </w:tblCellMar>
        </w:tblPrEx>
        <w:trPr>
          <w:cantSplit/>
        </w:trPr>
        <w:tc>
          <w:tcPr>
            <w:tcW w:w="3911" w:type="dxa"/>
          </w:tcPr>
          <w:p w:rsidR="00000000" w:rsidRDefault="00000000">
            <w:pPr>
              <w:pStyle w:val="BodyTextIndent"/>
              <w:tabs>
                <w:tab w:val="left" w:pos="374"/>
              </w:tabs>
              <w:spacing w:before="60" w:after="0"/>
              <w:ind w:left="0"/>
              <w:rPr>
                <w:sz w:val="19"/>
                <w:lang w:val="ru-RU"/>
              </w:rPr>
            </w:pPr>
            <w:r>
              <w:rPr>
                <w:sz w:val="19"/>
                <w:lang w:val="ru-RU"/>
              </w:rPr>
              <w:tab/>
              <w:t>Кирпич</w:t>
            </w:r>
          </w:p>
        </w:tc>
        <w:tc>
          <w:tcPr>
            <w:tcW w:w="1484" w:type="dxa"/>
            <w:gridSpan w:val="2"/>
          </w:tcPr>
          <w:p w:rsidR="00000000" w:rsidRDefault="00000000">
            <w:pPr>
              <w:pStyle w:val="BodyTextIndent"/>
              <w:tabs>
                <w:tab w:val="decimal" w:pos="1257"/>
              </w:tabs>
              <w:spacing w:before="60" w:after="0"/>
              <w:ind w:left="0" w:right="170"/>
              <w:rPr>
                <w:sz w:val="19"/>
              </w:rPr>
            </w:pPr>
            <w:r>
              <w:rPr>
                <w:sz w:val="19"/>
              </w:rPr>
              <w:t>10 733</w:t>
            </w:r>
          </w:p>
        </w:tc>
        <w:tc>
          <w:tcPr>
            <w:tcW w:w="1060" w:type="dxa"/>
            <w:gridSpan w:val="2"/>
          </w:tcPr>
          <w:p w:rsidR="00000000" w:rsidRDefault="00000000">
            <w:pPr>
              <w:pStyle w:val="BodyTextIndent"/>
              <w:tabs>
                <w:tab w:val="decimal" w:pos="834"/>
              </w:tabs>
              <w:spacing w:before="60" w:after="0"/>
              <w:ind w:left="0" w:right="170"/>
              <w:rPr>
                <w:sz w:val="19"/>
              </w:rPr>
            </w:pPr>
            <w:r>
              <w:rPr>
                <w:sz w:val="19"/>
              </w:rPr>
              <w:t>8 341</w:t>
            </w:r>
          </w:p>
        </w:tc>
        <w:tc>
          <w:tcPr>
            <w:tcW w:w="1838" w:type="dxa"/>
          </w:tcPr>
          <w:p w:rsidR="00000000" w:rsidRDefault="00000000">
            <w:pPr>
              <w:pStyle w:val="BodyTextIndent"/>
              <w:tabs>
                <w:tab w:val="decimal" w:pos="1010"/>
              </w:tabs>
              <w:spacing w:before="60" w:after="0"/>
              <w:ind w:left="0" w:right="227"/>
              <w:rPr>
                <w:sz w:val="19"/>
              </w:rPr>
            </w:pPr>
            <w:r>
              <w:rPr>
                <w:sz w:val="19"/>
              </w:rPr>
              <w:t>18</w:t>
            </w:r>
          </w:p>
        </w:tc>
        <w:tc>
          <w:tcPr>
            <w:tcW w:w="1120" w:type="dxa"/>
            <w:gridSpan w:val="2"/>
          </w:tcPr>
          <w:p w:rsidR="00000000" w:rsidRDefault="00000000">
            <w:pPr>
              <w:pStyle w:val="BodyTextIndent"/>
              <w:tabs>
                <w:tab w:val="decimal" w:pos="835"/>
              </w:tabs>
              <w:spacing w:before="60" w:after="0"/>
              <w:ind w:left="0" w:right="227"/>
              <w:rPr>
                <w:sz w:val="19"/>
              </w:rPr>
            </w:pPr>
            <w:r>
              <w:rPr>
                <w:sz w:val="19"/>
              </w:rPr>
              <w:t>2 374</w:t>
            </w:r>
          </w:p>
        </w:tc>
      </w:tr>
      <w:tr w:rsidR="00000000">
        <w:tblPrEx>
          <w:tblCellMar>
            <w:top w:w="0" w:type="dxa"/>
            <w:bottom w:w="0" w:type="dxa"/>
          </w:tblCellMar>
        </w:tblPrEx>
        <w:trPr>
          <w:cantSplit/>
        </w:trPr>
        <w:tc>
          <w:tcPr>
            <w:tcW w:w="3911" w:type="dxa"/>
          </w:tcPr>
          <w:p w:rsidR="00000000" w:rsidRDefault="00000000">
            <w:pPr>
              <w:pStyle w:val="BodyTextIndent"/>
              <w:tabs>
                <w:tab w:val="left" w:pos="374"/>
              </w:tabs>
              <w:spacing w:before="60" w:after="0"/>
              <w:ind w:left="0"/>
              <w:rPr>
                <w:sz w:val="19"/>
                <w:lang w:val="ru-RU"/>
              </w:rPr>
            </w:pPr>
            <w:r>
              <w:rPr>
                <w:sz w:val="19"/>
                <w:lang w:val="ru-RU"/>
              </w:rPr>
              <w:tab/>
              <w:t>Дерево</w:t>
            </w:r>
          </w:p>
        </w:tc>
        <w:tc>
          <w:tcPr>
            <w:tcW w:w="1484" w:type="dxa"/>
            <w:gridSpan w:val="2"/>
          </w:tcPr>
          <w:p w:rsidR="00000000" w:rsidRDefault="00000000">
            <w:pPr>
              <w:pStyle w:val="BodyTextIndent"/>
              <w:tabs>
                <w:tab w:val="decimal" w:pos="1257"/>
              </w:tabs>
              <w:spacing w:before="60" w:after="0"/>
              <w:ind w:left="0" w:right="170"/>
              <w:rPr>
                <w:sz w:val="19"/>
              </w:rPr>
            </w:pPr>
            <w:r>
              <w:rPr>
                <w:sz w:val="19"/>
              </w:rPr>
              <w:t>170 007</w:t>
            </w:r>
          </w:p>
        </w:tc>
        <w:tc>
          <w:tcPr>
            <w:tcW w:w="1060" w:type="dxa"/>
            <w:gridSpan w:val="2"/>
          </w:tcPr>
          <w:p w:rsidR="00000000" w:rsidRDefault="00000000">
            <w:pPr>
              <w:pStyle w:val="BodyTextIndent"/>
              <w:tabs>
                <w:tab w:val="decimal" w:pos="834"/>
              </w:tabs>
              <w:spacing w:before="60" w:after="0"/>
              <w:ind w:left="0" w:right="170"/>
              <w:rPr>
                <w:sz w:val="19"/>
              </w:rPr>
            </w:pPr>
            <w:r>
              <w:rPr>
                <w:sz w:val="19"/>
              </w:rPr>
              <w:t>168 961</w:t>
            </w:r>
          </w:p>
        </w:tc>
        <w:tc>
          <w:tcPr>
            <w:tcW w:w="1838" w:type="dxa"/>
          </w:tcPr>
          <w:p w:rsidR="00000000" w:rsidRDefault="00000000">
            <w:pPr>
              <w:pStyle w:val="BodyTextIndent"/>
              <w:tabs>
                <w:tab w:val="decimal" w:pos="1010"/>
              </w:tabs>
              <w:spacing w:before="60" w:after="0"/>
              <w:ind w:left="0" w:right="227"/>
              <w:rPr>
                <w:sz w:val="19"/>
              </w:rPr>
            </w:pPr>
            <w:r>
              <w:rPr>
                <w:sz w:val="19"/>
              </w:rPr>
              <w:t>144</w:t>
            </w:r>
          </w:p>
        </w:tc>
        <w:tc>
          <w:tcPr>
            <w:tcW w:w="1120" w:type="dxa"/>
            <w:gridSpan w:val="2"/>
          </w:tcPr>
          <w:p w:rsidR="00000000" w:rsidRDefault="00000000">
            <w:pPr>
              <w:pStyle w:val="BodyTextIndent"/>
              <w:tabs>
                <w:tab w:val="decimal" w:pos="835"/>
              </w:tabs>
              <w:spacing w:before="60" w:after="0"/>
              <w:ind w:left="0" w:right="227"/>
              <w:rPr>
                <w:sz w:val="19"/>
              </w:rPr>
            </w:pPr>
            <w:r>
              <w:rPr>
                <w:sz w:val="19"/>
              </w:rPr>
              <w:t>902</w:t>
            </w:r>
          </w:p>
        </w:tc>
      </w:tr>
      <w:tr w:rsidR="00000000">
        <w:tblPrEx>
          <w:tblCellMar>
            <w:top w:w="0" w:type="dxa"/>
            <w:bottom w:w="0" w:type="dxa"/>
          </w:tblCellMar>
        </w:tblPrEx>
        <w:trPr>
          <w:cantSplit/>
        </w:trPr>
        <w:tc>
          <w:tcPr>
            <w:tcW w:w="3911" w:type="dxa"/>
          </w:tcPr>
          <w:p w:rsidR="00000000" w:rsidRDefault="00000000">
            <w:pPr>
              <w:pStyle w:val="BodyTextIndent"/>
              <w:tabs>
                <w:tab w:val="left" w:pos="374"/>
              </w:tabs>
              <w:spacing w:before="60" w:after="0"/>
              <w:ind w:left="0"/>
              <w:rPr>
                <w:sz w:val="19"/>
                <w:lang w:val="ru-RU"/>
              </w:rPr>
            </w:pPr>
            <w:r>
              <w:rPr>
                <w:sz w:val="19"/>
                <w:lang w:val="ru-RU"/>
              </w:rPr>
              <w:tab/>
              <w:t>Эстакео (кожа)</w:t>
            </w:r>
          </w:p>
        </w:tc>
        <w:tc>
          <w:tcPr>
            <w:tcW w:w="1484" w:type="dxa"/>
            <w:gridSpan w:val="2"/>
          </w:tcPr>
          <w:p w:rsidR="00000000" w:rsidRDefault="00000000">
            <w:pPr>
              <w:pStyle w:val="BodyTextIndent"/>
              <w:tabs>
                <w:tab w:val="decimal" w:pos="1257"/>
              </w:tabs>
              <w:spacing w:before="60" w:after="0"/>
              <w:ind w:left="0" w:right="170"/>
              <w:rPr>
                <w:sz w:val="19"/>
              </w:rPr>
            </w:pPr>
            <w:r>
              <w:rPr>
                <w:sz w:val="19"/>
              </w:rPr>
              <w:t>24 025</w:t>
            </w:r>
          </w:p>
        </w:tc>
        <w:tc>
          <w:tcPr>
            <w:tcW w:w="1060" w:type="dxa"/>
            <w:gridSpan w:val="2"/>
          </w:tcPr>
          <w:p w:rsidR="00000000" w:rsidRDefault="00000000">
            <w:pPr>
              <w:pStyle w:val="BodyTextIndent"/>
              <w:tabs>
                <w:tab w:val="decimal" w:pos="834"/>
              </w:tabs>
              <w:spacing w:before="60" w:after="0"/>
              <w:ind w:left="0" w:right="170"/>
              <w:rPr>
                <w:sz w:val="19"/>
              </w:rPr>
            </w:pPr>
            <w:r>
              <w:rPr>
                <w:sz w:val="19"/>
              </w:rPr>
              <w:t>23 926</w:t>
            </w:r>
          </w:p>
        </w:tc>
        <w:tc>
          <w:tcPr>
            <w:tcW w:w="1838" w:type="dxa"/>
          </w:tcPr>
          <w:p w:rsidR="00000000" w:rsidRDefault="00000000">
            <w:pPr>
              <w:pStyle w:val="BodyTextIndent"/>
              <w:tabs>
                <w:tab w:val="decimal" w:pos="1010"/>
              </w:tabs>
              <w:spacing w:before="60" w:after="0"/>
              <w:ind w:left="0" w:right="227"/>
              <w:rPr>
                <w:sz w:val="19"/>
              </w:rPr>
            </w:pPr>
            <w:r>
              <w:rPr>
                <w:sz w:val="19"/>
              </w:rPr>
              <w:t>60</w:t>
            </w:r>
          </w:p>
        </w:tc>
        <w:tc>
          <w:tcPr>
            <w:tcW w:w="1120" w:type="dxa"/>
            <w:gridSpan w:val="2"/>
          </w:tcPr>
          <w:p w:rsidR="00000000" w:rsidRDefault="00000000">
            <w:pPr>
              <w:pStyle w:val="BodyTextIndent"/>
              <w:tabs>
                <w:tab w:val="decimal" w:pos="835"/>
              </w:tabs>
              <w:spacing w:before="60" w:after="0"/>
              <w:ind w:left="0" w:right="227"/>
              <w:rPr>
                <w:sz w:val="19"/>
              </w:rPr>
            </w:pPr>
            <w:r>
              <w:rPr>
                <w:sz w:val="19"/>
              </w:rPr>
              <w:t>39</w:t>
            </w:r>
          </w:p>
        </w:tc>
      </w:tr>
      <w:tr w:rsidR="00000000">
        <w:tblPrEx>
          <w:tblCellMar>
            <w:top w:w="0" w:type="dxa"/>
            <w:bottom w:w="0" w:type="dxa"/>
          </w:tblCellMar>
        </w:tblPrEx>
        <w:trPr>
          <w:cantSplit/>
        </w:trPr>
        <w:tc>
          <w:tcPr>
            <w:tcW w:w="3911" w:type="dxa"/>
          </w:tcPr>
          <w:p w:rsidR="00000000" w:rsidRDefault="00000000">
            <w:pPr>
              <w:pStyle w:val="BodyTextIndent"/>
              <w:tabs>
                <w:tab w:val="left" w:pos="374"/>
              </w:tabs>
              <w:spacing w:before="60" w:after="0"/>
              <w:ind w:left="0"/>
              <w:rPr>
                <w:sz w:val="19"/>
                <w:lang w:val="ru-RU"/>
              </w:rPr>
            </w:pPr>
            <w:r>
              <w:rPr>
                <w:sz w:val="19"/>
                <w:lang w:val="ru-RU"/>
              </w:rPr>
              <w:tab/>
              <w:t>Необоженный кирпич</w:t>
            </w:r>
          </w:p>
        </w:tc>
        <w:tc>
          <w:tcPr>
            <w:tcW w:w="1484" w:type="dxa"/>
            <w:gridSpan w:val="2"/>
          </w:tcPr>
          <w:p w:rsidR="00000000" w:rsidRDefault="00000000">
            <w:pPr>
              <w:pStyle w:val="BodyTextIndent"/>
              <w:tabs>
                <w:tab w:val="decimal" w:pos="1257"/>
              </w:tabs>
              <w:spacing w:before="60" w:after="0"/>
              <w:ind w:left="0" w:right="170"/>
              <w:rPr>
                <w:sz w:val="19"/>
              </w:rPr>
            </w:pPr>
            <w:r>
              <w:rPr>
                <w:sz w:val="19"/>
              </w:rPr>
              <w:t>7 865</w:t>
            </w:r>
          </w:p>
        </w:tc>
        <w:tc>
          <w:tcPr>
            <w:tcW w:w="1060" w:type="dxa"/>
            <w:gridSpan w:val="2"/>
          </w:tcPr>
          <w:p w:rsidR="00000000" w:rsidRDefault="00000000">
            <w:pPr>
              <w:pStyle w:val="BodyTextIndent"/>
              <w:tabs>
                <w:tab w:val="decimal" w:pos="834"/>
              </w:tabs>
              <w:spacing w:before="60" w:after="0"/>
              <w:ind w:left="0" w:right="170"/>
              <w:rPr>
                <w:sz w:val="19"/>
              </w:rPr>
            </w:pPr>
            <w:r>
              <w:rPr>
                <w:sz w:val="19"/>
              </w:rPr>
              <w:t>7 858</w:t>
            </w:r>
          </w:p>
        </w:tc>
        <w:tc>
          <w:tcPr>
            <w:tcW w:w="1838" w:type="dxa"/>
          </w:tcPr>
          <w:p w:rsidR="00000000" w:rsidRDefault="00000000">
            <w:pPr>
              <w:pStyle w:val="BodyTextIndent"/>
              <w:tabs>
                <w:tab w:val="decimal" w:pos="1010"/>
              </w:tabs>
              <w:spacing w:before="60" w:after="0"/>
              <w:ind w:left="0" w:right="227"/>
              <w:rPr>
                <w:sz w:val="19"/>
              </w:rPr>
            </w:pPr>
            <w:r>
              <w:rPr>
                <w:sz w:val="19"/>
              </w:rPr>
              <w:t>3</w:t>
            </w:r>
          </w:p>
        </w:tc>
        <w:tc>
          <w:tcPr>
            <w:tcW w:w="1120" w:type="dxa"/>
            <w:gridSpan w:val="2"/>
          </w:tcPr>
          <w:p w:rsidR="00000000" w:rsidRDefault="00000000">
            <w:pPr>
              <w:pStyle w:val="BodyTextIndent"/>
              <w:tabs>
                <w:tab w:val="decimal" w:pos="835"/>
              </w:tabs>
              <w:spacing w:before="60" w:after="0"/>
              <w:ind w:left="0" w:right="227"/>
              <w:rPr>
                <w:sz w:val="19"/>
              </w:rPr>
            </w:pPr>
            <w:r>
              <w:rPr>
                <w:sz w:val="19"/>
              </w:rPr>
              <w:t>4</w:t>
            </w:r>
          </w:p>
        </w:tc>
      </w:tr>
      <w:tr w:rsidR="00000000">
        <w:tblPrEx>
          <w:tblCellMar>
            <w:top w:w="0" w:type="dxa"/>
            <w:bottom w:w="0" w:type="dxa"/>
          </w:tblCellMar>
        </w:tblPrEx>
        <w:trPr>
          <w:cantSplit/>
        </w:trPr>
        <w:tc>
          <w:tcPr>
            <w:tcW w:w="3911" w:type="dxa"/>
          </w:tcPr>
          <w:p w:rsidR="00000000" w:rsidRDefault="00000000">
            <w:pPr>
              <w:pStyle w:val="BodyTextIndent"/>
              <w:tabs>
                <w:tab w:val="left" w:pos="374"/>
              </w:tabs>
              <w:spacing w:before="60" w:after="0"/>
              <w:ind w:left="0"/>
              <w:rPr>
                <w:sz w:val="19"/>
                <w:lang w:val="ru-RU"/>
              </w:rPr>
            </w:pPr>
            <w:r>
              <w:rPr>
                <w:sz w:val="19"/>
                <w:lang w:val="ru-RU"/>
              </w:rPr>
              <w:tab/>
              <w:t>Стволы пальмы</w:t>
            </w:r>
          </w:p>
        </w:tc>
        <w:tc>
          <w:tcPr>
            <w:tcW w:w="1484" w:type="dxa"/>
            <w:gridSpan w:val="2"/>
          </w:tcPr>
          <w:p w:rsidR="00000000" w:rsidRDefault="00000000">
            <w:pPr>
              <w:pStyle w:val="BodyTextIndent"/>
              <w:tabs>
                <w:tab w:val="decimal" w:pos="1257"/>
              </w:tabs>
              <w:spacing w:before="60" w:after="0"/>
              <w:ind w:left="0" w:right="170"/>
              <w:rPr>
                <w:sz w:val="19"/>
              </w:rPr>
            </w:pPr>
            <w:r>
              <w:rPr>
                <w:sz w:val="19"/>
              </w:rPr>
              <w:t>6 190</w:t>
            </w:r>
          </w:p>
        </w:tc>
        <w:tc>
          <w:tcPr>
            <w:tcW w:w="1060" w:type="dxa"/>
            <w:gridSpan w:val="2"/>
          </w:tcPr>
          <w:p w:rsidR="00000000" w:rsidRDefault="00000000">
            <w:pPr>
              <w:pStyle w:val="BodyTextIndent"/>
              <w:tabs>
                <w:tab w:val="decimal" w:pos="834"/>
              </w:tabs>
              <w:spacing w:before="60" w:after="0"/>
              <w:ind w:left="0" w:right="170"/>
              <w:rPr>
                <w:sz w:val="19"/>
              </w:rPr>
            </w:pPr>
            <w:r>
              <w:rPr>
                <w:sz w:val="19"/>
              </w:rPr>
              <w:t>6 146</w:t>
            </w:r>
          </w:p>
        </w:tc>
        <w:tc>
          <w:tcPr>
            <w:tcW w:w="1838" w:type="dxa"/>
          </w:tcPr>
          <w:p w:rsidR="00000000" w:rsidRDefault="00000000">
            <w:pPr>
              <w:pStyle w:val="BodyTextIndent"/>
              <w:tabs>
                <w:tab w:val="decimal" w:pos="1010"/>
              </w:tabs>
              <w:spacing w:before="60" w:after="0"/>
              <w:ind w:left="0" w:right="227"/>
              <w:rPr>
                <w:sz w:val="19"/>
              </w:rPr>
            </w:pPr>
            <w:r>
              <w:rPr>
                <w:sz w:val="19"/>
              </w:rPr>
              <w:t>33</w:t>
            </w:r>
          </w:p>
        </w:tc>
        <w:tc>
          <w:tcPr>
            <w:tcW w:w="1120" w:type="dxa"/>
            <w:gridSpan w:val="2"/>
          </w:tcPr>
          <w:p w:rsidR="00000000" w:rsidRDefault="00000000">
            <w:pPr>
              <w:pStyle w:val="BodyTextIndent"/>
              <w:tabs>
                <w:tab w:val="decimal" w:pos="835"/>
              </w:tabs>
              <w:spacing w:before="60" w:after="0"/>
              <w:ind w:left="0" w:right="227"/>
              <w:rPr>
                <w:sz w:val="19"/>
              </w:rPr>
            </w:pPr>
            <w:r>
              <w:rPr>
                <w:sz w:val="19"/>
              </w:rPr>
              <w:t>11</w:t>
            </w:r>
          </w:p>
        </w:tc>
      </w:tr>
      <w:tr w:rsidR="00000000">
        <w:tblPrEx>
          <w:tblCellMar>
            <w:top w:w="0" w:type="dxa"/>
            <w:bottom w:w="0" w:type="dxa"/>
          </w:tblCellMar>
        </w:tblPrEx>
        <w:trPr>
          <w:cantSplit/>
        </w:trPr>
        <w:tc>
          <w:tcPr>
            <w:tcW w:w="3911" w:type="dxa"/>
          </w:tcPr>
          <w:p w:rsidR="00000000" w:rsidRDefault="00000000">
            <w:pPr>
              <w:pStyle w:val="BodyTextIndent"/>
              <w:tabs>
                <w:tab w:val="left" w:pos="374"/>
              </w:tabs>
              <w:spacing w:before="60" w:after="0"/>
              <w:ind w:left="0"/>
              <w:rPr>
                <w:sz w:val="19"/>
                <w:lang w:val="ru-RU"/>
              </w:rPr>
            </w:pPr>
            <w:r>
              <w:rPr>
                <w:sz w:val="19"/>
                <w:lang w:val="ru-RU"/>
              </w:rPr>
              <w:tab/>
              <w:t>Цементные блоки</w:t>
            </w:r>
          </w:p>
        </w:tc>
        <w:tc>
          <w:tcPr>
            <w:tcW w:w="1484" w:type="dxa"/>
            <w:gridSpan w:val="2"/>
          </w:tcPr>
          <w:p w:rsidR="00000000" w:rsidRDefault="00000000">
            <w:pPr>
              <w:pStyle w:val="BodyTextIndent"/>
              <w:tabs>
                <w:tab w:val="decimal" w:pos="1257"/>
              </w:tabs>
              <w:spacing w:before="60" w:after="0"/>
              <w:ind w:left="0" w:right="170"/>
              <w:rPr>
                <w:sz w:val="19"/>
              </w:rPr>
            </w:pPr>
            <w:r>
              <w:rPr>
                <w:sz w:val="19"/>
              </w:rPr>
              <w:t>87</w:t>
            </w:r>
          </w:p>
        </w:tc>
        <w:tc>
          <w:tcPr>
            <w:tcW w:w="1060" w:type="dxa"/>
            <w:gridSpan w:val="2"/>
          </w:tcPr>
          <w:p w:rsidR="00000000" w:rsidRDefault="00000000">
            <w:pPr>
              <w:pStyle w:val="BodyTextIndent"/>
              <w:tabs>
                <w:tab w:val="decimal" w:pos="834"/>
              </w:tabs>
              <w:spacing w:before="60" w:after="0"/>
              <w:ind w:left="0" w:right="170"/>
              <w:rPr>
                <w:sz w:val="19"/>
              </w:rPr>
            </w:pPr>
            <w:r>
              <w:rPr>
                <w:sz w:val="19"/>
              </w:rPr>
              <w:t>-</w:t>
            </w:r>
          </w:p>
        </w:tc>
        <w:tc>
          <w:tcPr>
            <w:tcW w:w="1838" w:type="dxa"/>
          </w:tcPr>
          <w:p w:rsidR="00000000" w:rsidRDefault="00000000">
            <w:pPr>
              <w:pStyle w:val="BodyTextIndent"/>
              <w:tabs>
                <w:tab w:val="decimal" w:pos="1010"/>
              </w:tabs>
              <w:spacing w:before="60" w:after="0"/>
              <w:ind w:left="0" w:right="227"/>
              <w:rPr>
                <w:sz w:val="19"/>
              </w:rPr>
            </w:pPr>
            <w:r>
              <w:rPr>
                <w:sz w:val="19"/>
              </w:rPr>
              <w:t>-</w:t>
            </w:r>
          </w:p>
        </w:tc>
        <w:tc>
          <w:tcPr>
            <w:tcW w:w="1120" w:type="dxa"/>
            <w:gridSpan w:val="2"/>
          </w:tcPr>
          <w:p w:rsidR="00000000" w:rsidRDefault="00000000">
            <w:pPr>
              <w:pStyle w:val="BodyTextIndent"/>
              <w:tabs>
                <w:tab w:val="decimal" w:pos="835"/>
              </w:tabs>
              <w:spacing w:before="60" w:after="0"/>
              <w:ind w:left="0" w:right="227"/>
              <w:rPr>
                <w:sz w:val="19"/>
              </w:rPr>
            </w:pPr>
            <w:r>
              <w:rPr>
                <w:sz w:val="19"/>
              </w:rPr>
              <w:t>87</w:t>
            </w:r>
          </w:p>
        </w:tc>
      </w:tr>
      <w:tr w:rsidR="00000000">
        <w:tblPrEx>
          <w:tblCellMar>
            <w:top w:w="0" w:type="dxa"/>
            <w:bottom w:w="0" w:type="dxa"/>
          </w:tblCellMar>
        </w:tblPrEx>
        <w:trPr>
          <w:cantSplit/>
        </w:trPr>
        <w:tc>
          <w:tcPr>
            <w:tcW w:w="3911" w:type="dxa"/>
          </w:tcPr>
          <w:p w:rsidR="00000000" w:rsidRDefault="00000000">
            <w:pPr>
              <w:pStyle w:val="BodyTextIndent"/>
              <w:tabs>
                <w:tab w:val="left" w:pos="374"/>
              </w:tabs>
              <w:spacing w:before="60" w:after="0"/>
              <w:ind w:left="374" w:hanging="374"/>
              <w:rPr>
                <w:sz w:val="19"/>
              </w:rPr>
            </w:pPr>
            <w:r>
              <w:rPr>
                <w:sz w:val="19"/>
                <w:lang w:val="ru-RU"/>
              </w:rPr>
              <w:tab/>
              <w:t>Картон, прорезиненная ткань, деревянная тара</w:t>
            </w:r>
          </w:p>
        </w:tc>
        <w:tc>
          <w:tcPr>
            <w:tcW w:w="1484" w:type="dxa"/>
            <w:gridSpan w:val="2"/>
          </w:tcPr>
          <w:p w:rsidR="00000000" w:rsidRDefault="00000000">
            <w:pPr>
              <w:pStyle w:val="BodyTextIndent"/>
              <w:tabs>
                <w:tab w:val="decimal" w:pos="1257"/>
              </w:tabs>
              <w:spacing w:before="60" w:after="0"/>
              <w:ind w:left="0" w:right="170"/>
              <w:rPr>
                <w:sz w:val="19"/>
              </w:rPr>
            </w:pPr>
            <w:r>
              <w:rPr>
                <w:sz w:val="19"/>
              </w:rPr>
              <w:t>1 660</w:t>
            </w:r>
          </w:p>
        </w:tc>
        <w:tc>
          <w:tcPr>
            <w:tcW w:w="1060" w:type="dxa"/>
            <w:gridSpan w:val="2"/>
          </w:tcPr>
          <w:p w:rsidR="00000000" w:rsidRDefault="00000000">
            <w:pPr>
              <w:pStyle w:val="BodyTextIndent"/>
              <w:tabs>
                <w:tab w:val="decimal" w:pos="834"/>
              </w:tabs>
              <w:spacing w:before="60" w:after="0"/>
              <w:ind w:left="0" w:right="170"/>
              <w:rPr>
                <w:sz w:val="19"/>
              </w:rPr>
            </w:pPr>
            <w:r>
              <w:rPr>
                <w:sz w:val="19"/>
              </w:rPr>
              <w:t>-</w:t>
            </w:r>
          </w:p>
        </w:tc>
        <w:tc>
          <w:tcPr>
            <w:tcW w:w="1838" w:type="dxa"/>
          </w:tcPr>
          <w:p w:rsidR="00000000" w:rsidRDefault="00000000">
            <w:pPr>
              <w:pStyle w:val="BodyTextIndent"/>
              <w:tabs>
                <w:tab w:val="decimal" w:pos="1010"/>
              </w:tabs>
              <w:spacing w:before="60" w:after="0"/>
              <w:ind w:left="0" w:right="227"/>
              <w:rPr>
                <w:sz w:val="19"/>
              </w:rPr>
            </w:pPr>
            <w:r>
              <w:rPr>
                <w:sz w:val="19"/>
              </w:rPr>
              <w:t>1 660</w:t>
            </w:r>
          </w:p>
        </w:tc>
        <w:tc>
          <w:tcPr>
            <w:tcW w:w="1120" w:type="dxa"/>
            <w:gridSpan w:val="2"/>
          </w:tcPr>
          <w:p w:rsidR="00000000" w:rsidRDefault="00000000">
            <w:pPr>
              <w:pStyle w:val="BodyTextIndent"/>
              <w:tabs>
                <w:tab w:val="decimal" w:pos="835"/>
              </w:tabs>
              <w:spacing w:before="60" w:after="0"/>
              <w:ind w:left="0" w:right="227"/>
              <w:rPr>
                <w:sz w:val="19"/>
              </w:rPr>
            </w:pPr>
            <w:r>
              <w:rPr>
                <w:sz w:val="19"/>
              </w:rPr>
              <w:t>-</w:t>
            </w:r>
          </w:p>
        </w:tc>
      </w:tr>
      <w:tr w:rsidR="00000000">
        <w:tblPrEx>
          <w:tblCellMar>
            <w:top w:w="0" w:type="dxa"/>
            <w:bottom w:w="0" w:type="dxa"/>
          </w:tblCellMar>
        </w:tblPrEx>
        <w:trPr>
          <w:cantSplit/>
        </w:trPr>
        <w:tc>
          <w:tcPr>
            <w:tcW w:w="3911" w:type="dxa"/>
          </w:tcPr>
          <w:p w:rsidR="00000000" w:rsidRDefault="00000000">
            <w:pPr>
              <w:pStyle w:val="BodyTextIndent"/>
              <w:tabs>
                <w:tab w:val="left" w:pos="374"/>
              </w:tabs>
              <w:spacing w:before="60" w:after="0"/>
              <w:ind w:left="0"/>
              <w:rPr>
                <w:sz w:val="19"/>
              </w:rPr>
            </w:pPr>
            <w:r>
              <w:rPr>
                <w:sz w:val="19"/>
                <w:lang w:val="ru-RU"/>
              </w:rPr>
              <w:tab/>
              <w:t>Без стен</w:t>
            </w:r>
          </w:p>
        </w:tc>
        <w:tc>
          <w:tcPr>
            <w:tcW w:w="1484" w:type="dxa"/>
            <w:gridSpan w:val="2"/>
          </w:tcPr>
          <w:p w:rsidR="00000000" w:rsidRDefault="00000000">
            <w:pPr>
              <w:pStyle w:val="BodyTextIndent"/>
              <w:tabs>
                <w:tab w:val="decimal" w:pos="1257"/>
              </w:tabs>
              <w:spacing w:before="60" w:after="0"/>
              <w:ind w:left="0" w:right="170"/>
              <w:rPr>
                <w:sz w:val="19"/>
              </w:rPr>
            </w:pPr>
            <w:r>
              <w:rPr>
                <w:sz w:val="19"/>
              </w:rPr>
              <w:t>441</w:t>
            </w:r>
          </w:p>
        </w:tc>
        <w:tc>
          <w:tcPr>
            <w:tcW w:w="1060" w:type="dxa"/>
            <w:gridSpan w:val="2"/>
          </w:tcPr>
          <w:p w:rsidR="00000000" w:rsidRDefault="00000000">
            <w:pPr>
              <w:pStyle w:val="BodyTextIndent"/>
              <w:tabs>
                <w:tab w:val="decimal" w:pos="834"/>
              </w:tabs>
              <w:spacing w:before="60" w:after="0"/>
              <w:ind w:left="0" w:right="170"/>
              <w:rPr>
                <w:sz w:val="19"/>
              </w:rPr>
            </w:pPr>
            <w:r>
              <w:rPr>
                <w:sz w:val="19"/>
              </w:rPr>
              <w:t>-</w:t>
            </w:r>
          </w:p>
        </w:tc>
        <w:tc>
          <w:tcPr>
            <w:tcW w:w="1838" w:type="dxa"/>
          </w:tcPr>
          <w:p w:rsidR="00000000" w:rsidRDefault="00000000">
            <w:pPr>
              <w:pStyle w:val="BodyTextIndent"/>
              <w:tabs>
                <w:tab w:val="decimal" w:pos="1010"/>
              </w:tabs>
              <w:spacing w:before="60" w:after="0"/>
              <w:ind w:left="0" w:right="227"/>
              <w:rPr>
                <w:sz w:val="19"/>
              </w:rPr>
            </w:pPr>
            <w:r>
              <w:rPr>
                <w:sz w:val="19"/>
              </w:rPr>
              <w:t>17</w:t>
            </w:r>
          </w:p>
        </w:tc>
        <w:tc>
          <w:tcPr>
            <w:tcW w:w="1120" w:type="dxa"/>
            <w:gridSpan w:val="2"/>
          </w:tcPr>
          <w:p w:rsidR="00000000" w:rsidRDefault="00000000">
            <w:pPr>
              <w:pStyle w:val="BodyTextIndent"/>
              <w:tabs>
                <w:tab w:val="decimal" w:pos="835"/>
              </w:tabs>
              <w:spacing w:before="60" w:after="0"/>
              <w:ind w:left="0" w:right="227"/>
              <w:rPr>
                <w:sz w:val="19"/>
              </w:rPr>
            </w:pPr>
            <w:r>
              <w:rPr>
                <w:sz w:val="19"/>
              </w:rPr>
              <w:t>424</w:t>
            </w:r>
          </w:p>
        </w:tc>
      </w:tr>
      <w:tr w:rsidR="00000000">
        <w:tblPrEx>
          <w:tblCellMar>
            <w:top w:w="0" w:type="dxa"/>
            <w:bottom w:w="0" w:type="dxa"/>
          </w:tblCellMar>
        </w:tblPrEx>
        <w:trPr>
          <w:cantSplit/>
        </w:trPr>
        <w:tc>
          <w:tcPr>
            <w:tcW w:w="3911" w:type="dxa"/>
          </w:tcPr>
          <w:p w:rsidR="00000000" w:rsidRDefault="00000000">
            <w:pPr>
              <w:pStyle w:val="BodyTextIndent"/>
              <w:tabs>
                <w:tab w:val="left" w:pos="374"/>
              </w:tabs>
              <w:spacing w:before="60" w:after="0"/>
              <w:ind w:left="0"/>
              <w:rPr>
                <w:sz w:val="19"/>
                <w:lang w:val="ru-RU"/>
              </w:rPr>
            </w:pPr>
            <w:r>
              <w:rPr>
                <w:sz w:val="19"/>
                <w:lang w:val="ru-RU"/>
              </w:rPr>
              <w:tab/>
              <w:t>Иное</w:t>
            </w:r>
          </w:p>
        </w:tc>
        <w:tc>
          <w:tcPr>
            <w:tcW w:w="1484" w:type="dxa"/>
            <w:gridSpan w:val="2"/>
          </w:tcPr>
          <w:p w:rsidR="00000000" w:rsidRDefault="00000000">
            <w:pPr>
              <w:pStyle w:val="BodyTextIndent"/>
              <w:tabs>
                <w:tab w:val="decimal" w:pos="1257"/>
              </w:tabs>
              <w:spacing w:before="60" w:after="0"/>
              <w:ind w:left="0" w:right="170"/>
              <w:rPr>
                <w:sz w:val="19"/>
              </w:rPr>
            </w:pPr>
            <w:r>
              <w:rPr>
                <w:sz w:val="19"/>
              </w:rPr>
              <w:t>1 290</w:t>
            </w:r>
          </w:p>
        </w:tc>
        <w:tc>
          <w:tcPr>
            <w:tcW w:w="1060" w:type="dxa"/>
            <w:gridSpan w:val="2"/>
          </w:tcPr>
          <w:p w:rsidR="00000000" w:rsidRDefault="00000000">
            <w:pPr>
              <w:pStyle w:val="BodyTextIndent"/>
              <w:tabs>
                <w:tab w:val="decimal" w:pos="834"/>
              </w:tabs>
              <w:spacing w:before="60" w:after="0"/>
              <w:ind w:left="0" w:right="170"/>
              <w:rPr>
                <w:sz w:val="19"/>
              </w:rPr>
            </w:pPr>
            <w:r>
              <w:rPr>
                <w:sz w:val="19"/>
              </w:rPr>
              <w:t>1 019</w:t>
            </w:r>
          </w:p>
        </w:tc>
        <w:tc>
          <w:tcPr>
            <w:tcW w:w="1838" w:type="dxa"/>
          </w:tcPr>
          <w:p w:rsidR="00000000" w:rsidRDefault="00000000">
            <w:pPr>
              <w:pStyle w:val="BodyTextIndent"/>
              <w:tabs>
                <w:tab w:val="decimal" w:pos="1010"/>
              </w:tabs>
              <w:spacing w:before="60" w:after="0"/>
              <w:ind w:left="0" w:right="227"/>
              <w:rPr>
                <w:sz w:val="19"/>
              </w:rPr>
            </w:pPr>
            <w:r>
              <w:rPr>
                <w:sz w:val="19"/>
              </w:rPr>
              <w:t>156</w:t>
            </w:r>
          </w:p>
        </w:tc>
        <w:tc>
          <w:tcPr>
            <w:tcW w:w="1120" w:type="dxa"/>
            <w:gridSpan w:val="2"/>
          </w:tcPr>
          <w:p w:rsidR="00000000" w:rsidRDefault="00000000">
            <w:pPr>
              <w:pStyle w:val="BodyTextIndent"/>
              <w:tabs>
                <w:tab w:val="decimal" w:pos="835"/>
              </w:tabs>
              <w:spacing w:before="60" w:after="0"/>
              <w:ind w:left="0" w:right="227"/>
              <w:rPr>
                <w:sz w:val="19"/>
              </w:rPr>
            </w:pPr>
            <w:r>
              <w:rPr>
                <w:sz w:val="19"/>
              </w:rPr>
              <w:t>115</w:t>
            </w:r>
          </w:p>
        </w:tc>
      </w:tr>
      <w:tr w:rsidR="00000000">
        <w:tblPrEx>
          <w:tblCellMar>
            <w:top w:w="0" w:type="dxa"/>
            <w:bottom w:w="0" w:type="dxa"/>
          </w:tblCellMar>
        </w:tblPrEx>
        <w:trPr>
          <w:cantSplit/>
        </w:trPr>
        <w:tc>
          <w:tcPr>
            <w:tcW w:w="3911" w:type="dxa"/>
          </w:tcPr>
          <w:p w:rsidR="00000000" w:rsidRDefault="00000000">
            <w:pPr>
              <w:pStyle w:val="BodyTextIndent"/>
              <w:tabs>
                <w:tab w:val="left" w:pos="374"/>
              </w:tabs>
              <w:spacing w:before="60" w:after="0"/>
              <w:ind w:left="0"/>
              <w:rPr>
                <w:sz w:val="19"/>
                <w:lang w:val="ru-RU"/>
              </w:rPr>
            </w:pPr>
            <w:r>
              <w:rPr>
                <w:sz w:val="19"/>
              </w:rPr>
              <w:t>B.</w:t>
            </w:r>
            <w:r>
              <w:rPr>
                <w:sz w:val="19"/>
                <w:lang w:val="ru-RU"/>
              </w:rPr>
              <w:tab/>
              <w:t>Пол</w:t>
            </w:r>
          </w:p>
        </w:tc>
        <w:tc>
          <w:tcPr>
            <w:tcW w:w="1484" w:type="dxa"/>
            <w:gridSpan w:val="2"/>
          </w:tcPr>
          <w:p w:rsidR="00000000" w:rsidRDefault="00000000">
            <w:pPr>
              <w:pStyle w:val="BodyTextIndent"/>
              <w:tabs>
                <w:tab w:val="decimal" w:pos="1257"/>
              </w:tabs>
              <w:spacing w:before="60" w:after="0"/>
              <w:ind w:left="0" w:right="170"/>
              <w:rPr>
                <w:sz w:val="19"/>
              </w:rPr>
            </w:pPr>
          </w:p>
        </w:tc>
        <w:tc>
          <w:tcPr>
            <w:tcW w:w="1060" w:type="dxa"/>
            <w:gridSpan w:val="2"/>
          </w:tcPr>
          <w:p w:rsidR="00000000" w:rsidRDefault="00000000">
            <w:pPr>
              <w:pStyle w:val="BodyTextIndent"/>
              <w:tabs>
                <w:tab w:val="decimal" w:pos="834"/>
              </w:tabs>
              <w:spacing w:before="60" w:after="0"/>
              <w:ind w:left="0" w:right="170"/>
              <w:rPr>
                <w:sz w:val="19"/>
              </w:rPr>
            </w:pPr>
          </w:p>
        </w:tc>
        <w:tc>
          <w:tcPr>
            <w:tcW w:w="1838" w:type="dxa"/>
          </w:tcPr>
          <w:p w:rsidR="00000000" w:rsidRDefault="00000000">
            <w:pPr>
              <w:pStyle w:val="BodyTextIndent"/>
              <w:tabs>
                <w:tab w:val="decimal" w:pos="1010"/>
              </w:tabs>
              <w:spacing w:before="60" w:after="0"/>
              <w:ind w:left="0" w:right="227"/>
              <w:rPr>
                <w:sz w:val="19"/>
              </w:rPr>
            </w:pPr>
          </w:p>
        </w:tc>
        <w:tc>
          <w:tcPr>
            <w:tcW w:w="1120" w:type="dxa"/>
            <w:gridSpan w:val="2"/>
          </w:tcPr>
          <w:p w:rsidR="00000000" w:rsidRDefault="00000000">
            <w:pPr>
              <w:pStyle w:val="BodyTextIndent"/>
              <w:tabs>
                <w:tab w:val="decimal" w:pos="835"/>
              </w:tabs>
              <w:spacing w:before="60" w:after="0"/>
              <w:ind w:left="0" w:right="227"/>
              <w:rPr>
                <w:sz w:val="19"/>
              </w:rPr>
            </w:pPr>
          </w:p>
        </w:tc>
      </w:tr>
      <w:tr w:rsidR="00000000">
        <w:tblPrEx>
          <w:tblCellMar>
            <w:top w:w="0" w:type="dxa"/>
            <w:bottom w:w="0" w:type="dxa"/>
          </w:tblCellMar>
        </w:tblPrEx>
        <w:trPr>
          <w:cantSplit/>
        </w:trPr>
        <w:tc>
          <w:tcPr>
            <w:tcW w:w="3911" w:type="dxa"/>
          </w:tcPr>
          <w:p w:rsidR="00000000" w:rsidRDefault="00000000">
            <w:pPr>
              <w:pStyle w:val="BodyTextIndent"/>
              <w:tabs>
                <w:tab w:val="left" w:pos="374"/>
              </w:tabs>
              <w:spacing w:before="60" w:after="0"/>
              <w:ind w:left="0"/>
              <w:rPr>
                <w:sz w:val="19"/>
                <w:lang w:val="ru-RU"/>
              </w:rPr>
            </w:pPr>
            <w:r>
              <w:rPr>
                <w:sz w:val="19"/>
                <w:lang w:val="ru-RU"/>
              </w:rPr>
              <w:tab/>
              <w:t>Земля</w:t>
            </w:r>
          </w:p>
        </w:tc>
        <w:tc>
          <w:tcPr>
            <w:tcW w:w="1484" w:type="dxa"/>
            <w:gridSpan w:val="2"/>
          </w:tcPr>
          <w:p w:rsidR="00000000" w:rsidRDefault="00000000">
            <w:pPr>
              <w:pStyle w:val="BodyTextIndent"/>
              <w:tabs>
                <w:tab w:val="decimal" w:pos="1257"/>
              </w:tabs>
              <w:spacing w:before="60" w:after="0"/>
              <w:ind w:left="0" w:right="170"/>
              <w:rPr>
                <w:sz w:val="19"/>
              </w:rPr>
            </w:pPr>
            <w:r>
              <w:rPr>
                <w:sz w:val="19"/>
              </w:rPr>
              <w:t>177 143</w:t>
            </w:r>
          </w:p>
        </w:tc>
        <w:tc>
          <w:tcPr>
            <w:tcW w:w="1060" w:type="dxa"/>
            <w:gridSpan w:val="2"/>
          </w:tcPr>
          <w:p w:rsidR="00000000" w:rsidRDefault="00000000">
            <w:pPr>
              <w:pStyle w:val="BodyTextIndent"/>
              <w:tabs>
                <w:tab w:val="decimal" w:pos="834"/>
              </w:tabs>
              <w:spacing w:before="60" w:after="0"/>
              <w:ind w:left="0" w:right="170"/>
              <w:rPr>
                <w:sz w:val="19"/>
              </w:rPr>
            </w:pPr>
            <w:r>
              <w:rPr>
                <w:sz w:val="19"/>
              </w:rPr>
              <w:t>174 221</w:t>
            </w:r>
          </w:p>
        </w:tc>
        <w:tc>
          <w:tcPr>
            <w:tcW w:w="1838" w:type="dxa"/>
          </w:tcPr>
          <w:p w:rsidR="00000000" w:rsidRDefault="00000000">
            <w:pPr>
              <w:pStyle w:val="BodyTextIndent"/>
              <w:tabs>
                <w:tab w:val="decimal" w:pos="1010"/>
              </w:tabs>
              <w:spacing w:before="60" w:after="0"/>
              <w:ind w:left="0" w:right="227"/>
              <w:rPr>
                <w:sz w:val="19"/>
              </w:rPr>
            </w:pPr>
            <w:r>
              <w:rPr>
                <w:sz w:val="19"/>
              </w:rPr>
              <w:t>1 981</w:t>
            </w:r>
          </w:p>
        </w:tc>
        <w:tc>
          <w:tcPr>
            <w:tcW w:w="1120" w:type="dxa"/>
            <w:gridSpan w:val="2"/>
          </w:tcPr>
          <w:p w:rsidR="00000000" w:rsidRDefault="00000000">
            <w:pPr>
              <w:pStyle w:val="BodyTextIndent"/>
              <w:tabs>
                <w:tab w:val="decimal" w:pos="835"/>
              </w:tabs>
              <w:spacing w:before="60" w:after="0"/>
              <w:ind w:left="0" w:right="227"/>
              <w:rPr>
                <w:sz w:val="19"/>
              </w:rPr>
            </w:pPr>
            <w:r>
              <w:rPr>
                <w:sz w:val="19"/>
              </w:rPr>
              <w:t>941</w:t>
            </w:r>
          </w:p>
        </w:tc>
      </w:tr>
      <w:tr w:rsidR="00000000">
        <w:tblPrEx>
          <w:tblCellMar>
            <w:top w:w="0" w:type="dxa"/>
            <w:bottom w:w="0" w:type="dxa"/>
          </w:tblCellMar>
        </w:tblPrEx>
        <w:trPr>
          <w:cantSplit/>
        </w:trPr>
        <w:tc>
          <w:tcPr>
            <w:tcW w:w="3911" w:type="dxa"/>
          </w:tcPr>
          <w:p w:rsidR="00000000" w:rsidRDefault="00000000">
            <w:pPr>
              <w:pStyle w:val="BodyTextIndent"/>
              <w:tabs>
                <w:tab w:val="left" w:pos="374"/>
              </w:tabs>
              <w:spacing w:before="60" w:after="0"/>
              <w:ind w:left="0"/>
              <w:rPr>
                <w:sz w:val="19"/>
                <w:lang w:val="ru-RU"/>
              </w:rPr>
            </w:pPr>
            <w:r>
              <w:rPr>
                <w:sz w:val="19"/>
                <w:lang w:val="ru-RU"/>
              </w:rPr>
              <w:tab/>
              <w:t>Кирпич</w:t>
            </w:r>
          </w:p>
        </w:tc>
        <w:tc>
          <w:tcPr>
            <w:tcW w:w="1484" w:type="dxa"/>
            <w:gridSpan w:val="2"/>
          </w:tcPr>
          <w:p w:rsidR="00000000" w:rsidRDefault="00000000">
            <w:pPr>
              <w:pStyle w:val="BodyTextIndent"/>
              <w:tabs>
                <w:tab w:val="decimal" w:pos="1257"/>
              </w:tabs>
              <w:spacing w:before="60" w:after="0"/>
              <w:ind w:left="0" w:right="170"/>
              <w:rPr>
                <w:sz w:val="19"/>
              </w:rPr>
            </w:pPr>
            <w:r>
              <w:rPr>
                <w:sz w:val="19"/>
              </w:rPr>
              <w:t>8 731</w:t>
            </w:r>
          </w:p>
        </w:tc>
        <w:tc>
          <w:tcPr>
            <w:tcW w:w="1060" w:type="dxa"/>
            <w:gridSpan w:val="2"/>
          </w:tcPr>
          <w:p w:rsidR="00000000" w:rsidRDefault="00000000">
            <w:pPr>
              <w:pStyle w:val="BodyTextIndent"/>
              <w:tabs>
                <w:tab w:val="decimal" w:pos="834"/>
              </w:tabs>
              <w:spacing w:before="60" w:after="0"/>
              <w:ind w:left="0" w:right="170"/>
              <w:rPr>
                <w:sz w:val="19"/>
              </w:rPr>
            </w:pPr>
            <w:r>
              <w:rPr>
                <w:sz w:val="19"/>
              </w:rPr>
              <w:t>8 386</w:t>
            </w:r>
          </w:p>
        </w:tc>
        <w:tc>
          <w:tcPr>
            <w:tcW w:w="1838" w:type="dxa"/>
          </w:tcPr>
          <w:p w:rsidR="00000000" w:rsidRDefault="00000000">
            <w:pPr>
              <w:pStyle w:val="BodyTextIndent"/>
              <w:tabs>
                <w:tab w:val="decimal" w:pos="1010"/>
              </w:tabs>
              <w:spacing w:before="60" w:after="0"/>
              <w:ind w:left="0" w:right="227"/>
              <w:rPr>
                <w:sz w:val="19"/>
              </w:rPr>
            </w:pPr>
            <w:r>
              <w:rPr>
                <w:sz w:val="19"/>
              </w:rPr>
              <w:t>18</w:t>
            </w:r>
          </w:p>
        </w:tc>
        <w:tc>
          <w:tcPr>
            <w:tcW w:w="1120" w:type="dxa"/>
            <w:gridSpan w:val="2"/>
          </w:tcPr>
          <w:p w:rsidR="00000000" w:rsidRDefault="00000000">
            <w:pPr>
              <w:pStyle w:val="BodyTextIndent"/>
              <w:tabs>
                <w:tab w:val="decimal" w:pos="835"/>
              </w:tabs>
              <w:spacing w:before="60" w:after="0"/>
              <w:ind w:left="0" w:right="227"/>
              <w:rPr>
                <w:sz w:val="19"/>
              </w:rPr>
            </w:pPr>
            <w:r>
              <w:rPr>
                <w:sz w:val="19"/>
              </w:rPr>
              <w:t>327</w:t>
            </w:r>
          </w:p>
        </w:tc>
      </w:tr>
      <w:tr w:rsidR="00000000">
        <w:tblPrEx>
          <w:tblCellMar>
            <w:top w:w="0" w:type="dxa"/>
            <w:bottom w:w="0" w:type="dxa"/>
          </w:tblCellMar>
        </w:tblPrEx>
        <w:trPr>
          <w:cantSplit/>
        </w:trPr>
        <w:tc>
          <w:tcPr>
            <w:tcW w:w="3920" w:type="dxa"/>
            <w:gridSpan w:val="2"/>
          </w:tcPr>
          <w:p w:rsidR="00000000" w:rsidRDefault="00000000">
            <w:pPr>
              <w:pStyle w:val="BodyTextIndent"/>
              <w:tabs>
                <w:tab w:val="left" w:pos="392"/>
              </w:tabs>
              <w:spacing w:after="0"/>
              <w:ind w:left="0"/>
              <w:rPr>
                <w:sz w:val="19"/>
                <w:lang w:val="ru-RU"/>
              </w:rPr>
            </w:pPr>
            <w:r>
              <w:rPr>
                <w:sz w:val="19"/>
                <w:lang w:val="en-US"/>
              </w:rPr>
              <w:tab/>
            </w:r>
            <w:r>
              <w:rPr>
                <w:sz w:val="19"/>
                <w:lang w:val="ru-RU"/>
              </w:rPr>
              <w:t>Обычная плитка</w:t>
            </w:r>
          </w:p>
        </w:tc>
        <w:tc>
          <w:tcPr>
            <w:tcW w:w="1484" w:type="dxa"/>
            <w:gridSpan w:val="2"/>
          </w:tcPr>
          <w:p w:rsidR="00000000" w:rsidRDefault="00000000">
            <w:pPr>
              <w:pStyle w:val="BodyTextIndent"/>
              <w:spacing w:after="0"/>
              <w:ind w:left="0" w:right="614"/>
              <w:jc w:val="right"/>
              <w:rPr>
                <w:sz w:val="19"/>
                <w:lang w:val="ru-RU"/>
              </w:rPr>
            </w:pPr>
            <w:r>
              <w:rPr>
                <w:sz w:val="19"/>
                <w:lang w:val="ru-RU"/>
              </w:rPr>
              <w:t>1 177</w:t>
            </w:r>
          </w:p>
        </w:tc>
        <w:tc>
          <w:tcPr>
            <w:tcW w:w="1051" w:type="dxa"/>
          </w:tcPr>
          <w:p w:rsidR="00000000" w:rsidRDefault="00000000">
            <w:pPr>
              <w:pStyle w:val="BodyTextIndent"/>
              <w:spacing w:after="0"/>
              <w:ind w:left="0" w:right="201"/>
              <w:jc w:val="right"/>
              <w:rPr>
                <w:sz w:val="19"/>
                <w:lang w:val="ru-RU"/>
              </w:rPr>
            </w:pPr>
            <w:r>
              <w:rPr>
                <w:sz w:val="19"/>
                <w:lang w:val="ru-RU"/>
              </w:rPr>
              <w:t>24</w:t>
            </w:r>
          </w:p>
        </w:tc>
        <w:tc>
          <w:tcPr>
            <w:tcW w:w="1846" w:type="dxa"/>
            <w:gridSpan w:val="2"/>
          </w:tcPr>
          <w:p w:rsidR="00000000" w:rsidRDefault="00000000">
            <w:pPr>
              <w:pStyle w:val="BodyTextIndent"/>
              <w:spacing w:after="0"/>
              <w:ind w:left="0" w:right="376"/>
              <w:jc w:val="right"/>
              <w:rPr>
                <w:sz w:val="19"/>
                <w:lang w:val="ru-RU"/>
              </w:rPr>
            </w:pPr>
            <w:r>
              <w:rPr>
                <w:sz w:val="19"/>
                <w:lang w:val="ru-RU"/>
              </w:rPr>
              <w:t>7</w:t>
            </w:r>
          </w:p>
        </w:tc>
        <w:tc>
          <w:tcPr>
            <w:tcW w:w="1112" w:type="dxa"/>
          </w:tcPr>
          <w:p w:rsidR="00000000" w:rsidRDefault="00000000">
            <w:pPr>
              <w:pStyle w:val="BodyTextIndent"/>
              <w:spacing w:after="0"/>
              <w:ind w:left="0" w:right="216"/>
              <w:jc w:val="right"/>
              <w:rPr>
                <w:sz w:val="19"/>
                <w:lang w:val="ru-RU"/>
              </w:rPr>
            </w:pPr>
            <w:r>
              <w:rPr>
                <w:sz w:val="19"/>
                <w:lang w:val="ru-RU"/>
              </w:rPr>
              <w:t>1 146</w:t>
            </w:r>
          </w:p>
        </w:tc>
      </w:tr>
      <w:tr w:rsidR="00000000">
        <w:tblPrEx>
          <w:tblCellMar>
            <w:top w:w="0" w:type="dxa"/>
            <w:bottom w:w="0" w:type="dxa"/>
          </w:tblCellMar>
        </w:tblPrEx>
        <w:trPr>
          <w:cantSplit/>
        </w:trPr>
        <w:tc>
          <w:tcPr>
            <w:tcW w:w="3920" w:type="dxa"/>
            <w:gridSpan w:val="2"/>
          </w:tcPr>
          <w:p w:rsidR="00000000" w:rsidRDefault="00000000">
            <w:pPr>
              <w:pStyle w:val="BodyTextIndent"/>
              <w:tabs>
                <w:tab w:val="left" w:pos="374"/>
              </w:tabs>
              <w:spacing w:before="60" w:after="0"/>
              <w:ind w:left="0"/>
              <w:rPr>
                <w:sz w:val="19"/>
                <w:lang w:val="en-US"/>
              </w:rPr>
            </w:pPr>
            <w:r>
              <w:rPr>
                <w:sz w:val="19"/>
                <w:lang w:val="en-US"/>
              </w:rPr>
              <w:tab/>
              <w:t>Цемент</w:t>
            </w:r>
          </w:p>
        </w:tc>
        <w:tc>
          <w:tcPr>
            <w:tcW w:w="1484" w:type="dxa"/>
            <w:gridSpan w:val="2"/>
          </w:tcPr>
          <w:p w:rsidR="00000000" w:rsidRDefault="00000000">
            <w:pPr>
              <w:pStyle w:val="BodyTextIndent"/>
              <w:tabs>
                <w:tab w:val="left" w:pos="374"/>
              </w:tabs>
              <w:spacing w:before="60" w:after="0"/>
              <w:ind w:left="0" w:right="614"/>
              <w:jc w:val="right"/>
              <w:rPr>
                <w:sz w:val="19"/>
                <w:lang w:val="ru-RU"/>
              </w:rPr>
            </w:pPr>
            <w:r>
              <w:rPr>
                <w:sz w:val="19"/>
                <w:lang w:val="ru-RU"/>
              </w:rPr>
              <w:t>21 407</w:t>
            </w:r>
          </w:p>
        </w:tc>
        <w:tc>
          <w:tcPr>
            <w:tcW w:w="1051" w:type="dxa"/>
          </w:tcPr>
          <w:p w:rsidR="00000000" w:rsidRDefault="00000000">
            <w:pPr>
              <w:pStyle w:val="BodyTextIndent"/>
              <w:tabs>
                <w:tab w:val="left" w:pos="374"/>
              </w:tabs>
              <w:spacing w:before="60" w:after="0"/>
              <w:ind w:left="0" w:right="201"/>
              <w:jc w:val="right"/>
              <w:rPr>
                <w:sz w:val="19"/>
                <w:lang w:val="ru-RU"/>
              </w:rPr>
            </w:pPr>
            <w:r>
              <w:rPr>
                <w:sz w:val="19"/>
                <w:lang w:val="ru-RU"/>
              </w:rPr>
              <w:t>20 397</w:t>
            </w:r>
          </w:p>
        </w:tc>
        <w:tc>
          <w:tcPr>
            <w:tcW w:w="1846" w:type="dxa"/>
            <w:gridSpan w:val="2"/>
          </w:tcPr>
          <w:p w:rsidR="00000000" w:rsidRDefault="00000000">
            <w:pPr>
              <w:pStyle w:val="BodyTextIndent"/>
              <w:tabs>
                <w:tab w:val="left" w:pos="374"/>
              </w:tabs>
              <w:spacing w:before="60" w:after="0"/>
              <w:ind w:left="0" w:right="376"/>
              <w:jc w:val="right"/>
              <w:rPr>
                <w:sz w:val="19"/>
                <w:lang w:val="ru-RU"/>
              </w:rPr>
            </w:pPr>
            <w:r>
              <w:rPr>
                <w:sz w:val="19"/>
                <w:lang w:val="ru-RU"/>
              </w:rPr>
              <w:t>38</w:t>
            </w:r>
          </w:p>
        </w:tc>
        <w:tc>
          <w:tcPr>
            <w:tcW w:w="1112" w:type="dxa"/>
          </w:tcPr>
          <w:p w:rsidR="00000000" w:rsidRDefault="00000000">
            <w:pPr>
              <w:pStyle w:val="BodyTextIndent"/>
              <w:tabs>
                <w:tab w:val="left" w:pos="374"/>
              </w:tabs>
              <w:spacing w:before="60" w:after="0"/>
              <w:ind w:left="0" w:right="216"/>
              <w:jc w:val="right"/>
              <w:rPr>
                <w:sz w:val="19"/>
                <w:lang w:val="ru-RU"/>
              </w:rPr>
            </w:pPr>
            <w:r>
              <w:rPr>
                <w:sz w:val="19"/>
                <w:lang w:val="ru-RU"/>
              </w:rPr>
              <w:t>972</w:t>
            </w:r>
          </w:p>
        </w:tc>
      </w:tr>
      <w:tr w:rsidR="00000000">
        <w:tblPrEx>
          <w:tblCellMar>
            <w:top w:w="0" w:type="dxa"/>
            <w:bottom w:w="0" w:type="dxa"/>
          </w:tblCellMar>
        </w:tblPrEx>
        <w:trPr>
          <w:cantSplit/>
        </w:trPr>
        <w:tc>
          <w:tcPr>
            <w:tcW w:w="3920" w:type="dxa"/>
            <w:gridSpan w:val="2"/>
            <w:vAlign w:val="center"/>
          </w:tcPr>
          <w:p w:rsidR="00000000" w:rsidRDefault="00000000">
            <w:pPr>
              <w:pStyle w:val="BodyTextIndent"/>
              <w:tabs>
                <w:tab w:val="left" w:pos="374"/>
              </w:tabs>
              <w:spacing w:after="0"/>
              <w:ind w:left="0"/>
              <w:rPr>
                <w:sz w:val="19"/>
                <w:lang w:val="ru-RU"/>
              </w:rPr>
            </w:pPr>
            <w:r>
              <w:rPr>
                <w:sz w:val="19"/>
                <w:lang w:val="en-US"/>
              </w:rPr>
              <w:tab/>
            </w:r>
            <w:r>
              <w:rPr>
                <w:sz w:val="19"/>
                <w:lang w:val="ru-RU"/>
              </w:rPr>
              <w:t>Мозаика, керамика, гранит и мрамор</w:t>
            </w:r>
          </w:p>
        </w:tc>
        <w:tc>
          <w:tcPr>
            <w:tcW w:w="1484" w:type="dxa"/>
            <w:gridSpan w:val="2"/>
            <w:vAlign w:val="center"/>
          </w:tcPr>
          <w:p w:rsidR="00000000" w:rsidRDefault="00000000">
            <w:pPr>
              <w:pStyle w:val="BodyTextIndent"/>
              <w:tabs>
                <w:tab w:val="left" w:pos="374"/>
              </w:tabs>
              <w:spacing w:before="60" w:after="0"/>
              <w:ind w:left="0" w:right="614"/>
              <w:jc w:val="right"/>
              <w:rPr>
                <w:sz w:val="19"/>
                <w:lang w:val="ru-RU"/>
              </w:rPr>
            </w:pPr>
            <w:r>
              <w:rPr>
                <w:sz w:val="19"/>
                <w:lang w:val="ru-RU"/>
              </w:rPr>
              <w:t>346</w:t>
            </w:r>
          </w:p>
        </w:tc>
        <w:tc>
          <w:tcPr>
            <w:tcW w:w="1051" w:type="dxa"/>
            <w:vAlign w:val="center"/>
          </w:tcPr>
          <w:p w:rsidR="00000000" w:rsidRDefault="00000000">
            <w:pPr>
              <w:pStyle w:val="BodyTextIndent"/>
              <w:tabs>
                <w:tab w:val="left" w:pos="374"/>
              </w:tabs>
              <w:spacing w:before="60" w:after="0"/>
              <w:ind w:left="0" w:right="201"/>
              <w:jc w:val="right"/>
              <w:rPr>
                <w:sz w:val="19"/>
                <w:lang w:val="ru-RU"/>
              </w:rPr>
            </w:pPr>
            <w:r>
              <w:rPr>
                <w:sz w:val="19"/>
                <w:lang w:val="ru-RU"/>
              </w:rPr>
              <w:t>3</w:t>
            </w:r>
          </w:p>
        </w:tc>
        <w:tc>
          <w:tcPr>
            <w:tcW w:w="1846" w:type="dxa"/>
            <w:gridSpan w:val="2"/>
            <w:vAlign w:val="center"/>
          </w:tcPr>
          <w:p w:rsidR="00000000" w:rsidRDefault="00000000">
            <w:pPr>
              <w:pStyle w:val="BodyTextIndent"/>
              <w:tabs>
                <w:tab w:val="left" w:pos="374"/>
              </w:tabs>
              <w:spacing w:before="60" w:after="0"/>
              <w:ind w:left="0" w:right="376"/>
              <w:jc w:val="right"/>
              <w:rPr>
                <w:sz w:val="19"/>
                <w:lang w:val="ru-RU"/>
              </w:rPr>
            </w:pPr>
            <w:r>
              <w:rPr>
                <w:sz w:val="19"/>
                <w:lang w:val="ru-RU"/>
              </w:rPr>
              <w:t>-</w:t>
            </w:r>
          </w:p>
        </w:tc>
        <w:tc>
          <w:tcPr>
            <w:tcW w:w="1112" w:type="dxa"/>
            <w:vAlign w:val="center"/>
          </w:tcPr>
          <w:p w:rsidR="00000000" w:rsidRDefault="00000000">
            <w:pPr>
              <w:pStyle w:val="BodyTextIndent"/>
              <w:tabs>
                <w:tab w:val="left" w:pos="374"/>
              </w:tabs>
              <w:spacing w:before="60" w:after="0"/>
              <w:ind w:left="0" w:right="216"/>
              <w:jc w:val="right"/>
              <w:rPr>
                <w:sz w:val="19"/>
                <w:lang w:val="ru-RU"/>
              </w:rPr>
            </w:pPr>
            <w:r>
              <w:rPr>
                <w:sz w:val="19"/>
                <w:lang w:val="ru-RU"/>
              </w:rPr>
              <w:t>343</w:t>
            </w:r>
          </w:p>
        </w:tc>
      </w:tr>
      <w:tr w:rsidR="00000000">
        <w:tblPrEx>
          <w:tblCellMar>
            <w:top w:w="0" w:type="dxa"/>
            <w:bottom w:w="0" w:type="dxa"/>
          </w:tblCellMar>
        </w:tblPrEx>
        <w:trPr>
          <w:cantSplit/>
        </w:trPr>
        <w:tc>
          <w:tcPr>
            <w:tcW w:w="3920" w:type="dxa"/>
            <w:gridSpan w:val="2"/>
          </w:tcPr>
          <w:p w:rsidR="00000000" w:rsidRDefault="00000000">
            <w:pPr>
              <w:pStyle w:val="BodyTextIndent"/>
              <w:tabs>
                <w:tab w:val="left" w:pos="374"/>
              </w:tabs>
              <w:spacing w:after="0"/>
              <w:ind w:left="0"/>
              <w:rPr>
                <w:sz w:val="19"/>
                <w:lang w:val="en-US"/>
              </w:rPr>
            </w:pPr>
            <w:r>
              <w:rPr>
                <w:sz w:val="19"/>
                <w:lang w:val="en-US"/>
              </w:rPr>
              <w:tab/>
              <w:t>Доски</w:t>
            </w:r>
          </w:p>
        </w:tc>
        <w:tc>
          <w:tcPr>
            <w:tcW w:w="1484" w:type="dxa"/>
            <w:gridSpan w:val="2"/>
          </w:tcPr>
          <w:p w:rsidR="00000000" w:rsidRDefault="00000000">
            <w:pPr>
              <w:pStyle w:val="BodyTextIndent"/>
              <w:tabs>
                <w:tab w:val="left" w:pos="374"/>
              </w:tabs>
              <w:spacing w:before="60" w:after="0"/>
              <w:ind w:left="0" w:right="614"/>
              <w:jc w:val="right"/>
              <w:rPr>
                <w:sz w:val="19"/>
                <w:lang w:val="ru-RU"/>
              </w:rPr>
            </w:pPr>
            <w:r>
              <w:rPr>
                <w:sz w:val="19"/>
                <w:lang w:val="ru-RU"/>
              </w:rPr>
              <w:t>12 466</w:t>
            </w:r>
          </w:p>
        </w:tc>
        <w:tc>
          <w:tcPr>
            <w:tcW w:w="1051" w:type="dxa"/>
          </w:tcPr>
          <w:p w:rsidR="00000000" w:rsidRDefault="00000000">
            <w:pPr>
              <w:pStyle w:val="BodyTextIndent"/>
              <w:tabs>
                <w:tab w:val="left" w:pos="374"/>
              </w:tabs>
              <w:spacing w:before="60" w:after="0"/>
              <w:ind w:left="0" w:right="201"/>
              <w:jc w:val="right"/>
              <w:rPr>
                <w:sz w:val="19"/>
                <w:lang w:val="ru-RU"/>
              </w:rPr>
            </w:pPr>
            <w:r>
              <w:rPr>
                <w:sz w:val="19"/>
                <w:lang w:val="ru-RU"/>
              </w:rPr>
              <w:t>12 339</w:t>
            </w:r>
          </w:p>
        </w:tc>
        <w:tc>
          <w:tcPr>
            <w:tcW w:w="1846" w:type="dxa"/>
            <w:gridSpan w:val="2"/>
          </w:tcPr>
          <w:p w:rsidR="00000000" w:rsidRDefault="00000000">
            <w:pPr>
              <w:pStyle w:val="BodyTextIndent"/>
              <w:tabs>
                <w:tab w:val="left" w:pos="374"/>
              </w:tabs>
              <w:spacing w:before="60" w:after="0"/>
              <w:ind w:left="0" w:right="376"/>
              <w:jc w:val="right"/>
              <w:rPr>
                <w:sz w:val="19"/>
                <w:lang w:val="ru-RU"/>
              </w:rPr>
            </w:pPr>
            <w:r>
              <w:rPr>
                <w:sz w:val="19"/>
                <w:lang w:val="ru-RU"/>
              </w:rPr>
              <w:t>26</w:t>
            </w:r>
          </w:p>
        </w:tc>
        <w:tc>
          <w:tcPr>
            <w:tcW w:w="1112" w:type="dxa"/>
          </w:tcPr>
          <w:p w:rsidR="00000000" w:rsidRDefault="00000000">
            <w:pPr>
              <w:pStyle w:val="BodyTextIndent"/>
              <w:tabs>
                <w:tab w:val="left" w:pos="374"/>
              </w:tabs>
              <w:spacing w:before="60" w:after="0"/>
              <w:ind w:left="0" w:right="216"/>
              <w:jc w:val="right"/>
              <w:rPr>
                <w:sz w:val="19"/>
                <w:lang w:val="ru-RU"/>
              </w:rPr>
            </w:pPr>
            <w:r>
              <w:rPr>
                <w:sz w:val="19"/>
                <w:lang w:val="ru-RU"/>
              </w:rPr>
              <w:t>101</w:t>
            </w:r>
          </w:p>
        </w:tc>
      </w:tr>
      <w:tr w:rsidR="00000000">
        <w:tblPrEx>
          <w:tblCellMar>
            <w:top w:w="0" w:type="dxa"/>
            <w:bottom w:w="0" w:type="dxa"/>
          </w:tblCellMar>
        </w:tblPrEx>
        <w:trPr>
          <w:cantSplit/>
        </w:trPr>
        <w:tc>
          <w:tcPr>
            <w:tcW w:w="3920" w:type="dxa"/>
            <w:gridSpan w:val="2"/>
          </w:tcPr>
          <w:p w:rsidR="00000000" w:rsidRDefault="00000000">
            <w:pPr>
              <w:pStyle w:val="BodyTextIndent"/>
              <w:tabs>
                <w:tab w:val="left" w:pos="374"/>
              </w:tabs>
              <w:spacing w:after="0"/>
              <w:ind w:left="0"/>
              <w:rPr>
                <w:sz w:val="19"/>
                <w:lang w:val="en-US"/>
              </w:rPr>
            </w:pPr>
            <w:r>
              <w:rPr>
                <w:sz w:val="19"/>
                <w:lang w:val="en-US"/>
              </w:rPr>
              <w:tab/>
              <w:t>Паркет</w:t>
            </w:r>
          </w:p>
        </w:tc>
        <w:tc>
          <w:tcPr>
            <w:tcW w:w="1484" w:type="dxa"/>
            <w:gridSpan w:val="2"/>
          </w:tcPr>
          <w:p w:rsidR="00000000" w:rsidRDefault="00000000">
            <w:pPr>
              <w:pStyle w:val="BodyTextIndent"/>
              <w:tabs>
                <w:tab w:val="left" w:pos="374"/>
              </w:tabs>
              <w:spacing w:before="60" w:after="0"/>
              <w:ind w:left="0" w:right="614"/>
              <w:jc w:val="right"/>
              <w:rPr>
                <w:sz w:val="19"/>
                <w:lang w:val="ru-RU"/>
              </w:rPr>
            </w:pPr>
            <w:r>
              <w:rPr>
                <w:sz w:val="19"/>
                <w:lang w:val="ru-RU"/>
              </w:rPr>
              <w:t>-</w:t>
            </w:r>
          </w:p>
        </w:tc>
        <w:tc>
          <w:tcPr>
            <w:tcW w:w="1051" w:type="dxa"/>
          </w:tcPr>
          <w:p w:rsidR="00000000" w:rsidRDefault="00000000">
            <w:pPr>
              <w:pStyle w:val="BodyTextIndent"/>
              <w:tabs>
                <w:tab w:val="left" w:pos="374"/>
              </w:tabs>
              <w:spacing w:before="60" w:after="0"/>
              <w:ind w:left="0" w:right="201"/>
              <w:jc w:val="right"/>
              <w:rPr>
                <w:sz w:val="19"/>
                <w:lang w:val="ru-RU"/>
              </w:rPr>
            </w:pPr>
            <w:r>
              <w:rPr>
                <w:sz w:val="19"/>
                <w:lang w:val="ru-RU"/>
              </w:rPr>
              <w:t>-</w:t>
            </w:r>
          </w:p>
        </w:tc>
        <w:tc>
          <w:tcPr>
            <w:tcW w:w="1846" w:type="dxa"/>
            <w:gridSpan w:val="2"/>
          </w:tcPr>
          <w:p w:rsidR="00000000" w:rsidRDefault="00000000">
            <w:pPr>
              <w:pStyle w:val="BodyTextIndent"/>
              <w:tabs>
                <w:tab w:val="left" w:pos="374"/>
              </w:tabs>
              <w:spacing w:before="60" w:after="0"/>
              <w:ind w:left="0" w:right="376"/>
              <w:jc w:val="right"/>
              <w:rPr>
                <w:sz w:val="19"/>
                <w:lang w:val="ru-RU"/>
              </w:rPr>
            </w:pPr>
            <w:r>
              <w:rPr>
                <w:sz w:val="19"/>
                <w:lang w:val="ru-RU"/>
              </w:rPr>
              <w:t>-</w:t>
            </w:r>
          </w:p>
        </w:tc>
        <w:tc>
          <w:tcPr>
            <w:tcW w:w="1112" w:type="dxa"/>
          </w:tcPr>
          <w:p w:rsidR="00000000" w:rsidRDefault="00000000">
            <w:pPr>
              <w:pStyle w:val="BodyTextIndent"/>
              <w:tabs>
                <w:tab w:val="left" w:pos="374"/>
              </w:tabs>
              <w:spacing w:before="60" w:after="0"/>
              <w:ind w:left="0" w:right="216"/>
              <w:jc w:val="right"/>
              <w:rPr>
                <w:sz w:val="19"/>
                <w:lang w:val="ru-RU"/>
              </w:rPr>
            </w:pPr>
            <w:r>
              <w:rPr>
                <w:sz w:val="19"/>
                <w:lang w:val="ru-RU"/>
              </w:rPr>
              <w:t>-</w:t>
            </w:r>
          </w:p>
        </w:tc>
      </w:tr>
      <w:tr w:rsidR="00000000">
        <w:tblPrEx>
          <w:tblCellMar>
            <w:top w:w="0" w:type="dxa"/>
            <w:bottom w:w="0" w:type="dxa"/>
          </w:tblCellMar>
        </w:tblPrEx>
        <w:trPr>
          <w:cantSplit/>
        </w:trPr>
        <w:tc>
          <w:tcPr>
            <w:tcW w:w="3920" w:type="dxa"/>
            <w:gridSpan w:val="2"/>
          </w:tcPr>
          <w:p w:rsidR="00000000" w:rsidRDefault="00000000">
            <w:pPr>
              <w:pStyle w:val="BodyTextIndent"/>
              <w:tabs>
                <w:tab w:val="left" w:pos="374"/>
              </w:tabs>
              <w:spacing w:after="0"/>
              <w:ind w:left="0"/>
              <w:rPr>
                <w:sz w:val="19"/>
                <w:lang w:val="en-US"/>
              </w:rPr>
            </w:pPr>
            <w:r>
              <w:rPr>
                <w:sz w:val="19"/>
                <w:lang w:val="en-US"/>
              </w:rPr>
              <w:tab/>
              <w:t>Ковровое покрытие</w:t>
            </w:r>
          </w:p>
        </w:tc>
        <w:tc>
          <w:tcPr>
            <w:tcW w:w="1484" w:type="dxa"/>
            <w:gridSpan w:val="2"/>
          </w:tcPr>
          <w:p w:rsidR="00000000" w:rsidRDefault="00000000">
            <w:pPr>
              <w:pStyle w:val="BodyTextIndent"/>
              <w:tabs>
                <w:tab w:val="left" w:pos="374"/>
              </w:tabs>
              <w:spacing w:before="60" w:after="0"/>
              <w:ind w:left="0" w:right="614"/>
              <w:jc w:val="right"/>
              <w:rPr>
                <w:sz w:val="19"/>
                <w:lang w:val="ru-RU"/>
              </w:rPr>
            </w:pPr>
            <w:r>
              <w:rPr>
                <w:sz w:val="19"/>
                <w:lang w:val="ru-RU"/>
              </w:rPr>
              <w:t>12</w:t>
            </w:r>
          </w:p>
        </w:tc>
        <w:tc>
          <w:tcPr>
            <w:tcW w:w="1051" w:type="dxa"/>
          </w:tcPr>
          <w:p w:rsidR="00000000" w:rsidRDefault="00000000">
            <w:pPr>
              <w:pStyle w:val="BodyTextIndent"/>
              <w:tabs>
                <w:tab w:val="left" w:pos="374"/>
              </w:tabs>
              <w:spacing w:before="60" w:after="0"/>
              <w:ind w:left="0" w:right="201"/>
              <w:jc w:val="right"/>
              <w:rPr>
                <w:sz w:val="19"/>
                <w:lang w:val="ru-RU"/>
              </w:rPr>
            </w:pPr>
            <w:r>
              <w:rPr>
                <w:sz w:val="19"/>
                <w:lang w:val="ru-RU"/>
              </w:rPr>
              <w:t>-</w:t>
            </w:r>
          </w:p>
        </w:tc>
        <w:tc>
          <w:tcPr>
            <w:tcW w:w="1846" w:type="dxa"/>
            <w:gridSpan w:val="2"/>
          </w:tcPr>
          <w:p w:rsidR="00000000" w:rsidRDefault="00000000">
            <w:pPr>
              <w:pStyle w:val="BodyTextIndent"/>
              <w:tabs>
                <w:tab w:val="left" w:pos="374"/>
              </w:tabs>
              <w:spacing w:before="60" w:after="0"/>
              <w:ind w:left="0" w:right="376"/>
              <w:jc w:val="right"/>
              <w:rPr>
                <w:sz w:val="19"/>
                <w:lang w:val="ru-RU"/>
              </w:rPr>
            </w:pPr>
            <w:r>
              <w:rPr>
                <w:sz w:val="19"/>
                <w:lang w:val="ru-RU"/>
              </w:rPr>
              <w:t>-</w:t>
            </w:r>
          </w:p>
        </w:tc>
        <w:tc>
          <w:tcPr>
            <w:tcW w:w="1112" w:type="dxa"/>
          </w:tcPr>
          <w:p w:rsidR="00000000" w:rsidRDefault="00000000">
            <w:pPr>
              <w:pStyle w:val="BodyTextIndent"/>
              <w:tabs>
                <w:tab w:val="left" w:pos="374"/>
              </w:tabs>
              <w:spacing w:before="60" w:after="0"/>
              <w:ind w:left="0" w:right="216"/>
              <w:jc w:val="right"/>
              <w:rPr>
                <w:sz w:val="19"/>
                <w:lang w:val="ru-RU"/>
              </w:rPr>
            </w:pPr>
            <w:r>
              <w:rPr>
                <w:sz w:val="19"/>
                <w:lang w:val="ru-RU"/>
              </w:rPr>
              <w:t>12</w:t>
            </w:r>
          </w:p>
        </w:tc>
      </w:tr>
      <w:tr w:rsidR="00000000">
        <w:tblPrEx>
          <w:tblCellMar>
            <w:top w:w="0" w:type="dxa"/>
            <w:bottom w:w="0" w:type="dxa"/>
          </w:tblCellMar>
        </w:tblPrEx>
        <w:trPr>
          <w:cantSplit/>
        </w:trPr>
        <w:tc>
          <w:tcPr>
            <w:tcW w:w="3920" w:type="dxa"/>
            <w:gridSpan w:val="2"/>
          </w:tcPr>
          <w:p w:rsidR="00000000" w:rsidRDefault="00000000">
            <w:pPr>
              <w:pStyle w:val="BodyTextIndent"/>
              <w:tabs>
                <w:tab w:val="left" w:pos="374"/>
              </w:tabs>
              <w:spacing w:after="0"/>
              <w:ind w:left="0"/>
              <w:rPr>
                <w:sz w:val="19"/>
                <w:lang w:val="en-US"/>
              </w:rPr>
            </w:pPr>
            <w:r>
              <w:rPr>
                <w:sz w:val="19"/>
                <w:lang w:val="en-US"/>
              </w:rPr>
              <w:tab/>
              <w:t>Иное</w:t>
            </w:r>
          </w:p>
        </w:tc>
        <w:tc>
          <w:tcPr>
            <w:tcW w:w="1484" w:type="dxa"/>
            <w:gridSpan w:val="2"/>
          </w:tcPr>
          <w:p w:rsidR="00000000" w:rsidRDefault="00000000">
            <w:pPr>
              <w:pStyle w:val="BodyTextIndent"/>
              <w:tabs>
                <w:tab w:val="left" w:pos="374"/>
              </w:tabs>
              <w:spacing w:before="60" w:after="0"/>
              <w:ind w:left="0" w:right="614"/>
              <w:jc w:val="right"/>
              <w:rPr>
                <w:sz w:val="19"/>
                <w:lang w:val="ru-RU"/>
              </w:rPr>
            </w:pPr>
            <w:r>
              <w:rPr>
                <w:sz w:val="19"/>
                <w:lang w:val="ru-RU"/>
              </w:rPr>
              <w:t>1 016</w:t>
            </w:r>
          </w:p>
        </w:tc>
        <w:tc>
          <w:tcPr>
            <w:tcW w:w="1051" w:type="dxa"/>
          </w:tcPr>
          <w:p w:rsidR="00000000" w:rsidRDefault="00000000">
            <w:pPr>
              <w:pStyle w:val="BodyTextIndent"/>
              <w:tabs>
                <w:tab w:val="left" w:pos="374"/>
              </w:tabs>
              <w:spacing w:before="60" w:after="0"/>
              <w:ind w:left="0" w:right="201"/>
              <w:jc w:val="right"/>
              <w:rPr>
                <w:sz w:val="19"/>
                <w:lang w:val="ru-RU"/>
              </w:rPr>
            </w:pPr>
            <w:r>
              <w:rPr>
                <w:sz w:val="19"/>
                <w:lang w:val="ru-RU"/>
              </w:rPr>
              <w:t>881</w:t>
            </w:r>
          </w:p>
        </w:tc>
        <w:tc>
          <w:tcPr>
            <w:tcW w:w="1846" w:type="dxa"/>
            <w:gridSpan w:val="2"/>
          </w:tcPr>
          <w:p w:rsidR="00000000" w:rsidRDefault="00000000">
            <w:pPr>
              <w:pStyle w:val="BodyTextIndent"/>
              <w:tabs>
                <w:tab w:val="left" w:pos="374"/>
              </w:tabs>
              <w:spacing w:before="60" w:after="0"/>
              <w:ind w:left="0" w:right="376"/>
              <w:jc w:val="right"/>
              <w:rPr>
                <w:sz w:val="19"/>
                <w:lang w:val="ru-RU"/>
              </w:rPr>
            </w:pPr>
            <w:r>
              <w:rPr>
                <w:sz w:val="19"/>
                <w:lang w:val="ru-RU"/>
              </w:rPr>
              <w:t>21</w:t>
            </w:r>
          </w:p>
        </w:tc>
        <w:tc>
          <w:tcPr>
            <w:tcW w:w="1112" w:type="dxa"/>
          </w:tcPr>
          <w:p w:rsidR="00000000" w:rsidRDefault="00000000">
            <w:pPr>
              <w:pStyle w:val="BodyTextIndent"/>
              <w:tabs>
                <w:tab w:val="left" w:pos="374"/>
              </w:tabs>
              <w:spacing w:before="60" w:after="0"/>
              <w:ind w:left="0" w:right="216"/>
              <w:jc w:val="right"/>
              <w:rPr>
                <w:sz w:val="19"/>
                <w:lang w:val="ru-RU"/>
              </w:rPr>
            </w:pPr>
            <w:r>
              <w:rPr>
                <w:sz w:val="19"/>
                <w:lang w:val="ru-RU"/>
              </w:rPr>
              <w:t>114</w:t>
            </w:r>
          </w:p>
        </w:tc>
      </w:tr>
      <w:tr w:rsidR="00000000">
        <w:tblPrEx>
          <w:tblCellMar>
            <w:top w:w="0" w:type="dxa"/>
            <w:bottom w:w="0" w:type="dxa"/>
          </w:tblCellMar>
        </w:tblPrEx>
        <w:trPr>
          <w:cantSplit/>
        </w:trPr>
        <w:tc>
          <w:tcPr>
            <w:tcW w:w="3920" w:type="dxa"/>
            <w:gridSpan w:val="2"/>
          </w:tcPr>
          <w:p w:rsidR="00000000" w:rsidRDefault="00000000">
            <w:pPr>
              <w:pStyle w:val="BodyTextIndent"/>
              <w:tabs>
                <w:tab w:val="left" w:pos="374"/>
              </w:tabs>
              <w:spacing w:after="0"/>
              <w:ind w:left="0"/>
              <w:rPr>
                <w:sz w:val="19"/>
                <w:lang w:val="en-US"/>
              </w:rPr>
            </w:pPr>
            <w:r>
              <w:rPr>
                <w:sz w:val="19"/>
                <w:lang w:val="en-US"/>
              </w:rPr>
              <w:t>C.</w:t>
            </w:r>
            <w:r>
              <w:rPr>
                <w:sz w:val="19"/>
                <w:lang w:val="en-US"/>
              </w:rPr>
              <w:tab/>
              <w:t>Крыша</w:t>
            </w:r>
          </w:p>
        </w:tc>
        <w:tc>
          <w:tcPr>
            <w:tcW w:w="1484" w:type="dxa"/>
            <w:gridSpan w:val="2"/>
          </w:tcPr>
          <w:p w:rsidR="00000000" w:rsidRDefault="00000000">
            <w:pPr>
              <w:pStyle w:val="BodyTextIndent"/>
              <w:tabs>
                <w:tab w:val="left" w:pos="374"/>
              </w:tabs>
              <w:spacing w:before="60" w:after="0"/>
              <w:ind w:left="0" w:right="614"/>
              <w:jc w:val="right"/>
              <w:rPr>
                <w:sz w:val="19"/>
                <w:lang w:val="ru-RU"/>
              </w:rPr>
            </w:pPr>
          </w:p>
        </w:tc>
        <w:tc>
          <w:tcPr>
            <w:tcW w:w="1051" w:type="dxa"/>
          </w:tcPr>
          <w:p w:rsidR="00000000" w:rsidRDefault="00000000">
            <w:pPr>
              <w:pStyle w:val="BodyTextIndent"/>
              <w:tabs>
                <w:tab w:val="left" w:pos="374"/>
              </w:tabs>
              <w:spacing w:before="60" w:after="0"/>
              <w:ind w:left="0" w:right="201"/>
              <w:jc w:val="right"/>
              <w:rPr>
                <w:sz w:val="19"/>
                <w:lang w:val="ru-RU"/>
              </w:rPr>
            </w:pPr>
          </w:p>
        </w:tc>
        <w:tc>
          <w:tcPr>
            <w:tcW w:w="1846" w:type="dxa"/>
            <w:gridSpan w:val="2"/>
          </w:tcPr>
          <w:p w:rsidR="00000000" w:rsidRDefault="00000000">
            <w:pPr>
              <w:pStyle w:val="BodyTextIndent"/>
              <w:tabs>
                <w:tab w:val="left" w:pos="374"/>
              </w:tabs>
              <w:spacing w:before="60" w:after="0"/>
              <w:ind w:left="0" w:right="376"/>
              <w:jc w:val="right"/>
              <w:rPr>
                <w:sz w:val="19"/>
                <w:lang w:val="ru-RU"/>
              </w:rPr>
            </w:pPr>
          </w:p>
        </w:tc>
        <w:tc>
          <w:tcPr>
            <w:tcW w:w="1112" w:type="dxa"/>
          </w:tcPr>
          <w:p w:rsidR="00000000" w:rsidRDefault="00000000">
            <w:pPr>
              <w:pStyle w:val="BodyTextIndent"/>
              <w:tabs>
                <w:tab w:val="left" w:pos="374"/>
              </w:tabs>
              <w:spacing w:before="60" w:after="0"/>
              <w:ind w:left="0" w:right="216"/>
              <w:jc w:val="right"/>
              <w:rPr>
                <w:sz w:val="19"/>
                <w:lang w:val="ru-RU"/>
              </w:rPr>
            </w:pPr>
          </w:p>
        </w:tc>
      </w:tr>
      <w:tr w:rsidR="00000000">
        <w:tblPrEx>
          <w:tblCellMar>
            <w:top w:w="0" w:type="dxa"/>
            <w:bottom w:w="0" w:type="dxa"/>
          </w:tblCellMar>
        </w:tblPrEx>
        <w:trPr>
          <w:cantSplit/>
        </w:trPr>
        <w:tc>
          <w:tcPr>
            <w:tcW w:w="3920" w:type="dxa"/>
            <w:gridSpan w:val="2"/>
          </w:tcPr>
          <w:p w:rsidR="00000000" w:rsidRDefault="00000000">
            <w:pPr>
              <w:pStyle w:val="BodyTextIndent"/>
              <w:tabs>
                <w:tab w:val="left" w:pos="374"/>
              </w:tabs>
              <w:spacing w:after="0"/>
              <w:ind w:left="0"/>
              <w:rPr>
                <w:sz w:val="19"/>
                <w:lang w:val="en-US"/>
              </w:rPr>
            </w:pPr>
            <w:r>
              <w:rPr>
                <w:sz w:val="19"/>
                <w:lang w:val="en-US"/>
              </w:rPr>
              <w:tab/>
              <w:t>Черепица</w:t>
            </w:r>
          </w:p>
        </w:tc>
        <w:tc>
          <w:tcPr>
            <w:tcW w:w="1484" w:type="dxa"/>
            <w:gridSpan w:val="2"/>
          </w:tcPr>
          <w:p w:rsidR="00000000" w:rsidRDefault="00000000">
            <w:pPr>
              <w:pStyle w:val="BodyTextIndent"/>
              <w:tabs>
                <w:tab w:val="left" w:pos="374"/>
              </w:tabs>
              <w:spacing w:before="60" w:after="0"/>
              <w:ind w:left="0" w:right="614"/>
              <w:jc w:val="right"/>
              <w:rPr>
                <w:sz w:val="19"/>
                <w:lang w:val="ru-RU"/>
              </w:rPr>
            </w:pPr>
            <w:r>
              <w:rPr>
                <w:sz w:val="19"/>
                <w:lang w:val="ru-RU"/>
              </w:rPr>
              <w:t>21 715</w:t>
            </w:r>
          </w:p>
        </w:tc>
        <w:tc>
          <w:tcPr>
            <w:tcW w:w="1051" w:type="dxa"/>
          </w:tcPr>
          <w:p w:rsidR="00000000" w:rsidRDefault="00000000">
            <w:pPr>
              <w:pStyle w:val="BodyTextIndent"/>
              <w:tabs>
                <w:tab w:val="left" w:pos="374"/>
              </w:tabs>
              <w:spacing w:before="60" w:after="0"/>
              <w:ind w:left="0" w:right="201"/>
              <w:jc w:val="right"/>
              <w:rPr>
                <w:sz w:val="19"/>
                <w:lang w:val="ru-RU"/>
              </w:rPr>
            </w:pPr>
            <w:r>
              <w:rPr>
                <w:sz w:val="19"/>
                <w:lang w:val="ru-RU"/>
              </w:rPr>
              <w:t>20 132</w:t>
            </w:r>
          </w:p>
        </w:tc>
        <w:tc>
          <w:tcPr>
            <w:tcW w:w="1846" w:type="dxa"/>
            <w:gridSpan w:val="2"/>
          </w:tcPr>
          <w:p w:rsidR="00000000" w:rsidRDefault="00000000">
            <w:pPr>
              <w:pStyle w:val="BodyTextIndent"/>
              <w:tabs>
                <w:tab w:val="left" w:pos="374"/>
              </w:tabs>
              <w:spacing w:before="60" w:after="0"/>
              <w:ind w:left="0" w:right="376"/>
              <w:jc w:val="right"/>
              <w:rPr>
                <w:sz w:val="19"/>
                <w:lang w:val="ru-RU"/>
              </w:rPr>
            </w:pPr>
            <w:r>
              <w:rPr>
                <w:sz w:val="19"/>
                <w:lang w:val="ru-RU"/>
              </w:rPr>
              <w:t>44</w:t>
            </w:r>
          </w:p>
        </w:tc>
        <w:tc>
          <w:tcPr>
            <w:tcW w:w="1112" w:type="dxa"/>
          </w:tcPr>
          <w:p w:rsidR="00000000" w:rsidRDefault="00000000">
            <w:pPr>
              <w:pStyle w:val="BodyTextIndent"/>
              <w:tabs>
                <w:tab w:val="left" w:pos="374"/>
              </w:tabs>
              <w:spacing w:before="60" w:after="0"/>
              <w:ind w:left="0" w:right="216"/>
              <w:jc w:val="right"/>
              <w:rPr>
                <w:sz w:val="19"/>
                <w:lang w:val="ru-RU"/>
              </w:rPr>
            </w:pPr>
            <w:r>
              <w:rPr>
                <w:sz w:val="19"/>
                <w:lang w:val="ru-RU"/>
              </w:rPr>
              <w:t>1 539</w:t>
            </w:r>
          </w:p>
        </w:tc>
      </w:tr>
      <w:tr w:rsidR="00000000">
        <w:tblPrEx>
          <w:tblCellMar>
            <w:top w:w="0" w:type="dxa"/>
            <w:bottom w:w="0" w:type="dxa"/>
          </w:tblCellMar>
        </w:tblPrEx>
        <w:trPr>
          <w:cantSplit/>
        </w:trPr>
        <w:tc>
          <w:tcPr>
            <w:tcW w:w="3920" w:type="dxa"/>
            <w:gridSpan w:val="2"/>
          </w:tcPr>
          <w:p w:rsidR="00000000" w:rsidRDefault="00000000">
            <w:pPr>
              <w:pStyle w:val="BodyTextIndent"/>
              <w:tabs>
                <w:tab w:val="left" w:pos="374"/>
              </w:tabs>
              <w:spacing w:after="0"/>
              <w:ind w:left="0"/>
              <w:rPr>
                <w:sz w:val="19"/>
                <w:lang w:val="en-US"/>
              </w:rPr>
            </w:pPr>
            <w:r>
              <w:rPr>
                <w:sz w:val="19"/>
                <w:lang w:val="en-US"/>
              </w:rPr>
              <w:tab/>
              <w:t>Солома</w:t>
            </w:r>
          </w:p>
        </w:tc>
        <w:tc>
          <w:tcPr>
            <w:tcW w:w="1484" w:type="dxa"/>
            <w:gridSpan w:val="2"/>
          </w:tcPr>
          <w:p w:rsidR="00000000" w:rsidRDefault="00000000">
            <w:pPr>
              <w:pStyle w:val="BodyTextIndent"/>
              <w:tabs>
                <w:tab w:val="left" w:pos="374"/>
              </w:tabs>
              <w:spacing w:before="60" w:after="0"/>
              <w:ind w:left="0" w:right="614"/>
              <w:jc w:val="right"/>
              <w:rPr>
                <w:sz w:val="19"/>
                <w:lang w:val="ru-RU"/>
              </w:rPr>
            </w:pPr>
            <w:r>
              <w:rPr>
                <w:sz w:val="19"/>
                <w:lang w:val="ru-RU"/>
              </w:rPr>
              <w:t>90 844</w:t>
            </w:r>
          </w:p>
        </w:tc>
        <w:tc>
          <w:tcPr>
            <w:tcW w:w="1051" w:type="dxa"/>
          </w:tcPr>
          <w:p w:rsidR="00000000" w:rsidRDefault="00000000">
            <w:pPr>
              <w:pStyle w:val="BodyTextIndent"/>
              <w:tabs>
                <w:tab w:val="left" w:pos="374"/>
              </w:tabs>
              <w:spacing w:before="60" w:after="0"/>
              <w:ind w:left="0" w:right="201"/>
              <w:jc w:val="right"/>
              <w:rPr>
                <w:sz w:val="19"/>
                <w:lang w:val="ru-RU"/>
              </w:rPr>
            </w:pPr>
            <w:r>
              <w:rPr>
                <w:sz w:val="19"/>
                <w:lang w:val="ru-RU"/>
              </w:rPr>
              <w:t>90 338</w:t>
            </w:r>
          </w:p>
        </w:tc>
        <w:tc>
          <w:tcPr>
            <w:tcW w:w="1846" w:type="dxa"/>
            <w:gridSpan w:val="2"/>
          </w:tcPr>
          <w:p w:rsidR="00000000" w:rsidRDefault="00000000">
            <w:pPr>
              <w:pStyle w:val="BodyTextIndent"/>
              <w:tabs>
                <w:tab w:val="left" w:pos="374"/>
              </w:tabs>
              <w:spacing w:before="60" w:after="0"/>
              <w:ind w:left="0" w:right="376"/>
              <w:jc w:val="right"/>
              <w:rPr>
                <w:sz w:val="19"/>
                <w:lang w:val="ru-RU"/>
              </w:rPr>
            </w:pPr>
            <w:r>
              <w:rPr>
                <w:sz w:val="19"/>
                <w:lang w:val="ru-RU"/>
              </w:rPr>
              <w:t>298</w:t>
            </w:r>
          </w:p>
        </w:tc>
        <w:tc>
          <w:tcPr>
            <w:tcW w:w="1112" w:type="dxa"/>
          </w:tcPr>
          <w:p w:rsidR="00000000" w:rsidRDefault="00000000">
            <w:pPr>
              <w:pStyle w:val="BodyTextIndent"/>
              <w:tabs>
                <w:tab w:val="left" w:pos="374"/>
              </w:tabs>
              <w:spacing w:before="60" w:after="0"/>
              <w:ind w:left="0" w:right="216"/>
              <w:jc w:val="right"/>
              <w:rPr>
                <w:sz w:val="19"/>
                <w:lang w:val="ru-RU"/>
              </w:rPr>
            </w:pPr>
            <w:r>
              <w:rPr>
                <w:sz w:val="19"/>
                <w:lang w:val="ru-RU"/>
              </w:rPr>
              <w:t>208</w:t>
            </w:r>
          </w:p>
        </w:tc>
      </w:tr>
      <w:tr w:rsidR="00000000">
        <w:tblPrEx>
          <w:tblCellMar>
            <w:top w:w="0" w:type="dxa"/>
            <w:bottom w:w="0" w:type="dxa"/>
          </w:tblCellMar>
        </w:tblPrEx>
        <w:trPr>
          <w:cantSplit/>
        </w:trPr>
        <w:tc>
          <w:tcPr>
            <w:tcW w:w="3920" w:type="dxa"/>
            <w:gridSpan w:val="2"/>
          </w:tcPr>
          <w:p w:rsidR="00000000" w:rsidRDefault="00000000">
            <w:pPr>
              <w:pStyle w:val="BodyTextIndent"/>
              <w:tabs>
                <w:tab w:val="left" w:pos="374"/>
              </w:tabs>
              <w:spacing w:after="0"/>
              <w:ind w:left="374" w:hanging="374"/>
              <w:rPr>
                <w:sz w:val="19"/>
                <w:lang w:val="ru-RU"/>
              </w:rPr>
            </w:pPr>
            <w:r>
              <w:rPr>
                <w:sz w:val="19"/>
                <w:lang w:val="en-US"/>
              </w:rPr>
              <w:tab/>
            </w:r>
            <w:r>
              <w:rPr>
                <w:sz w:val="19"/>
                <w:lang w:val="ru-RU"/>
              </w:rPr>
              <w:t>Фиброцемент или аналогичный атериал (этернит)</w:t>
            </w:r>
          </w:p>
        </w:tc>
        <w:tc>
          <w:tcPr>
            <w:tcW w:w="1484" w:type="dxa"/>
            <w:gridSpan w:val="2"/>
          </w:tcPr>
          <w:p w:rsidR="00000000" w:rsidRDefault="00000000">
            <w:pPr>
              <w:pStyle w:val="BodyTextIndent"/>
              <w:tabs>
                <w:tab w:val="left" w:pos="374"/>
              </w:tabs>
              <w:spacing w:before="60" w:after="0"/>
              <w:ind w:left="0" w:right="614"/>
              <w:jc w:val="right"/>
              <w:rPr>
                <w:sz w:val="19"/>
                <w:lang w:val="ru-RU"/>
              </w:rPr>
            </w:pPr>
            <w:r>
              <w:rPr>
                <w:sz w:val="19"/>
                <w:lang w:val="ru-RU"/>
              </w:rPr>
              <w:t>55 347</w:t>
            </w:r>
          </w:p>
        </w:tc>
        <w:tc>
          <w:tcPr>
            <w:tcW w:w="1051" w:type="dxa"/>
          </w:tcPr>
          <w:p w:rsidR="00000000" w:rsidRDefault="00000000">
            <w:pPr>
              <w:pStyle w:val="BodyTextIndent"/>
              <w:tabs>
                <w:tab w:val="left" w:pos="374"/>
              </w:tabs>
              <w:spacing w:before="60" w:after="0"/>
              <w:ind w:left="0" w:right="201"/>
              <w:jc w:val="right"/>
              <w:rPr>
                <w:sz w:val="19"/>
                <w:lang w:val="ru-RU"/>
              </w:rPr>
            </w:pPr>
            <w:r>
              <w:rPr>
                <w:sz w:val="19"/>
                <w:lang w:val="ru-RU"/>
              </w:rPr>
              <w:t>54 568</w:t>
            </w:r>
          </w:p>
        </w:tc>
        <w:tc>
          <w:tcPr>
            <w:tcW w:w="1846" w:type="dxa"/>
            <w:gridSpan w:val="2"/>
          </w:tcPr>
          <w:p w:rsidR="00000000" w:rsidRDefault="00000000">
            <w:pPr>
              <w:pStyle w:val="BodyTextIndent"/>
              <w:tabs>
                <w:tab w:val="left" w:pos="374"/>
              </w:tabs>
              <w:spacing w:before="60" w:after="0"/>
              <w:ind w:left="0" w:right="376"/>
              <w:jc w:val="right"/>
              <w:rPr>
                <w:sz w:val="19"/>
                <w:lang w:val="ru-RU"/>
              </w:rPr>
            </w:pPr>
            <w:r>
              <w:rPr>
                <w:sz w:val="19"/>
                <w:lang w:val="ru-RU"/>
              </w:rPr>
              <w:t>207</w:t>
            </w:r>
          </w:p>
        </w:tc>
        <w:tc>
          <w:tcPr>
            <w:tcW w:w="1112" w:type="dxa"/>
          </w:tcPr>
          <w:p w:rsidR="00000000" w:rsidRDefault="00000000">
            <w:pPr>
              <w:pStyle w:val="BodyTextIndent"/>
              <w:tabs>
                <w:tab w:val="left" w:pos="374"/>
              </w:tabs>
              <w:spacing w:before="60" w:after="0"/>
              <w:ind w:left="0" w:right="216"/>
              <w:jc w:val="right"/>
              <w:rPr>
                <w:sz w:val="19"/>
                <w:lang w:val="ru-RU"/>
              </w:rPr>
            </w:pPr>
            <w:r>
              <w:rPr>
                <w:sz w:val="19"/>
                <w:lang w:val="ru-RU"/>
              </w:rPr>
              <w:t>572</w:t>
            </w:r>
          </w:p>
        </w:tc>
      </w:tr>
      <w:tr w:rsidR="00000000">
        <w:tblPrEx>
          <w:tblCellMar>
            <w:top w:w="0" w:type="dxa"/>
            <w:bottom w:w="0" w:type="dxa"/>
          </w:tblCellMar>
        </w:tblPrEx>
        <w:trPr>
          <w:cantSplit/>
        </w:trPr>
        <w:tc>
          <w:tcPr>
            <w:tcW w:w="3920" w:type="dxa"/>
            <w:gridSpan w:val="2"/>
          </w:tcPr>
          <w:p w:rsidR="00000000" w:rsidRDefault="00000000">
            <w:pPr>
              <w:pStyle w:val="BodyTextIndent"/>
              <w:tabs>
                <w:tab w:val="left" w:pos="374"/>
              </w:tabs>
              <w:spacing w:after="0"/>
              <w:ind w:left="0"/>
              <w:rPr>
                <w:sz w:val="19"/>
                <w:lang w:val="en-US"/>
              </w:rPr>
            </w:pPr>
            <w:r>
              <w:rPr>
                <w:sz w:val="19"/>
                <w:lang w:val="en-US"/>
              </w:rPr>
              <w:tab/>
              <w:t>Цинковые листы</w:t>
            </w:r>
          </w:p>
        </w:tc>
        <w:tc>
          <w:tcPr>
            <w:tcW w:w="1484" w:type="dxa"/>
            <w:gridSpan w:val="2"/>
          </w:tcPr>
          <w:p w:rsidR="00000000" w:rsidRDefault="00000000">
            <w:pPr>
              <w:pStyle w:val="BodyTextIndent"/>
              <w:tabs>
                <w:tab w:val="left" w:pos="374"/>
              </w:tabs>
              <w:spacing w:before="60" w:after="0"/>
              <w:ind w:left="0" w:right="614"/>
              <w:jc w:val="right"/>
              <w:rPr>
                <w:sz w:val="19"/>
                <w:lang w:val="ru-RU"/>
              </w:rPr>
            </w:pPr>
            <w:r>
              <w:rPr>
                <w:sz w:val="19"/>
                <w:lang w:val="ru-RU"/>
              </w:rPr>
              <w:t>44 684</w:t>
            </w:r>
          </w:p>
        </w:tc>
        <w:tc>
          <w:tcPr>
            <w:tcW w:w="1051" w:type="dxa"/>
          </w:tcPr>
          <w:p w:rsidR="00000000" w:rsidRDefault="00000000">
            <w:pPr>
              <w:pStyle w:val="BodyTextIndent"/>
              <w:tabs>
                <w:tab w:val="left" w:pos="374"/>
              </w:tabs>
              <w:spacing w:before="60" w:after="0"/>
              <w:ind w:left="0" w:right="201"/>
              <w:jc w:val="right"/>
              <w:rPr>
                <w:sz w:val="19"/>
                <w:lang w:val="ru-RU"/>
              </w:rPr>
            </w:pPr>
            <w:r>
              <w:rPr>
                <w:sz w:val="19"/>
                <w:lang w:val="ru-RU"/>
              </w:rPr>
              <w:t>43 006</w:t>
            </w:r>
          </w:p>
        </w:tc>
        <w:tc>
          <w:tcPr>
            <w:tcW w:w="1846" w:type="dxa"/>
            <w:gridSpan w:val="2"/>
          </w:tcPr>
          <w:p w:rsidR="00000000" w:rsidRDefault="00000000">
            <w:pPr>
              <w:pStyle w:val="BodyTextIndent"/>
              <w:tabs>
                <w:tab w:val="left" w:pos="374"/>
              </w:tabs>
              <w:spacing w:before="60" w:after="0"/>
              <w:ind w:left="0" w:right="376"/>
              <w:jc w:val="right"/>
              <w:rPr>
                <w:sz w:val="19"/>
                <w:lang w:val="ru-RU"/>
              </w:rPr>
            </w:pPr>
            <w:r>
              <w:rPr>
                <w:sz w:val="19"/>
                <w:lang w:val="ru-RU"/>
              </w:rPr>
              <w:t>419</w:t>
            </w:r>
          </w:p>
        </w:tc>
        <w:tc>
          <w:tcPr>
            <w:tcW w:w="1112" w:type="dxa"/>
          </w:tcPr>
          <w:p w:rsidR="00000000" w:rsidRDefault="00000000">
            <w:pPr>
              <w:pStyle w:val="BodyTextIndent"/>
              <w:tabs>
                <w:tab w:val="left" w:pos="374"/>
              </w:tabs>
              <w:spacing w:before="60" w:after="0"/>
              <w:ind w:left="0" w:right="216"/>
              <w:jc w:val="right"/>
              <w:rPr>
                <w:sz w:val="19"/>
                <w:lang w:val="ru-RU"/>
              </w:rPr>
            </w:pPr>
            <w:r>
              <w:rPr>
                <w:sz w:val="19"/>
                <w:lang w:val="ru-RU"/>
              </w:rPr>
              <w:t>1 259</w:t>
            </w:r>
          </w:p>
        </w:tc>
      </w:tr>
      <w:tr w:rsidR="00000000">
        <w:tblPrEx>
          <w:tblCellMar>
            <w:top w:w="0" w:type="dxa"/>
            <w:bottom w:w="0" w:type="dxa"/>
          </w:tblCellMar>
        </w:tblPrEx>
        <w:trPr>
          <w:cantSplit/>
        </w:trPr>
        <w:tc>
          <w:tcPr>
            <w:tcW w:w="3920" w:type="dxa"/>
            <w:gridSpan w:val="2"/>
          </w:tcPr>
          <w:p w:rsidR="00000000" w:rsidRDefault="00000000">
            <w:pPr>
              <w:pStyle w:val="BodyTextIndent"/>
              <w:tabs>
                <w:tab w:val="left" w:pos="374"/>
              </w:tabs>
              <w:spacing w:after="0"/>
              <w:ind w:left="0"/>
              <w:rPr>
                <w:sz w:val="19"/>
                <w:lang w:val="en-US"/>
              </w:rPr>
            </w:pPr>
            <w:r>
              <w:rPr>
                <w:sz w:val="19"/>
                <w:lang w:val="en-US"/>
              </w:rPr>
              <w:tab/>
              <w:t>Деревянные рейки</w:t>
            </w:r>
          </w:p>
        </w:tc>
        <w:tc>
          <w:tcPr>
            <w:tcW w:w="1484" w:type="dxa"/>
            <w:gridSpan w:val="2"/>
          </w:tcPr>
          <w:p w:rsidR="00000000" w:rsidRDefault="00000000">
            <w:pPr>
              <w:pStyle w:val="BodyTextIndent"/>
              <w:tabs>
                <w:tab w:val="left" w:pos="374"/>
              </w:tabs>
              <w:spacing w:before="60" w:after="0"/>
              <w:ind w:left="0" w:right="614"/>
              <w:jc w:val="right"/>
              <w:rPr>
                <w:sz w:val="19"/>
                <w:lang w:val="ru-RU"/>
              </w:rPr>
            </w:pPr>
            <w:r>
              <w:rPr>
                <w:sz w:val="19"/>
                <w:lang w:val="ru-RU"/>
              </w:rPr>
              <w:t>6 232</w:t>
            </w:r>
          </w:p>
        </w:tc>
        <w:tc>
          <w:tcPr>
            <w:tcW w:w="1051" w:type="dxa"/>
          </w:tcPr>
          <w:p w:rsidR="00000000" w:rsidRDefault="00000000">
            <w:pPr>
              <w:pStyle w:val="BodyTextIndent"/>
              <w:tabs>
                <w:tab w:val="left" w:pos="374"/>
              </w:tabs>
              <w:spacing w:before="60" w:after="0"/>
              <w:ind w:left="0" w:right="201"/>
              <w:jc w:val="right"/>
              <w:rPr>
                <w:sz w:val="19"/>
                <w:lang w:val="ru-RU"/>
              </w:rPr>
            </w:pPr>
            <w:r>
              <w:rPr>
                <w:sz w:val="19"/>
                <w:lang w:val="ru-RU"/>
              </w:rPr>
              <w:t>6 197</w:t>
            </w:r>
          </w:p>
        </w:tc>
        <w:tc>
          <w:tcPr>
            <w:tcW w:w="1846" w:type="dxa"/>
            <w:gridSpan w:val="2"/>
          </w:tcPr>
          <w:p w:rsidR="00000000" w:rsidRDefault="00000000">
            <w:pPr>
              <w:pStyle w:val="BodyTextIndent"/>
              <w:tabs>
                <w:tab w:val="left" w:pos="374"/>
              </w:tabs>
              <w:spacing w:before="60" w:after="0"/>
              <w:ind w:left="0" w:right="376"/>
              <w:jc w:val="right"/>
              <w:rPr>
                <w:sz w:val="19"/>
                <w:lang w:val="ru-RU"/>
              </w:rPr>
            </w:pPr>
            <w:r>
              <w:rPr>
                <w:sz w:val="19"/>
                <w:lang w:val="ru-RU"/>
              </w:rPr>
              <w:t>16</w:t>
            </w:r>
          </w:p>
        </w:tc>
        <w:tc>
          <w:tcPr>
            <w:tcW w:w="1112" w:type="dxa"/>
          </w:tcPr>
          <w:p w:rsidR="00000000" w:rsidRDefault="00000000">
            <w:pPr>
              <w:pStyle w:val="BodyTextIndent"/>
              <w:tabs>
                <w:tab w:val="left" w:pos="374"/>
              </w:tabs>
              <w:spacing w:before="60" w:after="0"/>
              <w:ind w:left="0" w:right="216"/>
              <w:jc w:val="right"/>
              <w:rPr>
                <w:sz w:val="19"/>
                <w:lang w:val="ru-RU"/>
              </w:rPr>
            </w:pPr>
            <w:r>
              <w:rPr>
                <w:sz w:val="19"/>
                <w:lang w:val="ru-RU"/>
              </w:rPr>
              <w:t>19</w:t>
            </w:r>
          </w:p>
        </w:tc>
      </w:tr>
      <w:tr w:rsidR="00000000">
        <w:tblPrEx>
          <w:tblCellMar>
            <w:top w:w="0" w:type="dxa"/>
            <w:bottom w:w="0" w:type="dxa"/>
          </w:tblCellMar>
        </w:tblPrEx>
        <w:trPr>
          <w:cantSplit/>
        </w:trPr>
        <w:tc>
          <w:tcPr>
            <w:tcW w:w="3920" w:type="dxa"/>
            <w:gridSpan w:val="2"/>
          </w:tcPr>
          <w:p w:rsidR="00000000" w:rsidRDefault="00000000">
            <w:pPr>
              <w:pStyle w:val="BodyTextIndent"/>
              <w:tabs>
                <w:tab w:val="left" w:pos="374"/>
              </w:tabs>
              <w:spacing w:after="0"/>
              <w:ind w:left="0"/>
              <w:rPr>
                <w:sz w:val="19"/>
                <w:lang w:val="ru-RU"/>
              </w:rPr>
            </w:pPr>
            <w:r>
              <w:rPr>
                <w:sz w:val="19"/>
                <w:lang w:val="en-US"/>
              </w:rPr>
              <w:tab/>
            </w:r>
            <w:r>
              <w:rPr>
                <w:sz w:val="19"/>
                <w:lang w:val="ru-RU"/>
              </w:rPr>
              <w:t>Армированный бетон, фаянс или гипс</w:t>
            </w:r>
          </w:p>
        </w:tc>
        <w:tc>
          <w:tcPr>
            <w:tcW w:w="1484" w:type="dxa"/>
            <w:gridSpan w:val="2"/>
          </w:tcPr>
          <w:p w:rsidR="00000000" w:rsidRDefault="00000000">
            <w:pPr>
              <w:pStyle w:val="BodyTextIndent"/>
              <w:tabs>
                <w:tab w:val="left" w:pos="374"/>
              </w:tabs>
              <w:spacing w:before="60" w:after="0"/>
              <w:ind w:left="0" w:right="614"/>
              <w:jc w:val="right"/>
              <w:rPr>
                <w:sz w:val="19"/>
                <w:lang w:val="ru-RU"/>
              </w:rPr>
            </w:pPr>
            <w:r>
              <w:rPr>
                <w:sz w:val="19"/>
                <w:lang w:val="ru-RU"/>
              </w:rPr>
              <w:t>292</w:t>
            </w:r>
          </w:p>
        </w:tc>
        <w:tc>
          <w:tcPr>
            <w:tcW w:w="1051" w:type="dxa"/>
          </w:tcPr>
          <w:p w:rsidR="00000000" w:rsidRDefault="00000000">
            <w:pPr>
              <w:pStyle w:val="BodyTextIndent"/>
              <w:tabs>
                <w:tab w:val="left" w:pos="374"/>
              </w:tabs>
              <w:spacing w:before="60" w:after="0"/>
              <w:ind w:left="0" w:right="201"/>
              <w:jc w:val="right"/>
              <w:rPr>
                <w:sz w:val="19"/>
                <w:lang w:val="ru-RU"/>
              </w:rPr>
            </w:pPr>
            <w:r>
              <w:rPr>
                <w:sz w:val="19"/>
                <w:lang w:val="ru-RU"/>
              </w:rPr>
              <w:t>-</w:t>
            </w:r>
          </w:p>
        </w:tc>
        <w:tc>
          <w:tcPr>
            <w:tcW w:w="1846" w:type="dxa"/>
            <w:gridSpan w:val="2"/>
          </w:tcPr>
          <w:p w:rsidR="00000000" w:rsidRDefault="00000000">
            <w:pPr>
              <w:pStyle w:val="BodyTextIndent"/>
              <w:tabs>
                <w:tab w:val="left" w:pos="374"/>
              </w:tabs>
              <w:spacing w:before="60" w:after="0"/>
              <w:ind w:left="0" w:right="376"/>
              <w:jc w:val="right"/>
              <w:rPr>
                <w:sz w:val="19"/>
                <w:lang w:val="ru-RU"/>
              </w:rPr>
            </w:pPr>
            <w:r>
              <w:rPr>
                <w:sz w:val="19"/>
                <w:lang w:val="ru-RU"/>
              </w:rPr>
              <w:t>1</w:t>
            </w:r>
          </w:p>
        </w:tc>
        <w:tc>
          <w:tcPr>
            <w:tcW w:w="1112" w:type="dxa"/>
          </w:tcPr>
          <w:p w:rsidR="00000000" w:rsidRDefault="00000000">
            <w:pPr>
              <w:pStyle w:val="BodyTextIndent"/>
              <w:tabs>
                <w:tab w:val="left" w:pos="374"/>
              </w:tabs>
              <w:spacing w:before="60" w:after="0"/>
              <w:ind w:left="0" w:right="216"/>
              <w:jc w:val="right"/>
              <w:rPr>
                <w:sz w:val="19"/>
                <w:lang w:val="ru-RU"/>
              </w:rPr>
            </w:pPr>
            <w:r>
              <w:rPr>
                <w:sz w:val="19"/>
                <w:lang w:val="ru-RU"/>
              </w:rPr>
              <w:t>291</w:t>
            </w:r>
          </w:p>
        </w:tc>
      </w:tr>
      <w:tr w:rsidR="00000000">
        <w:tblPrEx>
          <w:tblCellMar>
            <w:top w:w="0" w:type="dxa"/>
            <w:bottom w:w="0" w:type="dxa"/>
          </w:tblCellMar>
        </w:tblPrEx>
        <w:trPr>
          <w:cantSplit/>
        </w:trPr>
        <w:tc>
          <w:tcPr>
            <w:tcW w:w="3920" w:type="dxa"/>
            <w:gridSpan w:val="2"/>
          </w:tcPr>
          <w:p w:rsidR="00000000" w:rsidRDefault="00000000">
            <w:pPr>
              <w:pStyle w:val="BodyTextIndent"/>
              <w:tabs>
                <w:tab w:val="left" w:pos="374"/>
              </w:tabs>
              <w:spacing w:before="60" w:after="0"/>
              <w:ind w:left="0"/>
              <w:rPr>
                <w:sz w:val="19"/>
                <w:lang w:val="ru-RU"/>
              </w:rPr>
            </w:pPr>
            <w:r>
              <w:rPr>
                <w:sz w:val="19"/>
                <w:lang w:val="en-US"/>
              </w:rPr>
              <w:tab/>
            </w:r>
            <w:r>
              <w:rPr>
                <w:sz w:val="19"/>
                <w:lang w:val="ru-RU"/>
              </w:rPr>
              <w:t>Стволы пальмы</w:t>
            </w:r>
          </w:p>
        </w:tc>
        <w:tc>
          <w:tcPr>
            <w:tcW w:w="1484" w:type="dxa"/>
            <w:gridSpan w:val="2"/>
          </w:tcPr>
          <w:p w:rsidR="00000000" w:rsidRDefault="00000000">
            <w:pPr>
              <w:pStyle w:val="BodyTextIndent"/>
              <w:tabs>
                <w:tab w:val="left" w:pos="374"/>
              </w:tabs>
              <w:spacing w:before="60" w:after="0"/>
              <w:ind w:left="0" w:right="614"/>
              <w:jc w:val="right"/>
              <w:rPr>
                <w:sz w:val="19"/>
                <w:lang w:val="ru-RU"/>
              </w:rPr>
            </w:pPr>
            <w:r>
              <w:rPr>
                <w:sz w:val="19"/>
                <w:lang w:val="ru-RU"/>
              </w:rPr>
              <w:t>1 973</w:t>
            </w:r>
          </w:p>
        </w:tc>
        <w:tc>
          <w:tcPr>
            <w:tcW w:w="1051" w:type="dxa"/>
          </w:tcPr>
          <w:p w:rsidR="00000000" w:rsidRDefault="00000000">
            <w:pPr>
              <w:pStyle w:val="BodyTextIndent"/>
              <w:tabs>
                <w:tab w:val="left" w:pos="374"/>
              </w:tabs>
              <w:spacing w:before="60" w:after="0"/>
              <w:ind w:left="0" w:right="201"/>
              <w:jc w:val="right"/>
              <w:rPr>
                <w:sz w:val="19"/>
                <w:lang w:val="ru-RU"/>
              </w:rPr>
            </w:pPr>
            <w:r>
              <w:rPr>
                <w:sz w:val="19"/>
                <w:lang w:val="ru-RU"/>
              </w:rPr>
              <w:t>1 927</w:t>
            </w:r>
          </w:p>
        </w:tc>
        <w:tc>
          <w:tcPr>
            <w:tcW w:w="1846" w:type="dxa"/>
            <w:gridSpan w:val="2"/>
          </w:tcPr>
          <w:p w:rsidR="00000000" w:rsidRDefault="00000000">
            <w:pPr>
              <w:pStyle w:val="BodyTextIndent"/>
              <w:tabs>
                <w:tab w:val="left" w:pos="374"/>
              </w:tabs>
              <w:spacing w:before="60" w:after="0"/>
              <w:ind w:left="0" w:right="376"/>
              <w:jc w:val="right"/>
              <w:rPr>
                <w:sz w:val="19"/>
                <w:lang w:val="ru-RU"/>
              </w:rPr>
            </w:pPr>
            <w:r>
              <w:rPr>
                <w:sz w:val="19"/>
                <w:lang w:val="ru-RU"/>
              </w:rPr>
              <w:t>29</w:t>
            </w:r>
          </w:p>
        </w:tc>
        <w:tc>
          <w:tcPr>
            <w:tcW w:w="1112" w:type="dxa"/>
          </w:tcPr>
          <w:p w:rsidR="00000000" w:rsidRDefault="00000000">
            <w:pPr>
              <w:pStyle w:val="BodyTextIndent"/>
              <w:tabs>
                <w:tab w:val="left" w:pos="374"/>
              </w:tabs>
              <w:spacing w:before="60" w:after="0"/>
              <w:ind w:left="0" w:right="216"/>
              <w:jc w:val="right"/>
              <w:rPr>
                <w:sz w:val="19"/>
                <w:lang w:val="ru-RU"/>
              </w:rPr>
            </w:pPr>
            <w:r>
              <w:rPr>
                <w:sz w:val="19"/>
                <w:lang w:val="ru-RU"/>
              </w:rPr>
              <w:t>17</w:t>
            </w:r>
          </w:p>
        </w:tc>
      </w:tr>
      <w:tr w:rsidR="00000000">
        <w:tblPrEx>
          <w:tblCellMar>
            <w:top w:w="0" w:type="dxa"/>
            <w:bottom w:w="0" w:type="dxa"/>
          </w:tblCellMar>
        </w:tblPrEx>
        <w:trPr>
          <w:cantSplit/>
        </w:trPr>
        <w:tc>
          <w:tcPr>
            <w:tcW w:w="3920" w:type="dxa"/>
            <w:gridSpan w:val="2"/>
          </w:tcPr>
          <w:p w:rsidR="00000000" w:rsidRDefault="00000000">
            <w:pPr>
              <w:pStyle w:val="BodyTextIndent"/>
              <w:tabs>
                <w:tab w:val="left" w:pos="374"/>
              </w:tabs>
              <w:spacing w:before="60" w:after="0"/>
              <w:ind w:left="0"/>
              <w:rPr>
                <w:sz w:val="19"/>
                <w:lang w:val="ru-RU"/>
              </w:rPr>
            </w:pPr>
            <w:r>
              <w:rPr>
                <w:sz w:val="19"/>
                <w:lang w:val="ru-RU"/>
              </w:rPr>
              <w:t xml:space="preserve">     Картон, прорезиненная ткань,</w:t>
            </w:r>
          </w:p>
          <w:p w:rsidR="00000000" w:rsidRDefault="00000000">
            <w:pPr>
              <w:pStyle w:val="BodyTextIndent"/>
              <w:tabs>
                <w:tab w:val="left" w:pos="374"/>
              </w:tabs>
              <w:spacing w:before="60" w:after="0"/>
              <w:ind w:left="0"/>
              <w:rPr>
                <w:sz w:val="19"/>
                <w:lang w:val="ru-RU"/>
              </w:rPr>
            </w:pPr>
            <w:r>
              <w:rPr>
                <w:sz w:val="19"/>
                <w:lang w:val="ru-RU"/>
              </w:rPr>
              <w:t xml:space="preserve">    деревянная тара</w:t>
            </w:r>
          </w:p>
        </w:tc>
        <w:tc>
          <w:tcPr>
            <w:tcW w:w="1484" w:type="dxa"/>
            <w:gridSpan w:val="2"/>
          </w:tcPr>
          <w:p w:rsidR="00000000" w:rsidRDefault="00000000">
            <w:pPr>
              <w:pStyle w:val="BodyTextIndent"/>
              <w:tabs>
                <w:tab w:val="left" w:pos="374"/>
              </w:tabs>
              <w:spacing w:before="60" w:after="0"/>
              <w:ind w:left="0" w:right="614"/>
              <w:jc w:val="right"/>
              <w:rPr>
                <w:sz w:val="19"/>
                <w:lang w:val="ru-RU"/>
              </w:rPr>
            </w:pPr>
            <w:r>
              <w:rPr>
                <w:sz w:val="19"/>
                <w:lang w:val="ru-RU"/>
              </w:rPr>
              <w:t>1 030</w:t>
            </w:r>
          </w:p>
        </w:tc>
        <w:tc>
          <w:tcPr>
            <w:tcW w:w="1051" w:type="dxa"/>
          </w:tcPr>
          <w:p w:rsidR="00000000" w:rsidRDefault="00000000">
            <w:pPr>
              <w:pStyle w:val="BodyTextIndent"/>
              <w:tabs>
                <w:tab w:val="left" w:pos="374"/>
              </w:tabs>
              <w:spacing w:before="60" w:after="0"/>
              <w:ind w:left="0" w:right="201"/>
              <w:jc w:val="right"/>
              <w:rPr>
                <w:sz w:val="19"/>
                <w:lang w:val="ru-RU"/>
              </w:rPr>
            </w:pPr>
            <w:r>
              <w:rPr>
                <w:sz w:val="19"/>
                <w:lang w:val="ru-RU"/>
              </w:rPr>
              <w:t>-</w:t>
            </w:r>
          </w:p>
        </w:tc>
        <w:tc>
          <w:tcPr>
            <w:tcW w:w="1846" w:type="dxa"/>
            <w:gridSpan w:val="2"/>
          </w:tcPr>
          <w:p w:rsidR="00000000" w:rsidRDefault="00000000">
            <w:pPr>
              <w:pStyle w:val="BodyTextIndent"/>
              <w:tabs>
                <w:tab w:val="left" w:pos="374"/>
              </w:tabs>
              <w:spacing w:before="60" w:after="0"/>
              <w:ind w:left="0" w:right="376"/>
              <w:jc w:val="right"/>
              <w:rPr>
                <w:sz w:val="19"/>
                <w:lang w:val="ru-RU"/>
              </w:rPr>
            </w:pPr>
            <w:r>
              <w:rPr>
                <w:sz w:val="19"/>
                <w:lang w:val="ru-RU"/>
              </w:rPr>
              <w:t>1,021</w:t>
            </w:r>
          </w:p>
        </w:tc>
        <w:tc>
          <w:tcPr>
            <w:tcW w:w="1112" w:type="dxa"/>
          </w:tcPr>
          <w:p w:rsidR="00000000" w:rsidRDefault="00000000">
            <w:pPr>
              <w:pStyle w:val="BodyTextIndent"/>
              <w:tabs>
                <w:tab w:val="left" w:pos="374"/>
              </w:tabs>
              <w:spacing w:before="60" w:after="0"/>
              <w:ind w:left="0" w:right="216"/>
              <w:jc w:val="right"/>
              <w:rPr>
                <w:sz w:val="19"/>
                <w:lang w:val="ru-RU"/>
              </w:rPr>
            </w:pPr>
            <w:r>
              <w:rPr>
                <w:sz w:val="19"/>
                <w:lang w:val="ru-RU"/>
              </w:rPr>
              <w:t>9</w:t>
            </w:r>
          </w:p>
        </w:tc>
      </w:tr>
      <w:tr w:rsidR="00000000">
        <w:tblPrEx>
          <w:tblCellMar>
            <w:top w:w="0" w:type="dxa"/>
            <w:bottom w:w="0" w:type="dxa"/>
          </w:tblCellMar>
        </w:tblPrEx>
        <w:trPr>
          <w:cantSplit/>
        </w:trPr>
        <w:tc>
          <w:tcPr>
            <w:tcW w:w="3920" w:type="dxa"/>
            <w:gridSpan w:val="2"/>
          </w:tcPr>
          <w:p w:rsidR="00000000" w:rsidRDefault="00000000">
            <w:pPr>
              <w:pStyle w:val="BodyTextIndent"/>
              <w:tabs>
                <w:tab w:val="left" w:pos="374"/>
              </w:tabs>
              <w:spacing w:before="60" w:after="0"/>
              <w:ind w:left="0"/>
              <w:rPr>
                <w:sz w:val="19"/>
                <w:lang w:val="ru-RU"/>
              </w:rPr>
            </w:pPr>
            <w:r>
              <w:rPr>
                <w:sz w:val="19"/>
                <w:lang w:val="ru-RU"/>
              </w:rPr>
              <w:t xml:space="preserve">     Иное</w:t>
            </w:r>
          </w:p>
        </w:tc>
        <w:tc>
          <w:tcPr>
            <w:tcW w:w="1484" w:type="dxa"/>
            <w:gridSpan w:val="2"/>
          </w:tcPr>
          <w:p w:rsidR="00000000" w:rsidRDefault="00000000">
            <w:pPr>
              <w:pStyle w:val="BodyTextIndent"/>
              <w:tabs>
                <w:tab w:val="left" w:pos="374"/>
              </w:tabs>
              <w:spacing w:before="60" w:after="0"/>
              <w:ind w:left="0" w:right="614"/>
              <w:jc w:val="right"/>
              <w:rPr>
                <w:sz w:val="19"/>
                <w:lang w:val="ru-RU"/>
              </w:rPr>
            </w:pPr>
            <w:r>
              <w:rPr>
                <w:sz w:val="19"/>
                <w:lang w:val="ru-RU"/>
              </w:rPr>
              <w:t>181</w:t>
            </w:r>
          </w:p>
        </w:tc>
        <w:tc>
          <w:tcPr>
            <w:tcW w:w="1051" w:type="dxa"/>
          </w:tcPr>
          <w:p w:rsidR="00000000" w:rsidRDefault="00000000">
            <w:pPr>
              <w:pStyle w:val="Hyperlink"/>
              <w:tabs>
                <w:tab w:val="left" w:pos="374"/>
              </w:tabs>
              <w:spacing w:before="60"/>
              <w:ind w:right="201"/>
              <w:jc w:val="right"/>
              <w:rPr>
                <w:sz w:val="19"/>
                <w:szCs w:val="24"/>
                <w:lang w:eastAsia="es-ES"/>
              </w:rPr>
            </w:pPr>
            <w:r>
              <w:rPr>
                <w:sz w:val="19"/>
                <w:szCs w:val="24"/>
                <w:lang w:eastAsia="es-ES"/>
              </w:rPr>
              <w:t>83</w:t>
            </w:r>
          </w:p>
        </w:tc>
        <w:tc>
          <w:tcPr>
            <w:tcW w:w="1846" w:type="dxa"/>
            <w:gridSpan w:val="2"/>
          </w:tcPr>
          <w:p w:rsidR="00000000" w:rsidRDefault="00000000">
            <w:pPr>
              <w:pStyle w:val="Hyperlink"/>
              <w:tabs>
                <w:tab w:val="left" w:pos="374"/>
              </w:tabs>
              <w:spacing w:before="60"/>
              <w:ind w:right="376"/>
              <w:jc w:val="right"/>
              <w:rPr>
                <w:sz w:val="19"/>
                <w:szCs w:val="24"/>
                <w:lang w:eastAsia="es-ES"/>
              </w:rPr>
            </w:pPr>
            <w:r>
              <w:rPr>
                <w:sz w:val="19"/>
                <w:szCs w:val="24"/>
                <w:lang w:eastAsia="es-ES"/>
              </w:rPr>
              <w:tab/>
              <w:t>56</w:t>
            </w:r>
          </w:p>
        </w:tc>
        <w:tc>
          <w:tcPr>
            <w:tcW w:w="1112" w:type="dxa"/>
          </w:tcPr>
          <w:p w:rsidR="00000000" w:rsidRDefault="00000000">
            <w:pPr>
              <w:pStyle w:val="Hyperlink"/>
              <w:tabs>
                <w:tab w:val="left" w:pos="374"/>
              </w:tabs>
              <w:spacing w:before="60"/>
              <w:ind w:right="216"/>
              <w:jc w:val="right"/>
              <w:rPr>
                <w:sz w:val="19"/>
                <w:szCs w:val="24"/>
                <w:lang w:eastAsia="es-ES"/>
              </w:rPr>
            </w:pPr>
            <w:r>
              <w:rPr>
                <w:sz w:val="19"/>
                <w:szCs w:val="24"/>
                <w:lang w:eastAsia="es-ES"/>
              </w:rPr>
              <w:tab/>
            </w:r>
            <w:r>
              <w:rPr>
                <w:sz w:val="19"/>
                <w:szCs w:val="24"/>
                <w:lang w:eastAsia="es-ES"/>
              </w:rPr>
              <w:tab/>
              <w:t>42</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b/>
                <w:bCs/>
                <w:sz w:val="19"/>
                <w:lang w:val="ru-RU"/>
              </w:rPr>
            </w:pPr>
            <w:r>
              <w:rPr>
                <w:b/>
                <w:bCs/>
                <w:sz w:val="19"/>
                <w:lang w:val="ru-RU"/>
              </w:rPr>
              <w:t>Городские районы</w:t>
            </w:r>
          </w:p>
        </w:tc>
        <w:tc>
          <w:tcPr>
            <w:tcW w:w="1484" w:type="dxa"/>
            <w:gridSpan w:val="2"/>
          </w:tcPr>
          <w:p w:rsidR="00000000" w:rsidRDefault="00000000">
            <w:pPr>
              <w:pStyle w:val="BodyTextIndent"/>
              <w:spacing w:after="0"/>
              <w:ind w:left="0" w:right="614"/>
              <w:jc w:val="right"/>
              <w:rPr>
                <w:b/>
                <w:bCs/>
                <w:sz w:val="19"/>
              </w:rPr>
            </w:pPr>
          </w:p>
        </w:tc>
        <w:tc>
          <w:tcPr>
            <w:tcW w:w="1051" w:type="dxa"/>
          </w:tcPr>
          <w:p w:rsidR="00000000" w:rsidRDefault="00000000">
            <w:pPr>
              <w:pStyle w:val="BodyTextIndent"/>
              <w:spacing w:after="0"/>
              <w:ind w:left="0" w:right="201"/>
              <w:jc w:val="right"/>
              <w:rPr>
                <w:b/>
                <w:bCs/>
                <w:sz w:val="19"/>
              </w:rPr>
            </w:pPr>
          </w:p>
        </w:tc>
        <w:tc>
          <w:tcPr>
            <w:tcW w:w="1846" w:type="dxa"/>
            <w:gridSpan w:val="2"/>
          </w:tcPr>
          <w:p w:rsidR="00000000" w:rsidRDefault="00000000">
            <w:pPr>
              <w:pStyle w:val="BodyTextIndent"/>
              <w:spacing w:after="0"/>
              <w:ind w:left="0" w:right="376"/>
              <w:jc w:val="right"/>
              <w:rPr>
                <w:b/>
                <w:bCs/>
                <w:sz w:val="19"/>
              </w:rPr>
            </w:pPr>
          </w:p>
        </w:tc>
        <w:tc>
          <w:tcPr>
            <w:tcW w:w="1112" w:type="dxa"/>
          </w:tcPr>
          <w:p w:rsidR="00000000" w:rsidRDefault="00000000">
            <w:pPr>
              <w:pStyle w:val="BodyTextIndent"/>
              <w:spacing w:after="0"/>
              <w:ind w:left="0" w:right="216"/>
              <w:jc w:val="right"/>
              <w:rPr>
                <w:b/>
                <w:bCs/>
                <w:sz w:val="19"/>
              </w:rPr>
            </w:pP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lang w:val="ru-RU"/>
              </w:rPr>
              <w:t>Общее количество единиц жилья</w:t>
            </w:r>
          </w:p>
        </w:tc>
        <w:tc>
          <w:tcPr>
            <w:tcW w:w="1484" w:type="dxa"/>
            <w:gridSpan w:val="2"/>
          </w:tcPr>
          <w:p w:rsidR="00000000" w:rsidRDefault="00000000">
            <w:pPr>
              <w:pStyle w:val="BodyTextIndent"/>
              <w:spacing w:after="0"/>
              <w:ind w:left="0" w:right="614"/>
              <w:jc w:val="right"/>
              <w:rPr>
                <w:sz w:val="19"/>
              </w:rPr>
            </w:pPr>
            <w:r>
              <w:rPr>
                <w:sz w:val="19"/>
              </w:rPr>
              <w:t>48</w:t>
            </w:r>
            <w:r>
              <w:rPr>
                <w:sz w:val="19"/>
                <w:lang w:val="ru-RU"/>
              </w:rPr>
              <w:t xml:space="preserve"> </w:t>
            </w:r>
            <w:r>
              <w:rPr>
                <w:sz w:val="19"/>
              </w:rPr>
              <w:t>194</w:t>
            </w:r>
          </w:p>
        </w:tc>
        <w:tc>
          <w:tcPr>
            <w:tcW w:w="1051" w:type="dxa"/>
          </w:tcPr>
          <w:p w:rsidR="00000000" w:rsidRDefault="00000000">
            <w:pPr>
              <w:pStyle w:val="BodyTextIndent"/>
              <w:spacing w:after="0"/>
              <w:ind w:left="0" w:right="201"/>
              <w:jc w:val="right"/>
              <w:rPr>
                <w:sz w:val="19"/>
              </w:rPr>
            </w:pPr>
            <w:r>
              <w:rPr>
                <w:sz w:val="19"/>
              </w:rPr>
              <w:t>44</w:t>
            </w:r>
            <w:r>
              <w:rPr>
                <w:sz w:val="19"/>
                <w:lang w:val="ru-RU"/>
              </w:rPr>
              <w:t xml:space="preserve"> </w:t>
            </w:r>
            <w:r>
              <w:rPr>
                <w:sz w:val="19"/>
              </w:rPr>
              <w:t>648</w:t>
            </w:r>
          </w:p>
        </w:tc>
        <w:tc>
          <w:tcPr>
            <w:tcW w:w="1846" w:type="dxa"/>
            <w:gridSpan w:val="2"/>
          </w:tcPr>
          <w:p w:rsidR="00000000" w:rsidRDefault="00000000">
            <w:pPr>
              <w:pStyle w:val="Hyperlink"/>
              <w:ind w:right="376"/>
              <w:jc w:val="right"/>
              <w:rPr>
                <w:sz w:val="19"/>
              </w:rPr>
            </w:pPr>
            <w:r>
              <w:rPr>
                <w:sz w:val="19"/>
              </w:rPr>
              <w:tab/>
              <w:t>681</w:t>
            </w:r>
          </w:p>
        </w:tc>
        <w:tc>
          <w:tcPr>
            <w:tcW w:w="1112" w:type="dxa"/>
          </w:tcPr>
          <w:p w:rsidR="00000000" w:rsidRDefault="00000000">
            <w:pPr>
              <w:pStyle w:val="BodyTextIndent"/>
              <w:spacing w:after="0"/>
              <w:ind w:left="0" w:right="216"/>
              <w:jc w:val="right"/>
              <w:rPr>
                <w:sz w:val="19"/>
              </w:rPr>
            </w:pPr>
            <w:r>
              <w:rPr>
                <w:sz w:val="19"/>
              </w:rPr>
              <w:t>2</w:t>
            </w:r>
            <w:r>
              <w:rPr>
                <w:sz w:val="19"/>
                <w:lang w:val="ru-RU"/>
              </w:rPr>
              <w:t xml:space="preserve"> </w:t>
            </w:r>
            <w:r>
              <w:rPr>
                <w:sz w:val="19"/>
              </w:rPr>
              <w:t>865</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A. </w:t>
            </w:r>
            <w:r>
              <w:rPr>
                <w:sz w:val="19"/>
                <w:lang w:val="ru-RU"/>
              </w:rPr>
              <w:t>Внешние стены</w:t>
            </w:r>
          </w:p>
        </w:tc>
        <w:tc>
          <w:tcPr>
            <w:tcW w:w="1484" w:type="dxa"/>
            <w:gridSpan w:val="2"/>
          </w:tcPr>
          <w:p w:rsidR="00000000" w:rsidRDefault="00000000">
            <w:pPr>
              <w:pStyle w:val="BodyTextIndent"/>
              <w:spacing w:after="0"/>
              <w:ind w:left="0" w:right="614"/>
              <w:jc w:val="right"/>
              <w:rPr>
                <w:sz w:val="19"/>
              </w:rPr>
            </w:pPr>
          </w:p>
        </w:tc>
        <w:tc>
          <w:tcPr>
            <w:tcW w:w="1051" w:type="dxa"/>
          </w:tcPr>
          <w:p w:rsidR="00000000" w:rsidRDefault="00000000">
            <w:pPr>
              <w:pStyle w:val="BodyTextIndent"/>
              <w:spacing w:after="0"/>
              <w:ind w:left="0" w:right="201"/>
              <w:jc w:val="right"/>
              <w:rPr>
                <w:sz w:val="19"/>
              </w:rPr>
            </w:pPr>
          </w:p>
        </w:tc>
        <w:tc>
          <w:tcPr>
            <w:tcW w:w="1846" w:type="dxa"/>
            <w:gridSpan w:val="2"/>
          </w:tcPr>
          <w:p w:rsidR="00000000" w:rsidRDefault="00000000">
            <w:pPr>
              <w:pStyle w:val="Hyperlink"/>
              <w:ind w:right="376"/>
              <w:jc w:val="right"/>
              <w:rPr>
                <w:sz w:val="19"/>
              </w:rPr>
            </w:pPr>
          </w:p>
        </w:tc>
        <w:tc>
          <w:tcPr>
            <w:tcW w:w="1112" w:type="dxa"/>
          </w:tcPr>
          <w:p w:rsidR="00000000" w:rsidRDefault="00000000">
            <w:pPr>
              <w:pStyle w:val="BodyTextIndent"/>
              <w:spacing w:after="0"/>
              <w:ind w:left="0" w:right="216"/>
              <w:jc w:val="right"/>
              <w:rPr>
                <w:sz w:val="19"/>
              </w:rPr>
            </w:pP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Кирпич</w:t>
            </w:r>
          </w:p>
        </w:tc>
        <w:tc>
          <w:tcPr>
            <w:tcW w:w="1484" w:type="dxa"/>
            <w:gridSpan w:val="2"/>
          </w:tcPr>
          <w:p w:rsidR="00000000" w:rsidRDefault="00000000">
            <w:pPr>
              <w:pStyle w:val="BodyTextIndent"/>
              <w:spacing w:after="0"/>
              <w:ind w:left="0" w:right="614"/>
              <w:jc w:val="right"/>
              <w:rPr>
                <w:sz w:val="19"/>
              </w:rPr>
            </w:pPr>
            <w:r>
              <w:rPr>
                <w:sz w:val="19"/>
              </w:rPr>
              <w:t>4</w:t>
            </w:r>
            <w:r>
              <w:rPr>
                <w:sz w:val="19"/>
                <w:lang w:val="ru-RU"/>
              </w:rPr>
              <w:t xml:space="preserve"> </w:t>
            </w:r>
            <w:r>
              <w:rPr>
                <w:sz w:val="19"/>
              </w:rPr>
              <w:t>652</w:t>
            </w:r>
          </w:p>
        </w:tc>
        <w:tc>
          <w:tcPr>
            <w:tcW w:w="1051" w:type="dxa"/>
          </w:tcPr>
          <w:p w:rsidR="00000000" w:rsidRDefault="00000000">
            <w:pPr>
              <w:pStyle w:val="BodyTextIndent"/>
              <w:spacing w:after="0"/>
              <w:ind w:left="0" w:right="201"/>
              <w:jc w:val="right"/>
              <w:rPr>
                <w:sz w:val="19"/>
              </w:rPr>
            </w:pPr>
            <w:r>
              <w:rPr>
                <w:sz w:val="19"/>
              </w:rPr>
              <w:t>2</w:t>
            </w:r>
            <w:r>
              <w:rPr>
                <w:sz w:val="19"/>
                <w:lang w:val="ru-RU"/>
              </w:rPr>
              <w:t xml:space="preserve"> </w:t>
            </w:r>
            <w:r>
              <w:rPr>
                <w:sz w:val="19"/>
              </w:rPr>
              <w:t>591</w:t>
            </w:r>
          </w:p>
        </w:tc>
        <w:tc>
          <w:tcPr>
            <w:tcW w:w="1846" w:type="dxa"/>
            <w:gridSpan w:val="2"/>
          </w:tcPr>
          <w:p w:rsidR="00000000" w:rsidRDefault="00000000">
            <w:pPr>
              <w:pStyle w:val="Hyperlink"/>
              <w:ind w:right="376"/>
              <w:jc w:val="right"/>
              <w:rPr>
                <w:sz w:val="19"/>
              </w:rPr>
            </w:pPr>
            <w:r>
              <w:rPr>
                <w:sz w:val="19"/>
              </w:rPr>
              <w:tab/>
              <w:t>4</w:t>
            </w:r>
          </w:p>
        </w:tc>
        <w:tc>
          <w:tcPr>
            <w:tcW w:w="1112" w:type="dxa"/>
          </w:tcPr>
          <w:p w:rsidR="00000000" w:rsidRDefault="00000000">
            <w:pPr>
              <w:pStyle w:val="BodyTextIndent"/>
              <w:spacing w:after="0"/>
              <w:ind w:left="0" w:right="216"/>
              <w:jc w:val="right"/>
              <w:rPr>
                <w:sz w:val="19"/>
              </w:rPr>
            </w:pPr>
            <w:r>
              <w:rPr>
                <w:sz w:val="19"/>
              </w:rPr>
              <w:t>2</w:t>
            </w:r>
            <w:r>
              <w:rPr>
                <w:sz w:val="19"/>
                <w:lang w:val="ru-RU"/>
              </w:rPr>
              <w:t xml:space="preserve"> </w:t>
            </w:r>
            <w:r>
              <w:rPr>
                <w:sz w:val="19"/>
              </w:rPr>
              <w:t>057</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Дерево</w:t>
            </w:r>
          </w:p>
        </w:tc>
        <w:tc>
          <w:tcPr>
            <w:tcW w:w="1484" w:type="dxa"/>
            <w:gridSpan w:val="2"/>
          </w:tcPr>
          <w:p w:rsidR="00000000" w:rsidRDefault="00000000">
            <w:pPr>
              <w:pStyle w:val="BodyTextIndent"/>
              <w:spacing w:after="0"/>
              <w:ind w:left="0" w:right="614"/>
              <w:jc w:val="right"/>
              <w:rPr>
                <w:sz w:val="19"/>
              </w:rPr>
            </w:pPr>
            <w:r>
              <w:rPr>
                <w:sz w:val="19"/>
              </w:rPr>
              <w:t>39</w:t>
            </w:r>
            <w:r>
              <w:rPr>
                <w:sz w:val="19"/>
                <w:lang w:val="ru-RU"/>
              </w:rPr>
              <w:t xml:space="preserve"> </w:t>
            </w:r>
            <w:r>
              <w:rPr>
                <w:sz w:val="19"/>
              </w:rPr>
              <w:t>436</w:t>
            </w:r>
          </w:p>
        </w:tc>
        <w:tc>
          <w:tcPr>
            <w:tcW w:w="1051" w:type="dxa"/>
          </w:tcPr>
          <w:p w:rsidR="00000000" w:rsidRDefault="00000000">
            <w:pPr>
              <w:pStyle w:val="BodyTextIndent"/>
              <w:spacing w:after="0"/>
              <w:ind w:left="0" w:right="201"/>
              <w:jc w:val="right"/>
              <w:rPr>
                <w:sz w:val="19"/>
              </w:rPr>
            </w:pPr>
            <w:r>
              <w:rPr>
                <w:sz w:val="19"/>
              </w:rPr>
              <w:t>38</w:t>
            </w:r>
            <w:r>
              <w:rPr>
                <w:sz w:val="19"/>
                <w:lang w:val="ru-RU"/>
              </w:rPr>
              <w:t xml:space="preserve"> </w:t>
            </w:r>
            <w:r>
              <w:rPr>
                <w:sz w:val="19"/>
              </w:rPr>
              <w:t>827</w:t>
            </w:r>
          </w:p>
        </w:tc>
        <w:tc>
          <w:tcPr>
            <w:tcW w:w="1846" w:type="dxa"/>
            <w:gridSpan w:val="2"/>
          </w:tcPr>
          <w:p w:rsidR="00000000" w:rsidRDefault="00000000">
            <w:pPr>
              <w:pStyle w:val="Hyperlink"/>
              <w:ind w:right="376"/>
              <w:jc w:val="right"/>
              <w:rPr>
                <w:sz w:val="19"/>
              </w:rPr>
            </w:pPr>
            <w:r>
              <w:rPr>
                <w:sz w:val="19"/>
              </w:rPr>
              <w:tab/>
              <w:t>14</w:t>
            </w:r>
          </w:p>
        </w:tc>
        <w:tc>
          <w:tcPr>
            <w:tcW w:w="1112" w:type="dxa"/>
          </w:tcPr>
          <w:p w:rsidR="00000000" w:rsidRDefault="00000000">
            <w:pPr>
              <w:pStyle w:val="BodyTextIndent"/>
              <w:spacing w:after="0"/>
              <w:ind w:left="0" w:right="216"/>
              <w:jc w:val="right"/>
              <w:rPr>
                <w:sz w:val="19"/>
              </w:rPr>
            </w:pPr>
            <w:r>
              <w:rPr>
                <w:sz w:val="19"/>
              </w:rPr>
              <w:t>595</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Эстакео (кожа)</w:t>
            </w:r>
          </w:p>
        </w:tc>
        <w:tc>
          <w:tcPr>
            <w:tcW w:w="1484" w:type="dxa"/>
            <w:gridSpan w:val="2"/>
          </w:tcPr>
          <w:p w:rsidR="00000000" w:rsidRDefault="00000000">
            <w:pPr>
              <w:pStyle w:val="BodyTextIndent"/>
              <w:spacing w:after="0"/>
              <w:ind w:left="0" w:right="614"/>
              <w:jc w:val="right"/>
              <w:rPr>
                <w:sz w:val="19"/>
              </w:rPr>
            </w:pPr>
            <w:r>
              <w:rPr>
                <w:sz w:val="19"/>
              </w:rPr>
              <w:t>1</w:t>
            </w:r>
            <w:r>
              <w:rPr>
                <w:sz w:val="19"/>
                <w:lang w:val="ru-RU"/>
              </w:rPr>
              <w:t xml:space="preserve"> </w:t>
            </w:r>
            <w:r>
              <w:rPr>
                <w:sz w:val="19"/>
              </w:rPr>
              <w:t>704</w:t>
            </w:r>
          </w:p>
        </w:tc>
        <w:tc>
          <w:tcPr>
            <w:tcW w:w="1051" w:type="dxa"/>
          </w:tcPr>
          <w:p w:rsidR="00000000" w:rsidRDefault="00000000">
            <w:pPr>
              <w:pStyle w:val="BodyTextIndent"/>
              <w:spacing w:after="0"/>
              <w:ind w:left="0" w:right="201"/>
              <w:jc w:val="right"/>
              <w:rPr>
                <w:sz w:val="19"/>
              </w:rPr>
            </w:pPr>
            <w:r>
              <w:rPr>
                <w:sz w:val="19"/>
              </w:rPr>
              <w:t>1</w:t>
            </w:r>
            <w:r>
              <w:rPr>
                <w:sz w:val="19"/>
                <w:lang w:val="ru-RU"/>
              </w:rPr>
              <w:t xml:space="preserve"> </w:t>
            </w:r>
            <w:r>
              <w:rPr>
                <w:sz w:val="19"/>
              </w:rPr>
              <w:t>692</w:t>
            </w:r>
          </w:p>
        </w:tc>
        <w:tc>
          <w:tcPr>
            <w:tcW w:w="1846" w:type="dxa"/>
            <w:gridSpan w:val="2"/>
          </w:tcPr>
          <w:p w:rsidR="00000000" w:rsidRDefault="00000000">
            <w:pPr>
              <w:pStyle w:val="Hyperlink"/>
              <w:ind w:right="376"/>
              <w:jc w:val="right"/>
              <w:rPr>
                <w:sz w:val="19"/>
              </w:rPr>
            </w:pPr>
            <w:r>
              <w:rPr>
                <w:sz w:val="19"/>
              </w:rPr>
              <w:tab/>
              <w:t>5</w:t>
            </w:r>
          </w:p>
        </w:tc>
        <w:tc>
          <w:tcPr>
            <w:tcW w:w="1112" w:type="dxa"/>
          </w:tcPr>
          <w:p w:rsidR="00000000" w:rsidRDefault="00000000">
            <w:pPr>
              <w:pStyle w:val="BodyTextIndent"/>
              <w:spacing w:after="0"/>
              <w:ind w:left="0" w:right="216"/>
              <w:jc w:val="right"/>
              <w:rPr>
                <w:sz w:val="19"/>
              </w:rPr>
            </w:pPr>
            <w:r>
              <w:rPr>
                <w:sz w:val="19"/>
              </w:rPr>
              <w:t>7</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Необожженный кирпич</w:t>
            </w:r>
          </w:p>
        </w:tc>
        <w:tc>
          <w:tcPr>
            <w:tcW w:w="1484" w:type="dxa"/>
            <w:gridSpan w:val="2"/>
          </w:tcPr>
          <w:p w:rsidR="00000000" w:rsidRDefault="00000000">
            <w:pPr>
              <w:pStyle w:val="BodyTextIndent"/>
              <w:spacing w:after="0"/>
              <w:ind w:left="0" w:right="614"/>
              <w:jc w:val="right"/>
              <w:rPr>
                <w:sz w:val="19"/>
              </w:rPr>
            </w:pPr>
            <w:r>
              <w:rPr>
                <w:sz w:val="19"/>
              </w:rPr>
              <w:t>622</w:t>
            </w:r>
          </w:p>
        </w:tc>
        <w:tc>
          <w:tcPr>
            <w:tcW w:w="1051" w:type="dxa"/>
          </w:tcPr>
          <w:p w:rsidR="00000000" w:rsidRDefault="00000000">
            <w:pPr>
              <w:pStyle w:val="BodyTextIndent"/>
              <w:spacing w:after="0"/>
              <w:ind w:left="0" w:right="201"/>
              <w:jc w:val="right"/>
              <w:rPr>
                <w:sz w:val="19"/>
              </w:rPr>
            </w:pPr>
            <w:r>
              <w:rPr>
                <w:sz w:val="19"/>
              </w:rPr>
              <w:t>619</w:t>
            </w:r>
          </w:p>
        </w:tc>
        <w:tc>
          <w:tcPr>
            <w:tcW w:w="1846" w:type="dxa"/>
            <w:gridSpan w:val="2"/>
          </w:tcPr>
          <w:p w:rsidR="00000000" w:rsidRDefault="00000000">
            <w:pPr>
              <w:pStyle w:val="Hyperlink"/>
              <w:ind w:right="376"/>
              <w:jc w:val="right"/>
              <w:rPr>
                <w:sz w:val="19"/>
              </w:rPr>
            </w:pPr>
            <w:r>
              <w:rPr>
                <w:sz w:val="19"/>
              </w:rPr>
              <w:t>-</w:t>
            </w:r>
          </w:p>
        </w:tc>
        <w:tc>
          <w:tcPr>
            <w:tcW w:w="1112" w:type="dxa"/>
          </w:tcPr>
          <w:p w:rsidR="00000000" w:rsidRDefault="00000000">
            <w:pPr>
              <w:pStyle w:val="BodyTextIndent"/>
              <w:spacing w:after="0"/>
              <w:ind w:left="0" w:right="216"/>
              <w:jc w:val="right"/>
              <w:rPr>
                <w:sz w:val="19"/>
              </w:rPr>
            </w:pPr>
            <w:r>
              <w:rPr>
                <w:sz w:val="19"/>
              </w:rPr>
              <w:t>3</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Стволы пальмы</w:t>
            </w:r>
          </w:p>
        </w:tc>
        <w:tc>
          <w:tcPr>
            <w:tcW w:w="1484" w:type="dxa"/>
            <w:gridSpan w:val="2"/>
          </w:tcPr>
          <w:p w:rsidR="00000000" w:rsidRDefault="00000000">
            <w:pPr>
              <w:pStyle w:val="BodyTextIndent"/>
              <w:spacing w:after="0"/>
              <w:ind w:left="0" w:right="614"/>
              <w:jc w:val="right"/>
              <w:rPr>
                <w:sz w:val="19"/>
              </w:rPr>
            </w:pPr>
            <w:r>
              <w:rPr>
                <w:sz w:val="19"/>
              </w:rPr>
              <w:t>698</w:t>
            </w:r>
          </w:p>
        </w:tc>
        <w:tc>
          <w:tcPr>
            <w:tcW w:w="1051" w:type="dxa"/>
          </w:tcPr>
          <w:p w:rsidR="00000000" w:rsidRDefault="00000000">
            <w:pPr>
              <w:pStyle w:val="BodyTextIndent"/>
              <w:spacing w:after="0"/>
              <w:ind w:left="0" w:right="201"/>
              <w:jc w:val="right"/>
              <w:rPr>
                <w:sz w:val="19"/>
              </w:rPr>
            </w:pPr>
            <w:r>
              <w:rPr>
                <w:sz w:val="19"/>
              </w:rPr>
              <w:t>689</w:t>
            </w:r>
          </w:p>
        </w:tc>
        <w:tc>
          <w:tcPr>
            <w:tcW w:w="1846" w:type="dxa"/>
            <w:gridSpan w:val="2"/>
          </w:tcPr>
          <w:p w:rsidR="00000000" w:rsidRDefault="00000000">
            <w:pPr>
              <w:pStyle w:val="Hyperlink"/>
              <w:ind w:right="376"/>
              <w:jc w:val="right"/>
              <w:rPr>
                <w:sz w:val="19"/>
              </w:rPr>
            </w:pPr>
            <w:r>
              <w:rPr>
                <w:sz w:val="19"/>
              </w:rPr>
              <w:tab/>
              <w:t>5</w:t>
            </w:r>
          </w:p>
        </w:tc>
        <w:tc>
          <w:tcPr>
            <w:tcW w:w="1112" w:type="dxa"/>
          </w:tcPr>
          <w:p w:rsidR="00000000" w:rsidRDefault="00000000">
            <w:pPr>
              <w:pStyle w:val="BodyTextIndent"/>
              <w:spacing w:after="0"/>
              <w:ind w:left="0" w:right="216"/>
              <w:jc w:val="right"/>
              <w:rPr>
                <w:sz w:val="19"/>
              </w:rPr>
            </w:pPr>
            <w:r>
              <w:rPr>
                <w:sz w:val="19"/>
              </w:rPr>
              <w:t>4</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Цементные блоки</w:t>
            </w:r>
          </w:p>
        </w:tc>
        <w:tc>
          <w:tcPr>
            <w:tcW w:w="1484" w:type="dxa"/>
            <w:gridSpan w:val="2"/>
          </w:tcPr>
          <w:p w:rsidR="00000000" w:rsidRDefault="00000000">
            <w:pPr>
              <w:pStyle w:val="BodyTextIndent"/>
              <w:spacing w:after="0"/>
              <w:ind w:left="0" w:right="614"/>
              <w:jc w:val="right"/>
              <w:rPr>
                <w:sz w:val="19"/>
              </w:rPr>
            </w:pPr>
            <w:r>
              <w:rPr>
                <w:sz w:val="19"/>
              </w:rPr>
              <w:t>78</w:t>
            </w:r>
          </w:p>
        </w:tc>
        <w:tc>
          <w:tcPr>
            <w:tcW w:w="1051" w:type="dxa"/>
          </w:tcPr>
          <w:p w:rsidR="00000000" w:rsidRDefault="00000000">
            <w:pPr>
              <w:pStyle w:val="BodyTextIndent"/>
              <w:spacing w:after="0"/>
              <w:ind w:left="0" w:right="201"/>
              <w:jc w:val="right"/>
              <w:rPr>
                <w:sz w:val="19"/>
              </w:rPr>
            </w:pPr>
            <w:r>
              <w:rPr>
                <w:sz w:val="19"/>
              </w:rPr>
              <w:t>-</w:t>
            </w:r>
          </w:p>
        </w:tc>
        <w:tc>
          <w:tcPr>
            <w:tcW w:w="1846" w:type="dxa"/>
            <w:gridSpan w:val="2"/>
          </w:tcPr>
          <w:p w:rsidR="00000000" w:rsidRDefault="00000000">
            <w:pPr>
              <w:pStyle w:val="Hyperlink"/>
              <w:ind w:right="376"/>
              <w:jc w:val="right"/>
              <w:rPr>
                <w:sz w:val="19"/>
              </w:rPr>
            </w:pPr>
            <w:r>
              <w:rPr>
                <w:sz w:val="19"/>
              </w:rPr>
              <w:tab/>
              <w:t>-</w:t>
            </w:r>
          </w:p>
        </w:tc>
        <w:tc>
          <w:tcPr>
            <w:tcW w:w="1112" w:type="dxa"/>
          </w:tcPr>
          <w:p w:rsidR="00000000" w:rsidRDefault="00000000">
            <w:pPr>
              <w:pStyle w:val="BodyTextIndent"/>
              <w:spacing w:after="0"/>
              <w:ind w:left="0" w:right="216"/>
              <w:jc w:val="right"/>
              <w:rPr>
                <w:sz w:val="19"/>
              </w:rPr>
            </w:pPr>
            <w:r>
              <w:rPr>
                <w:sz w:val="19"/>
              </w:rPr>
              <w:t>78</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Картон, прорезиненная ткань,</w:t>
            </w:r>
          </w:p>
          <w:p w:rsidR="00000000" w:rsidRDefault="00000000">
            <w:pPr>
              <w:pStyle w:val="BodyTextIndent"/>
              <w:spacing w:after="0"/>
              <w:ind w:left="0"/>
              <w:rPr>
                <w:sz w:val="19"/>
                <w:lang w:val="ru-RU"/>
              </w:rPr>
            </w:pPr>
            <w:r>
              <w:rPr>
                <w:sz w:val="19"/>
                <w:lang w:val="ru-RU"/>
              </w:rPr>
              <w:t xml:space="preserve">    деревянная тара</w:t>
            </w:r>
          </w:p>
        </w:tc>
        <w:tc>
          <w:tcPr>
            <w:tcW w:w="1484" w:type="dxa"/>
            <w:gridSpan w:val="2"/>
          </w:tcPr>
          <w:p w:rsidR="00000000" w:rsidRDefault="00000000">
            <w:pPr>
              <w:pStyle w:val="BodyTextIndent"/>
              <w:spacing w:after="0"/>
              <w:ind w:left="0" w:right="614"/>
              <w:jc w:val="right"/>
              <w:rPr>
                <w:sz w:val="19"/>
              </w:rPr>
            </w:pPr>
            <w:r>
              <w:rPr>
                <w:sz w:val="19"/>
              </w:rPr>
              <w:t>646</w:t>
            </w:r>
          </w:p>
        </w:tc>
        <w:tc>
          <w:tcPr>
            <w:tcW w:w="1051" w:type="dxa"/>
          </w:tcPr>
          <w:p w:rsidR="00000000" w:rsidRDefault="00000000">
            <w:pPr>
              <w:pStyle w:val="BodyTextIndent"/>
              <w:spacing w:after="0"/>
              <w:ind w:left="0" w:right="201"/>
              <w:jc w:val="right"/>
              <w:rPr>
                <w:sz w:val="19"/>
              </w:rPr>
            </w:pPr>
            <w:r>
              <w:rPr>
                <w:sz w:val="19"/>
              </w:rPr>
              <w:t>-</w:t>
            </w:r>
          </w:p>
        </w:tc>
        <w:tc>
          <w:tcPr>
            <w:tcW w:w="1846" w:type="dxa"/>
            <w:gridSpan w:val="2"/>
          </w:tcPr>
          <w:p w:rsidR="00000000" w:rsidRDefault="00000000">
            <w:pPr>
              <w:pStyle w:val="Hyperlink"/>
              <w:ind w:right="376"/>
              <w:jc w:val="right"/>
              <w:rPr>
                <w:sz w:val="19"/>
              </w:rPr>
            </w:pPr>
            <w:r>
              <w:rPr>
                <w:sz w:val="19"/>
              </w:rPr>
              <w:tab/>
              <w:t>646</w:t>
            </w:r>
          </w:p>
        </w:tc>
        <w:tc>
          <w:tcPr>
            <w:tcW w:w="1112" w:type="dxa"/>
          </w:tcPr>
          <w:p w:rsidR="00000000" w:rsidRDefault="00000000">
            <w:pPr>
              <w:pStyle w:val="BodyTextIndent"/>
              <w:spacing w:after="0"/>
              <w:ind w:left="0" w:right="216"/>
              <w:jc w:val="right"/>
              <w:rPr>
                <w:sz w:val="19"/>
              </w:rPr>
            </w:pPr>
            <w:r>
              <w:rPr>
                <w:sz w:val="19"/>
              </w:rPr>
              <w:t>-</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Без стен</w:t>
            </w:r>
          </w:p>
        </w:tc>
        <w:tc>
          <w:tcPr>
            <w:tcW w:w="1484" w:type="dxa"/>
            <w:gridSpan w:val="2"/>
          </w:tcPr>
          <w:p w:rsidR="00000000" w:rsidRDefault="00000000">
            <w:pPr>
              <w:pStyle w:val="BodyTextIndent"/>
              <w:spacing w:after="0"/>
              <w:ind w:left="0" w:right="614"/>
              <w:jc w:val="right"/>
              <w:rPr>
                <w:sz w:val="19"/>
              </w:rPr>
            </w:pPr>
            <w:r>
              <w:rPr>
                <w:sz w:val="19"/>
              </w:rPr>
              <w:t>33</w:t>
            </w:r>
          </w:p>
        </w:tc>
        <w:tc>
          <w:tcPr>
            <w:tcW w:w="1051" w:type="dxa"/>
          </w:tcPr>
          <w:p w:rsidR="00000000" w:rsidRDefault="00000000">
            <w:pPr>
              <w:pStyle w:val="BodyTextIndent"/>
              <w:spacing w:after="0"/>
              <w:ind w:left="0" w:right="201"/>
              <w:jc w:val="right"/>
              <w:rPr>
                <w:sz w:val="19"/>
              </w:rPr>
            </w:pPr>
            <w:r>
              <w:rPr>
                <w:sz w:val="19"/>
              </w:rPr>
              <w:t>-</w:t>
            </w:r>
          </w:p>
        </w:tc>
        <w:tc>
          <w:tcPr>
            <w:tcW w:w="1846" w:type="dxa"/>
            <w:gridSpan w:val="2"/>
          </w:tcPr>
          <w:p w:rsidR="00000000" w:rsidRDefault="00000000">
            <w:pPr>
              <w:pStyle w:val="Hyperlink"/>
              <w:ind w:right="376"/>
              <w:jc w:val="right"/>
              <w:rPr>
                <w:sz w:val="19"/>
              </w:rPr>
            </w:pPr>
            <w:r>
              <w:rPr>
                <w:sz w:val="19"/>
              </w:rPr>
              <w:tab/>
              <w:t>3</w:t>
            </w:r>
          </w:p>
        </w:tc>
        <w:tc>
          <w:tcPr>
            <w:tcW w:w="1112" w:type="dxa"/>
          </w:tcPr>
          <w:p w:rsidR="00000000" w:rsidRDefault="00000000">
            <w:pPr>
              <w:pStyle w:val="BodyTextIndent"/>
              <w:spacing w:after="0"/>
              <w:ind w:left="0" w:right="216"/>
              <w:jc w:val="right"/>
              <w:rPr>
                <w:sz w:val="19"/>
              </w:rPr>
            </w:pPr>
            <w:r>
              <w:rPr>
                <w:sz w:val="19"/>
              </w:rPr>
              <w:t>30</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Иное</w:t>
            </w:r>
          </w:p>
        </w:tc>
        <w:tc>
          <w:tcPr>
            <w:tcW w:w="1484" w:type="dxa"/>
            <w:gridSpan w:val="2"/>
          </w:tcPr>
          <w:p w:rsidR="00000000" w:rsidRDefault="00000000">
            <w:pPr>
              <w:pStyle w:val="BodyTextIndent"/>
              <w:spacing w:after="0"/>
              <w:ind w:left="0" w:right="614"/>
              <w:jc w:val="right"/>
              <w:rPr>
                <w:sz w:val="19"/>
              </w:rPr>
            </w:pPr>
            <w:r>
              <w:rPr>
                <w:sz w:val="19"/>
              </w:rPr>
              <w:t>325</w:t>
            </w:r>
          </w:p>
        </w:tc>
        <w:tc>
          <w:tcPr>
            <w:tcW w:w="1051" w:type="dxa"/>
          </w:tcPr>
          <w:p w:rsidR="00000000" w:rsidRDefault="00000000">
            <w:pPr>
              <w:pStyle w:val="BodyTextIndent"/>
              <w:spacing w:after="0"/>
              <w:ind w:left="0" w:right="201"/>
              <w:jc w:val="right"/>
              <w:rPr>
                <w:sz w:val="19"/>
              </w:rPr>
            </w:pPr>
            <w:r>
              <w:rPr>
                <w:sz w:val="19"/>
              </w:rPr>
              <w:t>230</w:t>
            </w:r>
          </w:p>
        </w:tc>
        <w:tc>
          <w:tcPr>
            <w:tcW w:w="1846" w:type="dxa"/>
            <w:gridSpan w:val="2"/>
          </w:tcPr>
          <w:p w:rsidR="00000000" w:rsidRDefault="00000000">
            <w:pPr>
              <w:pStyle w:val="Hyperlink"/>
              <w:ind w:right="376"/>
              <w:jc w:val="right"/>
              <w:rPr>
                <w:sz w:val="19"/>
              </w:rPr>
            </w:pPr>
            <w:r>
              <w:rPr>
                <w:sz w:val="19"/>
              </w:rPr>
              <w:tab/>
              <w:t>4</w:t>
            </w:r>
          </w:p>
        </w:tc>
        <w:tc>
          <w:tcPr>
            <w:tcW w:w="1112" w:type="dxa"/>
          </w:tcPr>
          <w:p w:rsidR="00000000" w:rsidRDefault="00000000">
            <w:pPr>
              <w:pStyle w:val="BodyTextIndent"/>
              <w:spacing w:after="0"/>
              <w:ind w:left="0" w:right="216"/>
              <w:jc w:val="right"/>
              <w:rPr>
                <w:sz w:val="19"/>
              </w:rPr>
            </w:pPr>
            <w:r>
              <w:rPr>
                <w:sz w:val="19"/>
              </w:rPr>
              <w:t>91</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B. </w:t>
            </w:r>
            <w:r>
              <w:rPr>
                <w:sz w:val="19"/>
                <w:lang w:val="ru-RU"/>
              </w:rPr>
              <w:t>Пол</w:t>
            </w:r>
          </w:p>
        </w:tc>
        <w:tc>
          <w:tcPr>
            <w:tcW w:w="1484" w:type="dxa"/>
            <w:gridSpan w:val="2"/>
          </w:tcPr>
          <w:p w:rsidR="00000000" w:rsidRDefault="00000000">
            <w:pPr>
              <w:pStyle w:val="BodyTextIndent"/>
              <w:spacing w:after="0"/>
              <w:ind w:left="0" w:right="614"/>
              <w:jc w:val="right"/>
              <w:rPr>
                <w:sz w:val="19"/>
              </w:rPr>
            </w:pPr>
          </w:p>
        </w:tc>
        <w:tc>
          <w:tcPr>
            <w:tcW w:w="1051" w:type="dxa"/>
          </w:tcPr>
          <w:p w:rsidR="00000000" w:rsidRDefault="00000000">
            <w:pPr>
              <w:pStyle w:val="BodyTextIndent"/>
              <w:spacing w:after="0"/>
              <w:ind w:left="0" w:right="201"/>
              <w:jc w:val="right"/>
              <w:rPr>
                <w:sz w:val="19"/>
              </w:rPr>
            </w:pPr>
          </w:p>
        </w:tc>
        <w:tc>
          <w:tcPr>
            <w:tcW w:w="1846" w:type="dxa"/>
            <w:gridSpan w:val="2"/>
          </w:tcPr>
          <w:p w:rsidR="00000000" w:rsidRDefault="00000000">
            <w:pPr>
              <w:pStyle w:val="Hyperlink"/>
              <w:ind w:right="376"/>
              <w:jc w:val="right"/>
              <w:rPr>
                <w:sz w:val="19"/>
              </w:rPr>
            </w:pPr>
          </w:p>
        </w:tc>
        <w:tc>
          <w:tcPr>
            <w:tcW w:w="1112" w:type="dxa"/>
          </w:tcPr>
          <w:p w:rsidR="00000000" w:rsidRDefault="00000000">
            <w:pPr>
              <w:pStyle w:val="BodyTextIndent"/>
              <w:spacing w:after="0"/>
              <w:ind w:left="0" w:right="216"/>
              <w:jc w:val="right"/>
              <w:rPr>
                <w:sz w:val="19"/>
              </w:rPr>
            </w:pP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Земля</w:t>
            </w:r>
          </w:p>
        </w:tc>
        <w:tc>
          <w:tcPr>
            <w:tcW w:w="1484" w:type="dxa"/>
            <w:gridSpan w:val="2"/>
          </w:tcPr>
          <w:p w:rsidR="00000000" w:rsidRDefault="00000000">
            <w:pPr>
              <w:pStyle w:val="BodyTextIndent"/>
              <w:spacing w:after="0"/>
              <w:ind w:left="0" w:right="614"/>
              <w:jc w:val="right"/>
              <w:rPr>
                <w:sz w:val="19"/>
              </w:rPr>
            </w:pPr>
            <w:r>
              <w:rPr>
                <w:sz w:val="19"/>
              </w:rPr>
              <w:t>28</w:t>
            </w:r>
            <w:r>
              <w:rPr>
                <w:sz w:val="19"/>
                <w:lang w:val="ru-RU"/>
              </w:rPr>
              <w:t xml:space="preserve"> </w:t>
            </w:r>
            <w:r>
              <w:rPr>
                <w:sz w:val="19"/>
              </w:rPr>
              <w:t>659</w:t>
            </w:r>
          </w:p>
        </w:tc>
        <w:tc>
          <w:tcPr>
            <w:tcW w:w="1051" w:type="dxa"/>
          </w:tcPr>
          <w:p w:rsidR="00000000" w:rsidRDefault="00000000">
            <w:pPr>
              <w:pStyle w:val="BodyTextIndent"/>
              <w:spacing w:after="0"/>
              <w:ind w:left="0" w:right="201"/>
              <w:jc w:val="right"/>
              <w:rPr>
                <w:sz w:val="19"/>
              </w:rPr>
            </w:pPr>
            <w:r>
              <w:rPr>
                <w:sz w:val="19"/>
              </w:rPr>
              <w:t>27</w:t>
            </w:r>
            <w:r>
              <w:rPr>
                <w:sz w:val="19"/>
                <w:lang w:val="ru-RU"/>
              </w:rPr>
              <w:t xml:space="preserve"> </w:t>
            </w:r>
            <w:r>
              <w:rPr>
                <w:sz w:val="19"/>
              </w:rPr>
              <w:t>670</w:t>
            </w:r>
          </w:p>
        </w:tc>
        <w:tc>
          <w:tcPr>
            <w:tcW w:w="1846" w:type="dxa"/>
            <w:gridSpan w:val="2"/>
          </w:tcPr>
          <w:p w:rsidR="00000000" w:rsidRDefault="00000000">
            <w:pPr>
              <w:pStyle w:val="Hyperlink"/>
              <w:ind w:right="376"/>
              <w:jc w:val="right"/>
              <w:rPr>
                <w:sz w:val="19"/>
              </w:rPr>
            </w:pPr>
            <w:r>
              <w:rPr>
                <w:sz w:val="19"/>
              </w:rPr>
              <w:tab/>
              <w:t>627</w:t>
            </w:r>
          </w:p>
        </w:tc>
        <w:tc>
          <w:tcPr>
            <w:tcW w:w="1112" w:type="dxa"/>
          </w:tcPr>
          <w:p w:rsidR="00000000" w:rsidRDefault="00000000">
            <w:pPr>
              <w:pStyle w:val="BodyTextIndent"/>
              <w:spacing w:after="0"/>
              <w:ind w:left="0" w:right="216"/>
              <w:jc w:val="right"/>
              <w:rPr>
                <w:sz w:val="19"/>
              </w:rPr>
            </w:pPr>
            <w:r>
              <w:rPr>
                <w:sz w:val="19"/>
              </w:rPr>
              <w:t>362</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Кирпич</w:t>
            </w:r>
          </w:p>
        </w:tc>
        <w:tc>
          <w:tcPr>
            <w:tcW w:w="1484" w:type="dxa"/>
            <w:gridSpan w:val="2"/>
          </w:tcPr>
          <w:p w:rsidR="00000000" w:rsidRDefault="00000000">
            <w:pPr>
              <w:pStyle w:val="BodyTextIndent"/>
              <w:spacing w:after="0"/>
              <w:ind w:left="0" w:right="614"/>
              <w:jc w:val="right"/>
              <w:rPr>
                <w:sz w:val="19"/>
              </w:rPr>
            </w:pPr>
            <w:r>
              <w:rPr>
                <w:sz w:val="19"/>
              </w:rPr>
              <w:t>2</w:t>
            </w:r>
            <w:r>
              <w:rPr>
                <w:sz w:val="19"/>
                <w:lang w:val="ru-RU"/>
              </w:rPr>
              <w:t xml:space="preserve"> </w:t>
            </w:r>
            <w:r>
              <w:rPr>
                <w:sz w:val="19"/>
              </w:rPr>
              <w:t>937</w:t>
            </w:r>
          </w:p>
        </w:tc>
        <w:tc>
          <w:tcPr>
            <w:tcW w:w="1051" w:type="dxa"/>
          </w:tcPr>
          <w:p w:rsidR="00000000" w:rsidRDefault="00000000">
            <w:pPr>
              <w:pStyle w:val="BodyTextIndent"/>
              <w:spacing w:after="0"/>
              <w:ind w:left="0" w:right="201"/>
              <w:jc w:val="right"/>
              <w:rPr>
                <w:sz w:val="19"/>
              </w:rPr>
            </w:pPr>
            <w:r>
              <w:rPr>
                <w:sz w:val="19"/>
              </w:rPr>
              <w:t>2</w:t>
            </w:r>
            <w:r>
              <w:rPr>
                <w:sz w:val="19"/>
                <w:lang w:val="ru-RU"/>
              </w:rPr>
              <w:t xml:space="preserve"> </w:t>
            </w:r>
            <w:r>
              <w:rPr>
                <w:sz w:val="19"/>
              </w:rPr>
              <w:t>718</w:t>
            </w:r>
          </w:p>
        </w:tc>
        <w:tc>
          <w:tcPr>
            <w:tcW w:w="1846" w:type="dxa"/>
            <w:gridSpan w:val="2"/>
          </w:tcPr>
          <w:p w:rsidR="00000000" w:rsidRDefault="00000000">
            <w:pPr>
              <w:pStyle w:val="Hyperlink"/>
              <w:ind w:right="376"/>
              <w:jc w:val="right"/>
              <w:rPr>
                <w:sz w:val="19"/>
              </w:rPr>
            </w:pPr>
            <w:r>
              <w:rPr>
                <w:sz w:val="19"/>
              </w:rPr>
              <w:tab/>
              <w:t>7</w:t>
            </w:r>
          </w:p>
        </w:tc>
        <w:tc>
          <w:tcPr>
            <w:tcW w:w="1112" w:type="dxa"/>
          </w:tcPr>
          <w:p w:rsidR="00000000" w:rsidRDefault="00000000">
            <w:pPr>
              <w:pStyle w:val="BodyTextIndent"/>
              <w:spacing w:after="0"/>
              <w:ind w:left="0" w:right="216"/>
              <w:jc w:val="right"/>
              <w:rPr>
                <w:sz w:val="19"/>
              </w:rPr>
            </w:pPr>
            <w:r>
              <w:rPr>
                <w:sz w:val="19"/>
              </w:rPr>
              <w:t>212</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Обычная плитка</w:t>
            </w:r>
          </w:p>
        </w:tc>
        <w:tc>
          <w:tcPr>
            <w:tcW w:w="1484" w:type="dxa"/>
            <w:gridSpan w:val="2"/>
          </w:tcPr>
          <w:p w:rsidR="00000000" w:rsidRDefault="00000000">
            <w:pPr>
              <w:pStyle w:val="BodyTextIndent"/>
              <w:spacing w:after="0"/>
              <w:ind w:left="0" w:right="614"/>
              <w:jc w:val="right"/>
              <w:rPr>
                <w:sz w:val="19"/>
              </w:rPr>
            </w:pPr>
            <w:r>
              <w:rPr>
                <w:sz w:val="19"/>
              </w:rPr>
              <w:t>1</w:t>
            </w:r>
            <w:r>
              <w:rPr>
                <w:sz w:val="19"/>
                <w:lang w:val="ru-RU"/>
              </w:rPr>
              <w:t xml:space="preserve"> </w:t>
            </w:r>
            <w:r>
              <w:rPr>
                <w:sz w:val="19"/>
              </w:rPr>
              <w:t>055</w:t>
            </w:r>
          </w:p>
        </w:tc>
        <w:tc>
          <w:tcPr>
            <w:tcW w:w="1051" w:type="dxa"/>
          </w:tcPr>
          <w:p w:rsidR="00000000" w:rsidRDefault="00000000">
            <w:pPr>
              <w:pStyle w:val="BodyTextIndent"/>
              <w:spacing w:after="0"/>
              <w:ind w:left="0" w:right="201"/>
              <w:jc w:val="right"/>
              <w:rPr>
                <w:sz w:val="19"/>
              </w:rPr>
            </w:pPr>
            <w:r>
              <w:rPr>
                <w:sz w:val="19"/>
              </w:rPr>
              <w:t>19</w:t>
            </w:r>
          </w:p>
        </w:tc>
        <w:tc>
          <w:tcPr>
            <w:tcW w:w="1846" w:type="dxa"/>
            <w:gridSpan w:val="2"/>
          </w:tcPr>
          <w:p w:rsidR="00000000" w:rsidRDefault="00000000">
            <w:pPr>
              <w:pStyle w:val="Hyperlink"/>
              <w:ind w:right="376"/>
              <w:jc w:val="right"/>
              <w:rPr>
                <w:sz w:val="19"/>
              </w:rPr>
            </w:pPr>
            <w:r>
              <w:rPr>
                <w:sz w:val="19"/>
              </w:rPr>
              <w:tab/>
              <w:t>7</w:t>
            </w:r>
          </w:p>
        </w:tc>
        <w:tc>
          <w:tcPr>
            <w:tcW w:w="1112" w:type="dxa"/>
          </w:tcPr>
          <w:p w:rsidR="00000000" w:rsidRDefault="00000000">
            <w:pPr>
              <w:pStyle w:val="BodyTextIndent"/>
              <w:spacing w:after="0"/>
              <w:ind w:left="0" w:right="216"/>
              <w:jc w:val="right"/>
              <w:rPr>
                <w:sz w:val="19"/>
              </w:rPr>
            </w:pPr>
            <w:r>
              <w:rPr>
                <w:sz w:val="19"/>
              </w:rPr>
              <w:t>1</w:t>
            </w:r>
            <w:r>
              <w:rPr>
                <w:sz w:val="19"/>
                <w:lang w:val="ru-RU"/>
              </w:rPr>
              <w:t xml:space="preserve"> </w:t>
            </w:r>
            <w:r>
              <w:rPr>
                <w:sz w:val="19"/>
              </w:rPr>
              <w:t>029</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Цемент</w:t>
            </w:r>
          </w:p>
        </w:tc>
        <w:tc>
          <w:tcPr>
            <w:tcW w:w="1484" w:type="dxa"/>
            <w:gridSpan w:val="2"/>
          </w:tcPr>
          <w:p w:rsidR="00000000" w:rsidRDefault="00000000">
            <w:pPr>
              <w:pStyle w:val="BodyTextIndent"/>
              <w:spacing w:after="0"/>
              <w:ind w:left="0" w:right="614"/>
              <w:jc w:val="right"/>
              <w:rPr>
                <w:sz w:val="19"/>
              </w:rPr>
            </w:pPr>
            <w:r>
              <w:rPr>
                <w:sz w:val="19"/>
              </w:rPr>
              <w:t>11</w:t>
            </w:r>
            <w:r>
              <w:rPr>
                <w:sz w:val="19"/>
                <w:lang w:val="ru-RU"/>
              </w:rPr>
              <w:t xml:space="preserve"> </w:t>
            </w:r>
            <w:r>
              <w:rPr>
                <w:sz w:val="19"/>
              </w:rPr>
              <w:t>498</w:t>
            </w:r>
          </w:p>
        </w:tc>
        <w:tc>
          <w:tcPr>
            <w:tcW w:w="1051" w:type="dxa"/>
          </w:tcPr>
          <w:p w:rsidR="00000000" w:rsidRDefault="00000000">
            <w:pPr>
              <w:pStyle w:val="BodyTextIndent"/>
              <w:spacing w:after="0"/>
              <w:ind w:left="0" w:right="201"/>
              <w:jc w:val="right"/>
              <w:rPr>
                <w:sz w:val="19"/>
              </w:rPr>
            </w:pPr>
            <w:r>
              <w:rPr>
                <w:sz w:val="19"/>
              </w:rPr>
              <w:t>10</w:t>
            </w:r>
            <w:r>
              <w:rPr>
                <w:sz w:val="19"/>
                <w:lang w:val="ru-RU"/>
              </w:rPr>
              <w:t xml:space="preserve"> </w:t>
            </w:r>
            <w:r>
              <w:rPr>
                <w:sz w:val="19"/>
              </w:rPr>
              <w:t>687</w:t>
            </w:r>
          </w:p>
        </w:tc>
        <w:tc>
          <w:tcPr>
            <w:tcW w:w="1846" w:type="dxa"/>
            <w:gridSpan w:val="2"/>
          </w:tcPr>
          <w:p w:rsidR="00000000" w:rsidRDefault="00000000">
            <w:pPr>
              <w:pStyle w:val="Hyperlink"/>
              <w:ind w:right="376"/>
              <w:jc w:val="right"/>
              <w:rPr>
                <w:sz w:val="19"/>
              </w:rPr>
            </w:pPr>
            <w:r>
              <w:rPr>
                <w:sz w:val="19"/>
              </w:rPr>
              <w:tab/>
              <w:t>26</w:t>
            </w:r>
          </w:p>
        </w:tc>
        <w:tc>
          <w:tcPr>
            <w:tcW w:w="1112" w:type="dxa"/>
          </w:tcPr>
          <w:p w:rsidR="00000000" w:rsidRDefault="00000000">
            <w:pPr>
              <w:pStyle w:val="BodyTextIndent"/>
              <w:spacing w:after="0"/>
              <w:ind w:left="0" w:right="216"/>
              <w:jc w:val="right"/>
              <w:rPr>
                <w:sz w:val="19"/>
              </w:rPr>
            </w:pPr>
            <w:r>
              <w:rPr>
                <w:sz w:val="19"/>
              </w:rPr>
              <w:t>785</w:t>
            </w:r>
          </w:p>
        </w:tc>
      </w:tr>
      <w:tr w:rsidR="00000000">
        <w:tblPrEx>
          <w:tblCellMar>
            <w:top w:w="0" w:type="dxa"/>
            <w:bottom w:w="0" w:type="dxa"/>
          </w:tblCellMar>
        </w:tblPrEx>
        <w:trPr>
          <w:cantSplit/>
        </w:trPr>
        <w:tc>
          <w:tcPr>
            <w:tcW w:w="3920" w:type="dxa"/>
            <w:gridSpan w:val="2"/>
            <w:vAlign w:val="center"/>
          </w:tcPr>
          <w:p w:rsidR="00000000" w:rsidRDefault="00000000">
            <w:pPr>
              <w:pStyle w:val="BodyTextIndent"/>
              <w:spacing w:after="0"/>
              <w:ind w:left="0"/>
              <w:rPr>
                <w:sz w:val="19"/>
                <w:lang w:val="ru-RU"/>
              </w:rPr>
            </w:pPr>
            <w:r>
              <w:rPr>
                <w:sz w:val="19"/>
              </w:rPr>
              <w:t xml:space="preserve">    </w:t>
            </w:r>
            <w:r>
              <w:rPr>
                <w:sz w:val="19"/>
                <w:lang w:val="ru-RU"/>
              </w:rPr>
              <w:t>Мозаика, керамика, гранит и мрамор</w:t>
            </w:r>
          </w:p>
        </w:tc>
        <w:tc>
          <w:tcPr>
            <w:tcW w:w="1484" w:type="dxa"/>
            <w:gridSpan w:val="2"/>
            <w:vAlign w:val="center"/>
          </w:tcPr>
          <w:p w:rsidR="00000000" w:rsidRDefault="00000000">
            <w:pPr>
              <w:pStyle w:val="BodyTextIndent"/>
              <w:spacing w:after="0"/>
              <w:ind w:left="0" w:right="614"/>
              <w:jc w:val="right"/>
              <w:rPr>
                <w:sz w:val="19"/>
              </w:rPr>
            </w:pPr>
            <w:r>
              <w:rPr>
                <w:sz w:val="19"/>
              </w:rPr>
              <w:t>322</w:t>
            </w:r>
          </w:p>
        </w:tc>
        <w:tc>
          <w:tcPr>
            <w:tcW w:w="1051" w:type="dxa"/>
            <w:vAlign w:val="center"/>
          </w:tcPr>
          <w:p w:rsidR="00000000" w:rsidRDefault="00000000">
            <w:pPr>
              <w:pStyle w:val="BodyTextIndent"/>
              <w:spacing w:after="0"/>
              <w:ind w:left="0" w:right="201"/>
              <w:jc w:val="right"/>
              <w:rPr>
                <w:sz w:val="19"/>
              </w:rPr>
            </w:pPr>
            <w:r>
              <w:rPr>
                <w:sz w:val="19"/>
              </w:rPr>
              <w:t>3</w:t>
            </w:r>
          </w:p>
        </w:tc>
        <w:tc>
          <w:tcPr>
            <w:tcW w:w="1846" w:type="dxa"/>
            <w:gridSpan w:val="2"/>
            <w:vAlign w:val="center"/>
          </w:tcPr>
          <w:p w:rsidR="00000000" w:rsidRDefault="00000000">
            <w:pPr>
              <w:pStyle w:val="Hyperlink"/>
              <w:ind w:right="376"/>
              <w:jc w:val="right"/>
              <w:rPr>
                <w:sz w:val="19"/>
              </w:rPr>
            </w:pPr>
            <w:r>
              <w:rPr>
                <w:sz w:val="19"/>
              </w:rPr>
              <w:tab/>
              <w:t>-</w:t>
            </w:r>
          </w:p>
        </w:tc>
        <w:tc>
          <w:tcPr>
            <w:tcW w:w="1112" w:type="dxa"/>
            <w:vAlign w:val="center"/>
          </w:tcPr>
          <w:p w:rsidR="00000000" w:rsidRDefault="00000000">
            <w:pPr>
              <w:pStyle w:val="BodyTextIndent"/>
              <w:spacing w:after="0"/>
              <w:ind w:left="0" w:right="216"/>
              <w:jc w:val="right"/>
              <w:rPr>
                <w:sz w:val="19"/>
              </w:rPr>
            </w:pPr>
            <w:r>
              <w:rPr>
                <w:sz w:val="19"/>
              </w:rPr>
              <w:t>319</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Доски</w:t>
            </w:r>
          </w:p>
        </w:tc>
        <w:tc>
          <w:tcPr>
            <w:tcW w:w="1484" w:type="dxa"/>
            <w:gridSpan w:val="2"/>
          </w:tcPr>
          <w:p w:rsidR="00000000" w:rsidRDefault="00000000">
            <w:pPr>
              <w:pStyle w:val="BodyTextIndent"/>
              <w:spacing w:after="0"/>
              <w:ind w:left="0" w:right="614"/>
              <w:jc w:val="right"/>
              <w:rPr>
                <w:sz w:val="19"/>
              </w:rPr>
            </w:pPr>
            <w:r>
              <w:rPr>
                <w:sz w:val="19"/>
              </w:rPr>
              <w:t>3</w:t>
            </w:r>
            <w:r>
              <w:rPr>
                <w:sz w:val="19"/>
                <w:lang w:val="ru-RU"/>
              </w:rPr>
              <w:t xml:space="preserve"> </w:t>
            </w:r>
            <w:r>
              <w:rPr>
                <w:sz w:val="19"/>
              </w:rPr>
              <w:t>106</w:t>
            </w:r>
          </w:p>
        </w:tc>
        <w:tc>
          <w:tcPr>
            <w:tcW w:w="1051" w:type="dxa"/>
          </w:tcPr>
          <w:p w:rsidR="00000000" w:rsidRDefault="00000000">
            <w:pPr>
              <w:pStyle w:val="BodyTextIndent"/>
              <w:spacing w:after="0"/>
              <w:ind w:left="0" w:right="201"/>
              <w:jc w:val="right"/>
              <w:rPr>
                <w:sz w:val="19"/>
              </w:rPr>
            </w:pPr>
            <w:r>
              <w:rPr>
                <w:sz w:val="19"/>
              </w:rPr>
              <w:t>3</w:t>
            </w:r>
            <w:r>
              <w:rPr>
                <w:sz w:val="19"/>
                <w:lang w:val="ru-RU"/>
              </w:rPr>
              <w:t xml:space="preserve"> </w:t>
            </w:r>
            <w:r>
              <w:rPr>
                <w:sz w:val="19"/>
              </w:rPr>
              <w:t>038</w:t>
            </w:r>
          </w:p>
        </w:tc>
        <w:tc>
          <w:tcPr>
            <w:tcW w:w="1846" w:type="dxa"/>
            <w:gridSpan w:val="2"/>
          </w:tcPr>
          <w:p w:rsidR="00000000" w:rsidRDefault="00000000">
            <w:pPr>
              <w:pStyle w:val="Hyperlink"/>
              <w:ind w:right="376"/>
              <w:jc w:val="right"/>
              <w:rPr>
                <w:sz w:val="19"/>
              </w:rPr>
            </w:pPr>
            <w:r>
              <w:rPr>
                <w:sz w:val="19"/>
              </w:rPr>
              <w:tab/>
              <w:t>11</w:t>
            </w:r>
          </w:p>
        </w:tc>
        <w:tc>
          <w:tcPr>
            <w:tcW w:w="1112" w:type="dxa"/>
          </w:tcPr>
          <w:p w:rsidR="00000000" w:rsidRDefault="00000000">
            <w:pPr>
              <w:pStyle w:val="BodyTextIndent"/>
              <w:spacing w:after="0"/>
              <w:ind w:left="0" w:right="216"/>
              <w:jc w:val="right"/>
              <w:rPr>
                <w:sz w:val="19"/>
              </w:rPr>
            </w:pPr>
            <w:r>
              <w:rPr>
                <w:sz w:val="19"/>
              </w:rPr>
              <w:t>57</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Паркет</w:t>
            </w:r>
          </w:p>
        </w:tc>
        <w:tc>
          <w:tcPr>
            <w:tcW w:w="1484" w:type="dxa"/>
            <w:gridSpan w:val="2"/>
          </w:tcPr>
          <w:p w:rsidR="00000000" w:rsidRDefault="00000000">
            <w:pPr>
              <w:pStyle w:val="BodyTextIndent"/>
              <w:spacing w:after="0"/>
              <w:ind w:left="0" w:right="614"/>
              <w:jc w:val="right"/>
              <w:rPr>
                <w:sz w:val="19"/>
              </w:rPr>
            </w:pPr>
            <w:r>
              <w:rPr>
                <w:sz w:val="19"/>
              </w:rPr>
              <w:t>-</w:t>
            </w:r>
          </w:p>
        </w:tc>
        <w:tc>
          <w:tcPr>
            <w:tcW w:w="1051" w:type="dxa"/>
          </w:tcPr>
          <w:p w:rsidR="00000000" w:rsidRDefault="00000000">
            <w:pPr>
              <w:pStyle w:val="BodyTextIndent"/>
              <w:spacing w:after="0"/>
              <w:ind w:left="0" w:right="201"/>
              <w:jc w:val="right"/>
              <w:rPr>
                <w:sz w:val="19"/>
              </w:rPr>
            </w:pPr>
            <w:r>
              <w:rPr>
                <w:sz w:val="19"/>
              </w:rPr>
              <w:t>-</w:t>
            </w:r>
          </w:p>
        </w:tc>
        <w:tc>
          <w:tcPr>
            <w:tcW w:w="1846" w:type="dxa"/>
            <w:gridSpan w:val="2"/>
          </w:tcPr>
          <w:p w:rsidR="00000000" w:rsidRDefault="00000000">
            <w:pPr>
              <w:pStyle w:val="Hyperlink"/>
              <w:ind w:right="376"/>
              <w:jc w:val="right"/>
              <w:rPr>
                <w:sz w:val="19"/>
              </w:rPr>
            </w:pPr>
            <w:r>
              <w:rPr>
                <w:sz w:val="19"/>
              </w:rPr>
              <w:t>-</w:t>
            </w:r>
          </w:p>
        </w:tc>
        <w:tc>
          <w:tcPr>
            <w:tcW w:w="1112" w:type="dxa"/>
          </w:tcPr>
          <w:p w:rsidR="00000000" w:rsidRDefault="00000000">
            <w:pPr>
              <w:pStyle w:val="BodyTextIndent"/>
              <w:spacing w:after="0"/>
              <w:ind w:left="0" w:right="216"/>
              <w:jc w:val="right"/>
              <w:rPr>
                <w:sz w:val="19"/>
              </w:rPr>
            </w:pPr>
            <w:r>
              <w:rPr>
                <w:sz w:val="19"/>
              </w:rPr>
              <w:t>-</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Ковровое покрытие</w:t>
            </w:r>
          </w:p>
        </w:tc>
        <w:tc>
          <w:tcPr>
            <w:tcW w:w="1484" w:type="dxa"/>
            <w:gridSpan w:val="2"/>
          </w:tcPr>
          <w:p w:rsidR="00000000" w:rsidRDefault="00000000">
            <w:pPr>
              <w:pStyle w:val="BodyTextIndent"/>
              <w:spacing w:after="0"/>
              <w:ind w:left="0" w:right="614"/>
              <w:jc w:val="right"/>
              <w:rPr>
                <w:sz w:val="19"/>
              </w:rPr>
            </w:pPr>
            <w:r>
              <w:rPr>
                <w:sz w:val="19"/>
              </w:rPr>
              <w:t>12</w:t>
            </w:r>
          </w:p>
        </w:tc>
        <w:tc>
          <w:tcPr>
            <w:tcW w:w="1051" w:type="dxa"/>
          </w:tcPr>
          <w:p w:rsidR="00000000" w:rsidRDefault="00000000">
            <w:pPr>
              <w:pStyle w:val="BodyTextIndent"/>
              <w:spacing w:after="0"/>
              <w:ind w:left="0" w:right="201"/>
              <w:jc w:val="right"/>
              <w:rPr>
                <w:sz w:val="19"/>
              </w:rPr>
            </w:pPr>
            <w:r>
              <w:rPr>
                <w:sz w:val="19"/>
              </w:rPr>
              <w:t>-</w:t>
            </w:r>
          </w:p>
        </w:tc>
        <w:tc>
          <w:tcPr>
            <w:tcW w:w="1846" w:type="dxa"/>
            <w:gridSpan w:val="2"/>
          </w:tcPr>
          <w:p w:rsidR="00000000" w:rsidRDefault="00000000">
            <w:pPr>
              <w:pStyle w:val="Hyperlink"/>
              <w:ind w:right="376"/>
              <w:jc w:val="right"/>
              <w:rPr>
                <w:sz w:val="19"/>
              </w:rPr>
            </w:pPr>
            <w:r>
              <w:rPr>
                <w:sz w:val="19"/>
              </w:rPr>
              <w:tab/>
              <w:t>-</w:t>
            </w:r>
          </w:p>
        </w:tc>
        <w:tc>
          <w:tcPr>
            <w:tcW w:w="1112" w:type="dxa"/>
          </w:tcPr>
          <w:p w:rsidR="00000000" w:rsidRDefault="00000000">
            <w:pPr>
              <w:pStyle w:val="BodyTextIndent"/>
              <w:spacing w:after="0"/>
              <w:ind w:left="0" w:right="216"/>
              <w:jc w:val="right"/>
              <w:rPr>
                <w:sz w:val="19"/>
              </w:rPr>
            </w:pPr>
            <w:r>
              <w:rPr>
                <w:sz w:val="19"/>
              </w:rPr>
              <w:t>12</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Иное</w:t>
            </w:r>
          </w:p>
        </w:tc>
        <w:tc>
          <w:tcPr>
            <w:tcW w:w="1484" w:type="dxa"/>
            <w:gridSpan w:val="2"/>
          </w:tcPr>
          <w:p w:rsidR="00000000" w:rsidRDefault="00000000">
            <w:pPr>
              <w:pStyle w:val="BodyTextIndent"/>
              <w:spacing w:after="0"/>
              <w:ind w:left="0" w:right="614"/>
              <w:jc w:val="right"/>
              <w:rPr>
                <w:sz w:val="19"/>
              </w:rPr>
            </w:pPr>
            <w:r>
              <w:rPr>
                <w:sz w:val="19"/>
              </w:rPr>
              <w:t>605</w:t>
            </w:r>
          </w:p>
        </w:tc>
        <w:tc>
          <w:tcPr>
            <w:tcW w:w="1051" w:type="dxa"/>
          </w:tcPr>
          <w:p w:rsidR="00000000" w:rsidRDefault="00000000">
            <w:pPr>
              <w:pStyle w:val="BodyTextIndent"/>
              <w:spacing w:after="0"/>
              <w:ind w:left="0" w:right="201"/>
              <w:jc w:val="right"/>
              <w:rPr>
                <w:sz w:val="19"/>
              </w:rPr>
            </w:pPr>
            <w:r>
              <w:rPr>
                <w:sz w:val="19"/>
              </w:rPr>
              <w:t>513</w:t>
            </w:r>
          </w:p>
        </w:tc>
        <w:tc>
          <w:tcPr>
            <w:tcW w:w="1846" w:type="dxa"/>
            <w:gridSpan w:val="2"/>
          </w:tcPr>
          <w:p w:rsidR="00000000" w:rsidRDefault="00000000">
            <w:pPr>
              <w:pStyle w:val="Hyperlink"/>
              <w:ind w:right="376"/>
              <w:jc w:val="right"/>
              <w:rPr>
                <w:sz w:val="19"/>
              </w:rPr>
            </w:pPr>
            <w:r>
              <w:rPr>
                <w:sz w:val="19"/>
              </w:rPr>
              <w:tab/>
              <w:t>3</w:t>
            </w:r>
          </w:p>
        </w:tc>
        <w:tc>
          <w:tcPr>
            <w:tcW w:w="1112" w:type="dxa"/>
          </w:tcPr>
          <w:p w:rsidR="00000000" w:rsidRDefault="00000000">
            <w:pPr>
              <w:pStyle w:val="BodyTextIndent"/>
              <w:spacing w:after="0"/>
              <w:ind w:left="0" w:right="216"/>
              <w:jc w:val="right"/>
              <w:rPr>
                <w:sz w:val="19"/>
              </w:rPr>
            </w:pPr>
            <w:r>
              <w:rPr>
                <w:sz w:val="19"/>
              </w:rPr>
              <w:t>89</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C. </w:t>
            </w:r>
            <w:r>
              <w:rPr>
                <w:sz w:val="19"/>
                <w:lang w:val="ru-RU"/>
              </w:rPr>
              <w:t>Крыша</w:t>
            </w:r>
          </w:p>
        </w:tc>
        <w:tc>
          <w:tcPr>
            <w:tcW w:w="1484" w:type="dxa"/>
            <w:gridSpan w:val="2"/>
          </w:tcPr>
          <w:p w:rsidR="00000000" w:rsidRDefault="00000000">
            <w:pPr>
              <w:pStyle w:val="BodyTextIndent"/>
              <w:spacing w:after="0"/>
              <w:ind w:left="0" w:right="614"/>
              <w:jc w:val="right"/>
              <w:rPr>
                <w:sz w:val="19"/>
              </w:rPr>
            </w:pPr>
          </w:p>
        </w:tc>
        <w:tc>
          <w:tcPr>
            <w:tcW w:w="1051" w:type="dxa"/>
          </w:tcPr>
          <w:p w:rsidR="00000000" w:rsidRDefault="00000000">
            <w:pPr>
              <w:pStyle w:val="BodyTextIndent"/>
              <w:spacing w:after="0"/>
              <w:ind w:left="0" w:right="201"/>
              <w:jc w:val="right"/>
              <w:rPr>
                <w:sz w:val="19"/>
              </w:rPr>
            </w:pPr>
          </w:p>
        </w:tc>
        <w:tc>
          <w:tcPr>
            <w:tcW w:w="1846" w:type="dxa"/>
            <w:gridSpan w:val="2"/>
          </w:tcPr>
          <w:p w:rsidR="00000000" w:rsidRDefault="00000000">
            <w:pPr>
              <w:pStyle w:val="Hyperlink"/>
              <w:ind w:right="376"/>
              <w:jc w:val="right"/>
              <w:rPr>
                <w:sz w:val="19"/>
              </w:rPr>
            </w:pPr>
          </w:p>
        </w:tc>
        <w:tc>
          <w:tcPr>
            <w:tcW w:w="1112" w:type="dxa"/>
          </w:tcPr>
          <w:p w:rsidR="00000000" w:rsidRDefault="00000000">
            <w:pPr>
              <w:pStyle w:val="BodyTextIndent"/>
              <w:spacing w:after="0"/>
              <w:ind w:left="0" w:right="216"/>
              <w:jc w:val="right"/>
              <w:rPr>
                <w:sz w:val="19"/>
              </w:rPr>
            </w:pP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Черепица</w:t>
            </w:r>
          </w:p>
        </w:tc>
        <w:tc>
          <w:tcPr>
            <w:tcW w:w="1484" w:type="dxa"/>
            <w:gridSpan w:val="2"/>
          </w:tcPr>
          <w:p w:rsidR="00000000" w:rsidRDefault="00000000">
            <w:pPr>
              <w:pStyle w:val="BodyTextIndent"/>
              <w:spacing w:after="0"/>
              <w:ind w:left="0" w:right="614"/>
              <w:jc w:val="right"/>
              <w:rPr>
                <w:sz w:val="19"/>
              </w:rPr>
            </w:pPr>
            <w:r>
              <w:rPr>
                <w:sz w:val="19"/>
              </w:rPr>
              <w:t>4</w:t>
            </w:r>
            <w:r>
              <w:rPr>
                <w:sz w:val="19"/>
                <w:lang w:val="ru-RU"/>
              </w:rPr>
              <w:t xml:space="preserve"> </w:t>
            </w:r>
            <w:r>
              <w:rPr>
                <w:sz w:val="19"/>
              </w:rPr>
              <w:t>898</w:t>
            </w:r>
          </w:p>
        </w:tc>
        <w:tc>
          <w:tcPr>
            <w:tcW w:w="1051" w:type="dxa"/>
          </w:tcPr>
          <w:p w:rsidR="00000000" w:rsidRDefault="00000000">
            <w:pPr>
              <w:pStyle w:val="BodyTextIndent"/>
              <w:spacing w:after="0"/>
              <w:ind w:left="0" w:right="201"/>
              <w:jc w:val="right"/>
              <w:rPr>
                <w:sz w:val="19"/>
              </w:rPr>
            </w:pPr>
            <w:r>
              <w:rPr>
                <w:sz w:val="19"/>
              </w:rPr>
              <w:t>3</w:t>
            </w:r>
            <w:r>
              <w:rPr>
                <w:sz w:val="19"/>
                <w:lang w:val="ru-RU"/>
              </w:rPr>
              <w:t xml:space="preserve"> </w:t>
            </w:r>
            <w:r>
              <w:rPr>
                <w:sz w:val="19"/>
              </w:rPr>
              <w:t>620</w:t>
            </w:r>
          </w:p>
        </w:tc>
        <w:tc>
          <w:tcPr>
            <w:tcW w:w="1846" w:type="dxa"/>
            <w:gridSpan w:val="2"/>
          </w:tcPr>
          <w:p w:rsidR="00000000" w:rsidRDefault="00000000">
            <w:pPr>
              <w:pStyle w:val="Hyperlink"/>
              <w:ind w:right="376"/>
              <w:jc w:val="right"/>
              <w:rPr>
                <w:sz w:val="19"/>
              </w:rPr>
            </w:pPr>
            <w:r>
              <w:rPr>
                <w:sz w:val="19"/>
              </w:rPr>
              <w:tab/>
              <w:t>11</w:t>
            </w:r>
          </w:p>
        </w:tc>
        <w:tc>
          <w:tcPr>
            <w:tcW w:w="1112" w:type="dxa"/>
          </w:tcPr>
          <w:p w:rsidR="00000000" w:rsidRDefault="00000000">
            <w:pPr>
              <w:pStyle w:val="BodyTextIndent"/>
              <w:spacing w:after="0"/>
              <w:ind w:left="0" w:right="216"/>
              <w:jc w:val="right"/>
              <w:rPr>
                <w:sz w:val="19"/>
              </w:rPr>
            </w:pPr>
            <w:r>
              <w:rPr>
                <w:sz w:val="19"/>
              </w:rPr>
              <w:t>1</w:t>
            </w:r>
            <w:r>
              <w:rPr>
                <w:sz w:val="19"/>
                <w:lang w:val="ru-RU"/>
              </w:rPr>
              <w:t xml:space="preserve"> </w:t>
            </w:r>
            <w:r>
              <w:rPr>
                <w:sz w:val="19"/>
              </w:rPr>
              <w:t>267</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Солома</w:t>
            </w:r>
          </w:p>
        </w:tc>
        <w:tc>
          <w:tcPr>
            <w:tcW w:w="1484" w:type="dxa"/>
            <w:gridSpan w:val="2"/>
          </w:tcPr>
          <w:p w:rsidR="00000000" w:rsidRDefault="00000000">
            <w:pPr>
              <w:pStyle w:val="BodyTextIndent"/>
              <w:spacing w:after="0"/>
              <w:ind w:left="0" w:right="614"/>
              <w:jc w:val="right"/>
              <w:rPr>
                <w:sz w:val="19"/>
              </w:rPr>
            </w:pPr>
            <w:r>
              <w:rPr>
                <w:sz w:val="19"/>
              </w:rPr>
              <w:t>5</w:t>
            </w:r>
            <w:r>
              <w:rPr>
                <w:sz w:val="19"/>
                <w:lang w:val="ru-RU"/>
              </w:rPr>
              <w:t xml:space="preserve"> </w:t>
            </w:r>
            <w:r>
              <w:rPr>
                <w:sz w:val="19"/>
              </w:rPr>
              <w:t>574</w:t>
            </w:r>
          </w:p>
        </w:tc>
        <w:tc>
          <w:tcPr>
            <w:tcW w:w="1051" w:type="dxa"/>
          </w:tcPr>
          <w:p w:rsidR="00000000" w:rsidRDefault="00000000">
            <w:pPr>
              <w:pStyle w:val="BodyTextIndent"/>
              <w:spacing w:after="0"/>
              <w:ind w:left="0" w:right="201"/>
              <w:jc w:val="right"/>
              <w:rPr>
                <w:sz w:val="19"/>
              </w:rPr>
            </w:pPr>
            <w:r>
              <w:rPr>
                <w:sz w:val="19"/>
              </w:rPr>
              <w:t>5</w:t>
            </w:r>
            <w:r>
              <w:rPr>
                <w:sz w:val="19"/>
                <w:lang w:val="ru-RU"/>
              </w:rPr>
              <w:t xml:space="preserve"> </w:t>
            </w:r>
            <w:r>
              <w:rPr>
                <w:sz w:val="19"/>
              </w:rPr>
              <w:t>545</w:t>
            </w:r>
          </w:p>
        </w:tc>
        <w:tc>
          <w:tcPr>
            <w:tcW w:w="1846" w:type="dxa"/>
            <w:gridSpan w:val="2"/>
          </w:tcPr>
          <w:p w:rsidR="00000000" w:rsidRDefault="00000000">
            <w:pPr>
              <w:pStyle w:val="Hyperlink"/>
              <w:ind w:right="376"/>
              <w:jc w:val="right"/>
              <w:rPr>
                <w:sz w:val="19"/>
              </w:rPr>
            </w:pPr>
            <w:r>
              <w:rPr>
                <w:sz w:val="19"/>
              </w:rPr>
              <w:tab/>
              <w:t>17</w:t>
            </w:r>
          </w:p>
        </w:tc>
        <w:tc>
          <w:tcPr>
            <w:tcW w:w="1112" w:type="dxa"/>
          </w:tcPr>
          <w:p w:rsidR="00000000" w:rsidRDefault="00000000">
            <w:pPr>
              <w:pStyle w:val="BodyTextIndent"/>
              <w:spacing w:after="0"/>
              <w:ind w:left="0" w:right="216"/>
              <w:jc w:val="right"/>
              <w:rPr>
                <w:sz w:val="19"/>
              </w:rPr>
            </w:pPr>
            <w:r>
              <w:rPr>
                <w:sz w:val="19"/>
              </w:rPr>
              <w:t>12</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Фиброцемент или аналогичный</w:t>
            </w:r>
          </w:p>
          <w:p w:rsidR="00000000" w:rsidRDefault="00000000">
            <w:pPr>
              <w:pStyle w:val="BodyTextIndent"/>
              <w:spacing w:after="0"/>
              <w:ind w:left="0"/>
              <w:rPr>
                <w:sz w:val="19"/>
                <w:lang w:val="ru-RU"/>
              </w:rPr>
            </w:pPr>
            <w:r>
              <w:rPr>
                <w:sz w:val="19"/>
                <w:lang w:val="ru-RU"/>
              </w:rPr>
              <w:t xml:space="preserve">     материал (этернит)</w:t>
            </w:r>
          </w:p>
        </w:tc>
        <w:tc>
          <w:tcPr>
            <w:tcW w:w="1484" w:type="dxa"/>
            <w:gridSpan w:val="2"/>
          </w:tcPr>
          <w:p w:rsidR="00000000" w:rsidRDefault="00000000">
            <w:pPr>
              <w:pStyle w:val="BodyTextIndent"/>
              <w:spacing w:after="0"/>
              <w:ind w:left="0" w:right="614"/>
              <w:jc w:val="right"/>
              <w:rPr>
                <w:sz w:val="19"/>
              </w:rPr>
            </w:pPr>
            <w:r>
              <w:rPr>
                <w:sz w:val="19"/>
              </w:rPr>
              <w:t>19</w:t>
            </w:r>
            <w:r>
              <w:rPr>
                <w:sz w:val="19"/>
                <w:lang w:val="ru-RU"/>
              </w:rPr>
              <w:t xml:space="preserve"> </w:t>
            </w:r>
            <w:r>
              <w:rPr>
                <w:sz w:val="19"/>
              </w:rPr>
              <w:t>139</w:t>
            </w:r>
          </w:p>
        </w:tc>
        <w:tc>
          <w:tcPr>
            <w:tcW w:w="1051" w:type="dxa"/>
          </w:tcPr>
          <w:p w:rsidR="00000000" w:rsidRDefault="00000000">
            <w:pPr>
              <w:pStyle w:val="BodyTextIndent"/>
              <w:spacing w:after="0"/>
              <w:ind w:left="0" w:right="201"/>
              <w:jc w:val="right"/>
              <w:rPr>
                <w:sz w:val="19"/>
              </w:rPr>
            </w:pPr>
            <w:r>
              <w:rPr>
                <w:sz w:val="19"/>
              </w:rPr>
              <w:t>18</w:t>
            </w:r>
            <w:r>
              <w:rPr>
                <w:sz w:val="19"/>
                <w:lang w:val="ru-RU"/>
              </w:rPr>
              <w:t xml:space="preserve"> </w:t>
            </w:r>
            <w:r>
              <w:rPr>
                <w:sz w:val="19"/>
              </w:rPr>
              <w:t>568</w:t>
            </w:r>
          </w:p>
        </w:tc>
        <w:tc>
          <w:tcPr>
            <w:tcW w:w="1846" w:type="dxa"/>
            <w:gridSpan w:val="2"/>
          </w:tcPr>
          <w:p w:rsidR="00000000" w:rsidRDefault="00000000">
            <w:pPr>
              <w:pStyle w:val="Hyperlink"/>
              <w:ind w:right="376"/>
              <w:jc w:val="right"/>
              <w:rPr>
                <w:sz w:val="19"/>
              </w:rPr>
            </w:pPr>
            <w:r>
              <w:rPr>
                <w:sz w:val="19"/>
              </w:rPr>
              <w:tab/>
              <w:t>144</w:t>
            </w:r>
          </w:p>
        </w:tc>
        <w:tc>
          <w:tcPr>
            <w:tcW w:w="1112" w:type="dxa"/>
          </w:tcPr>
          <w:p w:rsidR="00000000" w:rsidRDefault="00000000">
            <w:pPr>
              <w:pStyle w:val="BodyTextIndent"/>
              <w:spacing w:after="0"/>
              <w:ind w:left="0" w:right="216"/>
              <w:jc w:val="right"/>
              <w:rPr>
                <w:sz w:val="19"/>
              </w:rPr>
            </w:pPr>
            <w:r>
              <w:rPr>
                <w:sz w:val="19"/>
              </w:rPr>
              <w:t>427</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Цинковые листы</w:t>
            </w:r>
          </w:p>
        </w:tc>
        <w:tc>
          <w:tcPr>
            <w:tcW w:w="1484" w:type="dxa"/>
            <w:gridSpan w:val="2"/>
          </w:tcPr>
          <w:p w:rsidR="00000000" w:rsidRDefault="00000000">
            <w:pPr>
              <w:pStyle w:val="BodyTextIndent"/>
              <w:spacing w:after="0"/>
              <w:ind w:left="0" w:right="614"/>
              <w:jc w:val="right"/>
              <w:rPr>
                <w:sz w:val="19"/>
              </w:rPr>
            </w:pPr>
            <w:r>
              <w:rPr>
                <w:sz w:val="19"/>
              </w:rPr>
              <w:t>17</w:t>
            </w:r>
            <w:r>
              <w:rPr>
                <w:sz w:val="19"/>
                <w:lang w:val="ru-RU"/>
              </w:rPr>
              <w:t xml:space="preserve"> </w:t>
            </w:r>
            <w:r>
              <w:rPr>
                <w:sz w:val="19"/>
              </w:rPr>
              <w:t>517</w:t>
            </w:r>
          </w:p>
        </w:tc>
        <w:tc>
          <w:tcPr>
            <w:tcW w:w="1051" w:type="dxa"/>
          </w:tcPr>
          <w:p w:rsidR="00000000" w:rsidRDefault="00000000">
            <w:pPr>
              <w:pStyle w:val="BodyTextIndent"/>
              <w:spacing w:after="0"/>
              <w:ind w:left="0" w:right="201"/>
              <w:jc w:val="right"/>
              <w:rPr>
                <w:sz w:val="19"/>
              </w:rPr>
            </w:pPr>
            <w:r>
              <w:rPr>
                <w:sz w:val="19"/>
              </w:rPr>
              <w:t>16</w:t>
            </w:r>
            <w:r>
              <w:rPr>
                <w:sz w:val="19"/>
                <w:lang w:val="ru-RU"/>
              </w:rPr>
              <w:t xml:space="preserve"> </w:t>
            </w:r>
            <w:r>
              <w:rPr>
                <w:sz w:val="19"/>
              </w:rPr>
              <w:t>493</w:t>
            </w:r>
          </w:p>
        </w:tc>
        <w:tc>
          <w:tcPr>
            <w:tcW w:w="1846" w:type="dxa"/>
            <w:gridSpan w:val="2"/>
          </w:tcPr>
          <w:p w:rsidR="00000000" w:rsidRDefault="00000000">
            <w:pPr>
              <w:pStyle w:val="Hyperlink"/>
              <w:ind w:right="376"/>
              <w:jc w:val="right"/>
              <w:rPr>
                <w:sz w:val="19"/>
              </w:rPr>
            </w:pPr>
            <w:r>
              <w:rPr>
                <w:sz w:val="19"/>
              </w:rPr>
              <w:tab/>
              <w:t>200</w:t>
            </w:r>
          </w:p>
        </w:tc>
        <w:tc>
          <w:tcPr>
            <w:tcW w:w="1112" w:type="dxa"/>
          </w:tcPr>
          <w:p w:rsidR="00000000" w:rsidRDefault="00000000">
            <w:pPr>
              <w:pStyle w:val="BodyTextIndent"/>
              <w:spacing w:after="0"/>
              <w:ind w:left="0" w:right="216"/>
              <w:jc w:val="right"/>
              <w:rPr>
                <w:sz w:val="19"/>
              </w:rPr>
            </w:pPr>
            <w:r>
              <w:rPr>
                <w:sz w:val="19"/>
              </w:rPr>
              <w:t>824</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Деревянные рейки</w:t>
            </w:r>
          </w:p>
        </w:tc>
        <w:tc>
          <w:tcPr>
            <w:tcW w:w="1484" w:type="dxa"/>
            <w:gridSpan w:val="2"/>
          </w:tcPr>
          <w:p w:rsidR="00000000" w:rsidRDefault="00000000">
            <w:pPr>
              <w:pStyle w:val="BodyTextIndent"/>
              <w:spacing w:after="0"/>
              <w:ind w:left="0" w:right="614"/>
              <w:jc w:val="right"/>
              <w:rPr>
                <w:sz w:val="19"/>
              </w:rPr>
            </w:pPr>
            <w:r>
              <w:rPr>
                <w:sz w:val="19"/>
              </w:rPr>
              <w:t>250</w:t>
            </w:r>
          </w:p>
        </w:tc>
        <w:tc>
          <w:tcPr>
            <w:tcW w:w="1051" w:type="dxa"/>
          </w:tcPr>
          <w:p w:rsidR="00000000" w:rsidRDefault="00000000">
            <w:pPr>
              <w:pStyle w:val="BodyTextIndent"/>
              <w:spacing w:after="0"/>
              <w:ind w:left="0" w:right="201"/>
              <w:jc w:val="right"/>
              <w:rPr>
                <w:sz w:val="19"/>
              </w:rPr>
            </w:pPr>
            <w:r>
              <w:rPr>
                <w:sz w:val="19"/>
              </w:rPr>
              <w:t>235</w:t>
            </w:r>
          </w:p>
        </w:tc>
        <w:tc>
          <w:tcPr>
            <w:tcW w:w="1846" w:type="dxa"/>
            <w:gridSpan w:val="2"/>
          </w:tcPr>
          <w:p w:rsidR="00000000" w:rsidRDefault="00000000">
            <w:pPr>
              <w:pStyle w:val="Hyperlink"/>
              <w:ind w:right="376"/>
              <w:jc w:val="right"/>
              <w:rPr>
                <w:sz w:val="19"/>
              </w:rPr>
            </w:pPr>
            <w:r>
              <w:rPr>
                <w:sz w:val="19"/>
              </w:rPr>
              <w:tab/>
              <w:t>2</w:t>
            </w:r>
          </w:p>
        </w:tc>
        <w:tc>
          <w:tcPr>
            <w:tcW w:w="1112" w:type="dxa"/>
          </w:tcPr>
          <w:p w:rsidR="00000000" w:rsidRDefault="00000000">
            <w:pPr>
              <w:pStyle w:val="BodyTextIndent"/>
              <w:spacing w:after="0"/>
              <w:ind w:left="0" w:right="216"/>
              <w:jc w:val="right"/>
              <w:rPr>
                <w:sz w:val="19"/>
              </w:rPr>
            </w:pPr>
            <w:r>
              <w:rPr>
                <w:sz w:val="19"/>
              </w:rPr>
              <w:t>13</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Армированный бетон, фаянс или гипс</w:t>
            </w:r>
          </w:p>
        </w:tc>
        <w:tc>
          <w:tcPr>
            <w:tcW w:w="1484" w:type="dxa"/>
            <w:gridSpan w:val="2"/>
          </w:tcPr>
          <w:p w:rsidR="00000000" w:rsidRDefault="00000000">
            <w:pPr>
              <w:pStyle w:val="BodyTextIndent"/>
              <w:spacing w:after="0"/>
              <w:ind w:left="0" w:right="614"/>
              <w:jc w:val="right"/>
              <w:rPr>
                <w:sz w:val="19"/>
              </w:rPr>
            </w:pPr>
            <w:r>
              <w:rPr>
                <w:sz w:val="19"/>
              </w:rPr>
              <w:t>278</w:t>
            </w:r>
          </w:p>
        </w:tc>
        <w:tc>
          <w:tcPr>
            <w:tcW w:w="1051" w:type="dxa"/>
            <w:vAlign w:val="center"/>
          </w:tcPr>
          <w:p w:rsidR="00000000" w:rsidRDefault="00000000">
            <w:pPr>
              <w:pStyle w:val="BodyTextIndent"/>
              <w:spacing w:after="0"/>
              <w:ind w:left="0" w:right="201"/>
              <w:jc w:val="right"/>
              <w:rPr>
                <w:sz w:val="19"/>
              </w:rPr>
            </w:pPr>
            <w:r>
              <w:rPr>
                <w:sz w:val="19"/>
              </w:rPr>
              <w:t>-</w:t>
            </w:r>
          </w:p>
        </w:tc>
        <w:tc>
          <w:tcPr>
            <w:tcW w:w="1846" w:type="dxa"/>
            <w:gridSpan w:val="2"/>
            <w:vAlign w:val="center"/>
          </w:tcPr>
          <w:p w:rsidR="00000000" w:rsidRDefault="00000000">
            <w:pPr>
              <w:pStyle w:val="Hyperlink"/>
              <w:ind w:right="376"/>
              <w:jc w:val="right"/>
              <w:rPr>
                <w:sz w:val="19"/>
              </w:rPr>
            </w:pPr>
            <w:r>
              <w:rPr>
                <w:sz w:val="19"/>
              </w:rPr>
              <w:tab/>
              <w:t>1</w:t>
            </w:r>
          </w:p>
        </w:tc>
        <w:tc>
          <w:tcPr>
            <w:tcW w:w="1112" w:type="dxa"/>
            <w:vAlign w:val="center"/>
          </w:tcPr>
          <w:p w:rsidR="00000000" w:rsidRDefault="00000000">
            <w:pPr>
              <w:pStyle w:val="BodyTextIndent"/>
              <w:spacing w:after="0"/>
              <w:ind w:left="0" w:right="216"/>
              <w:jc w:val="right"/>
              <w:rPr>
                <w:sz w:val="19"/>
              </w:rPr>
            </w:pPr>
            <w:r>
              <w:rPr>
                <w:sz w:val="19"/>
              </w:rPr>
              <w:t>277</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Стволы пальмы</w:t>
            </w:r>
          </w:p>
        </w:tc>
        <w:tc>
          <w:tcPr>
            <w:tcW w:w="1484" w:type="dxa"/>
            <w:gridSpan w:val="2"/>
          </w:tcPr>
          <w:p w:rsidR="00000000" w:rsidRDefault="00000000">
            <w:pPr>
              <w:pStyle w:val="BodyTextIndent"/>
              <w:spacing w:after="0"/>
              <w:ind w:left="0" w:right="614"/>
              <w:jc w:val="right"/>
              <w:rPr>
                <w:sz w:val="19"/>
              </w:rPr>
            </w:pPr>
            <w:r>
              <w:rPr>
                <w:sz w:val="19"/>
              </w:rPr>
              <w:t>154</w:t>
            </w:r>
          </w:p>
        </w:tc>
        <w:tc>
          <w:tcPr>
            <w:tcW w:w="1051" w:type="dxa"/>
          </w:tcPr>
          <w:p w:rsidR="00000000" w:rsidRDefault="00000000">
            <w:pPr>
              <w:pStyle w:val="BodyTextIndent"/>
              <w:spacing w:after="0"/>
              <w:ind w:left="0" w:right="201"/>
              <w:jc w:val="right"/>
              <w:rPr>
                <w:sz w:val="19"/>
              </w:rPr>
            </w:pPr>
            <w:r>
              <w:rPr>
                <w:sz w:val="19"/>
              </w:rPr>
              <w:t>143</w:t>
            </w:r>
          </w:p>
        </w:tc>
        <w:tc>
          <w:tcPr>
            <w:tcW w:w="1846" w:type="dxa"/>
            <w:gridSpan w:val="2"/>
          </w:tcPr>
          <w:p w:rsidR="00000000" w:rsidRDefault="00000000">
            <w:pPr>
              <w:pStyle w:val="Hyperlink"/>
              <w:ind w:right="376"/>
              <w:jc w:val="right"/>
              <w:rPr>
                <w:sz w:val="19"/>
              </w:rPr>
            </w:pPr>
            <w:r>
              <w:rPr>
                <w:sz w:val="19"/>
              </w:rPr>
              <w:tab/>
              <w:t>4</w:t>
            </w:r>
          </w:p>
        </w:tc>
        <w:tc>
          <w:tcPr>
            <w:tcW w:w="1112" w:type="dxa"/>
          </w:tcPr>
          <w:p w:rsidR="00000000" w:rsidRDefault="00000000">
            <w:pPr>
              <w:pStyle w:val="BodyTextIndent"/>
              <w:spacing w:after="0"/>
              <w:ind w:left="0" w:right="216"/>
              <w:jc w:val="right"/>
              <w:rPr>
                <w:sz w:val="19"/>
              </w:rPr>
            </w:pPr>
            <w:r>
              <w:rPr>
                <w:sz w:val="19"/>
              </w:rPr>
              <w:t>7</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Картон, прорезиненная ткань,</w:t>
            </w:r>
          </w:p>
          <w:p w:rsidR="00000000" w:rsidRDefault="00000000">
            <w:pPr>
              <w:pStyle w:val="BodyTextIndent"/>
              <w:spacing w:after="0"/>
              <w:ind w:left="0"/>
              <w:rPr>
                <w:sz w:val="19"/>
                <w:lang w:val="ru-RU"/>
              </w:rPr>
            </w:pPr>
            <w:r>
              <w:rPr>
                <w:sz w:val="19"/>
                <w:lang w:val="ru-RU"/>
              </w:rPr>
              <w:t xml:space="preserve">    деревянная тара</w:t>
            </w:r>
          </w:p>
        </w:tc>
        <w:tc>
          <w:tcPr>
            <w:tcW w:w="1484" w:type="dxa"/>
            <w:gridSpan w:val="2"/>
          </w:tcPr>
          <w:p w:rsidR="00000000" w:rsidRDefault="00000000">
            <w:pPr>
              <w:pStyle w:val="BodyTextIndent"/>
              <w:spacing w:after="0"/>
              <w:ind w:left="0" w:right="614"/>
              <w:jc w:val="right"/>
              <w:rPr>
                <w:sz w:val="19"/>
              </w:rPr>
            </w:pPr>
            <w:r>
              <w:rPr>
                <w:sz w:val="19"/>
              </w:rPr>
              <w:t>297</w:t>
            </w:r>
          </w:p>
        </w:tc>
        <w:tc>
          <w:tcPr>
            <w:tcW w:w="1051" w:type="dxa"/>
          </w:tcPr>
          <w:p w:rsidR="00000000" w:rsidRDefault="00000000">
            <w:pPr>
              <w:pStyle w:val="BodyTextIndent"/>
              <w:spacing w:after="0"/>
              <w:ind w:left="0" w:right="201"/>
              <w:jc w:val="right"/>
              <w:rPr>
                <w:sz w:val="19"/>
              </w:rPr>
            </w:pPr>
            <w:r>
              <w:rPr>
                <w:sz w:val="19"/>
              </w:rPr>
              <w:t>-</w:t>
            </w:r>
          </w:p>
        </w:tc>
        <w:tc>
          <w:tcPr>
            <w:tcW w:w="1846" w:type="dxa"/>
            <w:gridSpan w:val="2"/>
          </w:tcPr>
          <w:p w:rsidR="00000000" w:rsidRDefault="00000000">
            <w:pPr>
              <w:pStyle w:val="Hyperlink"/>
              <w:ind w:right="376"/>
              <w:jc w:val="right"/>
              <w:rPr>
                <w:sz w:val="19"/>
              </w:rPr>
            </w:pPr>
            <w:r>
              <w:rPr>
                <w:sz w:val="19"/>
              </w:rPr>
              <w:tab/>
              <w:t>297</w:t>
            </w:r>
          </w:p>
        </w:tc>
        <w:tc>
          <w:tcPr>
            <w:tcW w:w="1112" w:type="dxa"/>
          </w:tcPr>
          <w:p w:rsidR="00000000" w:rsidRDefault="00000000">
            <w:pPr>
              <w:pStyle w:val="BodyTextIndent"/>
              <w:spacing w:after="0"/>
              <w:ind w:left="0" w:right="216"/>
              <w:jc w:val="right"/>
              <w:rPr>
                <w:sz w:val="19"/>
              </w:rPr>
            </w:pPr>
            <w:r>
              <w:rPr>
                <w:sz w:val="19"/>
              </w:rPr>
              <w:t>-</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lang w:val="es-MX"/>
              </w:rPr>
              <w:t xml:space="preserve">  </w:t>
            </w:r>
            <w:r>
              <w:rPr>
                <w:sz w:val="19"/>
                <w:lang w:val="ru-RU"/>
              </w:rPr>
              <w:t xml:space="preserve"> </w:t>
            </w:r>
            <w:r>
              <w:rPr>
                <w:sz w:val="19"/>
                <w:lang w:val="es-MX"/>
              </w:rPr>
              <w:t xml:space="preserve">  </w:t>
            </w:r>
            <w:r>
              <w:rPr>
                <w:sz w:val="19"/>
                <w:lang w:val="ru-RU"/>
              </w:rPr>
              <w:t>Иное</w:t>
            </w:r>
          </w:p>
        </w:tc>
        <w:tc>
          <w:tcPr>
            <w:tcW w:w="1484" w:type="dxa"/>
            <w:gridSpan w:val="2"/>
          </w:tcPr>
          <w:p w:rsidR="00000000" w:rsidRDefault="00000000">
            <w:pPr>
              <w:pStyle w:val="BodyTextIndent"/>
              <w:spacing w:after="0"/>
              <w:ind w:left="0" w:right="614"/>
              <w:jc w:val="right"/>
              <w:rPr>
                <w:sz w:val="19"/>
              </w:rPr>
            </w:pPr>
            <w:r>
              <w:rPr>
                <w:sz w:val="19"/>
              </w:rPr>
              <w:t>87</w:t>
            </w:r>
          </w:p>
        </w:tc>
        <w:tc>
          <w:tcPr>
            <w:tcW w:w="1051" w:type="dxa"/>
          </w:tcPr>
          <w:p w:rsidR="00000000" w:rsidRDefault="00000000">
            <w:pPr>
              <w:pStyle w:val="BodyTextIndent"/>
              <w:spacing w:after="0"/>
              <w:ind w:left="0" w:right="201"/>
              <w:jc w:val="right"/>
              <w:rPr>
                <w:sz w:val="19"/>
              </w:rPr>
            </w:pPr>
            <w:r>
              <w:rPr>
                <w:sz w:val="19"/>
              </w:rPr>
              <w:t>44</w:t>
            </w:r>
          </w:p>
        </w:tc>
        <w:tc>
          <w:tcPr>
            <w:tcW w:w="1846" w:type="dxa"/>
            <w:gridSpan w:val="2"/>
          </w:tcPr>
          <w:p w:rsidR="00000000" w:rsidRDefault="00000000">
            <w:pPr>
              <w:pStyle w:val="Hyperlink"/>
              <w:ind w:right="376"/>
              <w:jc w:val="right"/>
              <w:rPr>
                <w:sz w:val="19"/>
              </w:rPr>
            </w:pPr>
            <w:r>
              <w:rPr>
                <w:sz w:val="19"/>
              </w:rPr>
              <w:tab/>
              <w:t>5</w:t>
            </w:r>
          </w:p>
        </w:tc>
        <w:tc>
          <w:tcPr>
            <w:tcW w:w="1112" w:type="dxa"/>
          </w:tcPr>
          <w:p w:rsidR="00000000" w:rsidRDefault="00000000">
            <w:pPr>
              <w:pStyle w:val="BodyTextIndent"/>
              <w:spacing w:after="0"/>
              <w:ind w:left="0" w:right="216"/>
              <w:jc w:val="right"/>
              <w:rPr>
                <w:sz w:val="19"/>
              </w:rPr>
            </w:pPr>
            <w:r>
              <w:rPr>
                <w:sz w:val="19"/>
              </w:rPr>
              <w:t>38</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b/>
                <w:bCs/>
                <w:sz w:val="19"/>
                <w:lang w:val="ru-RU"/>
              </w:rPr>
            </w:pPr>
            <w:r>
              <w:rPr>
                <w:b/>
                <w:bCs/>
                <w:sz w:val="19"/>
                <w:lang w:val="ru-RU"/>
              </w:rPr>
              <w:t>Сельские районы</w:t>
            </w:r>
          </w:p>
        </w:tc>
        <w:tc>
          <w:tcPr>
            <w:tcW w:w="1484" w:type="dxa"/>
            <w:gridSpan w:val="2"/>
          </w:tcPr>
          <w:p w:rsidR="00000000" w:rsidRDefault="00000000">
            <w:pPr>
              <w:pStyle w:val="BodyTextIndent"/>
              <w:spacing w:after="0"/>
              <w:ind w:left="0"/>
              <w:rPr>
                <w:b/>
                <w:bCs/>
                <w:sz w:val="19"/>
              </w:rPr>
            </w:pPr>
          </w:p>
        </w:tc>
        <w:tc>
          <w:tcPr>
            <w:tcW w:w="1051" w:type="dxa"/>
          </w:tcPr>
          <w:p w:rsidR="00000000" w:rsidRDefault="00000000">
            <w:pPr>
              <w:pStyle w:val="BodyTextIndent"/>
              <w:spacing w:after="0"/>
              <w:ind w:left="0" w:right="201"/>
              <w:jc w:val="right"/>
              <w:rPr>
                <w:b/>
                <w:bCs/>
                <w:sz w:val="19"/>
              </w:rPr>
            </w:pPr>
          </w:p>
        </w:tc>
        <w:tc>
          <w:tcPr>
            <w:tcW w:w="1846" w:type="dxa"/>
            <w:gridSpan w:val="2"/>
          </w:tcPr>
          <w:p w:rsidR="00000000" w:rsidRDefault="00000000">
            <w:pPr>
              <w:pStyle w:val="BodyTextIndent"/>
              <w:spacing w:after="0"/>
              <w:ind w:left="0" w:right="376"/>
              <w:jc w:val="right"/>
              <w:rPr>
                <w:b/>
                <w:bCs/>
                <w:sz w:val="19"/>
              </w:rPr>
            </w:pPr>
          </w:p>
        </w:tc>
        <w:tc>
          <w:tcPr>
            <w:tcW w:w="1112" w:type="dxa"/>
          </w:tcPr>
          <w:p w:rsidR="00000000" w:rsidRDefault="00000000">
            <w:pPr>
              <w:pStyle w:val="BodyTextIndent"/>
              <w:spacing w:after="0"/>
              <w:ind w:left="0" w:right="216"/>
              <w:jc w:val="right"/>
              <w:rPr>
                <w:b/>
                <w:bCs/>
                <w:sz w:val="19"/>
              </w:rPr>
            </w:pP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lang w:val="ru-RU"/>
              </w:rPr>
              <w:t>Общее количество единиц жилья</w:t>
            </w:r>
          </w:p>
        </w:tc>
        <w:tc>
          <w:tcPr>
            <w:tcW w:w="1484" w:type="dxa"/>
            <w:gridSpan w:val="2"/>
          </w:tcPr>
          <w:p w:rsidR="00000000" w:rsidRDefault="00000000">
            <w:pPr>
              <w:pStyle w:val="BodyTextIndent"/>
              <w:spacing w:after="0"/>
              <w:ind w:left="0" w:right="614"/>
              <w:jc w:val="right"/>
              <w:rPr>
                <w:sz w:val="19"/>
              </w:rPr>
            </w:pPr>
            <w:r>
              <w:rPr>
                <w:sz w:val="19"/>
              </w:rPr>
              <w:t>174</w:t>
            </w:r>
            <w:r>
              <w:rPr>
                <w:sz w:val="19"/>
                <w:lang w:val="ru-RU"/>
              </w:rPr>
              <w:t xml:space="preserve"> </w:t>
            </w:r>
            <w:r>
              <w:rPr>
                <w:sz w:val="19"/>
              </w:rPr>
              <w:t>104</w:t>
            </w:r>
          </w:p>
        </w:tc>
        <w:tc>
          <w:tcPr>
            <w:tcW w:w="1051" w:type="dxa"/>
          </w:tcPr>
          <w:p w:rsidR="00000000" w:rsidRDefault="00000000">
            <w:pPr>
              <w:pStyle w:val="BodyTextIndent"/>
              <w:spacing w:after="0"/>
              <w:ind w:left="0" w:right="201"/>
              <w:jc w:val="right"/>
              <w:rPr>
                <w:sz w:val="19"/>
              </w:rPr>
            </w:pPr>
            <w:r>
              <w:rPr>
                <w:sz w:val="19"/>
              </w:rPr>
              <w:t>171</w:t>
            </w:r>
            <w:r>
              <w:rPr>
                <w:sz w:val="19"/>
                <w:lang w:val="ru-RU"/>
              </w:rPr>
              <w:t xml:space="preserve"> </w:t>
            </w:r>
            <w:r>
              <w:rPr>
                <w:sz w:val="19"/>
              </w:rPr>
              <w:t>603</w:t>
            </w:r>
          </w:p>
        </w:tc>
        <w:tc>
          <w:tcPr>
            <w:tcW w:w="1846" w:type="dxa"/>
            <w:gridSpan w:val="2"/>
          </w:tcPr>
          <w:p w:rsidR="00000000" w:rsidRDefault="00000000">
            <w:pPr>
              <w:pStyle w:val="Hyperlink"/>
              <w:ind w:right="376"/>
              <w:jc w:val="right"/>
              <w:rPr>
                <w:sz w:val="19"/>
              </w:rPr>
            </w:pPr>
            <w:r>
              <w:rPr>
                <w:sz w:val="19"/>
              </w:rPr>
              <w:tab/>
              <w:t>1 410</w:t>
            </w:r>
          </w:p>
        </w:tc>
        <w:tc>
          <w:tcPr>
            <w:tcW w:w="1112" w:type="dxa"/>
          </w:tcPr>
          <w:p w:rsidR="00000000" w:rsidRDefault="00000000">
            <w:pPr>
              <w:pStyle w:val="BodyTextIndent"/>
              <w:spacing w:after="0"/>
              <w:ind w:left="0" w:right="216"/>
              <w:jc w:val="right"/>
              <w:rPr>
                <w:sz w:val="19"/>
              </w:rPr>
            </w:pPr>
            <w:r>
              <w:rPr>
                <w:sz w:val="19"/>
              </w:rPr>
              <w:t>1</w:t>
            </w:r>
            <w:r>
              <w:rPr>
                <w:sz w:val="19"/>
                <w:lang w:val="ru-RU"/>
              </w:rPr>
              <w:t xml:space="preserve"> </w:t>
            </w:r>
            <w:r>
              <w:rPr>
                <w:sz w:val="19"/>
              </w:rPr>
              <w:t>091</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Кирпич</w:t>
            </w:r>
          </w:p>
        </w:tc>
        <w:tc>
          <w:tcPr>
            <w:tcW w:w="1484" w:type="dxa"/>
            <w:gridSpan w:val="2"/>
          </w:tcPr>
          <w:p w:rsidR="00000000" w:rsidRDefault="00000000">
            <w:pPr>
              <w:pStyle w:val="BodyTextIndent"/>
              <w:spacing w:after="0"/>
              <w:ind w:left="0" w:right="614"/>
              <w:jc w:val="right"/>
              <w:rPr>
                <w:sz w:val="19"/>
              </w:rPr>
            </w:pPr>
            <w:r>
              <w:rPr>
                <w:sz w:val="19"/>
              </w:rPr>
              <w:t>6</w:t>
            </w:r>
            <w:r>
              <w:rPr>
                <w:sz w:val="19"/>
                <w:lang w:val="ru-RU"/>
              </w:rPr>
              <w:t xml:space="preserve"> </w:t>
            </w:r>
            <w:r>
              <w:rPr>
                <w:sz w:val="19"/>
              </w:rPr>
              <w:t>081</w:t>
            </w:r>
          </w:p>
        </w:tc>
        <w:tc>
          <w:tcPr>
            <w:tcW w:w="1051" w:type="dxa"/>
          </w:tcPr>
          <w:p w:rsidR="00000000" w:rsidRDefault="00000000">
            <w:pPr>
              <w:pStyle w:val="BodyTextIndent"/>
              <w:spacing w:after="0"/>
              <w:ind w:left="0" w:right="201"/>
              <w:jc w:val="right"/>
              <w:rPr>
                <w:sz w:val="19"/>
              </w:rPr>
            </w:pPr>
            <w:r>
              <w:rPr>
                <w:sz w:val="19"/>
              </w:rPr>
              <w:t>5</w:t>
            </w:r>
            <w:r>
              <w:rPr>
                <w:sz w:val="19"/>
                <w:lang w:val="ru-RU"/>
              </w:rPr>
              <w:t xml:space="preserve"> </w:t>
            </w:r>
            <w:r>
              <w:rPr>
                <w:sz w:val="19"/>
              </w:rPr>
              <w:t>750</w:t>
            </w:r>
          </w:p>
        </w:tc>
        <w:tc>
          <w:tcPr>
            <w:tcW w:w="1846" w:type="dxa"/>
            <w:gridSpan w:val="2"/>
          </w:tcPr>
          <w:p w:rsidR="00000000" w:rsidRDefault="00000000">
            <w:pPr>
              <w:pStyle w:val="Hyperlink"/>
              <w:ind w:right="376"/>
              <w:jc w:val="right"/>
              <w:rPr>
                <w:sz w:val="19"/>
              </w:rPr>
            </w:pPr>
            <w:r>
              <w:rPr>
                <w:sz w:val="19"/>
              </w:rPr>
              <w:tab/>
              <w:t>14</w:t>
            </w:r>
          </w:p>
        </w:tc>
        <w:tc>
          <w:tcPr>
            <w:tcW w:w="1112" w:type="dxa"/>
          </w:tcPr>
          <w:p w:rsidR="00000000" w:rsidRDefault="00000000">
            <w:pPr>
              <w:pStyle w:val="BodyTextIndent"/>
              <w:spacing w:after="0"/>
              <w:ind w:left="0" w:right="216"/>
              <w:jc w:val="right"/>
              <w:rPr>
                <w:sz w:val="19"/>
              </w:rPr>
            </w:pPr>
            <w:r>
              <w:rPr>
                <w:sz w:val="19"/>
              </w:rPr>
              <w:t>317</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Дерево</w:t>
            </w:r>
          </w:p>
        </w:tc>
        <w:tc>
          <w:tcPr>
            <w:tcW w:w="1484" w:type="dxa"/>
            <w:gridSpan w:val="2"/>
          </w:tcPr>
          <w:p w:rsidR="00000000" w:rsidRDefault="00000000">
            <w:pPr>
              <w:pStyle w:val="BodyTextIndent"/>
              <w:spacing w:after="0"/>
              <w:ind w:left="0" w:right="614"/>
              <w:jc w:val="right"/>
              <w:rPr>
                <w:sz w:val="19"/>
              </w:rPr>
            </w:pPr>
            <w:r>
              <w:rPr>
                <w:sz w:val="19"/>
              </w:rPr>
              <w:t>130</w:t>
            </w:r>
            <w:r>
              <w:rPr>
                <w:sz w:val="19"/>
                <w:lang w:val="ru-RU"/>
              </w:rPr>
              <w:t xml:space="preserve"> </w:t>
            </w:r>
            <w:r>
              <w:rPr>
                <w:sz w:val="19"/>
              </w:rPr>
              <w:t>571</w:t>
            </w:r>
          </w:p>
        </w:tc>
        <w:tc>
          <w:tcPr>
            <w:tcW w:w="1051" w:type="dxa"/>
          </w:tcPr>
          <w:p w:rsidR="00000000" w:rsidRDefault="00000000">
            <w:pPr>
              <w:pStyle w:val="BodyTextIndent"/>
              <w:spacing w:after="0"/>
              <w:ind w:left="0" w:right="201"/>
              <w:jc w:val="right"/>
              <w:rPr>
                <w:sz w:val="19"/>
              </w:rPr>
            </w:pPr>
            <w:r>
              <w:rPr>
                <w:sz w:val="19"/>
              </w:rPr>
              <w:t>130</w:t>
            </w:r>
            <w:r>
              <w:rPr>
                <w:sz w:val="19"/>
                <w:lang w:val="ru-RU"/>
              </w:rPr>
              <w:t xml:space="preserve"> </w:t>
            </w:r>
            <w:r>
              <w:rPr>
                <w:sz w:val="19"/>
              </w:rPr>
              <w:t>134</w:t>
            </w:r>
          </w:p>
        </w:tc>
        <w:tc>
          <w:tcPr>
            <w:tcW w:w="1846" w:type="dxa"/>
            <w:gridSpan w:val="2"/>
          </w:tcPr>
          <w:p w:rsidR="00000000" w:rsidRDefault="00000000">
            <w:pPr>
              <w:pStyle w:val="Hyperlink"/>
              <w:ind w:right="376"/>
              <w:jc w:val="right"/>
              <w:rPr>
                <w:sz w:val="19"/>
              </w:rPr>
            </w:pPr>
            <w:r>
              <w:rPr>
                <w:sz w:val="19"/>
              </w:rPr>
              <w:tab/>
              <w:t>130</w:t>
            </w:r>
          </w:p>
        </w:tc>
        <w:tc>
          <w:tcPr>
            <w:tcW w:w="1112" w:type="dxa"/>
          </w:tcPr>
          <w:p w:rsidR="00000000" w:rsidRDefault="00000000">
            <w:pPr>
              <w:pStyle w:val="BodyTextIndent"/>
              <w:spacing w:after="0"/>
              <w:ind w:left="0" w:right="216"/>
              <w:jc w:val="right"/>
              <w:rPr>
                <w:sz w:val="19"/>
              </w:rPr>
            </w:pPr>
            <w:r>
              <w:rPr>
                <w:sz w:val="19"/>
              </w:rPr>
              <w:t>307</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Эстакео (кожа)</w:t>
            </w:r>
          </w:p>
        </w:tc>
        <w:tc>
          <w:tcPr>
            <w:tcW w:w="1484" w:type="dxa"/>
            <w:gridSpan w:val="2"/>
          </w:tcPr>
          <w:p w:rsidR="00000000" w:rsidRDefault="00000000">
            <w:pPr>
              <w:pStyle w:val="BodyTextIndent"/>
              <w:spacing w:after="0"/>
              <w:ind w:left="0" w:right="614"/>
              <w:jc w:val="right"/>
              <w:rPr>
                <w:sz w:val="19"/>
              </w:rPr>
            </w:pPr>
            <w:r>
              <w:rPr>
                <w:sz w:val="19"/>
              </w:rPr>
              <w:t>22</w:t>
            </w:r>
            <w:r>
              <w:rPr>
                <w:sz w:val="19"/>
                <w:lang w:val="ru-RU"/>
              </w:rPr>
              <w:t xml:space="preserve"> </w:t>
            </w:r>
            <w:r>
              <w:rPr>
                <w:sz w:val="19"/>
              </w:rPr>
              <w:t>321</w:t>
            </w:r>
          </w:p>
        </w:tc>
        <w:tc>
          <w:tcPr>
            <w:tcW w:w="1051" w:type="dxa"/>
          </w:tcPr>
          <w:p w:rsidR="00000000" w:rsidRDefault="00000000">
            <w:pPr>
              <w:pStyle w:val="BodyTextIndent"/>
              <w:spacing w:after="0"/>
              <w:ind w:left="0" w:right="201"/>
              <w:jc w:val="right"/>
              <w:rPr>
                <w:sz w:val="19"/>
              </w:rPr>
            </w:pPr>
            <w:r>
              <w:rPr>
                <w:sz w:val="19"/>
              </w:rPr>
              <w:t>22</w:t>
            </w:r>
            <w:r>
              <w:rPr>
                <w:sz w:val="19"/>
                <w:lang w:val="ru-RU"/>
              </w:rPr>
              <w:t xml:space="preserve"> </w:t>
            </w:r>
            <w:r>
              <w:rPr>
                <w:sz w:val="19"/>
              </w:rPr>
              <w:t>234</w:t>
            </w:r>
          </w:p>
        </w:tc>
        <w:tc>
          <w:tcPr>
            <w:tcW w:w="1846" w:type="dxa"/>
            <w:gridSpan w:val="2"/>
          </w:tcPr>
          <w:p w:rsidR="00000000" w:rsidRDefault="00000000">
            <w:pPr>
              <w:pStyle w:val="Hyperlink"/>
              <w:ind w:right="376"/>
              <w:jc w:val="right"/>
              <w:rPr>
                <w:sz w:val="19"/>
              </w:rPr>
            </w:pPr>
            <w:r>
              <w:rPr>
                <w:sz w:val="19"/>
              </w:rPr>
              <w:tab/>
              <w:t>55</w:t>
            </w:r>
          </w:p>
        </w:tc>
        <w:tc>
          <w:tcPr>
            <w:tcW w:w="1112" w:type="dxa"/>
          </w:tcPr>
          <w:p w:rsidR="00000000" w:rsidRDefault="00000000">
            <w:pPr>
              <w:pStyle w:val="BodyTextIndent"/>
              <w:spacing w:after="0"/>
              <w:ind w:left="0" w:right="216"/>
              <w:jc w:val="right"/>
              <w:rPr>
                <w:sz w:val="19"/>
              </w:rPr>
            </w:pPr>
            <w:r>
              <w:rPr>
                <w:sz w:val="19"/>
              </w:rPr>
              <w:t>32</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Необожженный кирпич</w:t>
            </w:r>
          </w:p>
        </w:tc>
        <w:tc>
          <w:tcPr>
            <w:tcW w:w="1484" w:type="dxa"/>
            <w:gridSpan w:val="2"/>
          </w:tcPr>
          <w:p w:rsidR="00000000" w:rsidRDefault="00000000">
            <w:pPr>
              <w:pStyle w:val="BodyTextIndent"/>
              <w:spacing w:after="0"/>
              <w:ind w:left="0" w:right="614"/>
              <w:jc w:val="right"/>
              <w:rPr>
                <w:sz w:val="19"/>
              </w:rPr>
            </w:pPr>
            <w:r>
              <w:rPr>
                <w:sz w:val="19"/>
              </w:rPr>
              <w:t>7</w:t>
            </w:r>
            <w:r>
              <w:rPr>
                <w:sz w:val="19"/>
                <w:lang w:val="ru-RU"/>
              </w:rPr>
              <w:t xml:space="preserve"> </w:t>
            </w:r>
            <w:r>
              <w:rPr>
                <w:sz w:val="19"/>
              </w:rPr>
              <w:t>243</w:t>
            </w:r>
          </w:p>
        </w:tc>
        <w:tc>
          <w:tcPr>
            <w:tcW w:w="1051" w:type="dxa"/>
          </w:tcPr>
          <w:p w:rsidR="00000000" w:rsidRDefault="00000000">
            <w:pPr>
              <w:pStyle w:val="BodyTextIndent"/>
              <w:spacing w:after="0"/>
              <w:ind w:left="0" w:right="201"/>
              <w:jc w:val="right"/>
              <w:rPr>
                <w:sz w:val="19"/>
              </w:rPr>
            </w:pPr>
            <w:r>
              <w:rPr>
                <w:sz w:val="19"/>
              </w:rPr>
              <w:t>7</w:t>
            </w:r>
            <w:r>
              <w:rPr>
                <w:sz w:val="19"/>
                <w:lang w:val="ru-RU"/>
              </w:rPr>
              <w:t xml:space="preserve"> </w:t>
            </w:r>
            <w:r>
              <w:rPr>
                <w:sz w:val="19"/>
              </w:rPr>
              <w:t>239</w:t>
            </w:r>
          </w:p>
        </w:tc>
        <w:tc>
          <w:tcPr>
            <w:tcW w:w="1846" w:type="dxa"/>
            <w:gridSpan w:val="2"/>
          </w:tcPr>
          <w:p w:rsidR="00000000" w:rsidRDefault="00000000">
            <w:pPr>
              <w:pStyle w:val="Hyperlink"/>
              <w:ind w:right="376"/>
              <w:jc w:val="right"/>
              <w:rPr>
                <w:sz w:val="19"/>
              </w:rPr>
            </w:pPr>
            <w:r>
              <w:rPr>
                <w:sz w:val="19"/>
              </w:rPr>
              <w:tab/>
              <w:t>3</w:t>
            </w:r>
          </w:p>
        </w:tc>
        <w:tc>
          <w:tcPr>
            <w:tcW w:w="1112" w:type="dxa"/>
          </w:tcPr>
          <w:p w:rsidR="00000000" w:rsidRDefault="00000000">
            <w:pPr>
              <w:pStyle w:val="BodyTextIndent"/>
              <w:spacing w:after="0"/>
              <w:ind w:left="0" w:right="216"/>
              <w:jc w:val="right"/>
              <w:rPr>
                <w:sz w:val="19"/>
              </w:rPr>
            </w:pPr>
            <w:r>
              <w:rPr>
                <w:sz w:val="19"/>
              </w:rPr>
              <w:t>1</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Стволы пальмы</w:t>
            </w:r>
          </w:p>
        </w:tc>
        <w:tc>
          <w:tcPr>
            <w:tcW w:w="1484" w:type="dxa"/>
            <w:gridSpan w:val="2"/>
          </w:tcPr>
          <w:p w:rsidR="00000000" w:rsidRDefault="00000000">
            <w:pPr>
              <w:pStyle w:val="BodyTextIndent"/>
              <w:spacing w:after="0"/>
              <w:ind w:left="0" w:right="614"/>
              <w:jc w:val="right"/>
              <w:rPr>
                <w:sz w:val="19"/>
              </w:rPr>
            </w:pPr>
            <w:r>
              <w:rPr>
                <w:sz w:val="19"/>
              </w:rPr>
              <w:t>5</w:t>
            </w:r>
            <w:r>
              <w:rPr>
                <w:sz w:val="19"/>
                <w:lang w:val="ru-RU"/>
              </w:rPr>
              <w:t xml:space="preserve"> </w:t>
            </w:r>
            <w:r>
              <w:rPr>
                <w:sz w:val="19"/>
              </w:rPr>
              <w:t>492</w:t>
            </w:r>
          </w:p>
        </w:tc>
        <w:tc>
          <w:tcPr>
            <w:tcW w:w="1051" w:type="dxa"/>
          </w:tcPr>
          <w:p w:rsidR="00000000" w:rsidRDefault="00000000">
            <w:pPr>
              <w:pStyle w:val="BodyTextIndent"/>
              <w:spacing w:after="0"/>
              <w:ind w:left="0" w:right="201"/>
              <w:jc w:val="right"/>
              <w:rPr>
                <w:sz w:val="19"/>
              </w:rPr>
            </w:pPr>
            <w:r>
              <w:rPr>
                <w:sz w:val="19"/>
              </w:rPr>
              <w:t>5</w:t>
            </w:r>
            <w:r>
              <w:rPr>
                <w:sz w:val="19"/>
                <w:lang w:val="ru-RU"/>
              </w:rPr>
              <w:t xml:space="preserve"> </w:t>
            </w:r>
            <w:r>
              <w:rPr>
                <w:sz w:val="19"/>
              </w:rPr>
              <w:t>457</w:t>
            </w:r>
          </w:p>
        </w:tc>
        <w:tc>
          <w:tcPr>
            <w:tcW w:w="1846" w:type="dxa"/>
            <w:gridSpan w:val="2"/>
          </w:tcPr>
          <w:p w:rsidR="00000000" w:rsidRDefault="00000000">
            <w:pPr>
              <w:pStyle w:val="Hyperlink"/>
              <w:ind w:right="376"/>
              <w:jc w:val="right"/>
              <w:rPr>
                <w:sz w:val="19"/>
              </w:rPr>
            </w:pPr>
            <w:r>
              <w:rPr>
                <w:sz w:val="19"/>
              </w:rPr>
              <w:tab/>
              <w:t>28</w:t>
            </w:r>
          </w:p>
        </w:tc>
        <w:tc>
          <w:tcPr>
            <w:tcW w:w="1112" w:type="dxa"/>
          </w:tcPr>
          <w:p w:rsidR="00000000" w:rsidRDefault="00000000">
            <w:pPr>
              <w:pStyle w:val="BodyTextIndent"/>
              <w:spacing w:after="0"/>
              <w:ind w:left="0" w:right="216"/>
              <w:jc w:val="right"/>
              <w:rPr>
                <w:sz w:val="19"/>
              </w:rPr>
            </w:pPr>
            <w:r>
              <w:rPr>
                <w:sz w:val="19"/>
              </w:rPr>
              <w:t>7</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Цементные блоки</w:t>
            </w:r>
          </w:p>
        </w:tc>
        <w:tc>
          <w:tcPr>
            <w:tcW w:w="1484" w:type="dxa"/>
            <w:gridSpan w:val="2"/>
          </w:tcPr>
          <w:p w:rsidR="00000000" w:rsidRDefault="00000000">
            <w:pPr>
              <w:pStyle w:val="BodyTextIndent"/>
              <w:spacing w:after="0"/>
              <w:ind w:left="0" w:right="614"/>
              <w:jc w:val="right"/>
              <w:rPr>
                <w:sz w:val="19"/>
              </w:rPr>
            </w:pPr>
            <w:r>
              <w:rPr>
                <w:sz w:val="19"/>
              </w:rPr>
              <w:t>9</w:t>
            </w:r>
          </w:p>
        </w:tc>
        <w:tc>
          <w:tcPr>
            <w:tcW w:w="1051" w:type="dxa"/>
          </w:tcPr>
          <w:p w:rsidR="00000000" w:rsidRDefault="00000000">
            <w:pPr>
              <w:pStyle w:val="BodyTextIndent"/>
              <w:spacing w:after="0"/>
              <w:ind w:left="0" w:right="201"/>
              <w:jc w:val="right"/>
              <w:rPr>
                <w:sz w:val="19"/>
              </w:rPr>
            </w:pPr>
            <w:r>
              <w:rPr>
                <w:sz w:val="19"/>
              </w:rPr>
              <w:t>-</w:t>
            </w:r>
          </w:p>
        </w:tc>
        <w:tc>
          <w:tcPr>
            <w:tcW w:w="1846" w:type="dxa"/>
            <w:gridSpan w:val="2"/>
          </w:tcPr>
          <w:p w:rsidR="00000000" w:rsidRDefault="00000000">
            <w:pPr>
              <w:pStyle w:val="Hyperlink"/>
              <w:ind w:right="376"/>
              <w:jc w:val="right"/>
              <w:rPr>
                <w:sz w:val="19"/>
              </w:rPr>
            </w:pPr>
            <w:r>
              <w:rPr>
                <w:sz w:val="19"/>
              </w:rPr>
              <w:tab/>
              <w:t>-</w:t>
            </w:r>
          </w:p>
        </w:tc>
        <w:tc>
          <w:tcPr>
            <w:tcW w:w="1112" w:type="dxa"/>
          </w:tcPr>
          <w:p w:rsidR="00000000" w:rsidRDefault="00000000">
            <w:pPr>
              <w:pStyle w:val="BodyTextIndent"/>
              <w:spacing w:after="0"/>
              <w:ind w:left="0" w:right="216"/>
              <w:jc w:val="right"/>
              <w:rPr>
                <w:sz w:val="19"/>
              </w:rPr>
            </w:pPr>
            <w:r>
              <w:rPr>
                <w:sz w:val="19"/>
              </w:rPr>
              <w:t>9</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Картон, прорезиненная ткань,</w:t>
            </w:r>
          </w:p>
          <w:p w:rsidR="00000000" w:rsidRDefault="00000000">
            <w:pPr>
              <w:pStyle w:val="BodyTextIndent"/>
              <w:spacing w:after="0"/>
              <w:ind w:left="0"/>
              <w:rPr>
                <w:sz w:val="19"/>
                <w:lang w:val="ru-RU"/>
              </w:rPr>
            </w:pPr>
            <w:r>
              <w:rPr>
                <w:sz w:val="19"/>
                <w:lang w:val="ru-RU"/>
              </w:rPr>
              <w:t xml:space="preserve">    деревянная тара</w:t>
            </w:r>
          </w:p>
        </w:tc>
        <w:tc>
          <w:tcPr>
            <w:tcW w:w="1484" w:type="dxa"/>
            <w:gridSpan w:val="2"/>
          </w:tcPr>
          <w:p w:rsidR="00000000" w:rsidRDefault="00000000">
            <w:pPr>
              <w:pStyle w:val="BodyTextIndent"/>
              <w:spacing w:after="0"/>
              <w:ind w:left="0" w:right="614"/>
              <w:jc w:val="right"/>
              <w:rPr>
                <w:sz w:val="19"/>
              </w:rPr>
            </w:pPr>
            <w:r>
              <w:rPr>
                <w:sz w:val="19"/>
              </w:rPr>
              <w:t>1</w:t>
            </w:r>
            <w:r>
              <w:rPr>
                <w:sz w:val="19"/>
                <w:lang w:val="ru-RU"/>
              </w:rPr>
              <w:t xml:space="preserve"> </w:t>
            </w:r>
            <w:r>
              <w:rPr>
                <w:sz w:val="19"/>
              </w:rPr>
              <w:t>014</w:t>
            </w:r>
          </w:p>
        </w:tc>
        <w:tc>
          <w:tcPr>
            <w:tcW w:w="1051" w:type="dxa"/>
          </w:tcPr>
          <w:p w:rsidR="00000000" w:rsidRDefault="00000000">
            <w:pPr>
              <w:pStyle w:val="BodyTextIndent"/>
              <w:spacing w:after="0"/>
              <w:ind w:left="0" w:right="201"/>
              <w:jc w:val="right"/>
              <w:rPr>
                <w:sz w:val="19"/>
              </w:rPr>
            </w:pPr>
            <w:r>
              <w:rPr>
                <w:sz w:val="19"/>
              </w:rPr>
              <w:t>-</w:t>
            </w:r>
          </w:p>
        </w:tc>
        <w:tc>
          <w:tcPr>
            <w:tcW w:w="1846" w:type="dxa"/>
            <w:gridSpan w:val="2"/>
          </w:tcPr>
          <w:p w:rsidR="00000000" w:rsidRDefault="00000000">
            <w:pPr>
              <w:pStyle w:val="Hyperlink"/>
              <w:ind w:right="376"/>
              <w:jc w:val="right"/>
              <w:rPr>
                <w:sz w:val="19"/>
              </w:rPr>
            </w:pPr>
            <w:r>
              <w:rPr>
                <w:sz w:val="19"/>
              </w:rPr>
              <w:tab/>
              <w:t>1 014</w:t>
            </w:r>
          </w:p>
        </w:tc>
        <w:tc>
          <w:tcPr>
            <w:tcW w:w="1112" w:type="dxa"/>
          </w:tcPr>
          <w:p w:rsidR="00000000" w:rsidRDefault="00000000">
            <w:pPr>
              <w:pStyle w:val="BodyTextIndent"/>
              <w:spacing w:after="0"/>
              <w:ind w:left="0" w:right="216"/>
              <w:jc w:val="right"/>
              <w:rPr>
                <w:sz w:val="19"/>
              </w:rPr>
            </w:pPr>
            <w:r>
              <w:rPr>
                <w:sz w:val="19"/>
              </w:rPr>
              <w:t>-</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Без стен</w:t>
            </w:r>
          </w:p>
        </w:tc>
        <w:tc>
          <w:tcPr>
            <w:tcW w:w="1484" w:type="dxa"/>
            <w:gridSpan w:val="2"/>
          </w:tcPr>
          <w:p w:rsidR="00000000" w:rsidRDefault="00000000">
            <w:pPr>
              <w:pStyle w:val="BodyTextIndent"/>
              <w:spacing w:after="0"/>
              <w:ind w:left="0" w:right="614"/>
              <w:jc w:val="right"/>
              <w:rPr>
                <w:sz w:val="19"/>
              </w:rPr>
            </w:pPr>
            <w:r>
              <w:rPr>
                <w:sz w:val="19"/>
              </w:rPr>
              <w:t>408</w:t>
            </w:r>
          </w:p>
        </w:tc>
        <w:tc>
          <w:tcPr>
            <w:tcW w:w="1051" w:type="dxa"/>
          </w:tcPr>
          <w:p w:rsidR="00000000" w:rsidRDefault="00000000">
            <w:pPr>
              <w:pStyle w:val="BodyTextIndent"/>
              <w:tabs>
                <w:tab w:val="decimal" w:pos="1010"/>
              </w:tabs>
              <w:spacing w:after="0"/>
              <w:ind w:left="0" w:right="201"/>
              <w:jc w:val="right"/>
              <w:rPr>
                <w:sz w:val="19"/>
              </w:rPr>
            </w:pPr>
            <w:r>
              <w:rPr>
                <w:sz w:val="19"/>
              </w:rPr>
              <w:t>-</w:t>
            </w:r>
          </w:p>
        </w:tc>
        <w:tc>
          <w:tcPr>
            <w:tcW w:w="1846" w:type="dxa"/>
            <w:gridSpan w:val="2"/>
          </w:tcPr>
          <w:p w:rsidR="00000000" w:rsidRDefault="00000000">
            <w:pPr>
              <w:pStyle w:val="Hyperlink"/>
              <w:ind w:right="376"/>
              <w:jc w:val="right"/>
              <w:rPr>
                <w:sz w:val="19"/>
              </w:rPr>
            </w:pPr>
            <w:r>
              <w:rPr>
                <w:sz w:val="19"/>
              </w:rPr>
              <w:tab/>
              <w:t>14</w:t>
            </w:r>
          </w:p>
        </w:tc>
        <w:tc>
          <w:tcPr>
            <w:tcW w:w="1112" w:type="dxa"/>
          </w:tcPr>
          <w:p w:rsidR="00000000" w:rsidRDefault="00000000">
            <w:pPr>
              <w:pStyle w:val="BodyTextIndent"/>
              <w:spacing w:after="0"/>
              <w:ind w:left="0" w:right="216"/>
              <w:jc w:val="right"/>
              <w:rPr>
                <w:sz w:val="19"/>
              </w:rPr>
            </w:pPr>
            <w:r>
              <w:rPr>
                <w:sz w:val="19"/>
              </w:rPr>
              <w:t>394</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Иное</w:t>
            </w:r>
          </w:p>
        </w:tc>
        <w:tc>
          <w:tcPr>
            <w:tcW w:w="1484" w:type="dxa"/>
            <w:gridSpan w:val="2"/>
          </w:tcPr>
          <w:p w:rsidR="00000000" w:rsidRDefault="00000000">
            <w:pPr>
              <w:pStyle w:val="BodyTextIndent"/>
              <w:spacing w:after="0"/>
              <w:ind w:left="0" w:right="614"/>
              <w:jc w:val="right"/>
              <w:rPr>
                <w:sz w:val="19"/>
              </w:rPr>
            </w:pPr>
            <w:r>
              <w:rPr>
                <w:sz w:val="19"/>
              </w:rPr>
              <w:t>965</w:t>
            </w:r>
          </w:p>
        </w:tc>
        <w:tc>
          <w:tcPr>
            <w:tcW w:w="1051" w:type="dxa"/>
          </w:tcPr>
          <w:p w:rsidR="00000000" w:rsidRDefault="00000000">
            <w:pPr>
              <w:pStyle w:val="BodyTextIndent"/>
              <w:spacing w:after="0"/>
              <w:ind w:left="0" w:right="201"/>
              <w:jc w:val="right"/>
              <w:rPr>
                <w:sz w:val="19"/>
              </w:rPr>
            </w:pPr>
            <w:r>
              <w:rPr>
                <w:sz w:val="19"/>
              </w:rPr>
              <w:t>789</w:t>
            </w:r>
          </w:p>
        </w:tc>
        <w:tc>
          <w:tcPr>
            <w:tcW w:w="1846" w:type="dxa"/>
            <w:gridSpan w:val="2"/>
          </w:tcPr>
          <w:p w:rsidR="00000000" w:rsidRDefault="00000000">
            <w:pPr>
              <w:pStyle w:val="Hyperlink"/>
              <w:ind w:right="376"/>
              <w:jc w:val="right"/>
              <w:rPr>
                <w:sz w:val="19"/>
              </w:rPr>
            </w:pPr>
            <w:r>
              <w:rPr>
                <w:sz w:val="19"/>
              </w:rPr>
              <w:tab/>
              <w:t>152</w:t>
            </w:r>
          </w:p>
        </w:tc>
        <w:tc>
          <w:tcPr>
            <w:tcW w:w="1112" w:type="dxa"/>
          </w:tcPr>
          <w:p w:rsidR="00000000" w:rsidRDefault="00000000">
            <w:pPr>
              <w:pStyle w:val="BodyTextIndent"/>
              <w:spacing w:after="0"/>
              <w:ind w:left="0" w:right="216"/>
              <w:jc w:val="right"/>
              <w:rPr>
                <w:sz w:val="19"/>
              </w:rPr>
            </w:pPr>
            <w:r>
              <w:rPr>
                <w:sz w:val="19"/>
              </w:rPr>
              <w:t>24</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B. </w:t>
            </w:r>
            <w:r>
              <w:rPr>
                <w:sz w:val="19"/>
                <w:lang w:val="ru-RU"/>
              </w:rPr>
              <w:t>Пол</w:t>
            </w:r>
          </w:p>
        </w:tc>
        <w:tc>
          <w:tcPr>
            <w:tcW w:w="1484" w:type="dxa"/>
            <w:gridSpan w:val="2"/>
          </w:tcPr>
          <w:p w:rsidR="00000000" w:rsidRDefault="00000000">
            <w:pPr>
              <w:pStyle w:val="BodyTextIndent"/>
              <w:spacing w:after="0"/>
              <w:ind w:left="0" w:right="614"/>
              <w:jc w:val="right"/>
              <w:rPr>
                <w:sz w:val="19"/>
              </w:rPr>
            </w:pPr>
          </w:p>
        </w:tc>
        <w:tc>
          <w:tcPr>
            <w:tcW w:w="1051" w:type="dxa"/>
          </w:tcPr>
          <w:p w:rsidR="00000000" w:rsidRDefault="00000000">
            <w:pPr>
              <w:pStyle w:val="BodyTextIndent"/>
              <w:spacing w:after="0"/>
              <w:ind w:left="0" w:right="201"/>
              <w:jc w:val="right"/>
              <w:rPr>
                <w:sz w:val="19"/>
              </w:rPr>
            </w:pPr>
          </w:p>
        </w:tc>
        <w:tc>
          <w:tcPr>
            <w:tcW w:w="1846" w:type="dxa"/>
            <w:gridSpan w:val="2"/>
          </w:tcPr>
          <w:p w:rsidR="00000000" w:rsidRDefault="00000000">
            <w:pPr>
              <w:pStyle w:val="Hyperlink"/>
              <w:ind w:right="376"/>
              <w:jc w:val="right"/>
              <w:rPr>
                <w:sz w:val="19"/>
              </w:rPr>
            </w:pPr>
          </w:p>
        </w:tc>
        <w:tc>
          <w:tcPr>
            <w:tcW w:w="1112" w:type="dxa"/>
          </w:tcPr>
          <w:p w:rsidR="00000000" w:rsidRDefault="00000000">
            <w:pPr>
              <w:pStyle w:val="BodyTextIndent"/>
              <w:spacing w:after="0"/>
              <w:ind w:left="0" w:right="216"/>
              <w:jc w:val="right"/>
              <w:rPr>
                <w:sz w:val="19"/>
              </w:rPr>
            </w:pP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Земля</w:t>
            </w:r>
          </w:p>
        </w:tc>
        <w:tc>
          <w:tcPr>
            <w:tcW w:w="1484" w:type="dxa"/>
            <w:gridSpan w:val="2"/>
          </w:tcPr>
          <w:p w:rsidR="00000000" w:rsidRDefault="00000000">
            <w:pPr>
              <w:pStyle w:val="BodyTextIndent"/>
              <w:spacing w:after="0"/>
              <w:ind w:left="0" w:right="614"/>
              <w:jc w:val="right"/>
              <w:rPr>
                <w:sz w:val="19"/>
              </w:rPr>
            </w:pPr>
            <w:r>
              <w:rPr>
                <w:sz w:val="19"/>
              </w:rPr>
              <w:t>148</w:t>
            </w:r>
            <w:r>
              <w:rPr>
                <w:sz w:val="19"/>
                <w:lang w:val="ru-RU"/>
              </w:rPr>
              <w:t xml:space="preserve"> </w:t>
            </w:r>
            <w:r>
              <w:rPr>
                <w:sz w:val="19"/>
              </w:rPr>
              <w:t>484</w:t>
            </w:r>
          </w:p>
        </w:tc>
        <w:tc>
          <w:tcPr>
            <w:tcW w:w="1051" w:type="dxa"/>
          </w:tcPr>
          <w:p w:rsidR="00000000" w:rsidRDefault="00000000">
            <w:pPr>
              <w:pStyle w:val="BodyTextIndent"/>
              <w:spacing w:after="0"/>
              <w:ind w:left="0" w:right="201"/>
              <w:jc w:val="right"/>
              <w:rPr>
                <w:sz w:val="19"/>
              </w:rPr>
            </w:pPr>
            <w:r>
              <w:rPr>
                <w:sz w:val="19"/>
              </w:rPr>
              <w:t>146</w:t>
            </w:r>
            <w:r>
              <w:rPr>
                <w:sz w:val="19"/>
                <w:lang w:val="ru-RU"/>
              </w:rPr>
              <w:t xml:space="preserve"> </w:t>
            </w:r>
            <w:r>
              <w:rPr>
                <w:sz w:val="19"/>
              </w:rPr>
              <w:t>551</w:t>
            </w:r>
          </w:p>
        </w:tc>
        <w:tc>
          <w:tcPr>
            <w:tcW w:w="1846" w:type="dxa"/>
            <w:gridSpan w:val="2"/>
          </w:tcPr>
          <w:p w:rsidR="00000000" w:rsidRDefault="00000000">
            <w:pPr>
              <w:pStyle w:val="Hyperlink"/>
              <w:ind w:right="376"/>
              <w:jc w:val="right"/>
              <w:rPr>
                <w:sz w:val="19"/>
              </w:rPr>
            </w:pPr>
            <w:r>
              <w:rPr>
                <w:sz w:val="19"/>
              </w:rPr>
              <w:tab/>
              <w:t>1 354</w:t>
            </w:r>
          </w:p>
        </w:tc>
        <w:tc>
          <w:tcPr>
            <w:tcW w:w="1112" w:type="dxa"/>
          </w:tcPr>
          <w:p w:rsidR="00000000" w:rsidRDefault="00000000">
            <w:pPr>
              <w:pStyle w:val="BodyTextIndent"/>
              <w:spacing w:after="0"/>
              <w:ind w:left="0" w:right="216"/>
              <w:jc w:val="right"/>
              <w:rPr>
                <w:sz w:val="19"/>
              </w:rPr>
            </w:pPr>
            <w:r>
              <w:rPr>
                <w:sz w:val="19"/>
              </w:rPr>
              <w:t>579</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Кирпич</w:t>
            </w:r>
          </w:p>
        </w:tc>
        <w:tc>
          <w:tcPr>
            <w:tcW w:w="1484" w:type="dxa"/>
            <w:gridSpan w:val="2"/>
          </w:tcPr>
          <w:p w:rsidR="00000000" w:rsidRDefault="00000000">
            <w:pPr>
              <w:pStyle w:val="BodyTextIndent"/>
              <w:spacing w:after="0"/>
              <w:ind w:left="0" w:right="614"/>
              <w:jc w:val="right"/>
              <w:rPr>
                <w:sz w:val="19"/>
              </w:rPr>
            </w:pPr>
            <w:r>
              <w:rPr>
                <w:sz w:val="19"/>
              </w:rPr>
              <w:t>5</w:t>
            </w:r>
            <w:r>
              <w:rPr>
                <w:sz w:val="19"/>
                <w:lang w:val="ru-RU"/>
              </w:rPr>
              <w:t xml:space="preserve"> </w:t>
            </w:r>
            <w:r>
              <w:rPr>
                <w:sz w:val="19"/>
              </w:rPr>
              <w:t>794</w:t>
            </w:r>
          </w:p>
        </w:tc>
        <w:tc>
          <w:tcPr>
            <w:tcW w:w="1051" w:type="dxa"/>
          </w:tcPr>
          <w:p w:rsidR="00000000" w:rsidRDefault="00000000">
            <w:pPr>
              <w:pStyle w:val="BodyTextIndent"/>
              <w:spacing w:after="0"/>
              <w:ind w:left="0" w:right="201"/>
              <w:jc w:val="right"/>
              <w:rPr>
                <w:sz w:val="19"/>
              </w:rPr>
            </w:pPr>
            <w:r>
              <w:rPr>
                <w:sz w:val="19"/>
              </w:rPr>
              <w:t>5</w:t>
            </w:r>
            <w:r>
              <w:rPr>
                <w:sz w:val="19"/>
                <w:lang w:val="ru-RU"/>
              </w:rPr>
              <w:t xml:space="preserve"> </w:t>
            </w:r>
            <w:r>
              <w:rPr>
                <w:sz w:val="19"/>
              </w:rPr>
              <w:t>668</w:t>
            </w:r>
          </w:p>
        </w:tc>
        <w:tc>
          <w:tcPr>
            <w:tcW w:w="1846" w:type="dxa"/>
            <w:gridSpan w:val="2"/>
          </w:tcPr>
          <w:p w:rsidR="00000000" w:rsidRDefault="00000000">
            <w:pPr>
              <w:pStyle w:val="Hyperlink"/>
              <w:ind w:right="376"/>
              <w:jc w:val="right"/>
              <w:rPr>
                <w:sz w:val="19"/>
              </w:rPr>
            </w:pPr>
            <w:r>
              <w:rPr>
                <w:sz w:val="19"/>
              </w:rPr>
              <w:tab/>
              <w:t>11</w:t>
            </w:r>
          </w:p>
        </w:tc>
        <w:tc>
          <w:tcPr>
            <w:tcW w:w="1112" w:type="dxa"/>
          </w:tcPr>
          <w:p w:rsidR="00000000" w:rsidRDefault="00000000">
            <w:pPr>
              <w:pStyle w:val="BodyTextIndent"/>
              <w:spacing w:after="0"/>
              <w:ind w:left="0" w:right="216"/>
              <w:jc w:val="right"/>
              <w:rPr>
                <w:sz w:val="19"/>
              </w:rPr>
            </w:pPr>
            <w:r>
              <w:rPr>
                <w:sz w:val="19"/>
              </w:rPr>
              <w:t>115</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Обычная плитка</w:t>
            </w:r>
          </w:p>
        </w:tc>
        <w:tc>
          <w:tcPr>
            <w:tcW w:w="1484" w:type="dxa"/>
            <w:gridSpan w:val="2"/>
          </w:tcPr>
          <w:p w:rsidR="00000000" w:rsidRDefault="00000000">
            <w:pPr>
              <w:pStyle w:val="BodyTextIndent"/>
              <w:spacing w:after="0"/>
              <w:ind w:left="0" w:right="614"/>
              <w:jc w:val="right"/>
              <w:rPr>
                <w:sz w:val="19"/>
              </w:rPr>
            </w:pPr>
            <w:r>
              <w:rPr>
                <w:sz w:val="19"/>
              </w:rPr>
              <w:t>122</w:t>
            </w:r>
          </w:p>
        </w:tc>
        <w:tc>
          <w:tcPr>
            <w:tcW w:w="1051" w:type="dxa"/>
          </w:tcPr>
          <w:p w:rsidR="00000000" w:rsidRDefault="00000000">
            <w:pPr>
              <w:pStyle w:val="BodyTextIndent"/>
              <w:spacing w:after="0"/>
              <w:ind w:left="0" w:right="201"/>
              <w:jc w:val="right"/>
              <w:rPr>
                <w:sz w:val="19"/>
              </w:rPr>
            </w:pPr>
            <w:r>
              <w:rPr>
                <w:sz w:val="19"/>
              </w:rPr>
              <w:t>5</w:t>
            </w:r>
          </w:p>
        </w:tc>
        <w:tc>
          <w:tcPr>
            <w:tcW w:w="1846" w:type="dxa"/>
            <w:gridSpan w:val="2"/>
          </w:tcPr>
          <w:p w:rsidR="00000000" w:rsidRDefault="00000000">
            <w:pPr>
              <w:pStyle w:val="Hyperlink"/>
              <w:ind w:right="376"/>
              <w:jc w:val="right"/>
              <w:rPr>
                <w:sz w:val="19"/>
              </w:rPr>
            </w:pPr>
            <w:r>
              <w:rPr>
                <w:sz w:val="19"/>
              </w:rPr>
              <w:tab/>
              <w:t>-</w:t>
            </w:r>
          </w:p>
        </w:tc>
        <w:tc>
          <w:tcPr>
            <w:tcW w:w="1112" w:type="dxa"/>
          </w:tcPr>
          <w:p w:rsidR="00000000" w:rsidRDefault="00000000">
            <w:pPr>
              <w:pStyle w:val="BodyTextIndent"/>
              <w:spacing w:after="0"/>
              <w:ind w:left="0" w:right="216"/>
              <w:jc w:val="right"/>
              <w:rPr>
                <w:sz w:val="19"/>
              </w:rPr>
            </w:pPr>
            <w:r>
              <w:rPr>
                <w:sz w:val="19"/>
              </w:rPr>
              <w:t>117</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Цемент</w:t>
            </w:r>
          </w:p>
        </w:tc>
        <w:tc>
          <w:tcPr>
            <w:tcW w:w="1484" w:type="dxa"/>
            <w:gridSpan w:val="2"/>
          </w:tcPr>
          <w:p w:rsidR="00000000" w:rsidRDefault="00000000">
            <w:pPr>
              <w:pStyle w:val="BodyTextIndent"/>
              <w:spacing w:after="0"/>
              <w:ind w:left="0" w:right="614"/>
              <w:jc w:val="right"/>
              <w:rPr>
                <w:sz w:val="19"/>
              </w:rPr>
            </w:pPr>
            <w:r>
              <w:rPr>
                <w:sz w:val="19"/>
              </w:rPr>
              <w:t>9</w:t>
            </w:r>
            <w:r>
              <w:rPr>
                <w:sz w:val="19"/>
                <w:lang w:val="ru-RU"/>
              </w:rPr>
              <w:t xml:space="preserve"> </w:t>
            </w:r>
            <w:r>
              <w:rPr>
                <w:sz w:val="19"/>
              </w:rPr>
              <w:t>909</w:t>
            </w:r>
          </w:p>
        </w:tc>
        <w:tc>
          <w:tcPr>
            <w:tcW w:w="1051" w:type="dxa"/>
          </w:tcPr>
          <w:p w:rsidR="00000000" w:rsidRDefault="00000000">
            <w:pPr>
              <w:pStyle w:val="BodyTextIndent"/>
              <w:spacing w:after="0"/>
              <w:ind w:left="0" w:right="201"/>
              <w:jc w:val="right"/>
              <w:rPr>
                <w:sz w:val="19"/>
              </w:rPr>
            </w:pPr>
            <w:r>
              <w:rPr>
                <w:sz w:val="19"/>
              </w:rPr>
              <w:t>9</w:t>
            </w:r>
            <w:r>
              <w:rPr>
                <w:sz w:val="19"/>
                <w:lang w:val="ru-RU"/>
              </w:rPr>
              <w:t xml:space="preserve"> </w:t>
            </w:r>
            <w:r>
              <w:rPr>
                <w:sz w:val="19"/>
              </w:rPr>
              <w:t>710</w:t>
            </w:r>
          </w:p>
        </w:tc>
        <w:tc>
          <w:tcPr>
            <w:tcW w:w="1846" w:type="dxa"/>
            <w:gridSpan w:val="2"/>
          </w:tcPr>
          <w:p w:rsidR="00000000" w:rsidRDefault="00000000">
            <w:pPr>
              <w:pStyle w:val="Hyperlink"/>
              <w:ind w:right="376"/>
              <w:jc w:val="right"/>
              <w:rPr>
                <w:sz w:val="19"/>
              </w:rPr>
            </w:pPr>
            <w:r>
              <w:rPr>
                <w:sz w:val="19"/>
              </w:rPr>
              <w:tab/>
              <w:t>12</w:t>
            </w:r>
          </w:p>
        </w:tc>
        <w:tc>
          <w:tcPr>
            <w:tcW w:w="1112" w:type="dxa"/>
          </w:tcPr>
          <w:p w:rsidR="00000000" w:rsidRDefault="00000000">
            <w:pPr>
              <w:pStyle w:val="BodyTextIndent"/>
              <w:spacing w:after="0"/>
              <w:ind w:left="0" w:right="216"/>
              <w:jc w:val="right"/>
              <w:rPr>
                <w:sz w:val="19"/>
              </w:rPr>
            </w:pPr>
            <w:r>
              <w:rPr>
                <w:sz w:val="19"/>
              </w:rPr>
              <w:t>187</w:t>
            </w:r>
          </w:p>
        </w:tc>
      </w:tr>
      <w:tr w:rsidR="00000000">
        <w:tblPrEx>
          <w:tblCellMar>
            <w:top w:w="0" w:type="dxa"/>
            <w:bottom w:w="0" w:type="dxa"/>
          </w:tblCellMar>
        </w:tblPrEx>
        <w:trPr>
          <w:cantSplit/>
        </w:trPr>
        <w:tc>
          <w:tcPr>
            <w:tcW w:w="3920" w:type="dxa"/>
            <w:gridSpan w:val="2"/>
            <w:vAlign w:val="center"/>
          </w:tcPr>
          <w:p w:rsidR="00000000" w:rsidRDefault="00000000">
            <w:pPr>
              <w:pStyle w:val="BodyTextIndent"/>
              <w:spacing w:after="0"/>
              <w:ind w:left="0"/>
              <w:rPr>
                <w:sz w:val="19"/>
              </w:rPr>
            </w:pPr>
            <w:r>
              <w:rPr>
                <w:sz w:val="19"/>
              </w:rPr>
              <w:t xml:space="preserve">    </w:t>
            </w:r>
            <w:r>
              <w:rPr>
                <w:sz w:val="19"/>
                <w:lang w:val="ru-RU"/>
              </w:rPr>
              <w:t>Мозаика, керамика, гранит и мрамор</w:t>
            </w:r>
          </w:p>
        </w:tc>
        <w:tc>
          <w:tcPr>
            <w:tcW w:w="1484" w:type="dxa"/>
            <w:gridSpan w:val="2"/>
            <w:vAlign w:val="center"/>
          </w:tcPr>
          <w:p w:rsidR="00000000" w:rsidRDefault="00000000">
            <w:pPr>
              <w:pStyle w:val="BodyTextIndent"/>
              <w:spacing w:after="0"/>
              <w:ind w:left="0" w:right="614"/>
              <w:jc w:val="right"/>
              <w:rPr>
                <w:sz w:val="19"/>
              </w:rPr>
            </w:pPr>
            <w:r>
              <w:rPr>
                <w:sz w:val="19"/>
              </w:rPr>
              <w:t>24</w:t>
            </w:r>
          </w:p>
        </w:tc>
        <w:tc>
          <w:tcPr>
            <w:tcW w:w="1051" w:type="dxa"/>
            <w:vAlign w:val="center"/>
          </w:tcPr>
          <w:p w:rsidR="00000000" w:rsidRDefault="00000000">
            <w:pPr>
              <w:pStyle w:val="BodyTextIndent"/>
              <w:spacing w:after="0"/>
              <w:ind w:left="0" w:right="201"/>
              <w:jc w:val="right"/>
              <w:rPr>
                <w:sz w:val="19"/>
              </w:rPr>
            </w:pPr>
            <w:r>
              <w:rPr>
                <w:sz w:val="19"/>
              </w:rPr>
              <w:t>-</w:t>
            </w:r>
          </w:p>
        </w:tc>
        <w:tc>
          <w:tcPr>
            <w:tcW w:w="1846" w:type="dxa"/>
            <w:gridSpan w:val="2"/>
            <w:vAlign w:val="center"/>
          </w:tcPr>
          <w:p w:rsidR="00000000" w:rsidRDefault="00000000">
            <w:pPr>
              <w:pStyle w:val="Hyperlink"/>
              <w:ind w:right="376"/>
              <w:jc w:val="right"/>
              <w:rPr>
                <w:sz w:val="19"/>
              </w:rPr>
            </w:pPr>
            <w:r>
              <w:rPr>
                <w:sz w:val="19"/>
              </w:rPr>
              <w:tab/>
              <w:t>-</w:t>
            </w:r>
          </w:p>
        </w:tc>
        <w:tc>
          <w:tcPr>
            <w:tcW w:w="1112" w:type="dxa"/>
            <w:vAlign w:val="center"/>
          </w:tcPr>
          <w:p w:rsidR="00000000" w:rsidRDefault="00000000">
            <w:pPr>
              <w:pStyle w:val="BodyTextIndent"/>
              <w:spacing w:after="0"/>
              <w:ind w:left="0" w:right="216"/>
              <w:jc w:val="right"/>
              <w:rPr>
                <w:sz w:val="19"/>
              </w:rPr>
            </w:pPr>
            <w:r>
              <w:rPr>
                <w:sz w:val="19"/>
              </w:rPr>
              <w:t>24</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Доски</w:t>
            </w:r>
          </w:p>
        </w:tc>
        <w:tc>
          <w:tcPr>
            <w:tcW w:w="1484" w:type="dxa"/>
            <w:gridSpan w:val="2"/>
          </w:tcPr>
          <w:p w:rsidR="00000000" w:rsidRDefault="00000000">
            <w:pPr>
              <w:pStyle w:val="BodyTextIndent"/>
              <w:spacing w:after="0"/>
              <w:ind w:left="0" w:right="614"/>
              <w:jc w:val="right"/>
              <w:rPr>
                <w:sz w:val="19"/>
              </w:rPr>
            </w:pPr>
            <w:r>
              <w:rPr>
                <w:sz w:val="19"/>
              </w:rPr>
              <w:t>9</w:t>
            </w:r>
            <w:r>
              <w:rPr>
                <w:sz w:val="19"/>
                <w:lang w:val="ru-RU"/>
              </w:rPr>
              <w:t xml:space="preserve"> </w:t>
            </w:r>
            <w:r>
              <w:rPr>
                <w:sz w:val="19"/>
              </w:rPr>
              <w:t>360</w:t>
            </w:r>
          </w:p>
        </w:tc>
        <w:tc>
          <w:tcPr>
            <w:tcW w:w="1051" w:type="dxa"/>
          </w:tcPr>
          <w:p w:rsidR="00000000" w:rsidRDefault="00000000">
            <w:pPr>
              <w:pStyle w:val="BodyTextIndent"/>
              <w:spacing w:after="0"/>
              <w:ind w:left="0" w:right="201"/>
              <w:jc w:val="right"/>
              <w:rPr>
                <w:sz w:val="19"/>
              </w:rPr>
            </w:pPr>
            <w:r>
              <w:rPr>
                <w:sz w:val="19"/>
              </w:rPr>
              <w:t>9</w:t>
            </w:r>
            <w:r>
              <w:rPr>
                <w:sz w:val="19"/>
                <w:lang w:val="ru-RU"/>
              </w:rPr>
              <w:t xml:space="preserve"> </w:t>
            </w:r>
            <w:r>
              <w:rPr>
                <w:sz w:val="19"/>
              </w:rPr>
              <w:t>301</w:t>
            </w:r>
          </w:p>
        </w:tc>
        <w:tc>
          <w:tcPr>
            <w:tcW w:w="1846" w:type="dxa"/>
            <w:gridSpan w:val="2"/>
          </w:tcPr>
          <w:p w:rsidR="00000000" w:rsidRDefault="00000000">
            <w:pPr>
              <w:pStyle w:val="Hyperlink"/>
              <w:ind w:right="376"/>
              <w:jc w:val="right"/>
              <w:rPr>
                <w:sz w:val="19"/>
              </w:rPr>
            </w:pPr>
            <w:r>
              <w:rPr>
                <w:sz w:val="19"/>
              </w:rPr>
              <w:tab/>
              <w:t>15</w:t>
            </w:r>
          </w:p>
        </w:tc>
        <w:tc>
          <w:tcPr>
            <w:tcW w:w="1112" w:type="dxa"/>
          </w:tcPr>
          <w:p w:rsidR="00000000" w:rsidRDefault="00000000">
            <w:pPr>
              <w:pStyle w:val="BodyTextIndent"/>
              <w:spacing w:after="0"/>
              <w:ind w:left="0" w:right="216"/>
              <w:jc w:val="right"/>
              <w:rPr>
                <w:sz w:val="19"/>
              </w:rPr>
            </w:pPr>
            <w:r>
              <w:rPr>
                <w:sz w:val="19"/>
              </w:rPr>
              <w:t>44</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Паркет</w:t>
            </w:r>
          </w:p>
        </w:tc>
        <w:tc>
          <w:tcPr>
            <w:tcW w:w="1484" w:type="dxa"/>
            <w:gridSpan w:val="2"/>
          </w:tcPr>
          <w:p w:rsidR="00000000" w:rsidRDefault="00000000">
            <w:pPr>
              <w:pStyle w:val="BodyTextIndent"/>
              <w:spacing w:after="0"/>
              <w:ind w:left="0" w:right="614"/>
              <w:jc w:val="right"/>
              <w:rPr>
                <w:sz w:val="19"/>
              </w:rPr>
            </w:pPr>
            <w:r>
              <w:rPr>
                <w:sz w:val="19"/>
              </w:rPr>
              <w:t>-</w:t>
            </w:r>
          </w:p>
        </w:tc>
        <w:tc>
          <w:tcPr>
            <w:tcW w:w="1051" w:type="dxa"/>
          </w:tcPr>
          <w:p w:rsidR="00000000" w:rsidRDefault="00000000">
            <w:pPr>
              <w:pStyle w:val="BodyTextIndent"/>
              <w:spacing w:after="0"/>
              <w:ind w:left="0" w:right="201"/>
              <w:jc w:val="right"/>
              <w:rPr>
                <w:sz w:val="19"/>
              </w:rPr>
            </w:pPr>
            <w:r>
              <w:rPr>
                <w:sz w:val="19"/>
              </w:rPr>
              <w:t>-</w:t>
            </w:r>
          </w:p>
        </w:tc>
        <w:tc>
          <w:tcPr>
            <w:tcW w:w="1846" w:type="dxa"/>
            <w:gridSpan w:val="2"/>
          </w:tcPr>
          <w:p w:rsidR="00000000" w:rsidRDefault="00000000">
            <w:pPr>
              <w:pStyle w:val="Hyperlink"/>
              <w:ind w:right="376"/>
              <w:jc w:val="right"/>
              <w:rPr>
                <w:sz w:val="19"/>
              </w:rPr>
            </w:pPr>
            <w:r>
              <w:rPr>
                <w:sz w:val="19"/>
              </w:rPr>
              <w:tab/>
              <w:t>-</w:t>
            </w:r>
          </w:p>
        </w:tc>
        <w:tc>
          <w:tcPr>
            <w:tcW w:w="1112" w:type="dxa"/>
          </w:tcPr>
          <w:p w:rsidR="00000000" w:rsidRDefault="00000000">
            <w:pPr>
              <w:pStyle w:val="BodyTextIndent"/>
              <w:spacing w:after="0"/>
              <w:ind w:left="0" w:right="216"/>
              <w:jc w:val="right"/>
              <w:rPr>
                <w:sz w:val="19"/>
              </w:rPr>
            </w:pPr>
            <w:r>
              <w:rPr>
                <w:sz w:val="19"/>
              </w:rPr>
              <w:t>-</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Ковровое покрытие</w:t>
            </w:r>
          </w:p>
        </w:tc>
        <w:tc>
          <w:tcPr>
            <w:tcW w:w="1484" w:type="dxa"/>
            <w:gridSpan w:val="2"/>
          </w:tcPr>
          <w:p w:rsidR="00000000" w:rsidRDefault="00000000">
            <w:pPr>
              <w:pStyle w:val="BodyTextIndent"/>
              <w:spacing w:after="0"/>
              <w:ind w:left="0" w:right="614"/>
              <w:jc w:val="right"/>
              <w:rPr>
                <w:sz w:val="19"/>
              </w:rPr>
            </w:pPr>
            <w:r>
              <w:rPr>
                <w:sz w:val="19"/>
              </w:rPr>
              <w:t>-</w:t>
            </w:r>
          </w:p>
        </w:tc>
        <w:tc>
          <w:tcPr>
            <w:tcW w:w="1051" w:type="dxa"/>
          </w:tcPr>
          <w:p w:rsidR="00000000" w:rsidRDefault="00000000">
            <w:pPr>
              <w:pStyle w:val="BodyTextIndent"/>
              <w:spacing w:after="0"/>
              <w:ind w:left="0" w:right="201"/>
              <w:jc w:val="right"/>
              <w:rPr>
                <w:sz w:val="19"/>
              </w:rPr>
            </w:pPr>
            <w:r>
              <w:rPr>
                <w:sz w:val="19"/>
              </w:rPr>
              <w:t>-</w:t>
            </w:r>
          </w:p>
        </w:tc>
        <w:tc>
          <w:tcPr>
            <w:tcW w:w="1846" w:type="dxa"/>
            <w:gridSpan w:val="2"/>
          </w:tcPr>
          <w:p w:rsidR="00000000" w:rsidRDefault="00000000">
            <w:pPr>
              <w:pStyle w:val="Hyperlink"/>
              <w:ind w:right="376"/>
              <w:jc w:val="right"/>
              <w:rPr>
                <w:sz w:val="19"/>
              </w:rPr>
            </w:pPr>
            <w:r>
              <w:rPr>
                <w:sz w:val="19"/>
              </w:rPr>
              <w:tab/>
              <w:t>-</w:t>
            </w:r>
          </w:p>
        </w:tc>
        <w:tc>
          <w:tcPr>
            <w:tcW w:w="1112" w:type="dxa"/>
          </w:tcPr>
          <w:p w:rsidR="00000000" w:rsidRDefault="00000000">
            <w:pPr>
              <w:pStyle w:val="BodyTextIndent"/>
              <w:tabs>
                <w:tab w:val="decimal" w:pos="1010"/>
              </w:tabs>
              <w:spacing w:after="0"/>
              <w:ind w:left="0" w:right="216"/>
              <w:jc w:val="right"/>
              <w:rPr>
                <w:sz w:val="19"/>
              </w:rPr>
            </w:pPr>
            <w:r>
              <w:rPr>
                <w:sz w:val="19"/>
              </w:rPr>
              <w:t>-</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rPr>
            </w:pPr>
            <w:r>
              <w:rPr>
                <w:sz w:val="19"/>
              </w:rPr>
              <w:t xml:space="preserve">    </w:t>
            </w:r>
            <w:r>
              <w:rPr>
                <w:sz w:val="19"/>
                <w:lang w:val="ru-RU"/>
              </w:rPr>
              <w:t>Иное</w:t>
            </w:r>
          </w:p>
        </w:tc>
        <w:tc>
          <w:tcPr>
            <w:tcW w:w="1484" w:type="dxa"/>
            <w:gridSpan w:val="2"/>
          </w:tcPr>
          <w:p w:rsidR="00000000" w:rsidRDefault="00000000">
            <w:pPr>
              <w:pStyle w:val="BodyTextIndent"/>
              <w:spacing w:after="0"/>
              <w:ind w:left="0" w:right="614"/>
              <w:jc w:val="right"/>
              <w:rPr>
                <w:sz w:val="19"/>
              </w:rPr>
            </w:pPr>
            <w:r>
              <w:rPr>
                <w:sz w:val="19"/>
              </w:rPr>
              <w:t>411</w:t>
            </w:r>
          </w:p>
        </w:tc>
        <w:tc>
          <w:tcPr>
            <w:tcW w:w="1051" w:type="dxa"/>
          </w:tcPr>
          <w:p w:rsidR="00000000" w:rsidRDefault="00000000">
            <w:pPr>
              <w:pStyle w:val="BodyTextIndent"/>
              <w:spacing w:after="0"/>
              <w:ind w:left="0" w:right="201"/>
              <w:jc w:val="right"/>
              <w:rPr>
                <w:sz w:val="19"/>
              </w:rPr>
            </w:pPr>
            <w:r>
              <w:rPr>
                <w:sz w:val="19"/>
              </w:rPr>
              <w:t>368</w:t>
            </w:r>
          </w:p>
        </w:tc>
        <w:tc>
          <w:tcPr>
            <w:tcW w:w="1846" w:type="dxa"/>
            <w:gridSpan w:val="2"/>
          </w:tcPr>
          <w:p w:rsidR="00000000" w:rsidRDefault="00000000">
            <w:pPr>
              <w:pStyle w:val="Hyperlink"/>
              <w:ind w:right="376"/>
              <w:jc w:val="right"/>
              <w:rPr>
                <w:sz w:val="19"/>
              </w:rPr>
            </w:pPr>
            <w:r>
              <w:rPr>
                <w:sz w:val="19"/>
              </w:rPr>
              <w:tab/>
              <w:t>18</w:t>
            </w:r>
          </w:p>
        </w:tc>
        <w:tc>
          <w:tcPr>
            <w:tcW w:w="1112" w:type="dxa"/>
          </w:tcPr>
          <w:p w:rsidR="00000000" w:rsidRDefault="00000000">
            <w:pPr>
              <w:pStyle w:val="BodyTextIndent"/>
              <w:spacing w:after="0"/>
              <w:ind w:left="0" w:right="216"/>
              <w:jc w:val="right"/>
              <w:rPr>
                <w:sz w:val="19"/>
              </w:rPr>
            </w:pPr>
            <w:r>
              <w:rPr>
                <w:sz w:val="19"/>
              </w:rPr>
              <w:t>25</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C. </w:t>
            </w:r>
            <w:r>
              <w:rPr>
                <w:sz w:val="19"/>
                <w:lang w:val="ru-RU"/>
              </w:rPr>
              <w:t>Крыша</w:t>
            </w:r>
          </w:p>
        </w:tc>
        <w:tc>
          <w:tcPr>
            <w:tcW w:w="1484" w:type="dxa"/>
            <w:gridSpan w:val="2"/>
          </w:tcPr>
          <w:p w:rsidR="00000000" w:rsidRDefault="00000000">
            <w:pPr>
              <w:pStyle w:val="BodyTextIndent"/>
              <w:spacing w:after="0"/>
              <w:ind w:left="0" w:right="614"/>
              <w:jc w:val="right"/>
              <w:rPr>
                <w:sz w:val="19"/>
              </w:rPr>
            </w:pPr>
          </w:p>
        </w:tc>
        <w:tc>
          <w:tcPr>
            <w:tcW w:w="1051" w:type="dxa"/>
          </w:tcPr>
          <w:p w:rsidR="00000000" w:rsidRDefault="00000000">
            <w:pPr>
              <w:pStyle w:val="BodyTextIndent"/>
              <w:spacing w:after="0"/>
              <w:ind w:left="0" w:right="201"/>
              <w:jc w:val="right"/>
              <w:rPr>
                <w:sz w:val="19"/>
              </w:rPr>
            </w:pPr>
          </w:p>
        </w:tc>
        <w:tc>
          <w:tcPr>
            <w:tcW w:w="1846" w:type="dxa"/>
            <w:gridSpan w:val="2"/>
          </w:tcPr>
          <w:p w:rsidR="00000000" w:rsidRDefault="00000000">
            <w:pPr>
              <w:pStyle w:val="Hyperlink"/>
              <w:ind w:right="376"/>
              <w:jc w:val="right"/>
              <w:rPr>
                <w:sz w:val="19"/>
              </w:rPr>
            </w:pPr>
          </w:p>
        </w:tc>
        <w:tc>
          <w:tcPr>
            <w:tcW w:w="1112" w:type="dxa"/>
          </w:tcPr>
          <w:p w:rsidR="00000000" w:rsidRDefault="00000000">
            <w:pPr>
              <w:pStyle w:val="BodyTextIndent"/>
              <w:spacing w:after="0"/>
              <w:ind w:left="0" w:right="216"/>
              <w:jc w:val="right"/>
              <w:rPr>
                <w:sz w:val="19"/>
              </w:rPr>
            </w:pP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Черепица</w:t>
            </w:r>
          </w:p>
        </w:tc>
        <w:tc>
          <w:tcPr>
            <w:tcW w:w="1484" w:type="dxa"/>
            <w:gridSpan w:val="2"/>
          </w:tcPr>
          <w:p w:rsidR="00000000" w:rsidRDefault="00000000">
            <w:pPr>
              <w:pStyle w:val="BodyTextIndent"/>
              <w:spacing w:after="0"/>
              <w:ind w:left="0" w:right="614"/>
              <w:jc w:val="right"/>
              <w:rPr>
                <w:sz w:val="19"/>
              </w:rPr>
            </w:pPr>
            <w:r>
              <w:rPr>
                <w:sz w:val="19"/>
              </w:rPr>
              <w:t>16</w:t>
            </w:r>
            <w:r>
              <w:rPr>
                <w:sz w:val="19"/>
                <w:lang w:val="ru-RU"/>
              </w:rPr>
              <w:t xml:space="preserve"> </w:t>
            </w:r>
            <w:r>
              <w:rPr>
                <w:sz w:val="19"/>
              </w:rPr>
              <w:t>817</w:t>
            </w:r>
          </w:p>
        </w:tc>
        <w:tc>
          <w:tcPr>
            <w:tcW w:w="1051" w:type="dxa"/>
          </w:tcPr>
          <w:p w:rsidR="00000000" w:rsidRDefault="00000000">
            <w:pPr>
              <w:pStyle w:val="BodyTextIndent"/>
              <w:spacing w:after="0"/>
              <w:ind w:left="0" w:right="201"/>
              <w:jc w:val="right"/>
              <w:rPr>
                <w:sz w:val="19"/>
              </w:rPr>
            </w:pPr>
            <w:r>
              <w:rPr>
                <w:sz w:val="19"/>
              </w:rPr>
              <w:t>16</w:t>
            </w:r>
            <w:r>
              <w:rPr>
                <w:sz w:val="19"/>
                <w:lang w:val="ru-RU"/>
              </w:rPr>
              <w:t xml:space="preserve"> </w:t>
            </w:r>
            <w:r>
              <w:rPr>
                <w:sz w:val="19"/>
              </w:rPr>
              <w:t>512</w:t>
            </w:r>
          </w:p>
        </w:tc>
        <w:tc>
          <w:tcPr>
            <w:tcW w:w="1846" w:type="dxa"/>
            <w:gridSpan w:val="2"/>
          </w:tcPr>
          <w:p w:rsidR="00000000" w:rsidRDefault="00000000">
            <w:pPr>
              <w:pStyle w:val="Hyperlink"/>
              <w:ind w:right="376"/>
              <w:jc w:val="right"/>
              <w:rPr>
                <w:sz w:val="19"/>
              </w:rPr>
            </w:pPr>
            <w:r>
              <w:rPr>
                <w:sz w:val="19"/>
              </w:rPr>
              <w:tab/>
              <w:t>33</w:t>
            </w:r>
          </w:p>
        </w:tc>
        <w:tc>
          <w:tcPr>
            <w:tcW w:w="1112" w:type="dxa"/>
          </w:tcPr>
          <w:p w:rsidR="00000000" w:rsidRDefault="00000000">
            <w:pPr>
              <w:pStyle w:val="BodyTextIndent"/>
              <w:spacing w:after="0"/>
              <w:ind w:left="0" w:right="216"/>
              <w:jc w:val="right"/>
              <w:rPr>
                <w:sz w:val="19"/>
              </w:rPr>
            </w:pPr>
            <w:r>
              <w:rPr>
                <w:sz w:val="19"/>
              </w:rPr>
              <w:t>272</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Солома</w:t>
            </w:r>
          </w:p>
        </w:tc>
        <w:tc>
          <w:tcPr>
            <w:tcW w:w="1484" w:type="dxa"/>
            <w:gridSpan w:val="2"/>
          </w:tcPr>
          <w:p w:rsidR="00000000" w:rsidRDefault="00000000">
            <w:pPr>
              <w:pStyle w:val="BodyTextIndent"/>
              <w:spacing w:after="0"/>
              <w:ind w:left="0" w:right="614"/>
              <w:jc w:val="right"/>
              <w:rPr>
                <w:sz w:val="19"/>
              </w:rPr>
            </w:pPr>
            <w:r>
              <w:rPr>
                <w:sz w:val="19"/>
              </w:rPr>
              <w:t>85</w:t>
            </w:r>
            <w:r>
              <w:rPr>
                <w:sz w:val="19"/>
                <w:lang w:val="ru-RU"/>
              </w:rPr>
              <w:t xml:space="preserve"> </w:t>
            </w:r>
            <w:r>
              <w:rPr>
                <w:sz w:val="19"/>
              </w:rPr>
              <w:t>270</w:t>
            </w:r>
          </w:p>
        </w:tc>
        <w:tc>
          <w:tcPr>
            <w:tcW w:w="1051" w:type="dxa"/>
          </w:tcPr>
          <w:p w:rsidR="00000000" w:rsidRDefault="00000000">
            <w:pPr>
              <w:pStyle w:val="BodyTextIndent"/>
              <w:spacing w:after="0"/>
              <w:ind w:left="0" w:right="201"/>
              <w:jc w:val="right"/>
              <w:rPr>
                <w:sz w:val="19"/>
              </w:rPr>
            </w:pPr>
            <w:r>
              <w:rPr>
                <w:sz w:val="19"/>
              </w:rPr>
              <w:t>84</w:t>
            </w:r>
            <w:r>
              <w:rPr>
                <w:sz w:val="19"/>
                <w:lang w:val="ru-RU"/>
              </w:rPr>
              <w:t xml:space="preserve"> </w:t>
            </w:r>
            <w:r>
              <w:rPr>
                <w:sz w:val="19"/>
              </w:rPr>
              <w:t>793</w:t>
            </w:r>
          </w:p>
        </w:tc>
        <w:tc>
          <w:tcPr>
            <w:tcW w:w="1846" w:type="dxa"/>
            <w:gridSpan w:val="2"/>
          </w:tcPr>
          <w:p w:rsidR="00000000" w:rsidRDefault="00000000">
            <w:pPr>
              <w:pStyle w:val="Hyperlink"/>
              <w:ind w:right="376"/>
              <w:jc w:val="right"/>
              <w:rPr>
                <w:sz w:val="19"/>
              </w:rPr>
            </w:pPr>
            <w:r>
              <w:rPr>
                <w:sz w:val="19"/>
              </w:rPr>
              <w:tab/>
              <w:t>281</w:t>
            </w:r>
          </w:p>
        </w:tc>
        <w:tc>
          <w:tcPr>
            <w:tcW w:w="1112" w:type="dxa"/>
          </w:tcPr>
          <w:p w:rsidR="00000000" w:rsidRDefault="00000000">
            <w:pPr>
              <w:pStyle w:val="BodyTextIndent"/>
              <w:spacing w:after="0"/>
              <w:ind w:left="0" w:right="216"/>
              <w:jc w:val="right"/>
              <w:rPr>
                <w:sz w:val="19"/>
              </w:rPr>
            </w:pPr>
            <w:r>
              <w:rPr>
                <w:sz w:val="19"/>
              </w:rPr>
              <w:t>196</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Фиброцемент или аналогичный</w:t>
            </w:r>
          </w:p>
          <w:p w:rsidR="00000000" w:rsidRDefault="00000000">
            <w:pPr>
              <w:pStyle w:val="BodyTextIndent"/>
              <w:spacing w:after="0"/>
              <w:ind w:left="0"/>
              <w:rPr>
                <w:sz w:val="19"/>
                <w:lang w:val="ru-RU"/>
              </w:rPr>
            </w:pPr>
            <w:r>
              <w:rPr>
                <w:sz w:val="19"/>
                <w:lang w:val="ru-RU"/>
              </w:rPr>
              <w:t xml:space="preserve">     материал</w:t>
            </w:r>
          </w:p>
        </w:tc>
        <w:tc>
          <w:tcPr>
            <w:tcW w:w="1484" w:type="dxa"/>
            <w:gridSpan w:val="2"/>
          </w:tcPr>
          <w:p w:rsidR="00000000" w:rsidRDefault="00000000">
            <w:pPr>
              <w:pStyle w:val="BodyTextIndent"/>
              <w:spacing w:after="0"/>
              <w:ind w:left="0" w:right="614"/>
              <w:jc w:val="right"/>
              <w:rPr>
                <w:sz w:val="19"/>
              </w:rPr>
            </w:pPr>
            <w:r>
              <w:rPr>
                <w:sz w:val="19"/>
              </w:rPr>
              <w:t>36</w:t>
            </w:r>
            <w:r>
              <w:rPr>
                <w:sz w:val="19"/>
                <w:lang w:val="ru-RU"/>
              </w:rPr>
              <w:t xml:space="preserve"> </w:t>
            </w:r>
            <w:r>
              <w:rPr>
                <w:sz w:val="19"/>
              </w:rPr>
              <w:t>208</w:t>
            </w:r>
          </w:p>
        </w:tc>
        <w:tc>
          <w:tcPr>
            <w:tcW w:w="1051" w:type="dxa"/>
          </w:tcPr>
          <w:p w:rsidR="00000000" w:rsidRDefault="00000000">
            <w:pPr>
              <w:pStyle w:val="BodyTextIndent"/>
              <w:spacing w:after="0"/>
              <w:ind w:left="0" w:right="201"/>
              <w:jc w:val="right"/>
              <w:rPr>
                <w:sz w:val="19"/>
              </w:rPr>
            </w:pPr>
            <w:r>
              <w:rPr>
                <w:sz w:val="19"/>
              </w:rPr>
              <w:t>36</w:t>
            </w:r>
            <w:r>
              <w:rPr>
                <w:sz w:val="19"/>
                <w:lang w:val="ru-RU"/>
              </w:rPr>
              <w:t xml:space="preserve"> </w:t>
            </w:r>
            <w:r>
              <w:rPr>
                <w:sz w:val="19"/>
              </w:rPr>
              <w:t>000</w:t>
            </w:r>
          </w:p>
        </w:tc>
        <w:tc>
          <w:tcPr>
            <w:tcW w:w="1846" w:type="dxa"/>
            <w:gridSpan w:val="2"/>
          </w:tcPr>
          <w:p w:rsidR="00000000" w:rsidRDefault="00000000">
            <w:pPr>
              <w:pStyle w:val="Hyperlink"/>
              <w:tabs>
                <w:tab w:val="clear" w:pos="567"/>
                <w:tab w:val="clear" w:pos="1134"/>
              </w:tabs>
              <w:ind w:right="376"/>
              <w:jc w:val="right"/>
              <w:rPr>
                <w:sz w:val="19"/>
              </w:rPr>
            </w:pPr>
            <w:r>
              <w:rPr>
                <w:sz w:val="19"/>
              </w:rPr>
              <w:t>63</w:t>
            </w:r>
          </w:p>
        </w:tc>
        <w:tc>
          <w:tcPr>
            <w:tcW w:w="1112" w:type="dxa"/>
          </w:tcPr>
          <w:p w:rsidR="00000000" w:rsidRDefault="00000000">
            <w:pPr>
              <w:pStyle w:val="BodyTextIndent"/>
              <w:spacing w:after="0"/>
              <w:ind w:left="0" w:right="216"/>
              <w:jc w:val="right"/>
              <w:rPr>
                <w:sz w:val="19"/>
              </w:rPr>
            </w:pPr>
            <w:r>
              <w:rPr>
                <w:sz w:val="19"/>
              </w:rPr>
              <w:t>145</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Цинковые листы</w:t>
            </w:r>
          </w:p>
        </w:tc>
        <w:tc>
          <w:tcPr>
            <w:tcW w:w="1484" w:type="dxa"/>
            <w:gridSpan w:val="2"/>
          </w:tcPr>
          <w:p w:rsidR="00000000" w:rsidRDefault="00000000">
            <w:pPr>
              <w:pStyle w:val="BodyTextIndent"/>
              <w:spacing w:after="0"/>
              <w:ind w:left="0" w:right="614"/>
              <w:jc w:val="right"/>
              <w:rPr>
                <w:sz w:val="19"/>
              </w:rPr>
            </w:pPr>
            <w:r>
              <w:rPr>
                <w:sz w:val="19"/>
              </w:rPr>
              <w:t>27</w:t>
            </w:r>
            <w:r>
              <w:rPr>
                <w:sz w:val="19"/>
                <w:lang w:val="ru-RU"/>
              </w:rPr>
              <w:t xml:space="preserve"> </w:t>
            </w:r>
            <w:r>
              <w:rPr>
                <w:sz w:val="19"/>
              </w:rPr>
              <w:t>167</w:t>
            </w:r>
          </w:p>
        </w:tc>
        <w:tc>
          <w:tcPr>
            <w:tcW w:w="1051" w:type="dxa"/>
          </w:tcPr>
          <w:p w:rsidR="00000000" w:rsidRDefault="00000000">
            <w:pPr>
              <w:pStyle w:val="BodyTextIndent"/>
              <w:spacing w:after="0"/>
              <w:ind w:left="0" w:right="201"/>
              <w:jc w:val="right"/>
              <w:rPr>
                <w:sz w:val="19"/>
              </w:rPr>
            </w:pPr>
            <w:r>
              <w:rPr>
                <w:sz w:val="19"/>
              </w:rPr>
              <w:t>26</w:t>
            </w:r>
            <w:r>
              <w:rPr>
                <w:sz w:val="19"/>
                <w:lang w:val="ru-RU"/>
              </w:rPr>
              <w:t xml:space="preserve"> </w:t>
            </w:r>
            <w:r>
              <w:rPr>
                <w:sz w:val="19"/>
              </w:rPr>
              <w:t>513</w:t>
            </w:r>
          </w:p>
        </w:tc>
        <w:tc>
          <w:tcPr>
            <w:tcW w:w="1846" w:type="dxa"/>
            <w:gridSpan w:val="2"/>
          </w:tcPr>
          <w:p w:rsidR="00000000" w:rsidRDefault="00000000">
            <w:pPr>
              <w:pStyle w:val="Hyperlink"/>
              <w:tabs>
                <w:tab w:val="clear" w:pos="567"/>
                <w:tab w:val="clear" w:pos="1134"/>
              </w:tabs>
              <w:ind w:right="376"/>
              <w:jc w:val="right"/>
              <w:rPr>
                <w:sz w:val="19"/>
              </w:rPr>
            </w:pPr>
            <w:r>
              <w:rPr>
                <w:sz w:val="19"/>
              </w:rPr>
              <w:t>219</w:t>
            </w:r>
          </w:p>
        </w:tc>
        <w:tc>
          <w:tcPr>
            <w:tcW w:w="1112" w:type="dxa"/>
          </w:tcPr>
          <w:p w:rsidR="00000000" w:rsidRDefault="00000000">
            <w:pPr>
              <w:pStyle w:val="BodyTextIndent"/>
              <w:spacing w:after="0"/>
              <w:ind w:left="0" w:right="216"/>
              <w:jc w:val="right"/>
              <w:rPr>
                <w:sz w:val="19"/>
              </w:rPr>
            </w:pPr>
            <w:r>
              <w:rPr>
                <w:sz w:val="19"/>
              </w:rPr>
              <w:t>435</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Деревянные рейки</w:t>
            </w:r>
          </w:p>
        </w:tc>
        <w:tc>
          <w:tcPr>
            <w:tcW w:w="1484" w:type="dxa"/>
            <w:gridSpan w:val="2"/>
          </w:tcPr>
          <w:p w:rsidR="00000000" w:rsidRDefault="00000000">
            <w:pPr>
              <w:pStyle w:val="BodyTextIndent"/>
              <w:spacing w:after="0"/>
              <w:ind w:left="0" w:right="614"/>
              <w:jc w:val="right"/>
              <w:rPr>
                <w:sz w:val="19"/>
              </w:rPr>
            </w:pPr>
            <w:r>
              <w:rPr>
                <w:sz w:val="19"/>
              </w:rPr>
              <w:t>5</w:t>
            </w:r>
            <w:r>
              <w:rPr>
                <w:sz w:val="19"/>
                <w:lang w:val="ru-RU"/>
              </w:rPr>
              <w:t xml:space="preserve"> </w:t>
            </w:r>
            <w:r>
              <w:rPr>
                <w:sz w:val="19"/>
              </w:rPr>
              <w:t>982</w:t>
            </w:r>
          </w:p>
        </w:tc>
        <w:tc>
          <w:tcPr>
            <w:tcW w:w="1051" w:type="dxa"/>
          </w:tcPr>
          <w:p w:rsidR="00000000" w:rsidRDefault="00000000">
            <w:pPr>
              <w:pStyle w:val="BodyTextIndent"/>
              <w:spacing w:after="0"/>
              <w:ind w:left="0" w:right="201"/>
              <w:jc w:val="right"/>
              <w:rPr>
                <w:sz w:val="19"/>
              </w:rPr>
            </w:pPr>
            <w:r>
              <w:rPr>
                <w:sz w:val="19"/>
              </w:rPr>
              <w:t>5</w:t>
            </w:r>
            <w:r>
              <w:rPr>
                <w:sz w:val="19"/>
                <w:lang w:val="ru-RU"/>
              </w:rPr>
              <w:t xml:space="preserve"> </w:t>
            </w:r>
            <w:r>
              <w:rPr>
                <w:sz w:val="19"/>
              </w:rPr>
              <w:t>962</w:t>
            </w:r>
          </w:p>
        </w:tc>
        <w:tc>
          <w:tcPr>
            <w:tcW w:w="1846" w:type="dxa"/>
            <w:gridSpan w:val="2"/>
          </w:tcPr>
          <w:p w:rsidR="00000000" w:rsidRDefault="00000000">
            <w:pPr>
              <w:pStyle w:val="Hyperlink"/>
              <w:tabs>
                <w:tab w:val="clear" w:pos="567"/>
                <w:tab w:val="clear" w:pos="1134"/>
              </w:tabs>
              <w:ind w:right="376"/>
              <w:jc w:val="right"/>
              <w:rPr>
                <w:sz w:val="19"/>
              </w:rPr>
            </w:pPr>
            <w:r>
              <w:rPr>
                <w:sz w:val="19"/>
              </w:rPr>
              <w:t>14</w:t>
            </w:r>
          </w:p>
        </w:tc>
        <w:tc>
          <w:tcPr>
            <w:tcW w:w="1112" w:type="dxa"/>
          </w:tcPr>
          <w:p w:rsidR="00000000" w:rsidRDefault="00000000">
            <w:pPr>
              <w:pStyle w:val="BodyTextIndent"/>
              <w:spacing w:after="0"/>
              <w:ind w:left="0" w:right="216"/>
              <w:jc w:val="right"/>
              <w:rPr>
                <w:sz w:val="19"/>
              </w:rPr>
            </w:pPr>
            <w:r>
              <w:rPr>
                <w:sz w:val="19"/>
              </w:rPr>
              <w:t>6</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Армированный бетон, фаянс или гипс</w:t>
            </w:r>
          </w:p>
        </w:tc>
        <w:tc>
          <w:tcPr>
            <w:tcW w:w="1484" w:type="dxa"/>
            <w:gridSpan w:val="2"/>
            <w:vAlign w:val="center"/>
          </w:tcPr>
          <w:p w:rsidR="00000000" w:rsidRDefault="00000000">
            <w:pPr>
              <w:pStyle w:val="BodyTextIndent"/>
              <w:spacing w:after="0"/>
              <w:ind w:left="0" w:right="614"/>
              <w:jc w:val="right"/>
              <w:rPr>
                <w:sz w:val="19"/>
              </w:rPr>
            </w:pPr>
            <w:r>
              <w:rPr>
                <w:sz w:val="19"/>
              </w:rPr>
              <w:t>14</w:t>
            </w:r>
          </w:p>
        </w:tc>
        <w:tc>
          <w:tcPr>
            <w:tcW w:w="1051" w:type="dxa"/>
            <w:vAlign w:val="center"/>
          </w:tcPr>
          <w:p w:rsidR="00000000" w:rsidRDefault="00000000">
            <w:pPr>
              <w:pStyle w:val="BodyTextIndent"/>
              <w:spacing w:after="0"/>
              <w:ind w:left="0" w:right="201"/>
              <w:jc w:val="right"/>
              <w:rPr>
                <w:sz w:val="19"/>
              </w:rPr>
            </w:pPr>
            <w:r>
              <w:rPr>
                <w:sz w:val="19"/>
              </w:rPr>
              <w:t>-</w:t>
            </w:r>
          </w:p>
        </w:tc>
        <w:tc>
          <w:tcPr>
            <w:tcW w:w="1846" w:type="dxa"/>
            <w:gridSpan w:val="2"/>
            <w:vAlign w:val="center"/>
          </w:tcPr>
          <w:p w:rsidR="00000000" w:rsidRDefault="00000000">
            <w:pPr>
              <w:pStyle w:val="Hyperlink"/>
              <w:tabs>
                <w:tab w:val="clear" w:pos="567"/>
                <w:tab w:val="clear" w:pos="1134"/>
              </w:tabs>
              <w:ind w:right="376"/>
              <w:jc w:val="right"/>
              <w:rPr>
                <w:sz w:val="19"/>
              </w:rPr>
            </w:pPr>
            <w:r>
              <w:rPr>
                <w:sz w:val="19"/>
              </w:rPr>
              <w:t>-</w:t>
            </w:r>
          </w:p>
        </w:tc>
        <w:tc>
          <w:tcPr>
            <w:tcW w:w="1112" w:type="dxa"/>
            <w:vAlign w:val="center"/>
          </w:tcPr>
          <w:p w:rsidR="00000000" w:rsidRDefault="00000000">
            <w:pPr>
              <w:pStyle w:val="BodyTextIndent"/>
              <w:spacing w:after="0"/>
              <w:ind w:left="0" w:right="216"/>
              <w:jc w:val="right"/>
              <w:rPr>
                <w:sz w:val="19"/>
              </w:rPr>
            </w:pPr>
            <w:r>
              <w:rPr>
                <w:sz w:val="19"/>
              </w:rPr>
              <w:t>14</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Стволы пальмы</w:t>
            </w:r>
          </w:p>
        </w:tc>
        <w:tc>
          <w:tcPr>
            <w:tcW w:w="1484" w:type="dxa"/>
            <w:gridSpan w:val="2"/>
          </w:tcPr>
          <w:p w:rsidR="00000000" w:rsidRDefault="00000000">
            <w:pPr>
              <w:pStyle w:val="BodyTextIndent"/>
              <w:spacing w:after="0"/>
              <w:ind w:left="0" w:right="614"/>
              <w:jc w:val="right"/>
              <w:rPr>
                <w:sz w:val="19"/>
              </w:rPr>
            </w:pPr>
            <w:r>
              <w:rPr>
                <w:sz w:val="19"/>
              </w:rPr>
              <w:t>1</w:t>
            </w:r>
            <w:r>
              <w:rPr>
                <w:sz w:val="19"/>
                <w:lang w:val="ru-RU"/>
              </w:rPr>
              <w:t xml:space="preserve"> </w:t>
            </w:r>
            <w:r>
              <w:rPr>
                <w:sz w:val="19"/>
              </w:rPr>
              <w:t>819</w:t>
            </w:r>
          </w:p>
        </w:tc>
        <w:tc>
          <w:tcPr>
            <w:tcW w:w="1051" w:type="dxa"/>
          </w:tcPr>
          <w:p w:rsidR="00000000" w:rsidRDefault="00000000">
            <w:pPr>
              <w:pStyle w:val="BodyTextIndent"/>
              <w:spacing w:after="0"/>
              <w:ind w:left="0" w:right="201"/>
              <w:jc w:val="right"/>
              <w:rPr>
                <w:sz w:val="19"/>
              </w:rPr>
            </w:pPr>
            <w:r>
              <w:rPr>
                <w:sz w:val="19"/>
              </w:rPr>
              <w:t>1</w:t>
            </w:r>
            <w:r>
              <w:rPr>
                <w:sz w:val="19"/>
                <w:lang w:val="ru-RU"/>
              </w:rPr>
              <w:t xml:space="preserve"> </w:t>
            </w:r>
            <w:r>
              <w:rPr>
                <w:sz w:val="19"/>
              </w:rPr>
              <w:t>784</w:t>
            </w:r>
          </w:p>
        </w:tc>
        <w:tc>
          <w:tcPr>
            <w:tcW w:w="1846" w:type="dxa"/>
            <w:gridSpan w:val="2"/>
          </w:tcPr>
          <w:p w:rsidR="00000000" w:rsidRDefault="00000000">
            <w:pPr>
              <w:pStyle w:val="Hyperlink"/>
              <w:tabs>
                <w:tab w:val="clear" w:pos="567"/>
                <w:tab w:val="clear" w:pos="1134"/>
              </w:tabs>
              <w:ind w:right="376"/>
              <w:jc w:val="right"/>
              <w:rPr>
                <w:sz w:val="19"/>
              </w:rPr>
            </w:pPr>
            <w:r>
              <w:rPr>
                <w:sz w:val="19"/>
              </w:rPr>
              <w:t>25</w:t>
            </w:r>
          </w:p>
        </w:tc>
        <w:tc>
          <w:tcPr>
            <w:tcW w:w="1112" w:type="dxa"/>
          </w:tcPr>
          <w:p w:rsidR="00000000" w:rsidRDefault="00000000">
            <w:pPr>
              <w:pStyle w:val="BodyTextIndent"/>
              <w:spacing w:after="0"/>
              <w:ind w:left="0" w:right="216"/>
              <w:jc w:val="right"/>
              <w:rPr>
                <w:sz w:val="19"/>
              </w:rPr>
            </w:pPr>
            <w:r>
              <w:rPr>
                <w:sz w:val="19"/>
              </w:rPr>
              <w:t>10</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lang w:val="ru-RU"/>
              </w:rPr>
            </w:pPr>
            <w:r>
              <w:rPr>
                <w:sz w:val="19"/>
              </w:rPr>
              <w:t xml:space="preserve">     </w:t>
            </w:r>
            <w:r>
              <w:rPr>
                <w:sz w:val="19"/>
                <w:lang w:val="ru-RU"/>
              </w:rPr>
              <w:t>Картон, прорезиненная ткань,</w:t>
            </w:r>
          </w:p>
          <w:p w:rsidR="00000000" w:rsidRDefault="00000000">
            <w:pPr>
              <w:pStyle w:val="BodyTextIndent"/>
              <w:spacing w:after="0"/>
              <w:ind w:left="0"/>
              <w:rPr>
                <w:sz w:val="19"/>
              </w:rPr>
            </w:pPr>
            <w:r>
              <w:rPr>
                <w:sz w:val="19"/>
                <w:lang w:val="ru-RU"/>
              </w:rPr>
              <w:t xml:space="preserve">  </w:t>
            </w:r>
            <w:r>
              <w:rPr>
                <w:sz w:val="19"/>
                <w:lang w:val="en-US"/>
              </w:rPr>
              <w:t xml:space="preserve"> </w:t>
            </w:r>
            <w:r>
              <w:rPr>
                <w:sz w:val="19"/>
                <w:lang w:val="ru-RU"/>
              </w:rPr>
              <w:t xml:space="preserve">  деревянная тара</w:t>
            </w:r>
          </w:p>
        </w:tc>
        <w:tc>
          <w:tcPr>
            <w:tcW w:w="1484" w:type="dxa"/>
            <w:gridSpan w:val="2"/>
          </w:tcPr>
          <w:p w:rsidR="00000000" w:rsidRDefault="00000000">
            <w:pPr>
              <w:pStyle w:val="BodyTextIndent"/>
              <w:spacing w:after="0"/>
              <w:ind w:left="0" w:right="614"/>
              <w:jc w:val="right"/>
              <w:rPr>
                <w:sz w:val="19"/>
              </w:rPr>
            </w:pPr>
            <w:r>
              <w:rPr>
                <w:sz w:val="19"/>
              </w:rPr>
              <w:t>733</w:t>
            </w:r>
          </w:p>
        </w:tc>
        <w:tc>
          <w:tcPr>
            <w:tcW w:w="1051" w:type="dxa"/>
          </w:tcPr>
          <w:p w:rsidR="00000000" w:rsidRDefault="00000000">
            <w:pPr>
              <w:pStyle w:val="BodyTextIndent"/>
              <w:spacing w:after="0"/>
              <w:ind w:left="0" w:right="201"/>
              <w:jc w:val="right"/>
              <w:rPr>
                <w:sz w:val="19"/>
              </w:rPr>
            </w:pPr>
            <w:r>
              <w:rPr>
                <w:sz w:val="19"/>
              </w:rPr>
              <w:t>-</w:t>
            </w:r>
          </w:p>
        </w:tc>
        <w:tc>
          <w:tcPr>
            <w:tcW w:w="1846" w:type="dxa"/>
            <w:gridSpan w:val="2"/>
          </w:tcPr>
          <w:p w:rsidR="00000000" w:rsidRDefault="00000000">
            <w:pPr>
              <w:pStyle w:val="Hyperlink"/>
              <w:tabs>
                <w:tab w:val="clear" w:pos="567"/>
                <w:tab w:val="clear" w:pos="1134"/>
              </w:tabs>
              <w:ind w:right="376"/>
              <w:jc w:val="right"/>
              <w:rPr>
                <w:sz w:val="19"/>
              </w:rPr>
            </w:pPr>
            <w:r>
              <w:rPr>
                <w:sz w:val="19"/>
              </w:rPr>
              <w:t>724</w:t>
            </w:r>
          </w:p>
        </w:tc>
        <w:tc>
          <w:tcPr>
            <w:tcW w:w="1112" w:type="dxa"/>
          </w:tcPr>
          <w:p w:rsidR="00000000" w:rsidRDefault="00000000">
            <w:pPr>
              <w:pStyle w:val="BodyTextIndent"/>
              <w:spacing w:after="0"/>
              <w:ind w:left="0" w:right="216"/>
              <w:jc w:val="right"/>
              <w:rPr>
                <w:sz w:val="19"/>
              </w:rPr>
            </w:pPr>
            <w:r>
              <w:rPr>
                <w:sz w:val="19"/>
              </w:rPr>
              <w:t>9</w:t>
            </w:r>
          </w:p>
        </w:tc>
      </w:tr>
      <w:tr w:rsidR="00000000">
        <w:tblPrEx>
          <w:tblCellMar>
            <w:top w:w="0" w:type="dxa"/>
            <w:bottom w:w="0" w:type="dxa"/>
          </w:tblCellMar>
        </w:tblPrEx>
        <w:trPr>
          <w:cantSplit/>
        </w:trPr>
        <w:tc>
          <w:tcPr>
            <w:tcW w:w="3920" w:type="dxa"/>
            <w:gridSpan w:val="2"/>
          </w:tcPr>
          <w:p w:rsidR="00000000" w:rsidRDefault="00000000">
            <w:pPr>
              <w:pStyle w:val="BodyTextIndent"/>
              <w:spacing w:after="0"/>
              <w:ind w:left="0"/>
              <w:rPr>
                <w:sz w:val="19"/>
              </w:rPr>
            </w:pPr>
            <w:r>
              <w:rPr>
                <w:sz w:val="19"/>
              </w:rPr>
              <w:t xml:space="preserve">     </w:t>
            </w:r>
            <w:r>
              <w:rPr>
                <w:sz w:val="19"/>
                <w:lang w:val="ru-RU"/>
              </w:rPr>
              <w:t>Иное</w:t>
            </w:r>
          </w:p>
        </w:tc>
        <w:tc>
          <w:tcPr>
            <w:tcW w:w="1484" w:type="dxa"/>
            <w:gridSpan w:val="2"/>
          </w:tcPr>
          <w:p w:rsidR="00000000" w:rsidRDefault="00000000">
            <w:pPr>
              <w:pStyle w:val="BodyTextIndent"/>
              <w:spacing w:after="0"/>
              <w:ind w:left="0" w:right="614"/>
              <w:jc w:val="right"/>
              <w:rPr>
                <w:sz w:val="19"/>
              </w:rPr>
            </w:pPr>
            <w:r>
              <w:rPr>
                <w:sz w:val="19"/>
              </w:rPr>
              <w:t>94</w:t>
            </w:r>
          </w:p>
        </w:tc>
        <w:tc>
          <w:tcPr>
            <w:tcW w:w="1051" w:type="dxa"/>
          </w:tcPr>
          <w:p w:rsidR="00000000" w:rsidRDefault="00000000">
            <w:pPr>
              <w:pStyle w:val="BodyTextIndent"/>
              <w:spacing w:after="0"/>
              <w:ind w:left="0" w:right="201"/>
              <w:jc w:val="right"/>
              <w:rPr>
                <w:sz w:val="19"/>
              </w:rPr>
            </w:pPr>
            <w:r>
              <w:rPr>
                <w:sz w:val="19"/>
              </w:rPr>
              <w:t>39</w:t>
            </w:r>
          </w:p>
        </w:tc>
        <w:tc>
          <w:tcPr>
            <w:tcW w:w="1846" w:type="dxa"/>
            <w:gridSpan w:val="2"/>
          </w:tcPr>
          <w:p w:rsidR="00000000" w:rsidRDefault="00000000">
            <w:pPr>
              <w:pStyle w:val="Hyperlink"/>
              <w:tabs>
                <w:tab w:val="clear" w:pos="567"/>
                <w:tab w:val="clear" w:pos="1134"/>
              </w:tabs>
              <w:ind w:right="376"/>
              <w:jc w:val="right"/>
              <w:rPr>
                <w:sz w:val="19"/>
              </w:rPr>
            </w:pPr>
            <w:r>
              <w:rPr>
                <w:sz w:val="19"/>
              </w:rPr>
              <w:t>51</w:t>
            </w:r>
          </w:p>
        </w:tc>
        <w:tc>
          <w:tcPr>
            <w:tcW w:w="1112" w:type="dxa"/>
          </w:tcPr>
          <w:p w:rsidR="00000000" w:rsidRDefault="00000000">
            <w:pPr>
              <w:pStyle w:val="BodyTextIndent"/>
              <w:spacing w:after="0"/>
              <w:ind w:left="0" w:right="216"/>
              <w:jc w:val="right"/>
              <w:rPr>
                <w:sz w:val="19"/>
              </w:rPr>
            </w:pPr>
            <w:r>
              <w:rPr>
                <w:sz w:val="19"/>
              </w:rPr>
              <w:t>4</w:t>
            </w:r>
          </w:p>
        </w:tc>
      </w:tr>
    </w:tbl>
    <w:p w:rsidR="00000000" w:rsidRDefault="00000000">
      <w:pPr>
        <w:spacing w:line="216" w:lineRule="auto"/>
        <w:rPr>
          <w:bCs/>
          <w:sz w:val="19"/>
        </w:rPr>
      </w:pPr>
    </w:p>
    <w:p w:rsidR="00000000" w:rsidRDefault="00000000">
      <w:pPr>
        <w:spacing w:line="216" w:lineRule="auto"/>
        <w:rPr>
          <w:bCs/>
          <w:sz w:val="22"/>
        </w:rPr>
      </w:pPr>
      <w:r>
        <w:rPr>
          <w:bCs/>
          <w:i/>
          <w:iCs/>
          <w:sz w:val="22"/>
        </w:rPr>
        <w:t xml:space="preserve">Источник:  </w:t>
      </w:r>
      <w:r>
        <w:rPr>
          <w:bCs/>
          <w:sz w:val="22"/>
        </w:rPr>
        <w:t>Окончательные результаты по Парагваю. Перепись населения и жилого фонда в стране 2002 года.</w:t>
      </w:r>
    </w:p>
    <w:p w:rsidR="00000000" w:rsidRDefault="00000000">
      <w:pPr>
        <w:rPr>
          <w:bCs/>
          <w:i/>
          <w:iCs/>
          <w:sz w:val="19"/>
        </w:rPr>
      </w:pPr>
    </w:p>
    <w:p w:rsidR="00000000" w:rsidRDefault="00000000">
      <w:r>
        <w:t>398.</w:t>
      </w:r>
      <w:r>
        <w:tab/>
        <w:t xml:space="preserve">О важности усилий по обеспечению доступа к жилью свидетельствует анализ положения с финансированием.  Результаты проведенной в 2002 году переписи населения и жилого фонда показывают, что лишь 3,3% семей, занимающих жилье, погашают ипотечный кредит;  эта доля возрастает до 6,8% в районе Большого Асунсьона. </w:t>
      </w:r>
    </w:p>
    <w:p w:rsidR="00000000" w:rsidRDefault="00000000"/>
    <w:p w:rsidR="00000000" w:rsidRDefault="00000000">
      <w:r>
        <w:t>399.</w:t>
      </w:r>
      <w:r>
        <w:tab/>
        <w:t xml:space="preserve">В заключении следует отметить, что значительный спрос на жилье объясняется высокими темпами роста численности населения и создания новых домохозяйств.  Кроме того, этот спрос концентрируется и будет и впредь концентрироваться в городах из-за высоких темпов урбанизации.  Официальное предложение может удовлетворить чуть более одной трети спроса на новое жилье.  Этот спрос во многом удовлетворяется за счет предложения неформального жилищного сектора, для которого характерны проблемы качества и отсутствие доступа к элементарным удобствам.  Эта ситуация, среди прочего, объясняется отсутствием доступа к финансированию.  Наконец, отсутствие официального предложения жилья, которое было бы доступно для населения, обусловливает проблему низкого качества жилого фонда.  </w:t>
      </w:r>
    </w:p>
    <w:p w:rsidR="00000000" w:rsidRDefault="00000000"/>
    <w:p w:rsidR="00000000" w:rsidRDefault="00000000">
      <w:pPr>
        <w:ind w:left="1134" w:hanging="1134"/>
        <w:rPr>
          <w:b/>
          <w:bCs/>
        </w:rPr>
      </w:pPr>
      <w:r>
        <w:tab/>
      </w:r>
      <w:r>
        <w:rPr>
          <w:b/>
          <w:bCs/>
        </w:rPr>
        <w:t>1.1</w:t>
      </w:r>
      <w:r>
        <w:rPr>
          <w:b/>
          <w:bCs/>
        </w:rPr>
        <w:tab/>
        <w:t>Ассигнования на жилищное строительство из государственного бюджета</w:t>
      </w:r>
    </w:p>
    <w:p w:rsidR="00000000" w:rsidRDefault="00000000">
      <w:pPr>
        <w:ind w:left="1134" w:hanging="1134"/>
        <w:rPr>
          <w:b/>
          <w:bCs/>
        </w:rPr>
      </w:pPr>
    </w:p>
    <w:tbl>
      <w:tblPr>
        <w:tblW w:w="0" w:type="auto"/>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1"/>
        <w:gridCol w:w="2086"/>
        <w:gridCol w:w="2309"/>
        <w:gridCol w:w="3046"/>
      </w:tblGrid>
      <w:tr w:rsidR="00000000">
        <w:tblPrEx>
          <w:tblCellMar>
            <w:top w:w="0" w:type="dxa"/>
            <w:bottom w:w="0" w:type="dxa"/>
          </w:tblCellMar>
        </w:tblPrEx>
        <w:tc>
          <w:tcPr>
            <w:tcW w:w="1161" w:type="dxa"/>
            <w:vAlign w:val="center"/>
          </w:tcPr>
          <w:p w:rsidR="00000000" w:rsidRDefault="00000000">
            <w:pPr>
              <w:keepNext/>
              <w:autoSpaceDE w:val="0"/>
              <w:autoSpaceDN w:val="0"/>
              <w:adjustRightInd w:val="0"/>
              <w:spacing w:before="60" w:after="60"/>
              <w:jc w:val="center"/>
              <w:rPr>
                <w:b/>
                <w:bCs/>
              </w:rPr>
            </w:pPr>
            <w:r>
              <w:rPr>
                <w:b/>
                <w:bCs/>
              </w:rPr>
              <w:t>Годы</w:t>
            </w:r>
          </w:p>
        </w:tc>
        <w:tc>
          <w:tcPr>
            <w:tcW w:w="2086" w:type="dxa"/>
            <w:vAlign w:val="center"/>
          </w:tcPr>
          <w:p w:rsidR="00000000" w:rsidRDefault="00000000">
            <w:pPr>
              <w:keepNext/>
              <w:autoSpaceDE w:val="0"/>
              <w:autoSpaceDN w:val="0"/>
              <w:adjustRightInd w:val="0"/>
              <w:spacing w:before="60" w:after="60" w:line="240" w:lineRule="auto"/>
              <w:jc w:val="center"/>
              <w:rPr>
                <w:b/>
                <w:bCs/>
                <w:vertAlign w:val="superscript"/>
                <w:lang w:val="es-MX"/>
              </w:rPr>
            </w:pPr>
            <w:r>
              <w:rPr>
                <w:b/>
                <w:bCs/>
              </w:rPr>
              <w:t>Государственный</w:t>
            </w:r>
            <w:r>
              <w:rPr>
                <w:b/>
                <w:bCs/>
              </w:rPr>
              <w:br/>
              <w:t>бюджет</w:t>
            </w:r>
            <w:r>
              <w:rPr>
                <w:b/>
                <w:bCs/>
                <w:vertAlign w:val="superscript"/>
                <w:lang w:val="es-MX"/>
              </w:rPr>
              <w:t>1</w:t>
            </w:r>
          </w:p>
        </w:tc>
        <w:tc>
          <w:tcPr>
            <w:tcW w:w="2309" w:type="dxa"/>
            <w:vAlign w:val="center"/>
          </w:tcPr>
          <w:p w:rsidR="00000000" w:rsidRDefault="00000000">
            <w:pPr>
              <w:keepNext/>
              <w:autoSpaceDE w:val="0"/>
              <w:autoSpaceDN w:val="0"/>
              <w:adjustRightInd w:val="0"/>
              <w:spacing w:before="60" w:after="60" w:line="240" w:lineRule="auto"/>
              <w:jc w:val="center"/>
              <w:rPr>
                <w:b/>
                <w:bCs/>
                <w:vertAlign w:val="superscript"/>
                <w:lang w:val="es-MX"/>
              </w:rPr>
            </w:pPr>
            <w:r>
              <w:rPr>
                <w:b/>
                <w:bCs/>
              </w:rPr>
              <w:t>Жилищное строительство</w:t>
            </w:r>
            <w:r>
              <w:rPr>
                <w:b/>
                <w:bCs/>
                <w:vertAlign w:val="superscript"/>
                <w:lang w:val="es-MX"/>
              </w:rPr>
              <w:t>2</w:t>
            </w:r>
          </w:p>
        </w:tc>
        <w:tc>
          <w:tcPr>
            <w:tcW w:w="3046" w:type="dxa"/>
            <w:vAlign w:val="center"/>
          </w:tcPr>
          <w:p w:rsidR="00000000" w:rsidRDefault="00000000">
            <w:pPr>
              <w:keepNext/>
              <w:autoSpaceDE w:val="0"/>
              <w:autoSpaceDN w:val="0"/>
              <w:adjustRightInd w:val="0"/>
              <w:spacing w:before="60" w:after="60" w:line="240" w:lineRule="auto"/>
              <w:jc w:val="center"/>
              <w:rPr>
                <w:b/>
                <w:bCs/>
              </w:rPr>
            </w:pPr>
            <w:r>
              <w:rPr>
                <w:b/>
                <w:bCs/>
              </w:rPr>
              <w:t>Доля ассигнований на жилищное строительство в бюджете</w:t>
            </w:r>
          </w:p>
        </w:tc>
      </w:tr>
      <w:tr w:rsidR="00000000">
        <w:tblPrEx>
          <w:tblCellMar>
            <w:top w:w="0" w:type="dxa"/>
            <w:bottom w:w="0" w:type="dxa"/>
          </w:tblCellMar>
        </w:tblPrEx>
        <w:tc>
          <w:tcPr>
            <w:tcW w:w="1161" w:type="dxa"/>
          </w:tcPr>
          <w:p w:rsidR="00000000" w:rsidRDefault="00000000">
            <w:pPr>
              <w:autoSpaceDE w:val="0"/>
              <w:autoSpaceDN w:val="0"/>
              <w:adjustRightInd w:val="0"/>
              <w:spacing w:before="60" w:after="60"/>
              <w:jc w:val="center"/>
            </w:pPr>
            <w:r>
              <w:t>1994</w:t>
            </w:r>
          </w:p>
        </w:tc>
        <w:tc>
          <w:tcPr>
            <w:tcW w:w="2086" w:type="dxa"/>
          </w:tcPr>
          <w:p w:rsidR="00000000" w:rsidRDefault="00000000">
            <w:pPr>
              <w:tabs>
                <w:tab w:val="clear" w:pos="1701"/>
                <w:tab w:val="left" w:pos="1607"/>
              </w:tabs>
              <w:autoSpaceDE w:val="0"/>
              <w:autoSpaceDN w:val="0"/>
              <w:adjustRightInd w:val="0"/>
              <w:spacing w:before="60" w:after="60"/>
              <w:ind w:right="567"/>
              <w:jc w:val="right"/>
            </w:pPr>
            <w:r>
              <w:t>2</w:t>
            </w:r>
            <w:r>
              <w:rPr>
                <w:lang w:val="en-GB"/>
              </w:rPr>
              <w:t> </w:t>
            </w:r>
            <w:r>
              <w:t>253 329</w:t>
            </w:r>
          </w:p>
        </w:tc>
        <w:tc>
          <w:tcPr>
            <w:tcW w:w="2309" w:type="dxa"/>
            <w:vAlign w:val="center"/>
          </w:tcPr>
          <w:p w:rsidR="00000000" w:rsidRDefault="00000000">
            <w:pPr>
              <w:autoSpaceDE w:val="0"/>
              <w:autoSpaceDN w:val="0"/>
              <w:adjustRightInd w:val="0"/>
              <w:spacing w:before="60" w:after="60"/>
              <w:jc w:val="center"/>
            </w:pPr>
            <w:r>
              <w:t>данные отсутствуют</w:t>
            </w:r>
          </w:p>
        </w:tc>
        <w:tc>
          <w:tcPr>
            <w:tcW w:w="3046" w:type="dxa"/>
          </w:tcPr>
          <w:p w:rsidR="00000000" w:rsidRDefault="00000000">
            <w:pPr>
              <w:autoSpaceDE w:val="0"/>
              <w:autoSpaceDN w:val="0"/>
              <w:adjustRightInd w:val="0"/>
              <w:spacing w:before="60" w:after="60"/>
            </w:pPr>
          </w:p>
        </w:tc>
      </w:tr>
      <w:tr w:rsidR="00000000">
        <w:tblPrEx>
          <w:tblCellMar>
            <w:top w:w="0" w:type="dxa"/>
            <w:bottom w:w="0" w:type="dxa"/>
          </w:tblCellMar>
        </w:tblPrEx>
        <w:tc>
          <w:tcPr>
            <w:tcW w:w="1161" w:type="dxa"/>
          </w:tcPr>
          <w:p w:rsidR="00000000" w:rsidRDefault="00000000">
            <w:pPr>
              <w:autoSpaceDE w:val="0"/>
              <w:autoSpaceDN w:val="0"/>
              <w:adjustRightInd w:val="0"/>
              <w:spacing w:before="60" w:after="60"/>
              <w:jc w:val="center"/>
            </w:pPr>
            <w:r>
              <w:t>1995</w:t>
            </w:r>
          </w:p>
        </w:tc>
        <w:tc>
          <w:tcPr>
            <w:tcW w:w="2086" w:type="dxa"/>
          </w:tcPr>
          <w:p w:rsidR="00000000" w:rsidRDefault="00000000">
            <w:pPr>
              <w:tabs>
                <w:tab w:val="clear" w:pos="1701"/>
                <w:tab w:val="left" w:pos="1607"/>
              </w:tabs>
              <w:autoSpaceDE w:val="0"/>
              <w:autoSpaceDN w:val="0"/>
              <w:adjustRightInd w:val="0"/>
              <w:spacing w:before="60" w:after="60"/>
              <w:ind w:right="567"/>
              <w:jc w:val="right"/>
            </w:pPr>
            <w:r>
              <w:t>3 042</w:t>
            </w:r>
            <w:r>
              <w:rPr>
                <w:lang w:val="en-US"/>
              </w:rPr>
              <w:t xml:space="preserve"> </w:t>
            </w:r>
            <w:r>
              <w:t>601</w:t>
            </w:r>
          </w:p>
        </w:tc>
        <w:tc>
          <w:tcPr>
            <w:tcW w:w="2309" w:type="dxa"/>
            <w:vAlign w:val="center"/>
          </w:tcPr>
          <w:p w:rsidR="00000000" w:rsidRDefault="00000000">
            <w:pPr>
              <w:autoSpaceDE w:val="0"/>
              <w:autoSpaceDN w:val="0"/>
              <w:adjustRightInd w:val="0"/>
              <w:spacing w:before="60" w:after="60"/>
              <w:jc w:val="center"/>
            </w:pPr>
            <w:r>
              <w:t>данные отсутствуют</w:t>
            </w:r>
          </w:p>
        </w:tc>
        <w:tc>
          <w:tcPr>
            <w:tcW w:w="3046" w:type="dxa"/>
          </w:tcPr>
          <w:p w:rsidR="00000000" w:rsidRDefault="00000000">
            <w:pPr>
              <w:autoSpaceDE w:val="0"/>
              <w:autoSpaceDN w:val="0"/>
              <w:adjustRightInd w:val="0"/>
              <w:spacing w:before="60" w:after="60"/>
            </w:pPr>
          </w:p>
        </w:tc>
      </w:tr>
      <w:tr w:rsidR="00000000">
        <w:tblPrEx>
          <w:tblCellMar>
            <w:top w:w="0" w:type="dxa"/>
            <w:bottom w:w="0" w:type="dxa"/>
          </w:tblCellMar>
        </w:tblPrEx>
        <w:tc>
          <w:tcPr>
            <w:tcW w:w="1161" w:type="dxa"/>
          </w:tcPr>
          <w:p w:rsidR="00000000" w:rsidRDefault="00000000">
            <w:pPr>
              <w:autoSpaceDE w:val="0"/>
              <w:autoSpaceDN w:val="0"/>
              <w:adjustRightInd w:val="0"/>
              <w:spacing w:before="60" w:after="60"/>
              <w:jc w:val="center"/>
            </w:pPr>
            <w:r>
              <w:t>1996</w:t>
            </w:r>
          </w:p>
        </w:tc>
        <w:tc>
          <w:tcPr>
            <w:tcW w:w="2086" w:type="dxa"/>
          </w:tcPr>
          <w:p w:rsidR="00000000" w:rsidRDefault="00000000">
            <w:pPr>
              <w:tabs>
                <w:tab w:val="clear" w:pos="1701"/>
                <w:tab w:val="left" w:pos="1607"/>
              </w:tabs>
              <w:autoSpaceDE w:val="0"/>
              <w:autoSpaceDN w:val="0"/>
              <w:adjustRightInd w:val="0"/>
              <w:spacing w:before="60" w:after="60"/>
              <w:ind w:right="567"/>
              <w:jc w:val="right"/>
            </w:pPr>
            <w:r>
              <w:t>3 416</w:t>
            </w:r>
            <w:r>
              <w:rPr>
                <w:lang w:val="en-US"/>
              </w:rPr>
              <w:t xml:space="preserve"> </w:t>
            </w:r>
            <w:r>
              <w:t>260</w:t>
            </w:r>
          </w:p>
        </w:tc>
        <w:tc>
          <w:tcPr>
            <w:tcW w:w="2309" w:type="dxa"/>
            <w:vAlign w:val="center"/>
          </w:tcPr>
          <w:p w:rsidR="00000000" w:rsidRDefault="00000000">
            <w:pPr>
              <w:autoSpaceDE w:val="0"/>
              <w:autoSpaceDN w:val="0"/>
              <w:adjustRightInd w:val="0"/>
              <w:spacing w:before="60" w:after="60"/>
              <w:jc w:val="center"/>
            </w:pPr>
            <w:r>
              <w:t>данные отсутствуют</w:t>
            </w:r>
          </w:p>
        </w:tc>
        <w:tc>
          <w:tcPr>
            <w:tcW w:w="3046" w:type="dxa"/>
          </w:tcPr>
          <w:p w:rsidR="00000000" w:rsidRDefault="00000000">
            <w:pPr>
              <w:autoSpaceDE w:val="0"/>
              <w:autoSpaceDN w:val="0"/>
              <w:adjustRightInd w:val="0"/>
              <w:spacing w:before="60" w:after="60"/>
            </w:pPr>
          </w:p>
        </w:tc>
      </w:tr>
      <w:tr w:rsidR="00000000">
        <w:tblPrEx>
          <w:tblCellMar>
            <w:top w:w="0" w:type="dxa"/>
            <w:bottom w:w="0" w:type="dxa"/>
          </w:tblCellMar>
        </w:tblPrEx>
        <w:tc>
          <w:tcPr>
            <w:tcW w:w="1161" w:type="dxa"/>
          </w:tcPr>
          <w:p w:rsidR="00000000" w:rsidRDefault="00000000">
            <w:pPr>
              <w:autoSpaceDE w:val="0"/>
              <w:autoSpaceDN w:val="0"/>
              <w:adjustRightInd w:val="0"/>
              <w:spacing w:before="60" w:after="60"/>
              <w:jc w:val="center"/>
            </w:pPr>
            <w:r>
              <w:t>1997</w:t>
            </w:r>
          </w:p>
        </w:tc>
        <w:tc>
          <w:tcPr>
            <w:tcW w:w="2086" w:type="dxa"/>
          </w:tcPr>
          <w:p w:rsidR="00000000" w:rsidRDefault="00000000">
            <w:pPr>
              <w:tabs>
                <w:tab w:val="clear" w:pos="1701"/>
                <w:tab w:val="left" w:pos="1607"/>
              </w:tabs>
              <w:autoSpaceDE w:val="0"/>
              <w:autoSpaceDN w:val="0"/>
              <w:adjustRightInd w:val="0"/>
              <w:spacing w:before="60" w:after="60"/>
              <w:ind w:right="567"/>
              <w:jc w:val="right"/>
            </w:pPr>
            <w:r>
              <w:t>9 896</w:t>
            </w:r>
            <w:r>
              <w:rPr>
                <w:lang w:val="en-US"/>
              </w:rPr>
              <w:t xml:space="preserve"> </w:t>
            </w:r>
            <w:r>
              <w:t>024</w:t>
            </w:r>
          </w:p>
        </w:tc>
        <w:tc>
          <w:tcPr>
            <w:tcW w:w="2309" w:type="dxa"/>
            <w:vAlign w:val="center"/>
          </w:tcPr>
          <w:p w:rsidR="00000000" w:rsidRDefault="00000000">
            <w:pPr>
              <w:autoSpaceDE w:val="0"/>
              <w:autoSpaceDN w:val="0"/>
              <w:adjustRightInd w:val="0"/>
              <w:spacing w:before="60" w:after="60"/>
              <w:jc w:val="center"/>
            </w:pPr>
            <w:r>
              <w:t>данные отсутствуют</w:t>
            </w:r>
          </w:p>
        </w:tc>
        <w:tc>
          <w:tcPr>
            <w:tcW w:w="3046" w:type="dxa"/>
          </w:tcPr>
          <w:p w:rsidR="00000000" w:rsidRDefault="00000000">
            <w:pPr>
              <w:autoSpaceDE w:val="0"/>
              <w:autoSpaceDN w:val="0"/>
              <w:adjustRightInd w:val="0"/>
              <w:spacing w:before="60" w:after="60"/>
            </w:pPr>
          </w:p>
        </w:tc>
      </w:tr>
      <w:tr w:rsidR="00000000">
        <w:tblPrEx>
          <w:tblCellMar>
            <w:top w:w="0" w:type="dxa"/>
            <w:bottom w:w="0" w:type="dxa"/>
          </w:tblCellMar>
        </w:tblPrEx>
        <w:tc>
          <w:tcPr>
            <w:tcW w:w="1161" w:type="dxa"/>
          </w:tcPr>
          <w:p w:rsidR="00000000" w:rsidRDefault="00000000">
            <w:pPr>
              <w:autoSpaceDE w:val="0"/>
              <w:autoSpaceDN w:val="0"/>
              <w:adjustRightInd w:val="0"/>
              <w:spacing w:before="60" w:after="60"/>
              <w:jc w:val="center"/>
              <w:rPr>
                <w:lang w:val="es-MX"/>
              </w:rPr>
            </w:pPr>
            <w:r>
              <w:rPr>
                <w:lang w:val="es-MX"/>
              </w:rPr>
              <w:t>1998</w:t>
            </w:r>
          </w:p>
        </w:tc>
        <w:tc>
          <w:tcPr>
            <w:tcW w:w="2086" w:type="dxa"/>
          </w:tcPr>
          <w:p w:rsidR="00000000" w:rsidRDefault="00000000">
            <w:pPr>
              <w:tabs>
                <w:tab w:val="clear" w:pos="1701"/>
                <w:tab w:val="left" w:pos="1607"/>
              </w:tabs>
              <w:autoSpaceDE w:val="0"/>
              <w:autoSpaceDN w:val="0"/>
              <w:adjustRightInd w:val="0"/>
              <w:spacing w:before="60" w:after="60"/>
              <w:ind w:right="567"/>
              <w:jc w:val="right"/>
              <w:rPr>
                <w:lang w:val="es-MX"/>
              </w:rPr>
            </w:pPr>
            <w:r>
              <w:rPr>
                <w:lang w:val="es-MX"/>
              </w:rPr>
              <w:t>11</w:t>
            </w:r>
            <w:r>
              <w:t xml:space="preserve"> </w:t>
            </w:r>
            <w:r>
              <w:rPr>
                <w:lang w:val="es-MX"/>
              </w:rPr>
              <w:t>077 222</w:t>
            </w:r>
          </w:p>
        </w:tc>
        <w:tc>
          <w:tcPr>
            <w:tcW w:w="2309" w:type="dxa"/>
            <w:vAlign w:val="center"/>
          </w:tcPr>
          <w:p w:rsidR="00000000" w:rsidRDefault="00000000">
            <w:pPr>
              <w:autoSpaceDE w:val="0"/>
              <w:autoSpaceDN w:val="0"/>
              <w:adjustRightInd w:val="0"/>
              <w:spacing w:before="60" w:after="60"/>
              <w:jc w:val="center"/>
              <w:rPr>
                <w:lang w:val="es-MX"/>
              </w:rPr>
            </w:pPr>
            <w:r>
              <w:t>данные отсутствуют</w:t>
            </w:r>
          </w:p>
        </w:tc>
        <w:tc>
          <w:tcPr>
            <w:tcW w:w="3046" w:type="dxa"/>
          </w:tcPr>
          <w:p w:rsidR="00000000" w:rsidRDefault="00000000">
            <w:pPr>
              <w:autoSpaceDE w:val="0"/>
              <w:autoSpaceDN w:val="0"/>
              <w:adjustRightInd w:val="0"/>
              <w:spacing w:before="60" w:after="60"/>
              <w:rPr>
                <w:lang w:val="es-MX"/>
              </w:rPr>
            </w:pPr>
          </w:p>
        </w:tc>
      </w:tr>
      <w:tr w:rsidR="00000000">
        <w:tblPrEx>
          <w:tblCellMar>
            <w:top w:w="0" w:type="dxa"/>
            <w:bottom w:w="0" w:type="dxa"/>
          </w:tblCellMar>
        </w:tblPrEx>
        <w:tc>
          <w:tcPr>
            <w:tcW w:w="1161" w:type="dxa"/>
          </w:tcPr>
          <w:p w:rsidR="00000000" w:rsidRDefault="00000000">
            <w:pPr>
              <w:autoSpaceDE w:val="0"/>
              <w:autoSpaceDN w:val="0"/>
              <w:adjustRightInd w:val="0"/>
              <w:spacing w:before="60" w:after="60"/>
              <w:jc w:val="center"/>
              <w:rPr>
                <w:lang w:val="es-MX"/>
              </w:rPr>
            </w:pPr>
            <w:r>
              <w:rPr>
                <w:lang w:val="es-MX"/>
              </w:rPr>
              <w:t>1999</w:t>
            </w:r>
          </w:p>
        </w:tc>
        <w:tc>
          <w:tcPr>
            <w:tcW w:w="2086" w:type="dxa"/>
          </w:tcPr>
          <w:p w:rsidR="00000000" w:rsidRDefault="00000000">
            <w:pPr>
              <w:tabs>
                <w:tab w:val="clear" w:pos="1701"/>
                <w:tab w:val="left" w:pos="1607"/>
              </w:tabs>
              <w:autoSpaceDE w:val="0"/>
              <w:autoSpaceDN w:val="0"/>
              <w:adjustRightInd w:val="0"/>
              <w:spacing w:before="60" w:after="60"/>
              <w:ind w:right="567"/>
              <w:jc w:val="right"/>
              <w:rPr>
                <w:lang w:val="es-MX"/>
              </w:rPr>
            </w:pPr>
            <w:r>
              <w:rPr>
                <w:lang w:val="es-MX"/>
              </w:rPr>
              <w:t>12 255 602</w:t>
            </w:r>
          </w:p>
        </w:tc>
        <w:tc>
          <w:tcPr>
            <w:tcW w:w="2309" w:type="dxa"/>
          </w:tcPr>
          <w:p w:rsidR="00000000" w:rsidRDefault="00000000">
            <w:pPr>
              <w:tabs>
                <w:tab w:val="decimal" w:pos="1010"/>
              </w:tabs>
              <w:autoSpaceDE w:val="0"/>
              <w:autoSpaceDN w:val="0"/>
              <w:adjustRightInd w:val="0"/>
              <w:spacing w:before="60" w:after="60"/>
              <w:jc w:val="center"/>
              <w:rPr>
                <w:lang w:val="es-MX"/>
              </w:rPr>
            </w:pPr>
            <w:r>
              <w:rPr>
                <w:lang w:val="es-MX"/>
              </w:rPr>
              <w:t>83 324</w:t>
            </w:r>
          </w:p>
        </w:tc>
        <w:tc>
          <w:tcPr>
            <w:tcW w:w="3046" w:type="dxa"/>
          </w:tcPr>
          <w:p w:rsidR="00000000" w:rsidRDefault="00000000">
            <w:pPr>
              <w:tabs>
                <w:tab w:val="decimal" w:pos="1010"/>
              </w:tabs>
              <w:autoSpaceDE w:val="0"/>
              <w:autoSpaceDN w:val="0"/>
              <w:adjustRightInd w:val="0"/>
              <w:spacing w:before="60" w:after="60"/>
              <w:jc w:val="center"/>
              <w:rPr>
                <w:lang w:val="es-MX"/>
              </w:rPr>
            </w:pPr>
            <w:r>
              <w:rPr>
                <w:lang w:val="es-MX"/>
              </w:rPr>
              <w:t>0,68</w:t>
            </w:r>
          </w:p>
        </w:tc>
      </w:tr>
      <w:tr w:rsidR="00000000">
        <w:tblPrEx>
          <w:tblCellMar>
            <w:top w:w="0" w:type="dxa"/>
            <w:bottom w:w="0" w:type="dxa"/>
          </w:tblCellMar>
        </w:tblPrEx>
        <w:tc>
          <w:tcPr>
            <w:tcW w:w="1161" w:type="dxa"/>
          </w:tcPr>
          <w:p w:rsidR="00000000" w:rsidRDefault="00000000">
            <w:pPr>
              <w:autoSpaceDE w:val="0"/>
              <w:autoSpaceDN w:val="0"/>
              <w:adjustRightInd w:val="0"/>
              <w:spacing w:before="60" w:after="60"/>
              <w:jc w:val="center"/>
              <w:rPr>
                <w:lang w:val="es-MX"/>
              </w:rPr>
            </w:pPr>
            <w:r>
              <w:rPr>
                <w:lang w:val="es-MX"/>
              </w:rPr>
              <w:t>2000</w:t>
            </w:r>
          </w:p>
        </w:tc>
        <w:tc>
          <w:tcPr>
            <w:tcW w:w="2086" w:type="dxa"/>
          </w:tcPr>
          <w:p w:rsidR="00000000" w:rsidRDefault="00000000">
            <w:pPr>
              <w:tabs>
                <w:tab w:val="clear" w:pos="1701"/>
                <w:tab w:val="left" w:pos="1607"/>
              </w:tabs>
              <w:autoSpaceDE w:val="0"/>
              <w:autoSpaceDN w:val="0"/>
              <w:adjustRightInd w:val="0"/>
              <w:spacing w:before="60" w:after="60"/>
              <w:ind w:right="567"/>
              <w:jc w:val="right"/>
              <w:rPr>
                <w:lang w:val="es-MX"/>
              </w:rPr>
            </w:pPr>
            <w:r>
              <w:rPr>
                <w:lang w:val="es-MX"/>
              </w:rPr>
              <w:t>13 128 124</w:t>
            </w:r>
          </w:p>
        </w:tc>
        <w:tc>
          <w:tcPr>
            <w:tcW w:w="2309" w:type="dxa"/>
          </w:tcPr>
          <w:p w:rsidR="00000000" w:rsidRDefault="00000000">
            <w:pPr>
              <w:tabs>
                <w:tab w:val="decimal" w:pos="1010"/>
              </w:tabs>
              <w:autoSpaceDE w:val="0"/>
              <w:autoSpaceDN w:val="0"/>
              <w:adjustRightInd w:val="0"/>
              <w:spacing w:before="60" w:after="60"/>
              <w:jc w:val="center"/>
              <w:rPr>
                <w:lang w:val="es-MX"/>
              </w:rPr>
            </w:pPr>
            <w:r>
              <w:rPr>
                <w:lang w:val="es-MX"/>
              </w:rPr>
              <w:t>61 304</w:t>
            </w:r>
          </w:p>
        </w:tc>
        <w:tc>
          <w:tcPr>
            <w:tcW w:w="3046" w:type="dxa"/>
          </w:tcPr>
          <w:p w:rsidR="00000000" w:rsidRDefault="00000000">
            <w:pPr>
              <w:tabs>
                <w:tab w:val="decimal" w:pos="1010"/>
              </w:tabs>
              <w:autoSpaceDE w:val="0"/>
              <w:autoSpaceDN w:val="0"/>
              <w:adjustRightInd w:val="0"/>
              <w:spacing w:before="60" w:after="60"/>
              <w:jc w:val="center"/>
              <w:rPr>
                <w:lang w:val="es-MX"/>
              </w:rPr>
            </w:pPr>
            <w:r>
              <w:rPr>
                <w:lang w:val="es-MX"/>
              </w:rPr>
              <w:t>0,47</w:t>
            </w:r>
          </w:p>
        </w:tc>
      </w:tr>
      <w:tr w:rsidR="00000000">
        <w:tblPrEx>
          <w:tblCellMar>
            <w:top w:w="0" w:type="dxa"/>
            <w:bottom w:w="0" w:type="dxa"/>
          </w:tblCellMar>
        </w:tblPrEx>
        <w:tc>
          <w:tcPr>
            <w:tcW w:w="1161" w:type="dxa"/>
          </w:tcPr>
          <w:p w:rsidR="00000000" w:rsidRDefault="00000000">
            <w:pPr>
              <w:autoSpaceDE w:val="0"/>
              <w:autoSpaceDN w:val="0"/>
              <w:adjustRightInd w:val="0"/>
              <w:spacing w:before="60" w:after="60"/>
              <w:jc w:val="center"/>
              <w:rPr>
                <w:lang w:val="es-MX"/>
              </w:rPr>
            </w:pPr>
            <w:r>
              <w:rPr>
                <w:lang w:val="es-MX"/>
              </w:rPr>
              <w:t>2001</w:t>
            </w:r>
          </w:p>
        </w:tc>
        <w:tc>
          <w:tcPr>
            <w:tcW w:w="2086" w:type="dxa"/>
          </w:tcPr>
          <w:p w:rsidR="00000000" w:rsidRDefault="00000000">
            <w:pPr>
              <w:tabs>
                <w:tab w:val="clear" w:pos="1701"/>
                <w:tab w:val="left" w:pos="1607"/>
              </w:tabs>
              <w:autoSpaceDE w:val="0"/>
              <w:autoSpaceDN w:val="0"/>
              <w:adjustRightInd w:val="0"/>
              <w:spacing w:before="60" w:after="60"/>
              <w:ind w:right="567"/>
              <w:jc w:val="right"/>
              <w:rPr>
                <w:lang w:val="es-MX"/>
              </w:rPr>
            </w:pPr>
            <w:r>
              <w:rPr>
                <w:lang w:val="es-MX"/>
              </w:rPr>
              <w:t>15 357 915</w:t>
            </w:r>
          </w:p>
        </w:tc>
        <w:tc>
          <w:tcPr>
            <w:tcW w:w="2309" w:type="dxa"/>
          </w:tcPr>
          <w:p w:rsidR="00000000" w:rsidRDefault="00000000">
            <w:pPr>
              <w:tabs>
                <w:tab w:val="decimal" w:pos="1010"/>
              </w:tabs>
              <w:autoSpaceDE w:val="0"/>
              <w:autoSpaceDN w:val="0"/>
              <w:adjustRightInd w:val="0"/>
              <w:spacing w:before="60" w:after="60"/>
              <w:jc w:val="center"/>
              <w:rPr>
                <w:lang w:val="es-MX"/>
              </w:rPr>
            </w:pPr>
            <w:r>
              <w:rPr>
                <w:lang w:val="es-MX"/>
              </w:rPr>
              <w:t>19 282</w:t>
            </w:r>
          </w:p>
        </w:tc>
        <w:tc>
          <w:tcPr>
            <w:tcW w:w="3046" w:type="dxa"/>
          </w:tcPr>
          <w:p w:rsidR="00000000" w:rsidRDefault="00000000">
            <w:pPr>
              <w:tabs>
                <w:tab w:val="decimal" w:pos="1010"/>
              </w:tabs>
              <w:autoSpaceDE w:val="0"/>
              <w:autoSpaceDN w:val="0"/>
              <w:adjustRightInd w:val="0"/>
              <w:spacing w:before="60" w:after="60"/>
              <w:jc w:val="center"/>
              <w:rPr>
                <w:lang w:val="es-MX"/>
              </w:rPr>
            </w:pPr>
            <w:r>
              <w:rPr>
                <w:lang w:val="es-MX"/>
              </w:rPr>
              <w:t>0,13</w:t>
            </w:r>
          </w:p>
        </w:tc>
      </w:tr>
      <w:tr w:rsidR="00000000">
        <w:tblPrEx>
          <w:tblCellMar>
            <w:top w:w="0" w:type="dxa"/>
            <w:bottom w:w="0" w:type="dxa"/>
          </w:tblCellMar>
        </w:tblPrEx>
        <w:tc>
          <w:tcPr>
            <w:tcW w:w="1161" w:type="dxa"/>
          </w:tcPr>
          <w:p w:rsidR="00000000" w:rsidRDefault="00000000">
            <w:pPr>
              <w:autoSpaceDE w:val="0"/>
              <w:autoSpaceDN w:val="0"/>
              <w:adjustRightInd w:val="0"/>
              <w:spacing w:before="60" w:after="60"/>
              <w:jc w:val="center"/>
              <w:rPr>
                <w:lang w:val="es-MX"/>
              </w:rPr>
            </w:pPr>
            <w:r>
              <w:rPr>
                <w:lang w:val="es-MX"/>
              </w:rPr>
              <w:t>2002</w:t>
            </w:r>
          </w:p>
        </w:tc>
        <w:tc>
          <w:tcPr>
            <w:tcW w:w="2086" w:type="dxa"/>
          </w:tcPr>
          <w:p w:rsidR="00000000" w:rsidRDefault="00000000">
            <w:pPr>
              <w:tabs>
                <w:tab w:val="clear" w:pos="1701"/>
                <w:tab w:val="left" w:pos="1607"/>
              </w:tabs>
              <w:autoSpaceDE w:val="0"/>
              <w:autoSpaceDN w:val="0"/>
              <w:adjustRightInd w:val="0"/>
              <w:spacing w:before="60" w:after="60"/>
              <w:ind w:right="567"/>
              <w:jc w:val="right"/>
              <w:rPr>
                <w:lang w:val="es-MX"/>
              </w:rPr>
            </w:pPr>
            <w:r>
              <w:rPr>
                <w:lang w:val="es-MX"/>
              </w:rPr>
              <w:t>15 306 971</w:t>
            </w:r>
          </w:p>
        </w:tc>
        <w:tc>
          <w:tcPr>
            <w:tcW w:w="2309" w:type="dxa"/>
          </w:tcPr>
          <w:p w:rsidR="00000000" w:rsidRDefault="00000000">
            <w:pPr>
              <w:tabs>
                <w:tab w:val="decimal" w:pos="1010"/>
              </w:tabs>
              <w:autoSpaceDE w:val="0"/>
              <w:autoSpaceDN w:val="0"/>
              <w:adjustRightInd w:val="0"/>
              <w:spacing w:before="60" w:after="60"/>
              <w:jc w:val="center"/>
              <w:rPr>
                <w:lang w:val="es-MX"/>
              </w:rPr>
            </w:pPr>
            <w:r>
              <w:rPr>
                <w:lang w:val="es-MX"/>
              </w:rPr>
              <w:t>12 318</w:t>
            </w:r>
          </w:p>
        </w:tc>
        <w:tc>
          <w:tcPr>
            <w:tcW w:w="3046" w:type="dxa"/>
          </w:tcPr>
          <w:p w:rsidR="00000000" w:rsidRDefault="00000000">
            <w:pPr>
              <w:tabs>
                <w:tab w:val="decimal" w:pos="1010"/>
              </w:tabs>
              <w:autoSpaceDE w:val="0"/>
              <w:autoSpaceDN w:val="0"/>
              <w:adjustRightInd w:val="0"/>
              <w:spacing w:before="60" w:after="60"/>
              <w:jc w:val="center"/>
              <w:rPr>
                <w:lang w:val="es-MX"/>
              </w:rPr>
            </w:pPr>
            <w:r>
              <w:rPr>
                <w:lang w:val="es-MX"/>
              </w:rPr>
              <w:t>0,08</w:t>
            </w:r>
          </w:p>
        </w:tc>
      </w:tr>
      <w:tr w:rsidR="00000000">
        <w:tblPrEx>
          <w:tblCellMar>
            <w:top w:w="0" w:type="dxa"/>
            <w:bottom w:w="0" w:type="dxa"/>
          </w:tblCellMar>
        </w:tblPrEx>
        <w:tc>
          <w:tcPr>
            <w:tcW w:w="1161" w:type="dxa"/>
          </w:tcPr>
          <w:p w:rsidR="00000000" w:rsidRDefault="00000000">
            <w:pPr>
              <w:autoSpaceDE w:val="0"/>
              <w:autoSpaceDN w:val="0"/>
              <w:adjustRightInd w:val="0"/>
              <w:spacing w:before="60" w:after="60"/>
              <w:jc w:val="center"/>
              <w:rPr>
                <w:lang w:val="es-MX"/>
              </w:rPr>
            </w:pPr>
            <w:r>
              <w:rPr>
                <w:lang w:val="es-MX"/>
              </w:rPr>
              <w:t>2003</w:t>
            </w:r>
          </w:p>
        </w:tc>
        <w:tc>
          <w:tcPr>
            <w:tcW w:w="2086" w:type="dxa"/>
          </w:tcPr>
          <w:p w:rsidR="00000000" w:rsidRDefault="00000000">
            <w:pPr>
              <w:tabs>
                <w:tab w:val="clear" w:pos="1701"/>
                <w:tab w:val="left" w:pos="1607"/>
              </w:tabs>
              <w:autoSpaceDE w:val="0"/>
              <w:autoSpaceDN w:val="0"/>
              <w:adjustRightInd w:val="0"/>
              <w:spacing w:before="60" w:after="60"/>
              <w:ind w:right="567"/>
              <w:jc w:val="right"/>
              <w:rPr>
                <w:lang w:val="es-MX"/>
              </w:rPr>
            </w:pPr>
            <w:r>
              <w:rPr>
                <w:lang w:val="es-MX"/>
              </w:rPr>
              <w:t>18 246 180</w:t>
            </w:r>
          </w:p>
        </w:tc>
        <w:tc>
          <w:tcPr>
            <w:tcW w:w="2309" w:type="dxa"/>
          </w:tcPr>
          <w:p w:rsidR="00000000" w:rsidRDefault="00000000">
            <w:pPr>
              <w:tabs>
                <w:tab w:val="decimal" w:pos="1010"/>
              </w:tabs>
              <w:autoSpaceDE w:val="0"/>
              <w:autoSpaceDN w:val="0"/>
              <w:adjustRightInd w:val="0"/>
              <w:spacing w:before="60" w:after="60"/>
              <w:jc w:val="center"/>
              <w:rPr>
                <w:lang w:val="es-MX"/>
              </w:rPr>
            </w:pPr>
            <w:r>
              <w:rPr>
                <w:lang w:val="es-MX"/>
              </w:rPr>
              <w:t>15 983</w:t>
            </w:r>
          </w:p>
        </w:tc>
        <w:tc>
          <w:tcPr>
            <w:tcW w:w="3046" w:type="dxa"/>
          </w:tcPr>
          <w:p w:rsidR="00000000" w:rsidRDefault="00000000">
            <w:pPr>
              <w:tabs>
                <w:tab w:val="decimal" w:pos="1010"/>
              </w:tabs>
              <w:autoSpaceDE w:val="0"/>
              <w:autoSpaceDN w:val="0"/>
              <w:adjustRightInd w:val="0"/>
              <w:spacing w:before="60" w:after="60"/>
              <w:jc w:val="center"/>
              <w:rPr>
                <w:lang w:val="es-MX"/>
              </w:rPr>
            </w:pPr>
            <w:r>
              <w:rPr>
                <w:lang w:val="es-MX"/>
              </w:rPr>
              <w:t>0,09</w:t>
            </w:r>
          </w:p>
        </w:tc>
      </w:tr>
      <w:tr w:rsidR="00000000">
        <w:tblPrEx>
          <w:tblCellMar>
            <w:top w:w="0" w:type="dxa"/>
            <w:bottom w:w="0" w:type="dxa"/>
          </w:tblCellMar>
        </w:tblPrEx>
        <w:tc>
          <w:tcPr>
            <w:tcW w:w="1161" w:type="dxa"/>
          </w:tcPr>
          <w:p w:rsidR="00000000" w:rsidRDefault="00000000">
            <w:pPr>
              <w:autoSpaceDE w:val="0"/>
              <w:autoSpaceDN w:val="0"/>
              <w:adjustRightInd w:val="0"/>
              <w:spacing w:before="60" w:after="60"/>
              <w:jc w:val="center"/>
              <w:rPr>
                <w:lang w:val="es-MX"/>
              </w:rPr>
            </w:pPr>
            <w:r>
              <w:rPr>
                <w:lang w:val="es-MX"/>
              </w:rPr>
              <w:t>2004</w:t>
            </w:r>
          </w:p>
        </w:tc>
        <w:tc>
          <w:tcPr>
            <w:tcW w:w="2086" w:type="dxa"/>
          </w:tcPr>
          <w:p w:rsidR="00000000" w:rsidRDefault="00000000">
            <w:pPr>
              <w:tabs>
                <w:tab w:val="clear" w:pos="1701"/>
                <w:tab w:val="left" w:pos="1607"/>
              </w:tabs>
              <w:autoSpaceDE w:val="0"/>
              <w:autoSpaceDN w:val="0"/>
              <w:adjustRightInd w:val="0"/>
              <w:spacing w:before="60" w:after="60"/>
              <w:ind w:right="567"/>
              <w:jc w:val="right"/>
              <w:rPr>
                <w:lang w:val="es-MX"/>
              </w:rPr>
            </w:pPr>
            <w:r>
              <w:rPr>
                <w:lang w:val="es-MX"/>
              </w:rPr>
              <w:t>18 915 114</w:t>
            </w:r>
          </w:p>
        </w:tc>
        <w:tc>
          <w:tcPr>
            <w:tcW w:w="2309" w:type="dxa"/>
          </w:tcPr>
          <w:p w:rsidR="00000000" w:rsidRDefault="00000000">
            <w:pPr>
              <w:tabs>
                <w:tab w:val="decimal" w:pos="1010"/>
              </w:tabs>
              <w:autoSpaceDE w:val="0"/>
              <w:autoSpaceDN w:val="0"/>
              <w:adjustRightInd w:val="0"/>
              <w:spacing w:before="60" w:after="60"/>
              <w:jc w:val="center"/>
              <w:rPr>
                <w:lang w:val="es-MX"/>
              </w:rPr>
            </w:pPr>
            <w:r>
              <w:rPr>
                <w:lang w:val="es-MX"/>
              </w:rPr>
              <w:t>57 348</w:t>
            </w:r>
          </w:p>
        </w:tc>
        <w:tc>
          <w:tcPr>
            <w:tcW w:w="3046" w:type="dxa"/>
          </w:tcPr>
          <w:p w:rsidR="00000000" w:rsidRDefault="00000000">
            <w:pPr>
              <w:tabs>
                <w:tab w:val="decimal" w:pos="1010"/>
              </w:tabs>
              <w:autoSpaceDE w:val="0"/>
              <w:autoSpaceDN w:val="0"/>
              <w:adjustRightInd w:val="0"/>
              <w:spacing w:before="60" w:after="60"/>
              <w:jc w:val="center"/>
              <w:rPr>
                <w:lang w:val="es-MX"/>
              </w:rPr>
            </w:pPr>
            <w:r>
              <w:rPr>
                <w:lang w:val="es-MX"/>
              </w:rPr>
              <w:t>0,30</w:t>
            </w:r>
          </w:p>
        </w:tc>
      </w:tr>
      <w:tr w:rsidR="00000000">
        <w:tblPrEx>
          <w:tblCellMar>
            <w:top w:w="0" w:type="dxa"/>
            <w:bottom w:w="0" w:type="dxa"/>
          </w:tblCellMar>
        </w:tblPrEx>
        <w:tc>
          <w:tcPr>
            <w:tcW w:w="1161" w:type="dxa"/>
          </w:tcPr>
          <w:p w:rsidR="00000000" w:rsidRDefault="00000000">
            <w:pPr>
              <w:autoSpaceDE w:val="0"/>
              <w:autoSpaceDN w:val="0"/>
              <w:adjustRightInd w:val="0"/>
              <w:spacing w:before="60" w:after="60"/>
              <w:jc w:val="center"/>
              <w:rPr>
                <w:lang w:val="es-MX"/>
              </w:rPr>
            </w:pPr>
            <w:r>
              <w:rPr>
                <w:lang w:val="es-MX"/>
              </w:rPr>
              <w:t>2005</w:t>
            </w:r>
          </w:p>
        </w:tc>
        <w:tc>
          <w:tcPr>
            <w:tcW w:w="2086" w:type="dxa"/>
          </w:tcPr>
          <w:p w:rsidR="00000000" w:rsidRDefault="00000000">
            <w:pPr>
              <w:tabs>
                <w:tab w:val="clear" w:pos="1701"/>
                <w:tab w:val="left" w:pos="1607"/>
              </w:tabs>
              <w:autoSpaceDE w:val="0"/>
              <w:autoSpaceDN w:val="0"/>
              <w:adjustRightInd w:val="0"/>
              <w:spacing w:before="60" w:after="60"/>
              <w:ind w:right="567"/>
              <w:jc w:val="right"/>
              <w:rPr>
                <w:lang w:val="es-MX"/>
              </w:rPr>
            </w:pPr>
            <w:r>
              <w:rPr>
                <w:lang w:val="es-MX"/>
              </w:rPr>
              <w:t>21 809 827</w:t>
            </w:r>
          </w:p>
        </w:tc>
        <w:tc>
          <w:tcPr>
            <w:tcW w:w="2309" w:type="dxa"/>
          </w:tcPr>
          <w:p w:rsidR="00000000" w:rsidRDefault="00000000">
            <w:pPr>
              <w:tabs>
                <w:tab w:val="decimal" w:pos="1010"/>
              </w:tabs>
              <w:autoSpaceDE w:val="0"/>
              <w:autoSpaceDN w:val="0"/>
              <w:adjustRightInd w:val="0"/>
              <w:spacing w:before="60" w:after="60"/>
              <w:jc w:val="center"/>
              <w:rPr>
                <w:lang w:val="es-MX"/>
              </w:rPr>
            </w:pPr>
            <w:r>
              <w:rPr>
                <w:lang w:val="es-MX"/>
              </w:rPr>
              <w:t>62 655</w:t>
            </w:r>
          </w:p>
        </w:tc>
        <w:tc>
          <w:tcPr>
            <w:tcW w:w="3046" w:type="dxa"/>
          </w:tcPr>
          <w:p w:rsidR="00000000" w:rsidRDefault="00000000">
            <w:pPr>
              <w:tabs>
                <w:tab w:val="decimal" w:pos="1010"/>
              </w:tabs>
              <w:autoSpaceDE w:val="0"/>
              <w:autoSpaceDN w:val="0"/>
              <w:adjustRightInd w:val="0"/>
              <w:spacing w:before="60" w:after="60"/>
              <w:jc w:val="center"/>
              <w:rPr>
                <w:lang w:val="es-MX"/>
              </w:rPr>
            </w:pPr>
            <w:r>
              <w:rPr>
                <w:lang w:val="es-MX"/>
              </w:rPr>
              <w:t>0,29</w:t>
            </w:r>
          </w:p>
        </w:tc>
      </w:tr>
      <w:tr w:rsidR="00000000">
        <w:tblPrEx>
          <w:tblCellMar>
            <w:top w:w="0" w:type="dxa"/>
            <w:bottom w:w="0" w:type="dxa"/>
          </w:tblCellMar>
        </w:tblPrEx>
        <w:tc>
          <w:tcPr>
            <w:tcW w:w="1161" w:type="dxa"/>
          </w:tcPr>
          <w:p w:rsidR="00000000" w:rsidRDefault="00000000">
            <w:pPr>
              <w:autoSpaceDE w:val="0"/>
              <w:autoSpaceDN w:val="0"/>
              <w:adjustRightInd w:val="0"/>
              <w:spacing w:before="60" w:after="60"/>
              <w:jc w:val="center"/>
              <w:rPr>
                <w:lang w:val="es-MX"/>
              </w:rPr>
            </w:pPr>
            <w:r>
              <w:rPr>
                <w:lang w:val="es-MX"/>
              </w:rPr>
              <w:t>2006</w:t>
            </w:r>
          </w:p>
        </w:tc>
        <w:tc>
          <w:tcPr>
            <w:tcW w:w="2086" w:type="dxa"/>
          </w:tcPr>
          <w:p w:rsidR="00000000" w:rsidRDefault="00000000">
            <w:pPr>
              <w:tabs>
                <w:tab w:val="clear" w:pos="1701"/>
                <w:tab w:val="left" w:pos="1607"/>
              </w:tabs>
              <w:autoSpaceDE w:val="0"/>
              <w:autoSpaceDN w:val="0"/>
              <w:adjustRightInd w:val="0"/>
              <w:spacing w:before="60" w:after="60"/>
              <w:ind w:right="567"/>
              <w:jc w:val="right"/>
              <w:rPr>
                <w:lang w:val="es-MX"/>
              </w:rPr>
            </w:pPr>
            <w:r>
              <w:rPr>
                <w:lang w:val="es-MX"/>
              </w:rPr>
              <w:t>21 255 118</w:t>
            </w:r>
          </w:p>
        </w:tc>
        <w:tc>
          <w:tcPr>
            <w:tcW w:w="2309" w:type="dxa"/>
          </w:tcPr>
          <w:p w:rsidR="00000000" w:rsidRDefault="00000000">
            <w:pPr>
              <w:tabs>
                <w:tab w:val="decimal" w:pos="1010"/>
              </w:tabs>
              <w:autoSpaceDE w:val="0"/>
              <w:autoSpaceDN w:val="0"/>
              <w:adjustRightInd w:val="0"/>
              <w:spacing w:before="60" w:after="60"/>
              <w:jc w:val="center"/>
              <w:rPr>
                <w:lang w:val="es-MX"/>
              </w:rPr>
            </w:pPr>
            <w:r>
              <w:rPr>
                <w:lang w:val="es-MX"/>
              </w:rPr>
              <w:t>93 798</w:t>
            </w:r>
          </w:p>
        </w:tc>
        <w:tc>
          <w:tcPr>
            <w:tcW w:w="3046" w:type="dxa"/>
          </w:tcPr>
          <w:p w:rsidR="00000000" w:rsidRDefault="00000000">
            <w:pPr>
              <w:tabs>
                <w:tab w:val="decimal" w:pos="1010"/>
              </w:tabs>
              <w:autoSpaceDE w:val="0"/>
              <w:autoSpaceDN w:val="0"/>
              <w:adjustRightInd w:val="0"/>
              <w:spacing w:before="60" w:after="60"/>
              <w:jc w:val="center"/>
              <w:rPr>
                <w:lang w:val="es-MX"/>
              </w:rPr>
            </w:pPr>
            <w:r>
              <w:rPr>
                <w:lang w:val="es-MX"/>
              </w:rPr>
              <w:t>0,44</w:t>
            </w:r>
          </w:p>
        </w:tc>
      </w:tr>
    </w:tbl>
    <w:p w:rsidR="00000000" w:rsidRDefault="00000000">
      <w:pPr>
        <w:spacing w:line="216" w:lineRule="auto"/>
      </w:pPr>
    </w:p>
    <w:p w:rsidR="00000000" w:rsidRDefault="00000000">
      <w:r>
        <w:tab/>
      </w:r>
      <w:r>
        <w:rPr>
          <w:i/>
          <w:iCs/>
        </w:rPr>
        <w:t>Источник:</w:t>
      </w:r>
      <w:r>
        <w:t xml:space="preserve">  Система учета (СИКО).  В млн. гуарани.</w:t>
      </w:r>
    </w:p>
    <w:p w:rsidR="00000000" w:rsidRDefault="00000000"/>
    <w:p w:rsidR="00000000" w:rsidRDefault="00000000">
      <w:r>
        <w:rPr>
          <w:b/>
          <w:bCs/>
          <w:vertAlign w:val="superscript"/>
        </w:rPr>
        <w:t>1</w:t>
      </w:r>
      <w:r>
        <w:tab/>
        <w:t>Скорректированный бюджет центральных органов управления (ЦОУ) до 1996 года.  С 1997 года соответствует бюджету ЦОУ и децентрализованных ведомств.</w:t>
      </w:r>
    </w:p>
    <w:p w:rsidR="00000000" w:rsidRDefault="00000000"/>
    <w:p w:rsidR="00000000" w:rsidRDefault="00000000">
      <w:r>
        <w:rPr>
          <w:b/>
          <w:bCs/>
          <w:vertAlign w:val="superscript"/>
        </w:rPr>
        <w:t>2</w:t>
      </w:r>
      <w:r>
        <w:tab/>
        <w:t>Бюджет КОНАВИ.  С 2004 года он включает в себя программу строительства доступного жилья САС.</w:t>
      </w:r>
    </w:p>
    <w:p w:rsidR="00000000" w:rsidRDefault="00000000"/>
    <w:p w:rsidR="00000000" w:rsidRDefault="00000000">
      <w:r>
        <w:rPr>
          <w:b/>
          <w:bCs/>
        </w:rPr>
        <w:tab/>
        <w:t>1.2</w:t>
      </w:r>
      <w:r>
        <w:rPr>
          <w:b/>
          <w:bCs/>
        </w:rPr>
        <w:tab/>
        <w:t>Проблема с жильем и семьи, не имеющие крова</w:t>
      </w:r>
      <w:r>
        <w:rPr>
          <w:rStyle w:val="FootnoteReference"/>
        </w:rPr>
        <w:footnoteReference w:id="29"/>
      </w:r>
    </w:p>
    <w:p w:rsidR="00000000" w:rsidRDefault="00000000"/>
    <w:p w:rsidR="00000000" w:rsidRDefault="00000000">
      <w:r>
        <w:t>400.</w:t>
      </w:r>
      <w:r>
        <w:tab/>
        <w:t>Подготовленные оценки свидетельствуют о том, что в 2004 году проблемы жилья затрагивали приблизительно 470 000 единиц жилья, из которых у 65% были проблемы качества (пол, стены и крыша), а у остальных 35% или у приблизительно 163 000 единиц жилья были проблемы скученности, что свидетельствует о том, что спрос на новое жилье удовлетворялся недостаточно.</w:t>
      </w:r>
    </w:p>
    <w:p w:rsidR="00000000" w:rsidRDefault="00000000"/>
    <w:p w:rsidR="00000000" w:rsidRDefault="00000000">
      <w:pPr>
        <w:jc w:val="center"/>
        <w:rPr>
          <w:b/>
          <w:bCs/>
        </w:rPr>
      </w:pPr>
      <w:r>
        <w:rPr>
          <w:b/>
          <w:bCs/>
        </w:rPr>
        <w:t>Лица, проживающие в незаконно созданных поселениях (в сельской местности)</w:t>
      </w:r>
    </w:p>
    <w:p w:rsidR="00000000" w:rsidRDefault="00000000">
      <w:pPr>
        <w:jc w:val="center"/>
        <w:rPr>
          <w:b/>
          <w:bCs/>
        </w:rPr>
      </w:pPr>
      <w:r>
        <w:rPr>
          <w:b/>
          <w:bCs/>
        </w:rPr>
        <w:t>Незаконное расселение на землях, находящихся в частном владении</w:t>
      </w:r>
    </w:p>
    <w:p w:rsidR="00000000" w:rsidRDefault="00000000">
      <w:pPr>
        <w:jc w:val="center"/>
        <w:rPr>
          <w:b/>
          <w:bCs/>
        </w:rPr>
      </w:pPr>
    </w:p>
    <w:tbl>
      <w:tblPr>
        <w:tblW w:w="0" w:type="auto"/>
        <w:tblInd w:w="1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37"/>
        <w:gridCol w:w="3603"/>
      </w:tblGrid>
      <w:tr w:rsidR="00000000">
        <w:tblPrEx>
          <w:tblCellMar>
            <w:top w:w="0" w:type="dxa"/>
            <w:bottom w:w="0" w:type="dxa"/>
          </w:tblCellMar>
        </w:tblPrEx>
        <w:tc>
          <w:tcPr>
            <w:tcW w:w="3237" w:type="dxa"/>
            <w:vAlign w:val="center"/>
          </w:tcPr>
          <w:p w:rsidR="00000000" w:rsidRDefault="00000000">
            <w:pPr>
              <w:autoSpaceDE w:val="0"/>
              <w:autoSpaceDN w:val="0"/>
              <w:adjustRightInd w:val="0"/>
              <w:spacing w:before="60" w:after="60"/>
              <w:jc w:val="center"/>
              <w:rPr>
                <w:b/>
                <w:bCs/>
              </w:rPr>
            </w:pPr>
            <w:r>
              <w:rPr>
                <w:b/>
                <w:bCs/>
              </w:rPr>
              <w:t>Семьи (количество)</w:t>
            </w:r>
          </w:p>
        </w:tc>
        <w:tc>
          <w:tcPr>
            <w:tcW w:w="3603" w:type="dxa"/>
            <w:vAlign w:val="center"/>
          </w:tcPr>
          <w:p w:rsidR="00000000" w:rsidRDefault="00000000">
            <w:pPr>
              <w:autoSpaceDE w:val="0"/>
              <w:autoSpaceDN w:val="0"/>
              <w:adjustRightInd w:val="0"/>
              <w:spacing w:before="60" w:after="60"/>
              <w:jc w:val="center"/>
              <w:rPr>
                <w:b/>
                <w:bCs/>
              </w:rPr>
            </w:pPr>
            <w:r>
              <w:rPr>
                <w:b/>
                <w:bCs/>
              </w:rPr>
              <w:t>Площадь (в га)</w:t>
            </w:r>
          </w:p>
        </w:tc>
      </w:tr>
      <w:tr w:rsidR="00000000">
        <w:tblPrEx>
          <w:tblCellMar>
            <w:top w:w="0" w:type="dxa"/>
            <w:bottom w:w="0" w:type="dxa"/>
          </w:tblCellMar>
        </w:tblPrEx>
        <w:tc>
          <w:tcPr>
            <w:tcW w:w="3237" w:type="dxa"/>
          </w:tcPr>
          <w:p w:rsidR="00000000" w:rsidRDefault="00000000">
            <w:pPr>
              <w:autoSpaceDE w:val="0"/>
              <w:autoSpaceDN w:val="0"/>
              <w:adjustRightInd w:val="0"/>
              <w:spacing w:before="60" w:after="60"/>
              <w:jc w:val="center"/>
              <w:rPr>
                <w:lang w:val="es-MX"/>
              </w:rPr>
            </w:pPr>
            <w:r>
              <w:rPr>
                <w:lang w:val="es-MX"/>
              </w:rPr>
              <w:t>3</w:t>
            </w:r>
            <w:r>
              <w:t xml:space="preserve"> </w:t>
            </w:r>
            <w:r>
              <w:rPr>
                <w:lang w:val="es-MX"/>
              </w:rPr>
              <w:t>580</w:t>
            </w:r>
          </w:p>
        </w:tc>
        <w:tc>
          <w:tcPr>
            <w:tcW w:w="3603" w:type="dxa"/>
          </w:tcPr>
          <w:p w:rsidR="00000000" w:rsidRDefault="00000000">
            <w:pPr>
              <w:autoSpaceDE w:val="0"/>
              <w:autoSpaceDN w:val="0"/>
              <w:adjustRightInd w:val="0"/>
              <w:spacing w:before="60" w:after="60"/>
              <w:jc w:val="center"/>
              <w:rPr>
                <w:lang w:val="es-MX"/>
              </w:rPr>
            </w:pPr>
            <w:r>
              <w:rPr>
                <w:lang w:val="es-MX"/>
              </w:rPr>
              <w:t>39</w:t>
            </w:r>
            <w:r>
              <w:t xml:space="preserve"> </w:t>
            </w:r>
            <w:r>
              <w:rPr>
                <w:lang w:val="es-MX"/>
              </w:rPr>
              <w:t>920</w:t>
            </w:r>
          </w:p>
        </w:tc>
      </w:tr>
    </w:tbl>
    <w:p w:rsidR="00000000" w:rsidRDefault="00000000">
      <w:pPr>
        <w:spacing w:line="216" w:lineRule="auto"/>
      </w:pPr>
    </w:p>
    <w:p w:rsidR="00000000" w:rsidRDefault="00000000">
      <w:r>
        <w:tab/>
      </w:r>
      <w:r>
        <w:rPr>
          <w:i/>
          <w:iCs/>
        </w:rPr>
        <w:t>Источник:</w:t>
      </w:r>
      <w:r>
        <w:t xml:space="preserve">  Служба юридической консультации - ИНДЕРТ.</w:t>
      </w:r>
    </w:p>
    <w:p w:rsidR="00000000" w:rsidRDefault="00000000"/>
    <w:p w:rsidR="00000000" w:rsidRDefault="00000000">
      <w:pPr>
        <w:rPr>
          <w:b/>
          <w:bCs/>
        </w:rPr>
      </w:pPr>
      <w:r>
        <w:rPr>
          <w:b/>
          <w:bCs/>
        </w:rPr>
        <w:tab/>
        <w:t>1.3</w:t>
      </w:r>
      <w:r>
        <w:rPr>
          <w:b/>
          <w:bCs/>
        </w:rPr>
        <w:tab/>
        <w:t>Рациональное использование земли</w:t>
      </w:r>
    </w:p>
    <w:p w:rsidR="00000000" w:rsidRDefault="00000000">
      <w:pPr>
        <w:rPr>
          <w:b/>
          <w:bCs/>
        </w:rPr>
      </w:pPr>
    </w:p>
    <w:p w:rsidR="00000000" w:rsidRDefault="00000000">
      <w:r>
        <w:t>401.</w:t>
      </w:r>
      <w:r>
        <w:tab/>
        <w:t>В статье 9 Закона № 1863/02 говорится, что "непродуктивным и, следовательно, подлежащим экспроприации землевладением считается недвижимое сельскохозяйственное имущество, которое по смыслу настоящего закона используется нерационально, независимо от того, принадлежит ли это недвижимое имущество одной или нескольким фермам, которые могут быть в собственности одного и того же физического или юридического лица".</w:t>
      </w:r>
    </w:p>
    <w:p w:rsidR="00000000" w:rsidRDefault="00000000"/>
    <w:p w:rsidR="00000000" w:rsidRDefault="00000000">
      <w:r>
        <w:t>402.</w:t>
      </w:r>
      <w:r>
        <w:tab/>
        <w:t>В статье 54 этого закона говорится о "нерациональном использовании земель".  Решение о выделении земель, принятое органом по применению его положений, будут полностью аннулированы, если лицо, которому они выделены, перестанет их использовать.  В этом случае соответствующий участок будет возвращен в общий фонд ИНДЕРТ, если только бенефициар не выполнит те обязательства, которые предусмотрены в этом законе.  В этом случае отмены решения не произойдет, и, если лицо, которому выделена земля, своевременно внесет за нее всю сумму, он будет обладать правом, которым его наделяет соответствующий правовой титул на землю.  В том случае, когда решение о выделении земли отменяется, ИНДЕРТ после проведения экспертизы с участием затронутой стороны определяет форму компенсации за те усовершенствования, которые были осуществлены на выделенном участке.</w:t>
      </w:r>
    </w:p>
    <w:p w:rsidR="00000000" w:rsidRDefault="00000000"/>
    <w:p w:rsidR="00000000" w:rsidRDefault="00000000">
      <w:pPr>
        <w:rPr>
          <w:b/>
          <w:bCs/>
        </w:rPr>
      </w:pPr>
      <w:r>
        <w:rPr>
          <w:b/>
          <w:bCs/>
        </w:rPr>
        <w:t>2.</w:t>
      </w:r>
      <w:r>
        <w:rPr>
          <w:b/>
          <w:bCs/>
        </w:rPr>
        <w:tab/>
        <w:t>Общая ситуация с оказанием основных услуг</w:t>
      </w:r>
    </w:p>
    <w:p w:rsidR="00000000" w:rsidRDefault="00000000">
      <w:pPr>
        <w:rPr>
          <w:b/>
          <w:bCs/>
        </w:rPr>
      </w:pPr>
    </w:p>
    <w:p w:rsidR="00000000" w:rsidRDefault="00000000">
      <w:r>
        <w:t>403.</w:t>
      </w:r>
      <w:r>
        <w:tab/>
        <w:t>В течение последних 30 лет наиболее быстро - с точки зрения охвата - расширялся доступ к электричеству и водопроводу.  В обоих случаях увеличение было пятикратным, хотя количество домов с электричеством превышает количество домов, где есть водопроводная вода.  Если в 1992 году электричество было в 59,0% домов, то сегодня этот показатель составляет 89,1%.  Примечательным моментом здесь является существенное расширение охвата сельских районов с 23,2% в 1992 году до 77,8% в 2002 году (таблица 1).  В 1992 году было 31,5% домов, где был водопровод, а в настоящее время этот показатель составляет 52,7%.  Хотя доступ к этой услуге существенно расширился, его имеют меньше половины жилищ в стране, при этом из-за отсутствия доступа к воде больше всего страдают сельские районы, где охват по состоянию на 2002 год составлял 22,5%.</w:t>
      </w:r>
    </w:p>
    <w:p w:rsidR="00000000" w:rsidRDefault="00000000"/>
    <w:p w:rsidR="00000000" w:rsidRDefault="00000000">
      <w:r>
        <w:t>404.</w:t>
      </w:r>
      <w:r>
        <w:tab/>
        <w:t>Из всех видов проанализированных услуг наиболее медленно расширяется доступ к системе канализации.  Если в 1992 году его имели 7,7% жилищ, то в 2002 году - 9,4% жилищ.  Эти показатели следует рассматривать в сравнении с данными, которые показывают, что в 1992 году септики были оборудованы в 27,0% жилищ, а в 2002 году - 53,6%.  Наблюдаются существенные различия в доступе к этой услуге в зависимости от того, где находится жилье - в городском или сельском районе.  Санитарно-технические средства, обеспечивающие более высокий уровень гигиены, имеются почти исключительно в городских жилищах.  Доступ к системе канализации по</w:t>
      </w:r>
      <w:r>
        <w:noBreakHyphen/>
        <w:t>прежнему имеют главным образом городские дома (16,1%).</w:t>
      </w:r>
    </w:p>
    <w:p w:rsidR="00000000" w:rsidRDefault="00000000"/>
    <w:p w:rsidR="00000000" w:rsidRDefault="00000000">
      <w:pPr>
        <w:tabs>
          <w:tab w:val="left" w:pos="374"/>
        </w:tabs>
        <w:rPr>
          <w:lang w:val="en-US"/>
        </w:rPr>
      </w:pPr>
      <w:r>
        <w:t>405.</w:t>
      </w:r>
      <w:r>
        <w:tab/>
        <w:t>Доступ к услуге по уборке мусора расширился с 21,2% в 1992 году до 33,6% в 2002 году.  Его имеют главным образом жители городских районов.</w:t>
      </w:r>
    </w:p>
    <w:p w:rsidR="00000000" w:rsidRDefault="00000000">
      <w:pPr>
        <w:tabs>
          <w:tab w:val="left" w:pos="374"/>
        </w:tabs>
        <w:rPr>
          <w:lang w:val="en-US"/>
        </w:rPr>
      </w:pPr>
    </w:p>
    <w:p w:rsidR="00000000" w:rsidRDefault="00000000">
      <w:pPr>
        <w:tabs>
          <w:tab w:val="left" w:pos="374"/>
        </w:tabs>
        <w:rPr>
          <w:lang w:val="en-US"/>
        </w:rPr>
        <w:sectPr w:rsidR="00000000">
          <w:headerReference w:type="even" r:id="rId66"/>
          <w:headerReference w:type="default" r:id="rId67"/>
          <w:footerReference w:type="default" r:id="rId68"/>
          <w:type w:val="continuous"/>
          <w:pgSz w:w="11907" w:h="16840" w:code="9"/>
          <w:pgMar w:top="851" w:right="851" w:bottom="1701" w:left="1701" w:header="851" w:footer="851" w:gutter="0"/>
          <w:cols w:space="720" w:equalWidth="0">
            <w:col w:w="9355"/>
          </w:cols>
          <w:docGrid w:linePitch="326"/>
        </w:sectPr>
      </w:pPr>
    </w:p>
    <w:p w:rsidR="00000000" w:rsidRDefault="00000000">
      <w:pPr>
        <w:autoSpaceDE w:val="0"/>
        <w:autoSpaceDN w:val="0"/>
        <w:adjustRightInd w:val="0"/>
        <w:jc w:val="center"/>
        <w:rPr>
          <w:b/>
        </w:rPr>
      </w:pPr>
      <w:r>
        <w:rPr>
          <w:b/>
        </w:rPr>
        <w:t>Уборка мусора, 1995-2004 годы</w:t>
      </w:r>
    </w:p>
    <w:p w:rsidR="00000000" w:rsidRDefault="00000000">
      <w:pPr>
        <w:autoSpaceDE w:val="0"/>
        <w:autoSpaceDN w:val="0"/>
        <w:adjustRightInd w:val="0"/>
        <w:jc w:val="center"/>
        <w:rPr>
          <w:b/>
        </w:rPr>
      </w:pPr>
    </w:p>
    <w:p w:rsidR="00000000" w:rsidRDefault="00000000">
      <w:pPr>
        <w:autoSpaceDE w:val="0"/>
        <w:autoSpaceDN w:val="0"/>
        <w:adjustRightInd w:val="0"/>
        <w:jc w:val="center"/>
        <w:rPr>
          <w:b/>
        </w:rPr>
      </w:pPr>
      <w:r>
        <w:rPr>
          <w:b/>
        </w:rPr>
        <w:t>Всего по стране:  количество домохозяйств с указанием доступа к услуге по уборке мусора</w:t>
      </w:r>
    </w:p>
    <w:p w:rsidR="00000000" w:rsidRDefault="00000000">
      <w:pPr>
        <w:autoSpaceDE w:val="0"/>
        <w:autoSpaceDN w:val="0"/>
        <w:adjustRightInd w:val="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92"/>
        <w:gridCol w:w="980"/>
        <w:gridCol w:w="994"/>
        <w:gridCol w:w="966"/>
        <w:gridCol w:w="994"/>
        <w:gridCol w:w="1007"/>
        <w:gridCol w:w="966"/>
        <w:gridCol w:w="994"/>
        <w:gridCol w:w="1022"/>
        <w:gridCol w:w="924"/>
        <w:gridCol w:w="951"/>
        <w:gridCol w:w="1022"/>
        <w:gridCol w:w="964"/>
      </w:tblGrid>
      <w:tr w:rsidR="00000000">
        <w:tblPrEx>
          <w:tblCellMar>
            <w:top w:w="0" w:type="dxa"/>
            <w:bottom w:w="0" w:type="dxa"/>
          </w:tblCellMar>
        </w:tblPrEx>
        <w:trPr>
          <w:cantSplit/>
        </w:trPr>
        <w:tc>
          <w:tcPr>
            <w:tcW w:w="1792" w:type="dxa"/>
            <w:vMerge w:val="restart"/>
            <w:vAlign w:val="center"/>
          </w:tcPr>
          <w:p w:rsidR="00000000" w:rsidRDefault="00000000">
            <w:pPr>
              <w:autoSpaceDE w:val="0"/>
              <w:autoSpaceDN w:val="0"/>
              <w:adjustRightInd w:val="0"/>
              <w:spacing w:before="20" w:after="20" w:line="240" w:lineRule="auto"/>
              <w:jc w:val="center"/>
              <w:rPr>
                <w:b/>
                <w:sz w:val="20"/>
              </w:rPr>
            </w:pPr>
            <w:r>
              <w:rPr>
                <w:b/>
                <w:sz w:val="20"/>
              </w:rPr>
              <w:t>Уборка мусора</w:t>
            </w:r>
          </w:p>
        </w:tc>
        <w:tc>
          <w:tcPr>
            <w:tcW w:w="2940" w:type="dxa"/>
            <w:gridSpan w:val="3"/>
            <w:vAlign w:val="center"/>
          </w:tcPr>
          <w:p w:rsidR="00000000" w:rsidRDefault="00000000">
            <w:pPr>
              <w:autoSpaceDE w:val="0"/>
              <w:autoSpaceDN w:val="0"/>
              <w:adjustRightInd w:val="0"/>
              <w:spacing w:before="20" w:after="20" w:line="240" w:lineRule="auto"/>
              <w:jc w:val="center"/>
              <w:rPr>
                <w:b/>
                <w:sz w:val="20"/>
              </w:rPr>
            </w:pPr>
            <w:r>
              <w:rPr>
                <w:b/>
                <w:sz w:val="20"/>
              </w:rPr>
              <w:t>1995 год</w:t>
            </w:r>
            <w:r>
              <w:rPr>
                <w:b/>
                <w:sz w:val="20"/>
                <w:vertAlign w:val="superscript"/>
              </w:rPr>
              <w:t xml:space="preserve">* </w:t>
            </w:r>
          </w:p>
        </w:tc>
        <w:tc>
          <w:tcPr>
            <w:tcW w:w="2967" w:type="dxa"/>
            <w:gridSpan w:val="3"/>
            <w:vAlign w:val="center"/>
          </w:tcPr>
          <w:p w:rsidR="00000000" w:rsidRDefault="00000000">
            <w:pPr>
              <w:autoSpaceDE w:val="0"/>
              <w:autoSpaceDN w:val="0"/>
              <w:adjustRightInd w:val="0"/>
              <w:spacing w:before="20" w:after="20" w:line="240" w:lineRule="auto"/>
              <w:jc w:val="center"/>
              <w:rPr>
                <w:b/>
                <w:sz w:val="20"/>
              </w:rPr>
            </w:pPr>
            <w:r>
              <w:rPr>
                <w:b/>
                <w:sz w:val="20"/>
              </w:rPr>
              <w:t>1999 год</w:t>
            </w:r>
            <w:r>
              <w:rPr>
                <w:b/>
                <w:sz w:val="20"/>
                <w:vertAlign w:val="superscript"/>
              </w:rPr>
              <w:t>*</w:t>
            </w:r>
          </w:p>
        </w:tc>
        <w:tc>
          <w:tcPr>
            <w:tcW w:w="2940" w:type="dxa"/>
            <w:gridSpan w:val="3"/>
            <w:vAlign w:val="center"/>
          </w:tcPr>
          <w:p w:rsidR="00000000" w:rsidRDefault="00000000">
            <w:pPr>
              <w:autoSpaceDE w:val="0"/>
              <w:autoSpaceDN w:val="0"/>
              <w:adjustRightInd w:val="0"/>
              <w:spacing w:before="20" w:after="20" w:line="240" w:lineRule="auto"/>
              <w:jc w:val="center"/>
              <w:rPr>
                <w:b/>
                <w:sz w:val="20"/>
              </w:rPr>
            </w:pPr>
            <w:r>
              <w:rPr>
                <w:b/>
                <w:sz w:val="20"/>
              </w:rPr>
              <w:t>2004 год</w:t>
            </w:r>
          </w:p>
        </w:tc>
        <w:tc>
          <w:tcPr>
            <w:tcW w:w="2937" w:type="dxa"/>
            <w:gridSpan w:val="3"/>
            <w:vAlign w:val="center"/>
          </w:tcPr>
          <w:p w:rsidR="00000000" w:rsidRDefault="00000000">
            <w:pPr>
              <w:autoSpaceDE w:val="0"/>
              <w:autoSpaceDN w:val="0"/>
              <w:adjustRightInd w:val="0"/>
              <w:spacing w:before="20" w:after="20" w:line="240" w:lineRule="auto"/>
              <w:jc w:val="center"/>
              <w:rPr>
                <w:b/>
                <w:sz w:val="20"/>
              </w:rPr>
            </w:pPr>
            <w:r>
              <w:rPr>
                <w:b/>
                <w:sz w:val="20"/>
              </w:rPr>
              <w:t>2005 год</w:t>
            </w:r>
          </w:p>
        </w:tc>
      </w:tr>
      <w:tr w:rsidR="00000000">
        <w:tblPrEx>
          <w:tblCellMar>
            <w:top w:w="0" w:type="dxa"/>
            <w:bottom w:w="0" w:type="dxa"/>
          </w:tblCellMar>
        </w:tblPrEx>
        <w:trPr>
          <w:cantSplit/>
        </w:trPr>
        <w:tc>
          <w:tcPr>
            <w:tcW w:w="1792" w:type="dxa"/>
            <w:vMerge/>
            <w:vAlign w:val="center"/>
          </w:tcPr>
          <w:p w:rsidR="00000000" w:rsidRDefault="00000000">
            <w:pPr>
              <w:autoSpaceDE w:val="0"/>
              <w:autoSpaceDN w:val="0"/>
              <w:adjustRightInd w:val="0"/>
              <w:spacing w:before="20" w:after="20" w:line="240" w:lineRule="auto"/>
              <w:jc w:val="center"/>
              <w:rPr>
                <w:b/>
                <w:sz w:val="20"/>
              </w:rPr>
            </w:pPr>
          </w:p>
        </w:tc>
        <w:tc>
          <w:tcPr>
            <w:tcW w:w="980" w:type="dxa"/>
            <w:vMerge w:val="restart"/>
            <w:vAlign w:val="center"/>
          </w:tcPr>
          <w:p w:rsidR="00000000" w:rsidRDefault="00000000">
            <w:pPr>
              <w:autoSpaceDE w:val="0"/>
              <w:autoSpaceDN w:val="0"/>
              <w:adjustRightInd w:val="0"/>
              <w:spacing w:before="20" w:after="20" w:line="240" w:lineRule="auto"/>
              <w:jc w:val="center"/>
              <w:rPr>
                <w:b/>
                <w:sz w:val="18"/>
              </w:rPr>
            </w:pPr>
            <w:r>
              <w:rPr>
                <w:b/>
                <w:sz w:val="18"/>
              </w:rPr>
              <w:t>Всего</w:t>
            </w:r>
          </w:p>
        </w:tc>
        <w:tc>
          <w:tcPr>
            <w:tcW w:w="1960" w:type="dxa"/>
            <w:gridSpan w:val="2"/>
            <w:vAlign w:val="center"/>
          </w:tcPr>
          <w:p w:rsidR="00000000" w:rsidRDefault="00000000">
            <w:pPr>
              <w:autoSpaceDE w:val="0"/>
              <w:autoSpaceDN w:val="0"/>
              <w:adjustRightInd w:val="0"/>
              <w:spacing w:before="20" w:after="20" w:line="240" w:lineRule="auto"/>
              <w:jc w:val="center"/>
              <w:rPr>
                <w:b/>
                <w:sz w:val="18"/>
              </w:rPr>
            </w:pPr>
            <w:r>
              <w:rPr>
                <w:b/>
                <w:sz w:val="18"/>
              </w:rPr>
              <w:t>Районы</w:t>
            </w:r>
          </w:p>
        </w:tc>
        <w:tc>
          <w:tcPr>
            <w:tcW w:w="994" w:type="dxa"/>
            <w:vMerge w:val="restart"/>
            <w:vAlign w:val="center"/>
          </w:tcPr>
          <w:p w:rsidR="00000000" w:rsidRDefault="00000000">
            <w:pPr>
              <w:autoSpaceDE w:val="0"/>
              <w:autoSpaceDN w:val="0"/>
              <w:adjustRightInd w:val="0"/>
              <w:spacing w:before="20" w:after="20" w:line="240" w:lineRule="auto"/>
              <w:jc w:val="center"/>
              <w:rPr>
                <w:b/>
                <w:sz w:val="18"/>
              </w:rPr>
            </w:pPr>
            <w:r>
              <w:rPr>
                <w:b/>
                <w:sz w:val="18"/>
              </w:rPr>
              <w:t>Всего</w:t>
            </w:r>
          </w:p>
        </w:tc>
        <w:tc>
          <w:tcPr>
            <w:tcW w:w="1973" w:type="dxa"/>
            <w:gridSpan w:val="2"/>
            <w:vAlign w:val="center"/>
          </w:tcPr>
          <w:p w:rsidR="00000000" w:rsidRDefault="00000000">
            <w:pPr>
              <w:autoSpaceDE w:val="0"/>
              <w:autoSpaceDN w:val="0"/>
              <w:adjustRightInd w:val="0"/>
              <w:spacing w:before="20" w:after="20" w:line="240" w:lineRule="auto"/>
              <w:jc w:val="center"/>
              <w:rPr>
                <w:b/>
                <w:sz w:val="18"/>
              </w:rPr>
            </w:pPr>
            <w:r>
              <w:rPr>
                <w:b/>
                <w:sz w:val="18"/>
              </w:rPr>
              <w:t>Районы</w:t>
            </w:r>
          </w:p>
        </w:tc>
        <w:tc>
          <w:tcPr>
            <w:tcW w:w="994" w:type="dxa"/>
            <w:vMerge w:val="restart"/>
            <w:vAlign w:val="center"/>
          </w:tcPr>
          <w:p w:rsidR="00000000" w:rsidRDefault="00000000">
            <w:pPr>
              <w:autoSpaceDE w:val="0"/>
              <w:autoSpaceDN w:val="0"/>
              <w:adjustRightInd w:val="0"/>
              <w:spacing w:before="20" w:after="20" w:line="240" w:lineRule="auto"/>
              <w:jc w:val="center"/>
              <w:rPr>
                <w:b/>
                <w:sz w:val="18"/>
              </w:rPr>
            </w:pPr>
            <w:r>
              <w:rPr>
                <w:b/>
                <w:sz w:val="18"/>
              </w:rPr>
              <w:t>Всего</w:t>
            </w:r>
          </w:p>
        </w:tc>
        <w:tc>
          <w:tcPr>
            <w:tcW w:w="1946" w:type="dxa"/>
            <w:gridSpan w:val="2"/>
            <w:vAlign w:val="center"/>
          </w:tcPr>
          <w:p w:rsidR="00000000" w:rsidRDefault="00000000">
            <w:pPr>
              <w:autoSpaceDE w:val="0"/>
              <w:autoSpaceDN w:val="0"/>
              <w:adjustRightInd w:val="0"/>
              <w:spacing w:before="20" w:after="20" w:line="240" w:lineRule="auto"/>
              <w:jc w:val="center"/>
              <w:rPr>
                <w:b/>
                <w:sz w:val="18"/>
              </w:rPr>
            </w:pPr>
            <w:r>
              <w:rPr>
                <w:b/>
                <w:sz w:val="18"/>
              </w:rPr>
              <w:t>Районы</w:t>
            </w:r>
          </w:p>
        </w:tc>
        <w:tc>
          <w:tcPr>
            <w:tcW w:w="951" w:type="dxa"/>
            <w:vMerge w:val="restart"/>
            <w:vAlign w:val="center"/>
          </w:tcPr>
          <w:p w:rsidR="00000000" w:rsidRDefault="00000000">
            <w:pPr>
              <w:autoSpaceDE w:val="0"/>
              <w:autoSpaceDN w:val="0"/>
              <w:adjustRightInd w:val="0"/>
              <w:spacing w:before="20" w:after="20" w:line="240" w:lineRule="auto"/>
              <w:jc w:val="center"/>
              <w:rPr>
                <w:b/>
                <w:sz w:val="18"/>
              </w:rPr>
            </w:pPr>
            <w:r>
              <w:rPr>
                <w:b/>
                <w:sz w:val="18"/>
              </w:rPr>
              <w:t>Всего</w:t>
            </w:r>
          </w:p>
        </w:tc>
        <w:tc>
          <w:tcPr>
            <w:tcW w:w="1986" w:type="dxa"/>
            <w:gridSpan w:val="2"/>
            <w:vAlign w:val="center"/>
          </w:tcPr>
          <w:p w:rsidR="00000000" w:rsidRDefault="00000000">
            <w:pPr>
              <w:autoSpaceDE w:val="0"/>
              <w:autoSpaceDN w:val="0"/>
              <w:adjustRightInd w:val="0"/>
              <w:spacing w:before="20" w:after="20" w:line="240" w:lineRule="auto"/>
              <w:jc w:val="center"/>
              <w:rPr>
                <w:b/>
                <w:sz w:val="18"/>
              </w:rPr>
            </w:pPr>
            <w:r>
              <w:rPr>
                <w:b/>
                <w:sz w:val="18"/>
              </w:rPr>
              <w:t>Районы</w:t>
            </w:r>
          </w:p>
        </w:tc>
      </w:tr>
      <w:tr w:rsidR="00000000">
        <w:tblPrEx>
          <w:tblCellMar>
            <w:top w:w="0" w:type="dxa"/>
            <w:bottom w:w="0" w:type="dxa"/>
          </w:tblCellMar>
        </w:tblPrEx>
        <w:trPr>
          <w:cantSplit/>
        </w:trPr>
        <w:tc>
          <w:tcPr>
            <w:tcW w:w="1792" w:type="dxa"/>
            <w:vMerge/>
            <w:vAlign w:val="center"/>
          </w:tcPr>
          <w:p w:rsidR="00000000" w:rsidRDefault="00000000">
            <w:pPr>
              <w:autoSpaceDE w:val="0"/>
              <w:autoSpaceDN w:val="0"/>
              <w:adjustRightInd w:val="0"/>
              <w:spacing w:before="20" w:after="20" w:line="240" w:lineRule="auto"/>
              <w:jc w:val="center"/>
              <w:rPr>
                <w:b/>
                <w:sz w:val="20"/>
                <w:lang w:val="es-MX"/>
              </w:rPr>
            </w:pPr>
          </w:p>
        </w:tc>
        <w:tc>
          <w:tcPr>
            <w:tcW w:w="980" w:type="dxa"/>
            <w:vMerge/>
            <w:vAlign w:val="center"/>
          </w:tcPr>
          <w:p w:rsidR="00000000" w:rsidRDefault="00000000">
            <w:pPr>
              <w:autoSpaceDE w:val="0"/>
              <w:autoSpaceDN w:val="0"/>
              <w:adjustRightInd w:val="0"/>
              <w:spacing w:before="20" w:after="20" w:line="240" w:lineRule="auto"/>
              <w:jc w:val="center"/>
              <w:rPr>
                <w:b/>
                <w:sz w:val="18"/>
                <w:lang w:val="es-MX"/>
              </w:rPr>
            </w:pPr>
          </w:p>
        </w:tc>
        <w:tc>
          <w:tcPr>
            <w:tcW w:w="994" w:type="dxa"/>
            <w:vAlign w:val="center"/>
          </w:tcPr>
          <w:p w:rsidR="00000000" w:rsidRDefault="00000000">
            <w:pPr>
              <w:autoSpaceDE w:val="0"/>
              <w:autoSpaceDN w:val="0"/>
              <w:adjustRightInd w:val="0"/>
              <w:spacing w:before="20" w:after="20" w:line="240" w:lineRule="auto"/>
              <w:jc w:val="center"/>
              <w:rPr>
                <w:b/>
                <w:sz w:val="18"/>
              </w:rPr>
            </w:pPr>
            <w:r>
              <w:rPr>
                <w:b/>
                <w:sz w:val="18"/>
              </w:rPr>
              <w:t>Городские</w:t>
            </w:r>
          </w:p>
        </w:tc>
        <w:tc>
          <w:tcPr>
            <w:tcW w:w="966" w:type="dxa"/>
            <w:vAlign w:val="center"/>
          </w:tcPr>
          <w:p w:rsidR="00000000" w:rsidRDefault="00000000">
            <w:pPr>
              <w:autoSpaceDE w:val="0"/>
              <w:autoSpaceDN w:val="0"/>
              <w:adjustRightInd w:val="0"/>
              <w:spacing w:before="20" w:after="20" w:line="240" w:lineRule="auto"/>
              <w:jc w:val="center"/>
              <w:rPr>
                <w:b/>
                <w:sz w:val="18"/>
              </w:rPr>
            </w:pPr>
            <w:r>
              <w:rPr>
                <w:b/>
                <w:sz w:val="18"/>
              </w:rPr>
              <w:t>Сельские</w:t>
            </w:r>
          </w:p>
        </w:tc>
        <w:tc>
          <w:tcPr>
            <w:tcW w:w="994" w:type="dxa"/>
            <w:vMerge/>
            <w:vAlign w:val="center"/>
          </w:tcPr>
          <w:p w:rsidR="00000000" w:rsidRDefault="00000000">
            <w:pPr>
              <w:autoSpaceDE w:val="0"/>
              <w:autoSpaceDN w:val="0"/>
              <w:adjustRightInd w:val="0"/>
              <w:spacing w:before="20" w:after="20" w:line="240" w:lineRule="auto"/>
              <w:jc w:val="center"/>
              <w:rPr>
                <w:b/>
                <w:sz w:val="18"/>
              </w:rPr>
            </w:pPr>
          </w:p>
        </w:tc>
        <w:tc>
          <w:tcPr>
            <w:tcW w:w="1007" w:type="dxa"/>
            <w:vAlign w:val="center"/>
          </w:tcPr>
          <w:p w:rsidR="00000000" w:rsidRDefault="00000000">
            <w:pPr>
              <w:autoSpaceDE w:val="0"/>
              <w:autoSpaceDN w:val="0"/>
              <w:adjustRightInd w:val="0"/>
              <w:spacing w:before="20" w:after="20" w:line="240" w:lineRule="auto"/>
              <w:jc w:val="center"/>
              <w:rPr>
                <w:b/>
                <w:sz w:val="18"/>
                <w:lang w:val="es-MX"/>
              </w:rPr>
            </w:pPr>
            <w:r>
              <w:rPr>
                <w:b/>
                <w:sz w:val="18"/>
              </w:rPr>
              <w:t>Городские</w:t>
            </w:r>
          </w:p>
        </w:tc>
        <w:tc>
          <w:tcPr>
            <w:tcW w:w="966" w:type="dxa"/>
            <w:vAlign w:val="center"/>
          </w:tcPr>
          <w:p w:rsidR="00000000" w:rsidRDefault="00000000">
            <w:pPr>
              <w:autoSpaceDE w:val="0"/>
              <w:autoSpaceDN w:val="0"/>
              <w:adjustRightInd w:val="0"/>
              <w:spacing w:before="20" w:after="20" w:line="240" w:lineRule="auto"/>
              <w:jc w:val="center"/>
              <w:rPr>
                <w:b/>
                <w:sz w:val="18"/>
              </w:rPr>
            </w:pPr>
            <w:r>
              <w:rPr>
                <w:b/>
                <w:sz w:val="18"/>
              </w:rPr>
              <w:t>Сельские</w:t>
            </w:r>
          </w:p>
        </w:tc>
        <w:tc>
          <w:tcPr>
            <w:tcW w:w="994" w:type="dxa"/>
            <w:vMerge/>
            <w:vAlign w:val="center"/>
          </w:tcPr>
          <w:p w:rsidR="00000000" w:rsidRDefault="00000000">
            <w:pPr>
              <w:autoSpaceDE w:val="0"/>
              <w:autoSpaceDN w:val="0"/>
              <w:adjustRightInd w:val="0"/>
              <w:spacing w:before="20" w:after="20" w:line="240" w:lineRule="auto"/>
              <w:jc w:val="center"/>
              <w:rPr>
                <w:b/>
                <w:sz w:val="18"/>
              </w:rPr>
            </w:pPr>
          </w:p>
        </w:tc>
        <w:tc>
          <w:tcPr>
            <w:tcW w:w="1022" w:type="dxa"/>
            <w:vAlign w:val="center"/>
          </w:tcPr>
          <w:p w:rsidR="00000000" w:rsidRDefault="00000000">
            <w:pPr>
              <w:autoSpaceDE w:val="0"/>
              <w:autoSpaceDN w:val="0"/>
              <w:adjustRightInd w:val="0"/>
              <w:spacing w:before="20" w:after="20" w:line="240" w:lineRule="auto"/>
              <w:jc w:val="center"/>
              <w:rPr>
                <w:b/>
                <w:sz w:val="18"/>
              </w:rPr>
            </w:pPr>
            <w:r>
              <w:rPr>
                <w:b/>
                <w:sz w:val="18"/>
              </w:rPr>
              <w:t>Городские</w:t>
            </w:r>
          </w:p>
        </w:tc>
        <w:tc>
          <w:tcPr>
            <w:tcW w:w="924" w:type="dxa"/>
            <w:vAlign w:val="center"/>
          </w:tcPr>
          <w:p w:rsidR="00000000" w:rsidRDefault="00000000">
            <w:pPr>
              <w:autoSpaceDE w:val="0"/>
              <w:autoSpaceDN w:val="0"/>
              <w:adjustRightInd w:val="0"/>
              <w:spacing w:before="20" w:after="20" w:line="240" w:lineRule="auto"/>
              <w:jc w:val="center"/>
              <w:rPr>
                <w:b/>
                <w:sz w:val="18"/>
              </w:rPr>
            </w:pPr>
            <w:r>
              <w:rPr>
                <w:b/>
                <w:sz w:val="18"/>
              </w:rPr>
              <w:t>Сельские</w:t>
            </w:r>
          </w:p>
        </w:tc>
        <w:tc>
          <w:tcPr>
            <w:tcW w:w="951" w:type="dxa"/>
            <w:vMerge/>
            <w:vAlign w:val="center"/>
          </w:tcPr>
          <w:p w:rsidR="00000000" w:rsidRDefault="00000000">
            <w:pPr>
              <w:autoSpaceDE w:val="0"/>
              <w:autoSpaceDN w:val="0"/>
              <w:adjustRightInd w:val="0"/>
              <w:spacing w:before="20" w:after="20" w:line="240" w:lineRule="auto"/>
              <w:jc w:val="center"/>
              <w:rPr>
                <w:b/>
                <w:sz w:val="18"/>
              </w:rPr>
            </w:pPr>
          </w:p>
        </w:tc>
        <w:tc>
          <w:tcPr>
            <w:tcW w:w="1022" w:type="dxa"/>
            <w:vAlign w:val="center"/>
          </w:tcPr>
          <w:p w:rsidR="00000000" w:rsidRDefault="00000000">
            <w:pPr>
              <w:autoSpaceDE w:val="0"/>
              <w:autoSpaceDN w:val="0"/>
              <w:adjustRightInd w:val="0"/>
              <w:spacing w:before="20" w:after="20" w:line="240" w:lineRule="auto"/>
              <w:jc w:val="center"/>
              <w:rPr>
                <w:b/>
                <w:sz w:val="18"/>
              </w:rPr>
            </w:pPr>
            <w:r>
              <w:rPr>
                <w:b/>
                <w:sz w:val="18"/>
              </w:rPr>
              <w:t>Городские</w:t>
            </w:r>
          </w:p>
        </w:tc>
        <w:tc>
          <w:tcPr>
            <w:tcW w:w="964" w:type="dxa"/>
            <w:vAlign w:val="center"/>
          </w:tcPr>
          <w:p w:rsidR="00000000" w:rsidRDefault="00000000">
            <w:pPr>
              <w:autoSpaceDE w:val="0"/>
              <w:autoSpaceDN w:val="0"/>
              <w:adjustRightInd w:val="0"/>
              <w:spacing w:before="20" w:after="20" w:line="240" w:lineRule="auto"/>
              <w:jc w:val="center"/>
              <w:rPr>
                <w:b/>
                <w:sz w:val="18"/>
              </w:rPr>
            </w:pPr>
            <w:r>
              <w:rPr>
                <w:b/>
                <w:sz w:val="18"/>
              </w:rPr>
              <w:t>Сельские</w:t>
            </w:r>
          </w:p>
        </w:tc>
      </w:tr>
      <w:tr w:rsidR="00000000">
        <w:tblPrEx>
          <w:tblCellMar>
            <w:top w:w="0" w:type="dxa"/>
            <w:bottom w:w="0" w:type="dxa"/>
          </w:tblCellMar>
        </w:tblPrEx>
        <w:tc>
          <w:tcPr>
            <w:tcW w:w="1792" w:type="dxa"/>
            <w:vAlign w:val="bottom"/>
          </w:tcPr>
          <w:p w:rsidR="00000000" w:rsidRDefault="00000000">
            <w:pPr>
              <w:spacing w:before="20" w:after="20" w:line="240" w:lineRule="auto"/>
              <w:rPr>
                <w:sz w:val="20"/>
              </w:rPr>
            </w:pPr>
            <w:r>
              <w:rPr>
                <w:sz w:val="20"/>
              </w:rPr>
              <w:t>Сжигание</w:t>
            </w:r>
          </w:p>
        </w:tc>
        <w:tc>
          <w:tcPr>
            <w:tcW w:w="980" w:type="dxa"/>
            <w:vAlign w:val="bottom"/>
          </w:tcPr>
          <w:p w:rsidR="00000000" w:rsidRDefault="00000000">
            <w:pPr>
              <w:tabs>
                <w:tab w:val="decimal" w:pos="774"/>
              </w:tabs>
              <w:spacing w:before="20" w:after="20" w:line="240" w:lineRule="auto"/>
              <w:jc w:val="right"/>
              <w:rPr>
                <w:sz w:val="20"/>
              </w:rPr>
            </w:pPr>
            <w:r>
              <w:rPr>
                <w:sz w:val="20"/>
              </w:rPr>
              <w:t>54,5</w:t>
            </w:r>
          </w:p>
        </w:tc>
        <w:tc>
          <w:tcPr>
            <w:tcW w:w="994" w:type="dxa"/>
            <w:vAlign w:val="bottom"/>
          </w:tcPr>
          <w:p w:rsidR="00000000" w:rsidRDefault="00000000">
            <w:pPr>
              <w:tabs>
                <w:tab w:val="decimal" w:pos="676"/>
              </w:tabs>
              <w:spacing w:before="20" w:after="20" w:line="240" w:lineRule="auto"/>
              <w:jc w:val="right"/>
              <w:rPr>
                <w:sz w:val="20"/>
              </w:rPr>
            </w:pPr>
            <w:r>
              <w:rPr>
                <w:sz w:val="20"/>
              </w:rPr>
              <w:t>38,8</w:t>
            </w:r>
          </w:p>
        </w:tc>
        <w:tc>
          <w:tcPr>
            <w:tcW w:w="966" w:type="dxa"/>
            <w:vAlign w:val="bottom"/>
          </w:tcPr>
          <w:p w:rsidR="00000000" w:rsidRDefault="00000000">
            <w:pPr>
              <w:tabs>
                <w:tab w:val="decimal" w:pos="658"/>
              </w:tabs>
              <w:spacing w:before="20" w:after="20" w:line="240" w:lineRule="auto"/>
              <w:jc w:val="right"/>
              <w:rPr>
                <w:sz w:val="20"/>
              </w:rPr>
            </w:pPr>
            <w:r>
              <w:rPr>
                <w:sz w:val="20"/>
              </w:rPr>
              <w:t>73,1</w:t>
            </w:r>
          </w:p>
        </w:tc>
        <w:tc>
          <w:tcPr>
            <w:tcW w:w="994" w:type="dxa"/>
            <w:vAlign w:val="bottom"/>
          </w:tcPr>
          <w:p w:rsidR="00000000" w:rsidRDefault="00000000">
            <w:pPr>
              <w:tabs>
                <w:tab w:val="decimal" w:pos="808"/>
              </w:tabs>
              <w:spacing w:before="20" w:after="20" w:line="240" w:lineRule="auto"/>
              <w:jc w:val="right"/>
              <w:rPr>
                <w:sz w:val="20"/>
              </w:rPr>
            </w:pPr>
            <w:r>
              <w:rPr>
                <w:sz w:val="20"/>
              </w:rPr>
              <w:t>53,6</w:t>
            </w:r>
          </w:p>
        </w:tc>
        <w:tc>
          <w:tcPr>
            <w:tcW w:w="1007" w:type="dxa"/>
            <w:vAlign w:val="bottom"/>
          </w:tcPr>
          <w:p w:rsidR="00000000" w:rsidRDefault="00000000">
            <w:pPr>
              <w:tabs>
                <w:tab w:val="decimal" w:pos="700"/>
              </w:tabs>
              <w:spacing w:before="20" w:after="20" w:line="240" w:lineRule="auto"/>
              <w:jc w:val="right"/>
              <w:rPr>
                <w:sz w:val="20"/>
              </w:rPr>
            </w:pPr>
            <w:r>
              <w:rPr>
                <w:sz w:val="20"/>
              </w:rPr>
              <w:t>35,5</w:t>
            </w:r>
          </w:p>
        </w:tc>
        <w:tc>
          <w:tcPr>
            <w:tcW w:w="966" w:type="dxa"/>
            <w:vAlign w:val="bottom"/>
          </w:tcPr>
          <w:p w:rsidR="00000000" w:rsidRDefault="00000000">
            <w:pPr>
              <w:tabs>
                <w:tab w:val="decimal" w:pos="616"/>
              </w:tabs>
              <w:spacing w:before="20" w:after="20" w:line="240" w:lineRule="auto"/>
              <w:jc w:val="right"/>
              <w:rPr>
                <w:sz w:val="20"/>
              </w:rPr>
            </w:pPr>
            <w:r>
              <w:rPr>
                <w:sz w:val="20"/>
              </w:rPr>
              <w:t>77,6</w:t>
            </w:r>
          </w:p>
        </w:tc>
        <w:tc>
          <w:tcPr>
            <w:tcW w:w="994" w:type="dxa"/>
            <w:vAlign w:val="bottom"/>
          </w:tcPr>
          <w:p w:rsidR="00000000" w:rsidRDefault="00000000">
            <w:pPr>
              <w:tabs>
                <w:tab w:val="decimal" w:pos="770"/>
              </w:tabs>
              <w:spacing w:before="20" w:after="20" w:line="240" w:lineRule="auto"/>
              <w:jc w:val="right"/>
              <w:rPr>
                <w:sz w:val="20"/>
              </w:rPr>
            </w:pPr>
            <w:r>
              <w:rPr>
                <w:sz w:val="20"/>
              </w:rPr>
              <w:t>51,5</w:t>
            </w:r>
          </w:p>
        </w:tc>
        <w:tc>
          <w:tcPr>
            <w:tcW w:w="1022" w:type="dxa"/>
            <w:vAlign w:val="bottom"/>
          </w:tcPr>
          <w:p w:rsidR="00000000" w:rsidRDefault="00000000">
            <w:pPr>
              <w:tabs>
                <w:tab w:val="decimal" w:pos="695"/>
              </w:tabs>
              <w:spacing w:before="20" w:after="20" w:line="240" w:lineRule="auto"/>
              <w:jc w:val="right"/>
              <w:rPr>
                <w:sz w:val="20"/>
              </w:rPr>
            </w:pPr>
            <w:r>
              <w:rPr>
                <w:sz w:val="20"/>
              </w:rPr>
              <w:t>33,0</w:t>
            </w:r>
          </w:p>
        </w:tc>
        <w:tc>
          <w:tcPr>
            <w:tcW w:w="924" w:type="dxa"/>
            <w:vAlign w:val="bottom"/>
          </w:tcPr>
          <w:p w:rsidR="00000000" w:rsidRDefault="00000000">
            <w:pPr>
              <w:tabs>
                <w:tab w:val="decimal" w:pos="658"/>
              </w:tabs>
              <w:spacing w:before="20" w:after="20" w:line="240" w:lineRule="auto"/>
              <w:jc w:val="right"/>
              <w:rPr>
                <w:sz w:val="20"/>
              </w:rPr>
            </w:pPr>
            <w:r>
              <w:rPr>
                <w:sz w:val="20"/>
              </w:rPr>
              <w:t>78,5</w:t>
            </w:r>
          </w:p>
        </w:tc>
        <w:tc>
          <w:tcPr>
            <w:tcW w:w="951" w:type="dxa"/>
            <w:vAlign w:val="bottom"/>
          </w:tcPr>
          <w:p w:rsidR="00000000" w:rsidRDefault="00000000">
            <w:pPr>
              <w:tabs>
                <w:tab w:val="decimal" w:pos="811"/>
              </w:tabs>
              <w:spacing w:before="20" w:after="20" w:line="240" w:lineRule="auto"/>
              <w:jc w:val="right"/>
              <w:rPr>
                <w:sz w:val="20"/>
              </w:rPr>
            </w:pPr>
            <w:r>
              <w:rPr>
                <w:sz w:val="20"/>
              </w:rPr>
              <w:t>51,5</w:t>
            </w:r>
          </w:p>
        </w:tc>
        <w:tc>
          <w:tcPr>
            <w:tcW w:w="1022" w:type="dxa"/>
            <w:vAlign w:val="bottom"/>
          </w:tcPr>
          <w:p w:rsidR="00000000" w:rsidRDefault="00000000">
            <w:pPr>
              <w:tabs>
                <w:tab w:val="decimal" w:pos="714"/>
              </w:tabs>
              <w:spacing w:before="20" w:after="20" w:line="240" w:lineRule="auto"/>
              <w:jc w:val="right"/>
              <w:rPr>
                <w:sz w:val="20"/>
              </w:rPr>
            </w:pPr>
            <w:r>
              <w:rPr>
                <w:sz w:val="20"/>
              </w:rPr>
              <w:t>34,3</w:t>
            </w:r>
          </w:p>
        </w:tc>
        <w:tc>
          <w:tcPr>
            <w:tcW w:w="964" w:type="dxa"/>
            <w:vAlign w:val="bottom"/>
          </w:tcPr>
          <w:p w:rsidR="00000000" w:rsidRDefault="00000000">
            <w:pPr>
              <w:tabs>
                <w:tab w:val="decimal" w:pos="650"/>
              </w:tabs>
              <w:spacing w:before="20" w:after="20" w:line="240" w:lineRule="auto"/>
              <w:jc w:val="right"/>
              <w:rPr>
                <w:sz w:val="20"/>
              </w:rPr>
            </w:pPr>
            <w:r>
              <w:rPr>
                <w:sz w:val="20"/>
              </w:rPr>
              <w:t>77,9</w:t>
            </w:r>
          </w:p>
        </w:tc>
      </w:tr>
      <w:tr w:rsidR="00000000">
        <w:tblPrEx>
          <w:tblCellMar>
            <w:top w:w="0" w:type="dxa"/>
            <w:bottom w:w="0" w:type="dxa"/>
          </w:tblCellMar>
        </w:tblPrEx>
        <w:tc>
          <w:tcPr>
            <w:tcW w:w="1792" w:type="dxa"/>
            <w:vAlign w:val="bottom"/>
          </w:tcPr>
          <w:p w:rsidR="00000000" w:rsidRDefault="00000000">
            <w:pPr>
              <w:spacing w:before="20" w:after="20" w:line="240" w:lineRule="auto"/>
              <w:rPr>
                <w:sz w:val="20"/>
              </w:rPr>
            </w:pPr>
            <w:r>
              <w:rPr>
                <w:sz w:val="20"/>
              </w:rPr>
              <w:t>Уборка государственными или частными службами</w:t>
            </w:r>
          </w:p>
        </w:tc>
        <w:tc>
          <w:tcPr>
            <w:tcW w:w="980" w:type="dxa"/>
            <w:vAlign w:val="bottom"/>
          </w:tcPr>
          <w:p w:rsidR="00000000" w:rsidRDefault="00000000">
            <w:pPr>
              <w:tabs>
                <w:tab w:val="decimal" w:pos="774"/>
              </w:tabs>
              <w:spacing w:before="20" w:after="20" w:line="240" w:lineRule="auto"/>
              <w:jc w:val="right"/>
              <w:rPr>
                <w:sz w:val="20"/>
              </w:rPr>
            </w:pPr>
            <w:r>
              <w:rPr>
                <w:sz w:val="20"/>
              </w:rPr>
              <w:t>-</w:t>
            </w:r>
          </w:p>
        </w:tc>
        <w:tc>
          <w:tcPr>
            <w:tcW w:w="994" w:type="dxa"/>
            <w:vAlign w:val="bottom"/>
          </w:tcPr>
          <w:p w:rsidR="00000000" w:rsidRDefault="00000000">
            <w:pPr>
              <w:tabs>
                <w:tab w:val="decimal" w:pos="676"/>
              </w:tabs>
              <w:spacing w:before="20" w:after="20" w:line="240" w:lineRule="auto"/>
              <w:jc w:val="right"/>
              <w:rPr>
                <w:sz w:val="20"/>
              </w:rPr>
            </w:pPr>
            <w:r>
              <w:rPr>
                <w:sz w:val="20"/>
              </w:rPr>
              <w:t>-</w:t>
            </w:r>
          </w:p>
        </w:tc>
        <w:tc>
          <w:tcPr>
            <w:tcW w:w="966" w:type="dxa"/>
            <w:vAlign w:val="bottom"/>
          </w:tcPr>
          <w:p w:rsidR="00000000" w:rsidRDefault="00000000">
            <w:pPr>
              <w:tabs>
                <w:tab w:val="decimal" w:pos="658"/>
              </w:tabs>
              <w:spacing w:before="20" w:after="20" w:line="240" w:lineRule="auto"/>
              <w:jc w:val="right"/>
              <w:rPr>
                <w:sz w:val="20"/>
              </w:rPr>
            </w:pPr>
            <w:r>
              <w:rPr>
                <w:sz w:val="20"/>
              </w:rPr>
              <w:t>-</w:t>
            </w:r>
          </w:p>
        </w:tc>
        <w:tc>
          <w:tcPr>
            <w:tcW w:w="994" w:type="dxa"/>
            <w:vAlign w:val="bottom"/>
          </w:tcPr>
          <w:p w:rsidR="00000000" w:rsidRDefault="00000000">
            <w:pPr>
              <w:tabs>
                <w:tab w:val="decimal" w:pos="808"/>
              </w:tabs>
              <w:spacing w:before="20" w:after="20" w:line="240" w:lineRule="auto"/>
              <w:jc w:val="right"/>
              <w:rPr>
                <w:sz w:val="20"/>
              </w:rPr>
            </w:pPr>
            <w:r>
              <w:rPr>
                <w:sz w:val="20"/>
              </w:rPr>
              <w:t>32,1</w:t>
            </w:r>
          </w:p>
        </w:tc>
        <w:tc>
          <w:tcPr>
            <w:tcW w:w="1007" w:type="dxa"/>
            <w:vAlign w:val="bottom"/>
          </w:tcPr>
          <w:p w:rsidR="00000000" w:rsidRDefault="00000000">
            <w:pPr>
              <w:tabs>
                <w:tab w:val="decimal" w:pos="700"/>
              </w:tabs>
              <w:spacing w:before="20" w:after="20" w:line="240" w:lineRule="auto"/>
              <w:jc w:val="right"/>
              <w:rPr>
                <w:sz w:val="20"/>
              </w:rPr>
            </w:pPr>
            <w:r>
              <w:rPr>
                <w:sz w:val="20"/>
              </w:rPr>
              <w:t>54,0</w:t>
            </w:r>
          </w:p>
        </w:tc>
        <w:tc>
          <w:tcPr>
            <w:tcW w:w="966" w:type="dxa"/>
            <w:vAlign w:val="bottom"/>
          </w:tcPr>
          <w:p w:rsidR="00000000" w:rsidRDefault="00000000">
            <w:pPr>
              <w:tabs>
                <w:tab w:val="decimal" w:pos="616"/>
              </w:tabs>
              <w:spacing w:before="20" w:after="20" w:line="240" w:lineRule="auto"/>
              <w:jc w:val="right"/>
              <w:rPr>
                <w:sz w:val="20"/>
              </w:rPr>
            </w:pPr>
            <w:r>
              <w:rPr>
                <w:sz w:val="20"/>
              </w:rPr>
              <w:t>3,2</w:t>
            </w:r>
          </w:p>
        </w:tc>
        <w:tc>
          <w:tcPr>
            <w:tcW w:w="994" w:type="dxa"/>
            <w:vAlign w:val="bottom"/>
          </w:tcPr>
          <w:p w:rsidR="00000000" w:rsidRDefault="00000000">
            <w:pPr>
              <w:tabs>
                <w:tab w:val="decimal" w:pos="770"/>
              </w:tabs>
              <w:spacing w:before="20" w:after="20" w:line="240" w:lineRule="auto"/>
              <w:jc w:val="right"/>
              <w:rPr>
                <w:sz w:val="20"/>
              </w:rPr>
            </w:pPr>
            <w:r>
              <w:rPr>
                <w:sz w:val="20"/>
              </w:rPr>
              <w:t>35,2</w:t>
            </w:r>
          </w:p>
        </w:tc>
        <w:tc>
          <w:tcPr>
            <w:tcW w:w="1022" w:type="dxa"/>
            <w:vAlign w:val="bottom"/>
          </w:tcPr>
          <w:p w:rsidR="00000000" w:rsidRDefault="00000000">
            <w:pPr>
              <w:tabs>
                <w:tab w:val="decimal" w:pos="695"/>
              </w:tabs>
              <w:spacing w:before="20" w:after="20" w:line="240" w:lineRule="auto"/>
              <w:jc w:val="right"/>
              <w:rPr>
                <w:sz w:val="20"/>
              </w:rPr>
            </w:pPr>
            <w:r>
              <w:rPr>
                <w:sz w:val="20"/>
              </w:rPr>
              <w:t>57,6</w:t>
            </w:r>
          </w:p>
        </w:tc>
        <w:tc>
          <w:tcPr>
            <w:tcW w:w="924" w:type="dxa"/>
            <w:vAlign w:val="bottom"/>
          </w:tcPr>
          <w:p w:rsidR="00000000" w:rsidRDefault="00000000">
            <w:pPr>
              <w:tabs>
                <w:tab w:val="decimal" w:pos="658"/>
              </w:tabs>
              <w:spacing w:before="20" w:after="20" w:line="240" w:lineRule="auto"/>
              <w:jc w:val="right"/>
              <w:rPr>
                <w:sz w:val="20"/>
              </w:rPr>
            </w:pPr>
            <w:r>
              <w:rPr>
                <w:sz w:val="20"/>
              </w:rPr>
              <w:t>2,3</w:t>
            </w:r>
          </w:p>
        </w:tc>
        <w:tc>
          <w:tcPr>
            <w:tcW w:w="951" w:type="dxa"/>
            <w:vAlign w:val="bottom"/>
          </w:tcPr>
          <w:p w:rsidR="00000000" w:rsidRDefault="00000000">
            <w:pPr>
              <w:tabs>
                <w:tab w:val="decimal" w:pos="811"/>
              </w:tabs>
              <w:spacing w:before="20" w:after="20" w:line="240" w:lineRule="auto"/>
              <w:jc w:val="right"/>
              <w:rPr>
                <w:sz w:val="20"/>
              </w:rPr>
            </w:pPr>
            <w:r>
              <w:rPr>
                <w:sz w:val="20"/>
              </w:rPr>
              <w:t>36,6</w:t>
            </w:r>
          </w:p>
        </w:tc>
        <w:tc>
          <w:tcPr>
            <w:tcW w:w="1022" w:type="dxa"/>
            <w:vAlign w:val="bottom"/>
          </w:tcPr>
          <w:p w:rsidR="00000000" w:rsidRDefault="00000000">
            <w:pPr>
              <w:tabs>
                <w:tab w:val="decimal" w:pos="714"/>
              </w:tabs>
              <w:spacing w:before="20" w:after="20" w:line="240" w:lineRule="auto"/>
              <w:jc w:val="right"/>
              <w:rPr>
                <w:sz w:val="20"/>
              </w:rPr>
            </w:pPr>
            <w:r>
              <w:rPr>
                <w:sz w:val="20"/>
              </w:rPr>
              <w:t>58,1</w:t>
            </w:r>
          </w:p>
        </w:tc>
        <w:tc>
          <w:tcPr>
            <w:tcW w:w="964" w:type="dxa"/>
            <w:vAlign w:val="bottom"/>
          </w:tcPr>
          <w:p w:rsidR="00000000" w:rsidRDefault="00000000">
            <w:pPr>
              <w:tabs>
                <w:tab w:val="decimal" w:pos="650"/>
              </w:tabs>
              <w:spacing w:before="20" w:after="20" w:line="240" w:lineRule="auto"/>
              <w:jc w:val="right"/>
              <w:rPr>
                <w:sz w:val="20"/>
              </w:rPr>
            </w:pPr>
            <w:r>
              <w:rPr>
                <w:sz w:val="20"/>
              </w:rPr>
              <w:t>3,5</w:t>
            </w:r>
          </w:p>
        </w:tc>
      </w:tr>
      <w:tr w:rsidR="00000000">
        <w:tblPrEx>
          <w:tblCellMar>
            <w:top w:w="0" w:type="dxa"/>
            <w:bottom w:w="0" w:type="dxa"/>
          </w:tblCellMar>
        </w:tblPrEx>
        <w:tc>
          <w:tcPr>
            <w:tcW w:w="1792" w:type="dxa"/>
            <w:vAlign w:val="bottom"/>
          </w:tcPr>
          <w:p w:rsidR="00000000" w:rsidRDefault="00000000">
            <w:pPr>
              <w:spacing w:before="20" w:after="20" w:line="240" w:lineRule="auto"/>
              <w:rPr>
                <w:sz w:val="20"/>
              </w:rPr>
            </w:pPr>
            <w:r>
              <w:rPr>
                <w:sz w:val="20"/>
              </w:rPr>
              <w:t>Уборка государственными службами</w:t>
            </w:r>
          </w:p>
        </w:tc>
        <w:tc>
          <w:tcPr>
            <w:tcW w:w="980" w:type="dxa"/>
            <w:vAlign w:val="bottom"/>
          </w:tcPr>
          <w:p w:rsidR="00000000" w:rsidRDefault="00000000">
            <w:pPr>
              <w:tabs>
                <w:tab w:val="decimal" w:pos="774"/>
              </w:tabs>
              <w:spacing w:before="20" w:after="20" w:line="240" w:lineRule="auto"/>
              <w:jc w:val="right"/>
              <w:rPr>
                <w:sz w:val="20"/>
              </w:rPr>
            </w:pPr>
            <w:r>
              <w:rPr>
                <w:sz w:val="20"/>
              </w:rPr>
              <w:t>24,8</w:t>
            </w:r>
          </w:p>
        </w:tc>
        <w:tc>
          <w:tcPr>
            <w:tcW w:w="994" w:type="dxa"/>
            <w:vAlign w:val="bottom"/>
          </w:tcPr>
          <w:p w:rsidR="00000000" w:rsidRDefault="00000000">
            <w:pPr>
              <w:tabs>
                <w:tab w:val="decimal" w:pos="676"/>
              </w:tabs>
              <w:spacing w:before="20" w:after="20" w:line="240" w:lineRule="auto"/>
              <w:jc w:val="right"/>
              <w:rPr>
                <w:sz w:val="20"/>
              </w:rPr>
            </w:pPr>
            <w:r>
              <w:rPr>
                <w:sz w:val="20"/>
              </w:rPr>
              <w:t>45,7</w:t>
            </w:r>
          </w:p>
        </w:tc>
        <w:tc>
          <w:tcPr>
            <w:tcW w:w="966" w:type="dxa"/>
            <w:vAlign w:val="bottom"/>
          </w:tcPr>
          <w:p w:rsidR="00000000" w:rsidRDefault="00000000">
            <w:pPr>
              <w:tabs>
                <w:tab w:val="decimal" w:pos="658"/>
              </w:tabs>
              <w:spacing w:before="20" w:after="20" w:line="240" w:lineRule="auto"/>
              <w:jc w:val="right"/>
              <w:rPr>
                <w:sz w:val="20"/>
              </w:rPr>
            </w:pPr>
            <w:r>
              <w:rPr>
                <w:sz w:val="20"/>
              </w:rPr>
              <w:t>0,1</w:t>
            </w:r>
          </w:p>
        </w:tc>
        <w:tc>
          <w:tcPr>
            <w:tcW w:w="994" w:type="dxa"/>
            <w:vAlign w:val="bottom"/>
          </w:tcPr>
          <w:p w:rsidR="00000000" w:rsidRDefault="00000000">
            <w:pPr>
              <w:tabs>
                <w:tab w:val="decimal" w:pos="808"/>
              </w:tabs>
              <w:spacing w:before="20" w:after="20" w:line="240" w:lineRule="auto"/>
              <w:jc w:val="right"/>
              <w:rPr>
                <w:sz w:val="20"/>
              </w:rPr>
            </w:pPr>
            <w:r>
              <w:rPr>
                <w:sz w:val="20"/>
              </w:rPr>
              <w:t>-</w:t>
            </w:r>
          </w:p>
        </w:tc>
        <w:tc>
          <w:tcPr>
            <w:tcW w:w="1007" w:type="dxa"/>
            <w:vAlign w:val="bottom"/>
          </w:tcPr>
          <w:p w:rsidR="00000000" w:rsidRDefault="00000000">
            <w:pPr>
              <w:tabs>
                <w:tab w:val="decimal" w:pos="700"/>
              </w:tabs>
              <w:spacing w:before="20" w:after="20" w:line="240" w:lineRule="auto"/>
              <w:jc w:val="right"/>
              <w:rPr>
                <w:sz w:val="20"/>
              </w:rPr>
            </w:pPr>
            <w:r>
              <w:rPr>
                <w:sz w:val="20"/>
              </w:rPr>
              <w:t>-</w:t>
            </w:r>
          </w:p>
        </w:tc>
        <w:tc>
          <w:tcPr>
            <w:tcW w:w="966" w:type="dxa"/>
            <w:vAlign w:val="bottom"/>
          </w:tcPr>
          <w:p w:rsidR="00000000" w:rsidRDefault="00000000">
            <w:pPr>
              <w:tabs>
                <w:tab w:val="decimal" w:pos="616"/>
              </w:tabs>
              <w:spacing w:before="20" w:after="20" w:line="240" w:lineRule="auto"/>
              <w:jc w:val="right"/>
              <w:rPr>
                <w:sz w:val="20"/>
              </w:rPr>
            </w:pPr>
            <w:r>
              <w:rPr>
                <w:sz w:val="20"/>
              </w:rPr>
              <w:t>-</w:t>
            </w:r>
          </w:p>
        </w:tc>
        <w:tc>
          <w:tcPr>
            <w:tcW w:w="994" w:type="dxa"/>
            <w:vAlign w:val="bottom"/>
          </w:tcPr>
          <w:p w:rsidR="00000000" w:rsidRDefault="00000000">
            <w:pPr>
              <w:tabs>
                <w:tab w:val="decimal" w:pos="770"/>
              </w:tabs>
              <w:spacing w:before="20" w:after="20" w:line="240" w:lineRule="auto"/>
              <w:jc w:val="right"/>
              <w:rPr>
                <w:sz w:val="20"/>
              </w:rPr>
            </w:pPr>
            <w:r>
              <w:rPr>
                <w:sz w:val="20"/>
              </w:rPr>
              <w:t>-</w:t>
            </w:r>
          </w:p>
        </w:tc>
        <w:tc>
          <w:tcPr>
            <w:tcW w:w="1022" w:type="dxa"/>
            <w:vAlign w:val="bottom"/>
          </w:tcPr>
          <w:p w:rsidR="00000000" w:rsidRDefault="00000000">
            <w:pPr>
              <w:tabs>
                <w:tab w:val="decimal" w:pos="695"/>
              </w:tabs>
              <w:spacing w:before="20" w:after="20" w:line="240" w:lineRule="auto"/>
              <w:jc w:val="right"/>
              <w:rPr>
                <w:sz w:val="20"/>
              </w:rPr>
            </w:pPr>
            <w:r>
              <w:rPr>
                <w:sz w:val="20"/>
              </w:rPr>
              <w:t>-</w:t>
            </w:r>
          </w:p>
        </w:tc>
        <w:tc>
          <w:tcPr>
            <w:tcW w:w="924" w:type="dxa"/>
            <w:vAlign w:val="bottom"/>
          </w:tcPr>
          <w:p w:rsidR="00000000" w:rsidRDefault="00000000">
            <w:pPr>
              <w:tabs>
                <w:tab w:val="decimal" w:pos="658"/>
              </w:tabs>
              <w:spacing w:before="20" w:after="20" w:line="240" w:lineRule="auto"/>
              <w:jc w:val="right"/>
              <w:rPr>
                <w:sz w:val="20"/>
              </w:rPr>
            </w:pPr>
            <w:r>
              <w:rPr>
                <w:sz w:val="20"/>
              </w:rPr>
              <w:t>-</w:t>
            </w:r>
          </w:p>
        </w:tc>
        <w:tc>
          <w:tcPr>
            <w:tcW w:w="951" w:type="dxa"/>
            <w:vAlign w:val="bottom"/>
          </w:tcPr>
          <w:p w:rsidR="00000000" w:rsidRDefault="00000000">
            <w:pPr>
              <w:tabs>
                <w:tab w:val="decimal" w:pos="811"/>
              </w:tabs>
              <w:spacing w:before="20" w:after="20" w:line="240" w:lineRule="auto"/>
              <w:jc w:val="right"/>
              <w:rPr>
                <w:sz w:val="20"/>
              </w:rPr>
            </w:pPr>
            <w:r>
              <w:rPr>
                <w:sz w:val="20"/>
              </w:rPr>
              <w:t>-</w:t>
            </w:r>
          </w:p>
        </w:tc>
        <w:tc>
          <w:tcPr>
            <w:tcW w:w="1022" w:type="dxa"/>
            <w:vAlign w:val="bottom"/>
          </w:tcPr>
          <w:p w:rsidR="00000000" w:rsidRDefault="00000000">
            <w:pPr>
              <w:tabs>
                <w:tab w:val="decimal" w:pos="714"/>
              </w:tabs>
              <w:spacing w:before="20" w:after="20" w:line="240" w:lineRule="auto"/>
              <w:jc w:val="right"/>
              <w:rPr>
                <w:sz w:val="20"/>
              </w:rPr>
            </w:pPr>
            <w:r>
              <w:rPr>
                <w:sz w:val="20"/>
              </w:rPr>
              <w:t>-</w:t>
            </w:r>
          </w:p>
        </w:tc>
        <w:tc>
          <w:tcPr>
            <w:tcW w:w="964" w:type="dxa"/>
            <w:vAlign w:val="bottom"/>
          </w:tcPr>
          <w:p w:rsidR="00000000" w:rsidRDefault="00000000">
            <w:pPr>
              <w:tabs>
                <w:tab w:val="decimal" w:pos="650"/>
              </w:tabs>
              <w:spacing w:before="20" w:after="20" w:line="240" w:lineRule="auto"/>
              <w:jc w:val="right"/>
              <w:rPr>
                <w:sz w:val="20"/>
              </w:rPr>
            </w:pPr>
            <w:r>
              <w:rPr>
                <w:sz w:val="20"/>
              </w:rPr>
              <w:t>-</w:t>
            </w:r>
          </w:p>
        </w:tc>
      </w:tr>
      <w:tr w:rsidR="00000000">
        <w:tblPrEx>
          <w:tblCellMar>
            <w:top w:w="0" w:type="dxa"/>
            <w:bottom w:w="0" w:type="dxa"/>
          </w:tblCellMar>
        </w:tblPrEx>
        <w:tc>
          <w:tcPr>
            <w:tcW w:w="1792" w:type="dxa"/>
            <w:vAlign w:val="bottom"/>
          </w:tcPr>
          <w:p w:rsidR="00000000" w:rsidRDefault="00000000">
            <w:pPr>
              <w:spacing w:before="20" w:after="20" w:line="240" w:lineRule="auto"/>
              <w:rPr>
                <w:sz w:val="20"/>
              </w:rPr>
            </w:pPr>
            <w:r>
              <w:rPr>
                <w:sz w:val="20"/>
              </w:rPr>
              <w:t>Выброс в ямы</w:t>
            </w:r>
          </w:p>
        </w:tc>
        <w:tc>
          <w:tcPr>
            <w:tcW w:w="980" w:type="dxa"/>
            <w:vAlign w:val="bottom"/>
          </w:tcPr>
          <w:p w:rsidR="00000000" w:rsidRDefault="00000000">
            <w:pPr>
              <w:tabs>
                <w:tab w:val="decimal" w:pos="774"/>
              </w:tabs>
              <w:spacing w:before="20" w:after="20" w:line="240" w:lineRule="auto"/>
              <w:jc w:val="right"/>
              <w:rPr>
                <w:sz w:val="20"/>
              </w:rPr>
            </w:pPr>
            <w:r>
              <w:rPr>
                <w:sz w:val="20"/>
              </w:rPr>
              <w:t>11,8</w:t>
            </w:r>
          </w:p>
        </w:tc>
        <w:tc>
          <w:tcPr>
            <w:tcW w:w="994" w:type="dxa"/>
            <w:vAlign w:val="bottom"/>
          </w:tcPr>
          <w:p w:rsidR="00000000" w:rsidRDefault="00000000">
            <w:pPr>
              <w:tabs>
                <w:tab w:val="decimal" w:pos="676"/>
              </w:tabs>
              <w:spacing w:before="20" w:after="20" w:line="240" w:lineRule="auto"/>
              <w:jc w:val="right"/>
              <w:rPr>
                <w:sz w:val="20"/>
              </w:rPr>
            </w:pPr>
            <w:r>
              <w:rPr>
                <w:sz w:val="20"/>
              </w:rPr>
              <w:t>8,8</w:t>
            </w:r>
          </w:p>
        </w:tc>
        <w:tc>
          <w:tcPr>
            <w:tcW w:w="966" w:type="dxa"/>
            <w:vAlign w:val="bottom"/>
          </w:tcPr>
          <w:p w:rsidR="00000000" w:rsidRDefault="00000000">
            <w:pPr>
              <w:tabs>
                <w:tab w:val="decimal" w:pos="658"/>
              </w:tabs>
              <w:spacing w:before="20" w:after="20" w:line="240" w:lineRule="auto"/>
              <w:jc w:val="right"/>
              <w:rPr>
                <w:sz w:val="20"/>
              </w:rPr>
            </w:pPr>
            <w:r>
              <w:rPr>
                <w:sz w:val="20"/>
              </w:rPr>
              <w:t>15,3</w:t>
            </w:r>
          </w:p>
        </w:tc>
        <w:tc>
          <w:tcPr>
            <w:tcW w:w="994" w:type="dxa"/>
            <w:vAlign w:val="bottom"/>
          </w:tcPr>
          <w:p w:rsidR="00000000" w:rsidRDefault="00000000">
            <w:pPr>
              <w:tabs>
                <w:tab w:val="decimal" w:pos="808"/>
              </w:tabs>
              <w:spacing w:before="20" w:after="20" w:line="240" w:lineRule="auto"/>
              <w:jc w:val="right"/>
              <w:rPr>
                <w:sz w:val="20"/>
              </w:rPr>
            </w:pPr>
            <w:r>
              <w:rPr>
                <w:sz w:val="20"/>
              </w:rPr>
              <w:t>9,8</w:t>
            </w:r>
          </w:p>
        </w:tc>
        <w:tc>
          <w:tcPr>
            <w:tcW w:w="1007" w:type="dxa"/>
            <w:vAlign w:val="bottom"/>
          </w:tcPr>
          <w:p w:rsidR="00000000" w:rsidRDefault="00000000">
            <w:pPr>
              <w:tabs>
                <w:tab w:val="decimal" w:pos="700"/>
              </w:tabs>
              <w:spacing w:before="20" w:after="20" w:line="240" w:lineRule="auto"/>
              <w:jc w:val="right"/>
              <w:rPr>
                <w:sz w:val="20"/>
              </w:rPr>
            </w:pPr>
            <w:r>
              <w:rPr>
                <w:sz w:val="20"/>
              </w:rPr>
              <w:t>7,2</w:t>
            </w:r>
          </w:p>
        </w:tc>
        <w:tc>
          <w:tcPr>
            <w:tcW w:w="966" w:type="dxa"/>
            <w:vAlign w:val="bottom"/>
          </w:tcPr>
          <w:p w:rsidR="00000000" w:rsidRDefault="00000000">
            <w:pPr>
              <w:tabs>
                <w:tab w:val="decimal" w:pos="616"/>
              </w:tabs>
              <w:spacing w:before="20" w:after="20" w:line="240" w:lineRule="auto"/>
              <w:jc w:val="right"/>
              <w:rPr>
                <w:sz w:val="20"/>
              </w:rPr>
            </w:pPr>
            <w:r>
              <w:rPr>
                <w:sz w:val="20"/>
              </w:rPr>
              <w:t>13,3</w:t>
            </w:r>
          </w:p>
        </w:tc>
        <w:tc>
          <w:tcPr>
            <w:tcW w:w="994" w:type="dxa"/>
            <w:vAlign w:val="bottom"/>
          </w:tcPr>
          <w:p w:rsidR="00000000" w:rsidRDefault="00000000">
            <w:pPr>
              <w:tabs>
                <w:tab w:val="decimal" w:pos="770"/>
              </w:tabs>
              <w:spacing w:before="20" w:after="20" w:line="240" w:lineRule="auto"/>
              <w:jc w:val="right"/>
              <w:rPr>
                <w:sz w:val="20"/>
              </w:rPr>
            </w:pPr>
            <w:r>
              <w:rPr>
                <w:sz w:val="20"/>
              </w:rPr>
              <w:t>8,2</w:t>
            </w:r>
          </w:p>
        </w:tc>
        <w:tc>
          <w:tcPr>
            <w:tcW w:w="1022" w:type="dxa"/>
            <w:vAlign w:val="bottom"/>
          </w:tcPr>
          <w:p w:rsidR="00000000" w:rsidRDefault="00000000">
            <w:pPr>
              <w:tabs>
                <w:tab w:val="decimal" w:pos="695"/>
              </w:tabs>
              <w:spacing w:before="20" w:after="20" w:line="240" w:lineRule="auto"/>
              <w:jc w:val="right"/>
              <w:rPr>
                <w:sz w:val="20"/>
              </w:rPr>
            </w:pPr>
            <w:r>
              <w:rPr>
                <w:sz w:val="20"/>
              </w:rPr>
              <w:t>5,8</w:t>
            </w:r>
          </w:p>
        </w:tc>
        <w:tc>
          <w:tcPr>
            <w:tcW w:w="924" w:type="dxa"/>
            <w:vAlign w:val="bottom"/>
          </w:tcPr>
          <w:p w:rsidR="00000000" w:rsidRDefault="00000000">
            <w:pPr>
              <w:tabs>
                <w:tab w:val="decimal" w:pos="658"/>
              </w:tabs>
              <w:spacing w:before="20" w:after="20" w:line="240" w:lineRule="auto"/>
              <w:jc w:val="right"/>
              <w:rPr>
                <w:sz w:val="20"/>
              </w:rPr>
            </w:pPr>
            <w:r>
              <w:rPr>
                <w:sz w:val="20"/>
              </w:rPr>
              <w:t>11,6</w:t>
            </w:r>
          </w:p>
        </w:tc>
        <w:tc>
          <w:tcPr>
            <w:tcW w:w="951" w:type="dxa"/>
            <w:vAlign w:val="bottom"/>
          </w:tcPr>
          <w:p w:rsidR="00000000" w:rsidRDefault="00000000">
            <w:pPr>
              <w:tabs>
                <w:tab w:val="decimal" w:pos="811"/>
              </w:tabs>
              <w:spacing w:before="20" w:after="20" w:line="240" w:lineRule="auto"/>
              <w:jc w:val="right"/>
              <w:rPr>
                <w:sz w:val="20"/>
              </w:rPr>
            </w:pPr>
            <w:r>
              <w:rPr>
                <w:sz w:val="20"/>
              </w:rPr>
              <w:t>7,3</w:t>
            </w:r>
          </w:p>
        </w:tc>
        <w:tc>
          <w:tcPr>
            <w:tcW w:w="1022" w:type="dxa"/>
            <w:vAlign w:val="bottom"/>
          </w:tcPr>
          <w:p w:rsidR="00000000" w:rsidRDefault="00000000">
            <w:pPr>
              <w:tabs>
                <w:tab w:val="decimal" w:pos="714"/>
              </w:tabs>
              <w:spacing w:before="20" w:after="20" w:line="240" w:lineRule="auto"/>
              <w:jc w:val="right"/>
              <w:rPr>
                <w:sz w:val="20"/>
              </w:rPr>
            </w:pPr>
            <w:r>
              <w:rPr>
                <w:sz w:val="20"/>
              </w:rPr>
              <w:t>4,0</w:t>
            </w:r>
          </w:p>
        </w:tc>
        <w:tc>
          <w:tcPr>
            <w:tcW w:w="964" w:type="dxa"/>
            <w:vAlign w:val="bottom"/>
          </w:tcPr>
          <w:p w:rsidR="00000000" w:rsidRDefault="00000000">
            <w:pPr>
              <w:tabs>
                <w:tab w:val="decimal" w:pos="650"/>
              </w:tabs>
              <w:spacing w:before="20" w:after="20" w:line="240" w:lineRule="auto"/>
              <w:jc w:val="right"/>
              <w:rPr>
                <w:sz w:val="20"/>
              </w:rPr>
            </w:pPr>
            <w:r>
              <w:rPr>
                <w:sz w:val="20"/>
              </w:rPr>
              <w:t>12,3</w:t>
            </w:r>
          </w:p>
        </w:tc>
      </w:tr>
      <w:tr w:rsidR="00000000">
        <w:tblPrEx>
          <w:tblCellMar>
            <w:top w:w="0" w:type="dxa"/>
            <w:bottom w:w="0" w:type="dxa"/>
          </w:tblCellMar>
        </w:tblPrEx>
        <w:tc>
          <w:tcPr>
            <w:tcW w:w="1792" w:type="dxa"/>
            <w:vAlign w:val="bottom"/>
          </w:tcPr>
          <w:p w:rsidR="00000000" w:rsidRDefault="00000000">
            <w:pPr>
              <w:spacing w:before="20" w:after="20" w:line="240" w:lineRule="auto"/>
              <w:rPr>
                <w:sz w:val="20"/>
              </w:rPr>
            </w:pPr>
            <w:r>
              <w:rPr>
                <w:sz w:val="20"/>
              </w:rPr>
              <w:t>Выброс во дворе</w:t>
            </w:r>
          </w:p>
        </w:tc>
        <w:tc>
          <w:tcPr>
            <w:tcW w:w="980" w:type="dxa"/>
            <w:vAlign w:val="bottom"/>
          </w:tcPr>
          <w:p w:rsidR="00000000" w:rsidRDefault="00000000">
            <w:pPr>
              <w:tabs>
                <w:tab w:val="decimal" w:pos="774"/>
              </w:tabs>
              <w:spacing w:before="20" w:after="20" w:line="240" w:lineRule="auto"/>
              <w:jc w:val="right"/>
              <w:rPr>
                <w:sz w:val="20"/>
              </w:rPr>
            </w:pPr>
            <w:r>
              <w:rPr>
                <w:sz w:val="20"/>
              </w:rPr>
              <w:t>6,0</w:t>
            </w:r>
          </w:p>
        </w:tc>
        <w:tc>
          <w:tcPr>
            <w:tcW w:w="994" w:type="dxa"/>
            <w:vAlign w:val="bottom"/>
          </w:tcPr>
          <w:p w:rsidR="00000000" w:rsidRDefault="00000000">
            <w:pPr>
              <w:tabs>
                <w:tab w:val="decimal" w:pos="676"/>
              </w:tabs>
              <w:spacing w:before="20" w:after="20" w:line="240" w:lineRule="auto"/>
              <w:jc w:val="right"/>
              <w:rPr>
                <w:sz w:val="20"/>
              </w:rPr>
            </w:pPr>
            <w:r>
              <w:rPr>
                <w:sz w:val="20"/>
              </w:rPr>
              <w:t>2,9</w:t>
            </w:r>
          </w:p>
        </w:tc>
        <w:tc>
          <w:tcPr>
            <w:tcW w:w="966" w:type="dxa"/>
            <w:vAlign w:val="bottom"/>
          </w:tcPr>
          <w:p w:rsidR="00000000" w:rsidRDefault="00000000">
            <w:pPr>
              <w:tabs>
                <w:tab w:val="decimal" w:pos="658"/>
              </w:tabs>
              <w:spacing w:before="20" w:after="20" w:line="240" w:lineRule="auto"/>
              <w:jc w:val="right"/>
              <w:rPr>
                <w:sz w:val="20"/>
              </w:rPr>
            </w:pPr>
            <w:r>
              <w:rPr>
                <w:sz w:val="20"/>
              </w:rPr>
              <w:t>9,7</w:t>
            </w:r>
          </w:p>
        </w:tc>
        <w:tc>
          <w:tcPr>
            <w:tcW w:w="994" w:type="dxa"/>
            <w:vAlign w:val="bottom"/>
          </w:tcPr>
          <w:p w:rsidR="00000000" w:rsidRDefault="00000000">
            <w:pPr>
              <w:tabs>
                <w:tab w:val="decimal" w:pos="808"/>
              </w:tabs>
              <w:spacing w:before="20" w:after="20" w:line="240" w:lineRule="auto"/>
              <w:jc w:val="right"/>
              <w:rPr>
                <w:sz w:val="20"/>
              </w:rPr>
            </w:pPr>
            <w:r>
              <w:rPr>
                <w:sz w:val="20"/>
              </w:rPr>
              <w:t>2,8</w:t>
            </w:r>
          </w:p>
        </w:tc>
        <w:tc>
          <w:tcPr>
            <w:tcW w:w="1007" w:type="dxa"/>
            <w:vAlign w:val="bottom"/>
          </w:tcPr>
          <w:p w:rsidR="00000000" w:rsidRDefault="00000000">
            <w:pPr>
              <w:tabs>
                <w:tab w:val="decimal" w:pos="700"/>
              </w:tabs>
              <w:spacing w:before="20" w:after="20" w:line="240" w:lineRule="auto"/>
              <w:jc w:val="right"/>
              <w:rPr>
                <w:sz w:val="20"/>
              </w:rPr>
            </w:pPr>
            <w:r>
              <w:rPr>
                <w:sz w:val="20"/>
              </w:rPr>
              <w:t>0,9</w:t>
            </w:r>
          </w:p>
        </w:tc>
        <w:tc>
          <w:tcPr>
            <w:tcW w:w="966" w:type="dxa"/>
            <w:vAlign w:val="bottom"/>
          </w:tcPr>
          <w:p w:rsidR="00000000" w:rsidRDefault="00000000">
            <w:pPr>
              <w:tabs>
                <w:tab w:val="decimal" w:pos="616"/>
              </w:tabs>
              <w:spacing w:before="20" w:after="20" w:line="240" w:lineRule="auto"/>
              <w:jc w:val="right"/>
              <w:rPr>
                <w:sz w:val="20"/>
              </w:rPr>
            </w:pPr>
            <w:r>
              <w:rPr>
                <w:sz w:val="20"/>
              </w:rPr>
              <w:t>5,4</w:t>
            </w:r>
          </w:p>
        </w:tc>
        <w:tc>
          <w:tcPr>
            <w:tcW w:w="994" w:type="dxa"/>
            <w:vAlign w:val="bottom"/>
          </w:tcPr>
          <w:p w:rsidR="00000000" w:rsidRDefault="00000000">
            <w:pPr>
              <w:tabs>
                <w:tab w:val="decimal" w:pos="770"/>
              </w:tabs>
              <w:spacing w:before="20" w:after="20" w:line="240" w:lineRule="auto"/>
              <w:jc w:val="right"/>
              <w:rPr>
                <w:sz w:val="20"/>
              </w:rPr>
            </w:pPr>
            <w:r>
              <w:rPr>
                <w:sz w:val="20"/>
              </w:rPr>
              <w:t>2,7</w:t>
            </w:r>
          </w:p>
        </w:tc>
        <w:tc>
          <w:tcPr>
            <w:tcW w:w="1022" w:type="dxa"/>
            <w:vAlign w:val="bottom"/>
          </w:tcPr>
          <w:p w:rsidR="00000000" w:rsidRDefault="00000000">
            <w:pPr>
              <w:tabs>
                <w:tab w:val="decimal" w:pos="695"/>
              </w:tabs>
              <w:spacing w:before="20" w:after="20" w:line="240" w:lineRule="auto"/>
              <w:jc w:val="right"/>
              <w:rPr>
                <w:sz w:val="20"/>
              </w:rPr>
            </w:pPr>
            <w:r>
              <w:rPr>
                <w:sz w:val="20"/>
              </w:rPr>
              <w:t>2,2</w:t>
            </w:r>
          </w:p>
        </w:tc>
        <w:tc>
          <w:tcPr>
            <w:tcW w:w="924" w:type="dxa"/>
            <w:vAlign w:val="bottom"/>
          </w:tcPr>
          <w:p w:rsidR="00000000" w:rsidRDefault="00000000">
            <w:pPr>
              <w:tabs>
                <w:tab w:val="decimal" w:pos="658"/>
              </w:tabs>
              <w:spacing w:before="20" w:after="20" w:line="240" w:lineRule="auto"/>
              <w:jc w:val="right"/>
              <w:rPr>
                <w:sz w:val="20"/>
              </w:rPr>
            </w:pPr>
            <w:r>
              <w:rPr>
                <w:sz w:val="20"/>
              </w:rPr>
              <w:t>3,4</w:t>
            </w:r>
          </w:p>
        </w:tc>
        <w:tc>
          <w:tcPr>
            <w:tcW w:w="951" w:type="dxa"/>
            <w:vAlign w:val="bottom"/>
          </w:tcPr>
          <w:p w:rsidR="00000000" w:rsidRDefault="00000000">
            <w:pPr>
              <w:tabs>
                <w:tab w:val="decimal" w:pos="811"/>
              </w:tabs>
              <w:spacing w:before="20" w:after="20" w:line="240" w:lineRule="auto"/>
              <w:jc w:val="right"/>
              <w:rPr>
                <w:sz w:val="20"/>
              </w:rPr>
            </w:pPr>
            <w:r>
              <w:rPr>
                <w:sz w:val="20"/>
              </w:rPr>
              <w:t>3,4</w:t>
            </w:r>
          </w:p>
        </w:tc>
        <w:tc>
          <w:tcPr>
            <w:tcW w:w="1022" w:type="dxa"/>
            <w:vAlign w:val="bottom"/>
          </w:tcPr>
          <w:p w:rsidR="00000000" w:rsidRDefault="00000000">
            <w:pPr>
              <w:tabs>
                <w:tab w:val="decimal" w:pos="714"/>
              </w:tabs>
              <w:spacing w:before="20" w:after="20" w:line="240" w:lineRule="auto"/>
              <w:jc w:val="right"/>
              <w:rPr>
                <w:sz w:val="20"/>
              </w:rPr>
            </w:pPr>
            <w:r>
              <w:rPr>
                <w:sz w:val="20"/>
              </w:rPr>
              <w:t>3,0</w:t>
            </w:r>
          </w:p>
        </w:tc>
        <w:tc>
          <w:tcPr>
            <w:tcW w:w="964" w:type="dxa"/>
            <w:vAlign w:val="bottom"/>
          </w:tcPr>
          <w:p w:rsidR="00000000" w:rsidRDefault="00000000">
            <w:pPr>
              <w:tabs>
                <w:tab w:val="decimal" w:pos="650"/>
              </w:tabs>
              <w:spacing w:before="20" w:after="20" w:line="240" w:lineRule="auto"/>
              <w:jc w:val="right"/>
              <w:rPr>
                <w:sz w:val="20"/>
              </w:rPr>
            </w:pPr>
            <w:r>
              <w:rPr>
                <w:sz w:val="20"/>
              </w:rPr>
              <w:t>3,9</w:t>
            </w:r>
          </w:p>
        </w:tc>
      </w:tr>
      <w:tr w:rsidR="00000000">
        <w:tblPrEx>
          <w:tblCellMar>
            <w:top w:w="0" w:type="dxa"/>
            <w:bottom w:w="0" w:type="dxa"/>
          </w:tblCellMar>
        </w:tblPrEx>
        <w:tc>
          <w:tcPr>
            <w:tcW w:w="1792" w:type="dxa"/>
            <w:vAlign w:val="bottom"/>
          </w:tcPr>
          <w:p w:rsidR="00000000" w:rsidRDefault="00000000">
            <w:pPr>
              <w:spacing w:before="20" w:after="20" w:line="240" w:lineRule="auto"/>
              <w:rPr>
                <w:sz w:val="20"/>
              </w:rPr>
            </w:pPr>
            <w:r>
              <w:rPr>
                <w:sz w:val="20"/>
              </w:rPr>
              <w:t>Выброс на ферме</w:t>
            </w:r>
          </w:p>
        </w:tc>
        <w:tc>
          <w:tcPr>
            <w:tcW w:w="980" w:type="dxa"/>
            <w:vAlign w:val="bottom"/>
          </w:tcPr>
          <w:p w:rsidR="00000000" w:rsidRDefault="00000000">
            <w:pPr>
              <w:tabs>
                <w:tab w:val="decimal" w:pos="774"/>
              </w:tabs>
              <w:spacing w:before="20" w:after="20" w:line="240" w:lineRule="auto"/>
              <w:jc w:val="right"/>
              <w:rPr>
                <w:sz w:val="20"/>
              </w:rPr>
            </w:pPr>
            <w:r>
              <w:rPr>
                <w:sz w:val="20"/>
              </w:rPr>
              <w:t>-</w:t>
            </w:r>
          </w:p>
        </w:tc>
        <w:tc>
          <w:tcPr>
            <w:tcW w:w="994" w:type="dxa"/>
            <w:vAlign w:val="bottom"/>
          </w:tcPr>
          <w:p w:rsidR="00000000" w:rsidRDefault="00000000">
            <w:pPr>
              <w:tabs>
                <w:tab w:val="decimal" w:pos="676"/>
              </w:tabs>
              <w:spacing w:before="20" w:after="20" w:line="240" w:lineRule="auto"/>
              <w:jc w:val="right"/>
              <w:rPr>
                <w:sz w:val="20"/>
              </w:rPr>
            </w:pPr>
            <w:r>
              <w:rPr>
                <w:sz w:val="20"/>
              </w:rPr>
              <w:t>-</w:t>
            </w:r>
          </w:p>
        </w:tc>
        <w:tc>
          <w:tcPr>
            <w:tcW w:w="966" w:type="dxa"/>
            <w:vAlign w:val="bottom"/>
          </w:tcPr>
          <w:p w:rsidR="00000000" w:rsidRDefault="00000000">
            <w:pPr>
              <w:tabs>
                <w:tab w:val="decimal" w:pos="658"/>
              </w:tabs>
              <w:spacing w:before="20" w:after="20" w:line="240" w:lineRule="auto"/>
              <w:jc w:val="right"/>
              <w:rPr>
                <w:sz w:val="20"/>
              </w:rPr>
            </w:pPr>
            <w:r>
              <w:rPr>
                <w:sz w:val="20"/>
              </w:rPr>
              <w:t>-</w:t>
            </w:r>
          </w:p>
        </w:tc>
        <w:tc>
          <w:tcPr>
            <w:tcW w:w="994" w:type="dxa"/>
            <w:vAlign w:val="bottom"/>
          </w:tcPr>
          <w:p w:rsidR="00000000" w:rsidRDefault="00000000">
            <w:pPr>
              <w:tabs>
                <w:tab w:val="decimal" w:pos="808"/>
              </w:tabs>
              <w:spacing w:before="20" w:after="20" w:line="240" w:lineRule="auto"/>
              <w:jc w:val="right"/>
              <w:rPr>
                <w:sz w:val="20"/>
              </w:rPr>
            </w:pPr>
            <w:r>
              <w:rPr>
                <w:sz w:val="20"/>
              </w:rPr>
              <w:t>-</w:t>
            </w:r>
          </w:p>
        </w:tc>
        <w:tc>
          <w:tcPr>
            <w:tcW w:w="1007" w:type="dxa"/>
            <w:vAlign w:val="bottom"/>
          </w:tcPr>
          <w:p w:rsidR="00000000" w:rsidRDefault="00000000">
            <w:pPr>
              <w:tabs>
                <w:tab w:val="decimal" w:pos="700"/>
              </w:tabs>
              <w:spacing w:before="20" w:after="20" w:line="240" w:lineRule="auto"/>
              <w:jc w:val="right"/>
              <w:rPr>
                <w:sz w:val="20"/>
              </w:rPr>
            </w:pPr>
            <w:r>
              <w:rPr>
                <w:sz w:val="20"/>
              </w:rPr>
              <w:t>-</w:t>
            </w:r>
          </w:p>
        </w:tc>
        <w:tc>
          <w:tcPr>
            <w:tcW w:w="966" w:type="dxa"/>
            <w:vAlign w:val="bottom"/>
          </w:tcPr>
          <w:p w:rsidR="00000000" w:rsidRDefault="00000000">
            <w:pPr>
              <w:tabs>
                <w:tab w:val="decimal" w:pos="616"/>
              </w:tabs>
              <w:spacing w:before="20" w:after="20" w:line="240" w:lineRule="auto"/>
              <w:jc w:val="right"/>
              <w:rPr>
                <w:sz w:val="20"/>
              </w:rPr>
            </w:pPr>
            <w:r>
              <w:rPr>
                <w:sz w:val="20"/>
              </w:rPr>
              <w:t>-</w:t>
            </w:r>
          </w:p>
        </w:tc>
        <w:tc>
          <w:tcPr>
            <w:tcW w:w="994" w:type="dxa"/>
            <w:vAlign w:val="bottom"/>
          </w:tcPr>
          <w:p w:rsidR="00000000" w:rsidRDefault="00000000">
            <w:pPr>
              <w:tabs>
                <w:tab w:val="decimal" w:pos="770"/>
              </w:tabs>
              <w:spacing w:before="20" w:after="20" w:line="240" w:lineRule="auto"/>
              <w:jc w:val="right"/>
              <w:rPr>
                <w:sz w:val="20"/>
              </w:rPr>
            </w:pPr>
            <w:r>
              <w:rPr>
                <w:sz w:val="20"/>
              </w:rPr>
              <w:t>1,6</w:t>
            </w:r>
          </w:p>
        </w:tc>
        <w:tc>
          <w:tcPr>
            <w:tcW w:w="1022" w:type="dxa"/>
            <w:vAlign w:val="bottom"/>
          </w:tcPr>
          <w:p w:rsidR="00000000" w:rsidRDefault="00000000">
            <w:pPr>
              <w:tabs>
                <w:tab w:val="decimal" w:pos="695"/>
              </w:tabs>
              <w:spacing w:before="20" w:after="20" w:line="240" w:lineRule="auto"/>
              <w:jc w:val="right"/>
              <w:rPr>
                <w:sz w:val="20"/>
              </w:rPr>
            </w:pPr>
            <w:r>
              <w:rPr>
                <w:sz w:val="20"/>
              </w:rPr>
              <w:t>0,3</w:t>
            </w:r>
          </w:p>
        </w:tc>
        <w:tc>
          <w:tcPr>
            <w:tcW w:w="924" w:type="dxa"/>
            <w:vAlign w:val="bottom"/>
          </w:tcPr>
          <w:p w:rsidR="00000000" w:rsidRDefault="00000000">
            <w:pPr>
              <w:tabs>
                <w:tab w:val="decimal" w:pos="658"/>
              </w:tabs>
              <w:spacing w:before="20" w:after="20" w:line="240" w:lineRule="auto"/>
              <w:jc w:val="right"/>
              <w:rPr>
                <w:sz w:val="20"/>
              </w:rPr>
            </w:pPr>
            <w:r>
              <w:rPr>
                <w:sz w:val="20"/>
              </w:rPr>
              <w:t>3,6</w:t>
            </w:r>
          </w:p>
        </w:tc>
        <w:tc>
          <w:tcPr>
            <w:tcW w:w="951" w:type="dxa"/>
            <w:vAlign w:val="bottom"/>
          </w:tcPr>
          <w:p w:rsidR="00000000" w:rsidRDefault="00000000">
            <w:pPr>
              <w:tabs>
                <w:tab w:val="decimal" w:pos="811"/>
              </w:tabs>
              <w:spacing w:before="20" w:after="20" w:line="240" w:lineRule="auto"/>
              <w:jc w:val="right"/>
              <w:rPr>
                <w:sz w:val="20"/>
              </w:rPr>
            </w:pPr>
            <w:r>
              <w:rPr>
                <w:sz w:val="20"/>
              </w:rPr>
              <w:t>1,0</w:t>
            </w:r>
          </w:p>
        </w:tc>
        <w:tc>
          <w:tcPr>
            <w:tcW w:w="1022" w:type="dxa"/>
            <w:vAlign w:val="bottom"/>
          </w:tcPr>
          <w:p w:rsidR="00000000" w:rsidRDefault="00000000">
            <w:pPr>
              <w:tabs>
                <w:tab w:val="decimal" w:pos="714"/>
              </w:tabs>
              <w:spacing w:before="20" w:after="20" w:line="240" w:lineRule="auto"/>
              <w:jc w:val="right"/>
              <w:rPr>
                <w:sz w:val="20"/>
              </w:rPr>
            </w:pPr>
            <w:r>
              <w:rPr>
                <w:sz w:val="20"/>
              </w:rPr>
              <w:t>0,1</w:t>
            </w:r>
          </w:p>
        </w:tc>
        <w:tc>
          <w:tcPr>
            <w:tcW w:w="964" w:type="dxa"/>
            <w:vAlign w:val="bottom"/>
          </w:tcPr>
          <w:p w:rsidR="00000000" w:rsidRDefault="00000000">
            <w:pPr>
              <w:tabs>
                <w:tab w:val="decimal" w:pos="650"/>
              </w:tabs>
              <w:spacing w:before="20" w:after="20" w:line="240" w:lineRule="auto"/>
              <w:jc w:val="right"/>
              <w:rPr>
                <w:sz w:val="20"/>
              </w:rPr>
            </w:pPr>
            <w:r>
              <w:rPr>
                <w:sz w:val="20"/>
              </w:rPr>
              <w:t>2,3</w:t>
            </w:r>
          </w:p>
        </w:tc>
      </w:tr>
      <w:tr w:rsidR="00000000">
        <w:tblPrEx>
          <w:tblCellMar>
            <w:top w:w="0" w:type="dxa"/>
            <w:bottom w:w="0" w:type="dxa"/>
          </w:tblCellMar>
        </w:tblPrEx>
        <w:tc>
          <w:tcPr>
            <w:tcW w:w="1792" w:type="dxa"/>
            <w:vAlign w:val="bottom"/>
          </w:tcPr>
          <w:p w:rsidR="00000000" w:rsidRDefault="00000000">
            <w:pPr>
              <w:spacing w:before="20" w:after="20" w:line="240" w:lineRule="auto"/>
              <w:rPr>
                <w:sz w:val="20"/>
              </w:rPr>
            </w:pPr>
            <w:r>
              <w:rPr>
                <w:sz w:val="20"/>
              </w:rPr>
              <w:t>Иное</w:t>
            </w:r>
            <w:r>
              <w:rPr>
                <w:b/>
                <w:bCs/>
                <w:sz w:val="20"/>
                <w:vertAlign w:val="superscript"/>
              </w:rPr>
              <w:t>**</w:t>
            </w:r>
          </w:p>
        </w:tc>
        <w:tc>
          <w:tcPr>
            <w:tcW w:w="980" w:type="dxa"/>
            <w:vAlign w:val="bottom"/>
          </w:tcPr>
          <w:p w:rsidR="00000000" w:rsidRDefault="00000000">
            <w:pPr>
              <w:tabs>
                <w:tab w:val="decimal" w:pos="774"/>
              </w:tabs>
              <w:spacing w:before="20" w:after="20" w:line="240" w:lineRule="auto"/>
              <w:jc w:val="right"/>
              <w:rPr>
                <w:sz w:val="20"/>
              </w:rPr>
            </w:pPr>
            <w:r>
              <w:rPr>
                <w:sz w:val="20"/>
              </w:rPr>
              <w:t>2,9</w:t>
            </w:r>
          </w:p>
        </w:tc>
        <w:tc>
          <w:tcPr>
            <w:tcW w:w="994" w:type="dxa"/>
            <w:vAlign w:val="bottom"/>
          </w:tcPr>
          <w:p w:rsidR="00000000" w:rsidRDefault="00000000">
            <w:pPr>
              <w:tabs>
                <w:tab w:val="decimal" w:pos="676"/>
              </w:tabs>
              <w:spacing w:before="20" w:after="20" w:line="240" w:lineRule="auto"/>
              <w:jc w:val="right"/>
              <w:rPr>
                <w:sz w:val="20"/>
              </w:rPr>
            </w:pPr>
            <w:r>
              <w:rPr>
                <w:sz w:val="20"/>
              </w:rPr>
              <w:t>3,9</w:t>
            </w:r>
          </w:p>
        </w:tc>
        <w:tc>
          <w:tcPr>
            <w:tcW w:w="966" w:type="dxa"/>
            <w:vAlign w:val="bottom"/>
          </w:tcPr>
          <w:p w:rsidR="00000000" w:rsidRDefault="00000000">
            <w:pPr>
              <w:tabs>
                <w:tab w:val="decimal" w:pos="658"/>
              </w:tabs>
              <w:spacing w:before="20" w:after="20" w:line="240" w:lineRule="auto"/>
              <w:jc w:val="right"/>
              <w:rPr>
                <w:sz w:val="20"/>
              </w:rPr>
            </w:pPr>
            <w:r>
              <w:rPr>
                <w:sz w:val="20"/>
              </w:rPr>
              <w:t>1,8</w:t>
            </w:r>
          </w:p>
        </w:tc>
        <w:tc>
          <w:tcPr>
            <w:tcW w:w="994" w:type="dxa"/>
            <w:vAlign w:val="bottom"/>
          </w:tcPr>
          <w:p w:rsidR="00000000" w:rsidRDefault="00000000">
            <w:pPr>
              <w:tabs>
                <w:tab w:val="decimal" w:pos="808"/>
              </w:tabs>
              <w:spacing w:before="20" w:after="20" w:line="240" w:lineRule="auto"/>
              <w:jc w:val="right"/>
              <w:rPr>
                <w:sz w:val="20"/>
              </w:rPr>
            </w:pPr>
            <w:r>
              <w:rPr>
                <w:sz w:val="20"/>
              </w:rPr>
              <w:t>1,7</w:t>
            </w:r>
          </w:p>
        </w:tc>
        <w:tc>
          <w:tcPr>
            <w:tcW w:w="1007" w:type="dxa"/>
            <w:vAlign w:val="bottom"/>
          </w:tcPr>
          <w:p w:rsidR="00000000" w:rsidRDefault="00000000">
            <w:pPr>
              <w:tabs>
                <w:tab w:val="decimal" w:pos="700"/>
              </w:tabs>
              <w:spacing w:before="20" w:after="20" w:line="240" w:lineRule="auto"/>
              <w:jc w:val="right"/>
              <w:rPr>
                <w:sz w:val="20"/>
              </w:rPr>
            </w:pPr>
            <w:r>
              <w:rPr>
                <w:sz w:val="20"/>
              </w:rPr>
              <w:t>2,5</w:t>
            </w:r>
          </w:p>
        </w:tc>
        <w:tc>
          <w:tcPr>
            <w:tcW w:w="966" w:type="dxa"/>
            <w:vAlign w:val="bottom"/>
          </w:tcPr>
          <w:p w:rsidR="00000000" w:rsidRDefault="00000000">
            <w:pPr>
              <w:tabs>
                <w:tab w:val="decimal" w:pos="616"/>
              </w:tabs>
              <w:spacing w:before="20" w:after="20" w:line="240" w:lineRule="auto"/>
              <w:jc w:val="right"/>
              <w:rPr>
                <w:sz w:val="20"/>
              </w:rPr>
            </w:pPr>
            <w:r>
              <w:rPr>
                <w:sz w:val="20"/>
              </w:rPr>
              <w:t>0,6</w:t>
            </w:r>
          </w:p>
        </w:tc>
        <w:tc>
          <w:tcPr>
            <w:tcW w:w="994" w:type="dxa"/>
            <w:vAlign w:val="bottom"/>
          </w:tcPr>
          <w:p w:rsidR="00000000" w:rsidRDefault="00000000">
            <w:pPr>
              <w:tabs>
                <w:tab w:val="decimal" w:pos="770"/>
              </w:tabs>
              <w:spacing w:before="20" w:after="20" w:line="240" w:lineRule="auto"/>
              <w:jc w:val="right"/>
              <w:rPr>
                <w:sz w:val="20"/>
              </w:rPr>
            </w:pPr>
            <w:r>
              <w:rPr>
                <w:sz w:val="20"/>
              </w:rPr>
              <w:t>0,8</w:t>
            </w:r>
          </w:p>
        </w:tc>
        <w:tc>
          <w:tcPr>
            <w:tcW w:w="1022" w:type="dxa"/>
            <w:vAlign w:val="bottom"/>
          </w:tcPr>
          <w:p w:rsidR="00000000" w:rsidRDefault="00000000">
            <w:pPr>
              <w:tabs>
                <w:tab w:val="decimal" w:pos="695"/>
              </w:tabs>
              <w:spacing w:before="20" w:after="20" w:line="240" w:lineRule="auto"/>
              <w:jc w:val="right"/>
              <w:rPr>
                <w:sz w:val="20"/>
              </w:rPr>
            </w:pPr>
            <w:r>
              <w:rPr>
                <w:sz w:val="20"/>
              </w:rPr>
              <w:t>1,0</w:t>
            </w:r>
          </w:p>
        </w:tc>
        <w:tc>
          <w:tcPr>
            <w:tcW w:w="924" w:type="dxa"/>
            <w:vAlign w:val="bottom"/>
          </w:tcPr>
          <w:p w:rsidR="00000000" w:rsidRDefault="00000000">
            <w:pPr>
              <w:tabs>
                <w:tab w:val="decimal" w:pos="658"/>
              </w:tabs>
              <w:spacing w:before="20" w:after="20" w:line="240" w:lineRule="auto"/>
              <w:jc w:val="right"/>
              <w:rPr>
                <w:sz w:val="20"/>
              </w:rPr>
            </w:pPr>
            <w:r>
              <w:rPr>
                <w:sz w:val="20"/>
              </w:rPr>
              <w:t>0,5</w:t>
            </w:r>
          </w:p>
        </w:tc>
        <w:tc>
          <w:tcPr>
            <w:tcW w:w="951" w:type="dxa"/>
            <w:vAlign w:val="bottom"/>
          </w:tcPr>
          <w:p w:rsidR="00000000" w:rsidRDefault="00000000">
            <w:pPr>
              <w:tabs>
                <w:tab w:val="decimal" w:pos="811"/>
              </w:tabs>
              <w:spacing w:before="20" w:after="20" w:line="240" w:lineRule="auto"/>
              <w:jc w:val="right"/>
              <w:rPr>
                <w:sz w:val="20"/>
              </w:rPr>
            </w:pPr>
            <w:r>
              <w:rPr>
                <w:sz w:val="20"/>
              </w:rPr>
              <w:t>0,4</w:t>
            </w:r>
          </w:p>
        </w:tc>
        <w:tc>
          <w:tcPr>
            <w:tcW w:w="1022" w:type="dxa"/>
            <w:vAlign w:val="bottom"/>
          </w:tcPr>
          <w:p w:rsidR="00000000" w:rsidRDefault="00000000">
            <w:pPr>
              <w:tabs>
                <w:tab w:val="decimal" w:pos="714"/>
              </w:tabs>
              <w:spacing w:before="20" w:after="20" w:line="240" w:lineRule="auto"/>
              <w:jc w:val="right"/>
              <w:rPr>
                <w:sz w:val="20"/>
              </w:rPr>
            </w:pPr>
            <w:r>
              <w:rPr>
                <w:sz w:val="20"/>
              </w:rPr>
              <w:t>0,5</w:t>
            </w:r>
          </w:p>
        </w:tc>
        <w:tc>
          <w:tcPr>
            <w:tcW w:w="964" w:type="dxa"/>
            <w:vAlign w:val="bottom"/>
          </w:tcPr>
          <w:p w:rsidR="00000000" w:rsidRDefault="00000000">
            <w:pPr>
              <w:tabs>
                <w:tab w:val="decimal" w:pos="650"/>
              </w:tabs>
              <w:spacing w:before="20" w:after="20" w:line="240" w:lineRule="auto"/>
              <w:jc w:val="right"/>
              <w:rPr>
                <w:sz w:val="20"/>
              </w:rPr>
            </w:pPr>
            <w:r>
              <w:rPr>
                <w:sz w:val="20"/>
              </w:rPr>
              <w:t>0,1</w:t>
            </w:r>
          </w:p>
        </w:tc>
      </w:tr>
      <w:tr w:rsidR="00000000">
        <w:tblPrEx>
          <w:tblCellMar>
            <w:top w:w="0" w:type="dxa"/>
            <w:bottom w:w="0" w:type="dxa"/>
          </w:tblCellMar>
        </w:tblPrEx>
        <w:tc>
          <w:tcPr>
            <w:tcW w:w="1792" w:type="dxa"/>
            <w:vAlign w:val="bottom"/>
          </w:tcPr>
          <w:p w:rsidR="00000000" w:rsidRDefault="00000000">
            <w:pPr>
              <w:spacing w:before="20" w:after="20" w:line="240" w:lineRule="auto"/>
              <w:rPr>
                <w:b/>
                <w:bCs/>
                <w:sz w:val="20"/>
              </w:rPr>
            </w:pPr>
            <w:r>
              <w:rPr>
                <w:b/>
                <w:bCs/>
                <w:sz w:val="20"/>
              </w:rPr>
              <w:tab/>
              <w:t>Итого</w:t>
            </w:r>
          </w:p>
        </w:tc>
        <w:tc>
          <w:tcPr>
            <w:tcW w:w="980" w:type="dxa"/>
            <w:vAlign w:val="bottom"/>
          </w:tcPr>
          <w:p w:rsidR="00000000" w:rsidRDefault="00000000">
            <w:pPr>
              <w:tabs>
                <w:tab w:val="decimal" w:pos="774"/>
              </w:tabs>
              <w:spacing w:before="20" w:after="20" w:line="240" w:lineRule="auto"/>
              <w:jc w:val="right"/>
              <w:rPr>
                <w:b/>
                <w:bCs/>
                <w:sz w:val="20"/>
              </w:rPr>
            </w:pPr>
            <w:r>
              <w:rPr>
                <w:b/>
                <w:bCs/>
                <w:sz w:val="20"/>
              </w:rPr>
              <w:t>1</w:t>
            </w:r>
            <w:r>
              <w:rPr>
                <w:b/>
                <w:bCs/>
                <w:sz w:val="20"/>
                <w:lang w:val="en-GB"/>
              </w:rPr>
              <w:t> </w:t>
            </w:r>
            <w:r>
              <w:rPr>
                <w:b/>
                <w:bCs/>
                <w:sz w:val="20"/>
              </w:rPr>
              <w:t>000</w:t>
            </w:r>
            <w:r>
              <w:rPr>
                <w:b/>
                <w:bCs/>
                <w:sz w:val="20"/>
                <w:lang w:val="en-GB"/>
              </w:rPr>
              <w:t> </w:t>
            </w:r>
            <w:r>
              <w:rPr>
                <w:b/>
                <w:bCs/>
                <w:sz w:val="20"/>
              </w:rPr>
              <w:t>404</w:t>
            </w:r>
          </w:p>
        </w:tc>
        <w:tc>
          <w:tcPr>
            <w:tcW w:w="994" w:type="dxa"/>
            <w:vAlign w:val="bottom"/>
          </w:tcPr>
          <w:p w:rsidR="00000000" w:rsidRDefault="00000000">
            <w:pPr>
              <w:tabs>
                <w:tab w:val="decimal" w:pos="676"/>
              </w:tabs>
              <w:spacing w:before="20" w:after="20" w:line="240" w:lineRule="auto"/>
              <w:jc w:val="right"/>
              <w:rPr>
                <w:b/>
                <w:bCs/>
                <w:sz w:val="20"/>
              </w:rPr>
            </w:pPr>
            <w:r>
              <w:rPr>
                <w:b/>
                <w:bCs/>
                <w:sz w:val="20"/>
              </w:rPr>
              <w:t>541</w:t>
            </w:r>
            <w:r>
              <w:rPr>
                <w:b/>
                <w:bCs/>
                <w:sz w:val="20"/>
                <w:lang w:val="en-GB"/>
              </w:rPr>
              <w:t> </w:t>
            </w:r>
            <w:r>
              <w:rPr>
                <w:b/>
                <w:bCs/>
                <w:sz w:val="20"/>
              </w:rPr>
              <w:t>050</w:t>
            </w:r>
          </w:p>
        </w:tc>
        <w:tc>
          <w:tcPr>
            <w:tcW w:w="966" w:type="dxa"/>
            <w:vAlign w:val="bottom"/>
          </w:tcPr>
          <w:p w:rsidR="00000000" w:rsidRDefault="00000000">
            <w:pPr>
              <w:tabs>
                <w:tab w:val="decimal" w:pos="658"/>
              </w:tabs>
              <w:spacing w:before="20" w:after="20" w:line="240" w:lineRule="auto"/>
              <w:jc w:val="right"/>
              <w:rPr>
                <w:b/>
                <w:bCs/>
                <w:sz w:val="20"/>
              </w:rPr>
            </w:pPr>
            <w:r>
              <w:rPr>
                <w:b/>
                <w:bCs/>
                <w:sz w:val="20"/>
              </w:rPr>
              <w:t>459</w:t>
            </w:r>
            <w:r>
              <w:rPr>
                <w:b/>
                <w:bCs/>
                <w:sz w:val="20"/>
                <w:lang w:val="en-GB"/>
              </w:rPr>
              <w:t> </w:t>
            </w:r>
            <w:r>
              <w:rPr>
                <w:b/>
                <w:bCs/>
                <w:sz w:val="20"/>
              </w:rPr>
              <w:t>354</w:t>
            </w:r>
          </w:p>
        </w:tc>
        <w:tc>
          <w:tcPr>
            <w:tcW w:w="994" w:type="dxa"/>
            <w:vAlign w:val="bottom"/>
          </w:tcPr>
          <w:p w:rsidR="00000000" w:rsidRDefault="00000000">
            <w:pPr>
              <w:tabs>
                <w:tab w:val="decimal" w:pos="808"/>
              </w:tabs>
              <w:spacing w:before="20" w:after="20" w:line="240" w:lineRule="auto"/>
              <w:jc w:val="right"/>
              <w:rPr>
                <w:b/>
                <w:bCs/>
                <w:sz w:val="20"/>
              </w:rPr>
            </w:pPr>
            <w:r>
              <w:rPr>
                <w:b/>
                <w:bCs/>
                <w:sz w:val="20"/>
              </w:rPr>
              <w:t>1</w:t>
            </w:r>
            <w:r>
              <w:rPr>
                <w:b/>
                <w:bCs/>
                <w:sz w:val="20"/>
                <w:lang w:val="en-GB"/>
              </w:rPr>
              <w:t> </w:t>
            </w:r>
            <w:r>
              <w:rPr>
                <w:b/>
                <w:bCs/>
                <w:sz w:val="20"/>
              </w:rPr>
              <w:t>107</w:t>
            </w:r>
            <w:r>
              <w:rPr>
                <w:b/>
                <w:bCs/>
                <w:sz w:val="20"/>
                <w:lang w:val="en-GB"/>
              </w:rPr>
              <w:t> </w:t>
            </w:r>
            <w:r>
              <w:rPr>
                <w:b/>
                <w:bCs/>
                <w:sz w:val="20"/>
              </w:rPr>
              <w:t>486</w:t>
            </w:r>
          </w:p>
        </w:tc>
        <w:tc>
          <w:tcPr>
            <w:tcW w:w="1007" w:type="dxa"/>
            <w:vAlign w:val="bottom"/>
          </w:tcPr>
          <w:p w:rsidR="00000000" w:rsidRDefault="00000000">
            <w:pPr>
              <w:tabs>
                <w:tab w:val="decimal" w:pos="700"/>
              </w:tabs>
              <w:spacing w:before="20" w:after="20" w:line="240" w:lineRule="auto"/>
              <w:jc w:val="right"/>
              <w:rPr>
                <w:b/>
                <w:bCs/>
                <w:sz w:val="20"/>
              </w:rPr>
            </w:pPr>
            <w:r>
              <w:rPr>
                <w:b/>
                <w:bCs/>
                <w:sz w:val="20"/>
              </w:rPr>
              <w:t>630</w:t>
            </w:r>
            <w:r>
              <w:rPr>
                <w:b/>
                <w:bCs/>
                <w:sz w:val="20"/>
                <w:lang w:val="en-GB"/>
              </w:rPr>
              <w:t> </w:t>
            </w:r>
            <w:r>
              <w:rPr>
                <w:b/>
                <w:bCs/>
                <w:sz w:val="20"/>
              </w:rPr>
              <w:t>864</w:t>
            </w:r>
          </w:p>
        </w:tc>
        <w:tc>
          <w:tcPr>
            <w:tcW w:w="966" w:type="dxa"/>
            <w:vAlign w:val="bottom"/>
          </w:tcPr>
          <w:p w:rsidR="00000000" w:rsidRDefault="00000000">
            <w:pPr>
              <w:tabs>
                <w:tab w:val="decimal" w:pos="616"/>
              </w:tabs>
              <w:spacing w:before="20" w:after="20" w:line="240" w:lineRule="auto"/>
              <w:jc w:val="right"/>
              <w:rPr>
                <w:b/>
                <w:bCs/>
                <w:sz w:val="20"/>
              </w:rPr>
            </w:pPr>
            <w:r>
              <w:rPr>
                <w:b/>
                <w:bCs/>
                <w:sz w:val="20"/>
              </w:rPr>
              <w:t>476</w:t>
            </w:r>
            <w:r>
              <w:rPr>
                <w:b/>
                <w:bCs/>
                <w:sz w:val="20"/>
                <w:lang w:val="en-GB"/>
              </w:rPr>
              <w:t> </w:t>
            </w:r>
            <w:r>
              <w:rPr>
                <w:b/>
                <w:bCs/>
                <w:sz w:val="20"/>
              </w:rPr>
              <w:t>622</w:t>
            </w:r>
          </w:p>
        </w:tc>
        <w:tc>
          <w:tcPr>
            <w:tcW w:w="994" w:type="dxa"/>
            <w:vAlign w:val="bottom"/>
          </w:tcPr>
          <w:p w:rsidR="00000000" w:rsidRDefault="00000000">
            <w:pPr>
              <w:tabs>
                <w:tab w:val="decimal" w:pos="770"/>
              </w:tabs>
              <w:spacing w:before="20" w:after="20" w:line="240" w:lineRule="auto"/>
              <w:jc w:val="right"/>
              <w:rPr>
                <w:b/>
                <w:bCs/>
                <w:sz w:val="20"/>
              </w:rPr>
            </w:pPr>
            <w:r>
              <w:rPr>
                <w:b/>
                <w:bCs/>
                <w:sz w:val="20"/>
              </w:rPr>
              <w:t>1</w:t>
            </w:r>
            <w:r>
              <w:rPr>
                <w:b/>
                <w:bCs/>
                <w:sz w:val="20"/>
                <w:lang w:val="en-GB"/>
              </w:rPr>
              <w:t> </w:t>
            </w:r>
            <w:r>
              <w:rPr>
                <w:b/>
                <w:bCs/>
                <w:sz w:val="20"/>
              </w:rPr>
              <w:t>288</w:t>
            </w:r>
            <w:r>
              <w:rPr>
                <w:b/>
                <w:bCs/>
                <w:sz w:val="20"/>
                <w:lang w:val="en-GB"/>
              </w:rPr>
              <w:t> </w:t>
            </w:r>
            <w:r>
              <w:rPr>
                <w:b/>
                <w:bCs/>
                <w:sz w:val="20"/>
              </w:rPr>
              <w:t>717</w:t>
            </w:r>
          </w:p>
        </w:tc>
        <w:tc>
          <w:tcPr>
            <w:tcW w:w="1022" w:type="dxa"/>
            <w:vAlign w:val="bottom"/>
          </w:tcPr>
          <w:p w:rsidR="00000000" w:rsidRDefault="00000000">
            <w:pPr>
              <w:tabs>
                <w:tab w:val="decimal" w:pos="695"/>
              </w:tabs>
              <w:spacing w:before="20" w:after="20" w:line="240" w:lineRule="auto"/>
              <w:jc w:val="right"/>
              <w:rPr>
                <w:b/>
                <w:bCs/>
                <w:sz w:val="20"/>
              </w:rPr>
            </w:pPr>
            <w:r>
              <w:rPr>
                <w:b/>
                <w:bCs/>
                <w:sz w:val="20"/>
              </w:rPr>
              <w:t>765</w:t>
            </w:r>
            <w:r>
              <w:rPr>
                <w:b/>
                <w:bCs/>
                <w:sz w:val="20"/>
                <w:lang w:val="en-GB"/>
              </w:rPr>
              <w:t> </w:t>
            </w:r>
            <w:r>
              <w:rPr>
                <w:b/>
                <w:bCs/>
                <w:sz w:val="20"/>
              </w:rPr>
              <w:t>308</w:t>
            </w:r>
          </w:p>
        </w:tc>
        <w:tc>
          <w:tcPr>
            <w:tcW w:w="924" w:type="dxa"/>
            <w:vAlign w:val="bottom"/>
          </w:tcPr>
          <w:p w:rsidR="00000000" w:rsidRDefault="00000000">
            <w:pPr>
              <w:tabs>
                <w:tab w:val="decimal" w:pos="658"/>
              </w:tabs>
              <w:spacing w:before="20" w:after="20" w:line="240" w:lineRule="auto"/>
              <w:jc w:val="right"/>
              <w:rPr>
                <w:b/>
                <w:bCs/>
                <w:sz w:val="20"/>
              </w:rPr>
            </w:pPr>
            <w:r>
              <w:rPr>
                <w:b/>
                <w:bCs/>
                <w:sz w:val="20"/>
              </w:rPr>
              <w:t>523</w:t>
            </w:r>
            <w:r>
              <w:rPr>
                <w:b/>
                <w:bCs/>
                <w:sz w:val="20"/>
                <w:lang w:val="en-GB"/>
              </w:rPr>
              <w:t> </w:t>
            </w:r>
            <w:r>
              <w:rPr>
                <w:b/>
                <w:bCs/>
                <w:sz w:val="20"/>
              </w:rPr>
              <w:t>409</w:t>
            </w:r>
          </w:p>
        </w:tc>
        <w:tc>
          <w:tcPr>
            <w:tcW w:w="951" w:type="dxa"/>
            <w:vAlign w:val="bottom"/>
          </w:tcPr>
          <w:p w:rsidR="00000000" w:rsidRDefault="00000000">
            <w:pPr>
              <w:tabs>
                <w:tab w:val="decimal" w:pos="811"/>
              </w:tabs>
              <w:spacing w:before="20" w:after="20" w:line="240" w:lineRule="auto"/>
              <w:jc w:val="right"/>
              <w:rPr>
                <w:b/>
                <w:bCs/>
                <w:sz w:val="20"/>
              </w:rPr>
            </w:pPr>
            <w:r>
              <w:rPr>
                <w:b/>
                <w:bCs/>
                <w:sz w:val="20"/>
              </w:rPr>
              <w:t>1</w:t>
            </w:r>
            <w:r>
              <w:rPr>
                <w:b/>
                <w:bCs/>
                <w:sz w:val="20"/>
                <w:lang w:val="en-GB"/>
              </w:rPr>
              <w:t> </w:t>
            </w:r>
            <w:r>
              <w:rPr>
                <w:b/>
                <w:bCs/>
                <w:sz w:val="20"/>
              </w:rPr>
              <w:t>343</w:t>
            </w:r>
            <w:r>
              <w:rPr>
                <w:b/>
                <w:bCs/>
                <w:sz w:val="20"/>
                <w:lang w:val="en-GB"/>
              </w:rPr>
              <w:t> </w:t>
            </w:r>
            <w:r>
              <w:rPr>
                <w:b/>
                <w:bCs/>
                <w:sz w:val="20"/>
              </w:rPr>
              <w:t>713</w:t>
            </w:r>
          </w:p>
        </w:tc>
        <w:tc>
          <w:tcPr>
            <w:tcW w:w="1022" w:type="dxa"/>
            <w:vAlign w:val="bottom"/>
          </w:tcPr>
          <w:p w:rsidR="00000000" w:rsidRDefault="00000000">
            <w:pPr>
              <w:tabs>
                <w:tab w:val="decimal" w:pos="714"/>
              </w:tabs>
              <w:spacing w:before="20" w:after="20" w:line="240" w:lineRule="auto"/>
              <w:jc w:val="right"/>
              <w:rPr>
                <w:b/>
                <w:bCs/>
                <w:sz w:val="20"/>
              </w:rPr>
            </w:pPr>
            <w:r>
              <w:rPr>
                <w:b/>
                <w:bCs/>
                <w:sz w:val="20"/>
              </w:rPr>
              <w:t>813</w:t>
            </w:r>
            <w:r>
              <w:rPr>
                <w:b/>
                <w:bCs/>
                <w:sz w:val="20"/>
                <w:lang w:val="en-GB"/>
              </w:rPr>
              <w:t> </w:t>
            </w:r>
            <w:r>
              <w:rPr>
                <w:b/>
                <w:bCs/>
                <w:sz w:val="20"/>
              </w:rPr>
              <w:t>606</w:t>
            </w:r>
          </w:p>
        </w:tc>
        <w:tc>
          <w:tcPr>
            <w:tcW w:w="964" w:type="dxa"/>
            <w:vAlign w:val="bottom"/>
          </w:tcPr>
          <w:p w:rsidR="00000000" w:rsidRDefault="00000000">
            <w:pPr>
              <w:tabs>
                <w:tab w:val="decimal" w:pos="650"/>
              </w:tabs>
              <w:spacing w:before="20" w:after="20" w:line="240" w:lineRule="auto"/>
              <w:jc w:val="right"/>
              <w:rPr>
                <w:b/>
                <w:bCs/>
                <w:sz w:val="20"/>
              </w:rPr>
            </w:pPr>
            <w:r>
              <w:rPr>
                <w:b/>
                <w:bCs/>
                <w:sz w:val="20"/>
              </w:rPr>
              <w:t>530</w:t>
            </w:r>
            <w:r>
              <w:rPr>
                <w:b/>
                <w:bCs/>
                <w:sz w:val="20"/>
                <w:lang w:val="en-GB"/>
              </w:rPr>
              <w:t> </w:t>
            </w:r>
            <w:r>
              <w:rPr>
                <w:b/>
                <w:bCs/>
                <w:sz w:val="20"/>
              </w:rPr>
              <w:t>107</w:t>
            </w:r>
          </w:p>
        </w:tc>
      </w:tr>
    </w:tbl>
    <w:p w:rsidR="00000000" w:rsidRDefault="00000000">
      <w:pPr>
        <w:autoSpaceDE w:val="0"/>
        <w:autoSpaceDN w:val="0"/>
        <w:adjustRightInd w:val="0"/>
        <w:rPr>
          <w:i/>
          <w:iCs/>
          <w:sz w:val="20"/>
          <w:szCs w:val="16"/>
        </w:rPr>
      </w:pPr>
    </w:p>
    <w:p w:rsidR="00000000" w:rsidRDefault="00000000">
      <w:pPr>
        <w:autoSpaceDE w:val="0"/>
        <w:autoSpaceDN w:val="0"/>
        <w:adjustRightInd w:val="0"/>
        <w:rPr>
          <w:bCs/>
          <w:sz w:val="20"/>
          <w:lang w:val="es-MX"/>
        </w:rPr>
      </w:pPr>
      <w:r>
        <w:rPr>
          <w:i/>
          <w:iCs/>
          <w:sz w:val="20"/>
          <w:szCs w:val="16"/>
        </w:rPr>
        <w:t>Источник</w:t>
      </w:r>
      <w:r>
        <w:rPr>
          <w:sz w:val="20"/>
          <w:szCs w:val="16"/>
        </w:rPr>
        <w:t>:  ТСП/ГУСоП.  Постоянное обследование домохозяйств 1995, 1999, 2004, 2005 годов.</w:t>
      </w:r>
    </w:p>
    <w:p w:rsidR="00000000" w:rsidRDefault="00000000">
      <w:pPr>
        <w:autoSpaceDE w:val="0"/>
        <w:autoSpaceDN w:val="0"/>
        <w:adjustRightInd w:val="0"/>
        <w:rPr>
          <w:bCs/>
          <w:sz w:val="20"/>
          <w:lang w:val="es-MX"/>
        </w:rPr>
      </w:pPr>
    </w:p>
    <w:p w:rsidR="00000000" w:rsidRDefault="00000000">
      <w:pPr>
        <w:autoSpaceDE w:val="0"/>
        <w:autoSpaceDN w:val="0"/>
        <w:adjustRightInd w:val="0"/>
        <w:rPr>
          <w:b/>
          <w:sz w:val="20"/>
          <w:lang w:val="es-MX"/>
        </w:rPr>
      </w:pPr>
      <w:r>
        <w:rPr>
          <w:b/>
          <w:sz w:val="20"/>
          <w:vertAlign w:val="superscript"/>
          <w:lang w:val="es-MX"/>
        </w:rPr>
        <w:t>*</w:t>
      </w:r>
      <w:r>
        <w:rPr>
          <w:b/>
          <w:sz w:val="20"/>
          <w:lang w:val="es-MX"/>
        </w:rPr>
        <w:t xml:space="preserve"> </w:t>
      </w:r>
      <w:r>
        <w:rPr>
          <w:b/>
          <w:sz w:val="20"/>
          <w:lang w:val="es-MX"/>
        </w:rPr>
        <w:tab/>
      </w:r>
      <w:r>
        <w:rPr>
          <w:sz w:val="20"/>
          <w:szCs w:val="16"/>
        </w:rPr>
        <w:t>Данные</w:t>
      </w:r>
      <w:r>
        <w:rPr>
          <w:sz w:val="20"/>
          <w:szCs w:val="16"/>
          <w:lang w:val="es-MX"/>
        </w:rPr>
        <w:t xml:space="preserve"> </w:t>
      </w:r>
      <w:r>
        <w:rPr>
          <w:sz w:val="20"/>
          <w:szCs w:val="16"/>
        </w:rPr>
        <w:t>Постоянной</w:t>
      </w:r>
      <w:r>
        <w:rPr>
          <w:sz w:val="20"/>
          <w:szCs w:val="16"/>
          <w:lang w:val="es-MX"/>
        </w:rPr>
        <w:t xml:space="preserve"> </w:t>
      </w:r>
      <w:r>
        <w:rPr>
          <w:sz w:val="20"/>
          <w:szCs w:val="16"/>
        </w:rPr>
        <w:t>переписи</w:t>
      </w:r>
      <w:r>
        <w:rPr>
          <w:sz w:val="20"/>
          <w:szCs w:val="16"/>
          <w:lang w:val="es-MX"/>
        </w:rPr>
        <w:t xml:space="preserve"> </w:t>
      </w:r>
      <w:r>
        <w:rPr>
          <w:sz w:val="20"/>
          <w:szCs w:val="16"/>
        </w:rPr>
        <w:t>домохозяйств</w:t>
      </w:r>
      <w:r>
        <w:rPr>
          <w:sz w:val="20"/>
          <w:szCs w:val="16"/>
          <w:lang w:val="es-MX"/>
        </w:rPr>
        <w:t xml:space="preserve"> </w:t>
      </w:r>
      <w:r>
        <w:rPr>
          <w:sz w:val="20"/>
          <w:szCs w:val="16"/>
        </w:rPr>
        <w:t>за</w:t>
      </w:r>
      <w:r>
        <w:rPr>
          <w:sz w:val="20"/>
          <w:szCs w:val="16"/>
          <w:lang w:val="es-MX"/>
        </w:rPr>
        <w:t xml:space="preserve"> 1995-1999</w:t>
      </w:r>
      <w:r>
        <w:rPr>
          <w:sz w:val="20"/>
          <w:szCs w:val="16"/>
        </w:rPr>
        <w:t xml:space="preserve"> годы приводятся с учетом результатов переписи населения </w:t>
      </w:r>
      <w:r>
        <w:rPr>
          <w:sz w:val="20"/>
          <w:szCs w:val="16"/>
          <w:lang w:val="es-MX"/>
        </w:rPr>
        <w:t>2002</w:t>
      </w:r>
      <w:r>
        <w:rPr>
          <w:sz w:val="20"/>
          <w:szCs w:val="16"/>
        </w:rPr>
        <w:t xml:space="preserve"> года</w:t>
      </w:r>
      <w:r>
        <w:rPr>
          <w:sz w:val="20"/>
          <w:szCs w:val="16"/>
          <w:lang w:val="es-MX"/>
        </w:rPr>
        <w:t>.</w:t>
      </w:r>
    </w:p>
    <w:p w:rsidR="00000000" w:rsidRDefault="00000000">
      <w:pPr>
        <w:autoSpaceDE w:val="0"/>
        <w:autoSpaceDN w:val="0"/>
        <w:adjustRightInd w:val="0"/>
        <w:rPr>
          <w:b/>
          <w:sz w:val="20"/>
          <w:lang w:val="es-MX"/>
        </w:rPr>
      </w:pPr>
    </w:p>
    <w:p w:rsidR="00000000" w:rsidRDefault="00000000">
      <w:pPr>
        <w:autoSpaceDE w:val="0"/>
        <w:autoSpaceDN w:val="0"/>
        <w:adjustRightInd w:val="0"/>
        <w:rPr>
          <w:sz w:val="20"/>
          <w:szCs w:val="16"/>
        </w:rPr>
      </w:pPr>
      <w:r>
        <w:rPr>
          <w:b/>
          <w:bCs/>
          <w:sz w:val="20"/>
          <w:szCs w:val="16"/>
          <w:vertAlign w:val="superscript"/>
        </w:rPr>
        <w:t>**</w:t>
      </w:r>
      <w:r>
        <w:rPr>
          <w:sz w:val="20"/>
          <w:szCs w:val="16"/>
        </w:rPr>
        <w:t xml:space="preserve"> </w:t>
      </w:r>
      <w:r>
        <w:rPr>
          <w:sz w:val="20"/>
          <w:szCs w:val="16"/>
        </w:rPr>
        <w:tab/>
        <w:t>В 1995-1999 годах:  сюда включается выброс в ямы, на свалку, на фермах;  в 2004 году:  сюда включается выброс в ямы и на свалку.</w:t>
      </w:r>
    </w:p>
    <w:p w:rsidR="00000000" w:rsidRDefault="00000000">
      <w:pPr>
        <w:autoSpaceDE w:val="0"/>
        <w:autoSpaceDN w:val="0"/>
        <w:adjustRightInd w:val="0"/>
        <w:rPr>
          <w:sz w:val="20"/>
          <w:szCs w:val="16"/>
        </w:rPr>
      </w:pPr>
    </w:p>
    <w:p w:rsidR="00000000" w:rsidRDefault="00000000">
      <w:pPr>
        <w:rPr>
          <w:b/>
          <w:bCs/>
        </w:rPr>
        <w:sectPr w:rsidR="00000000">
          <w:headerReference w:type="even" r:id="rId69"/>
          <w:headerReference w:type="first" r:id="rId70"/>
          <w:pgSz w:w="16838" w:h="11906" w:orient="landscape" w:code="9"/>
          <w:pgMar w:top="1701" w:right="851" w:bottom="851" w:left="1701" w:header="851" w:footer="851" w:gutter="0"/>
          <w:cols w:space="720"/>
          <w:formProt w:val="0"/>
          <w:noEndnote/>
        </w:sectPr>
      </w:pPr>
    </w:p>
    <w:p w:rsidR="00000000" w:rsidRDefault="00000000">
      <w:pPr>
        <w:rPr>
          <w:b/>
          <w:bCs/>
        </w:rPr>
      </w:pPr>
      <w:r>
        <w:rPr>
          <w:b/>
          <w:bCs/>
          <w:lang w:val="en-US"/>
        </w:rPr>
        <w:tab/>
      </w:r>
      <w:r>
        <w:rPr>
          <w:b/>
          <w:bCs/>
        </w:rPr>
        <w:t>2.1</w:t>
      </w:r>
      <w:r>
        <w:rPr>
          <w:b/>
          <w:bCs/>
        </w:rPr>
        <w:tab/>
        <w:t>Население, имеющее доступ к питьевой воде</w:t>
      </w:r>
    </w:p>
    <w:p w:rsidR="00000000" w:rsidRDefault="00000000">
      <w:pPr>
        <w:rPr>
          <w:b/>
          <w:bCs/>
        </w:rPr>
      </w:pPr>
    </w:p>
    <w:p w:rsidR="00000000" w:rsidRDefault="00000000">
      <w:r>
        <w:t>406.</w:t>
      </w:r>
      <w:r>
        <w:tab/>
        <w:t>С расширением доступа к этой услуге качество воды улучшилось незначительно.  Следует иметь в виду, что загрязненная вода представляет собой серьезную угрозу для здоровья населения.  В стране поставлены цели обеспечения охвата по каждому населенному пункту, включенному в Программу обеспечения питьевой водой и санитарии и Генеральный план действий на втором этапе в отношении Асунсьона и восьми городов на территории страны.  На первую часть второго этапа (к 2010 году) в Генеральном плане предусмотрено обеспечить, чтобы доступ к питьевой воде имели 83% населения.  Для городов внутри страны этот показатель составляет 87,5%.  На вторую часть этого этапа (к 2016 году) города внутри страны должны выйти на уровень в 95%.</w:t>
      </w:r>
    </w:p>
    <w:p w:rsidR="00000000" w:rsidRDefault="00000000"/>
    <w:p w:rsidR="00000000" w:rsidRDefault="00000000">
      <w:r>
        <w:t>407.</w:t>
      </w:r>
      <w:r>
        <w:tab/>
        <w:t>Что касается сельского сектора, то СЕНАСА наметила охватить этой услугой 60% сельского населения.  Снабжение питьевой водой является для СЕНАСА более приоритетной задачей, чем оборудование септиков с гидравлическим удалением нечистот.  Тем не менее любой проект водоснабжения всегда включает в себя санитарно-гигиенический компонент, предусматривающий оборудование индивидуальных отхожих мест (туалетов).  Кроме того, СЕНАСА предусматривает обеспечить питьевой водой 62% жителей страны, а это означает, что с 2002 года этой услугой было охвачено приблизительно 3 400 000 человек.</w:t>
      </w:r>
    </w:p>
    <w:p w:rsidR="00000000" w:rsidRDefault="00000000"/>
    <w:p w:rsidR="00000000" w:rsidRDefault="00000000">
      <w:r>
        <w:t>408.</w:t>
      </w:r>
      <w:r>
        <w:tab/>
        <w:t>Существует два вида водоснабжения.  Один предназначен для обслуживания централизованно проживающего населения, для чего требуется центральное водоснабжение.  Из общего числа жителей, охваченных СЕНАСА, к этой системе водоснабжения подсоединено 85% пользователей или приблизительно 2 890 00 человек.  Разрозненно проживающее население обслуживается с помощью индивидуальных систем, которыми охвачены 15% жителей, или 510 000 человек.  Однако на общенациональном уровне 41% централизованно проживающих жителей, или приблизительно 1 145 000 человек, не имеют доступа к этой услуге;  16%, или 540 000 жителей, обслуживаются с помощью частных водовозов, а 43%, или 1 205 000 жителей, - обслуживаются СЕНАСА</w:t>
      </w:r>
      <w:r>
        <w:rPr>
          <w:rStyle w:val="FootnoteReference"/>
        </w:rPr>
        <w:footnoteReference w:id="30"/>
      </w:r>
      <w:r>
        <w:t>.</w:t>
      </w:r>
    </w:p>
    <w:p w:rsidR="00000000" w:rsidRDefault="00000000"/>
    <w:p w:rsidR="00000000" w:rsidRDefault="00000000">
      <w:pPr>
        <w:rPr>
          <w:lang w:val="en-US"/>
        </w:rPr>
      </w:pPr>
    </w:p>
    <w:p w:rsidR="00000000" w:rsidRDefault="00000000">
      <w:pPr>
        <w:pageBreakBefore/>
        <w:jc w:val="center"/>
      </w:pPr>
      <w:r>
        <w:rPr>
          <w:b/>
          <w:bCs/>
        </w:rPr>
        <w:t>Положение со снабжением питьевой водой в Парагвае</w:t>
      </w:r>
      <w:r>
        <w:rPr>
          <w:rStyle w:val="FootnoteReference"/>
        </w:rPr>
        <w:footnoteReference w:id="31"/>
      </w:r>
    </w:p>
    <w:p w:rsidR="00000000" w:rsidRDefault="00000000">
      <w:r>
        <w:rPr>
          <w:noProof/>
          <w:sz w:val="20"/>
          <w:lang w:eastAsia="ru-RU"/>
        </w:rPr>
        <w:pict>
          <v:group id="_x0000_s2077" style="position:absolute;margin-left:112.2pt;margin-top:12.8pt;width:267.8pt;height:190.5pt;z-index:27" coordorigin="3906,2502" coordsize="5356,3810">
            <v:shape id="_x0000_s2078" style="position:absolute;left:6149;top:3399;width:1957;height:1140" coordsize="1957,1140" path="m,l,,36,r,l36,,71,r,l71,r35,l106,r,l142,r,l142,r35,l177,r,l212,r,l212,r36,l248,r,l283,11r,l283,11r36,l319,11r,l354,11r,l354,11r35,11l389,22r,l425,22r,l425,22r35,l460,22r,l495,33r,l495,33r24,l519,33r,l554,44r,l554,44r36,l590,44r,l625,55r,l625,55r36,l661,55r,l696,66r,l696,66r23,11l719,77r,l755,77r,l755,77r35,11l790,88r,l826,99r,l826,99r23,l849,99r,l885,110r,l885,110r35,11l920,121r,l943,133r,l943,133r36,11l979,144r,l1014,155r,l1014,155r24,l1038,155r,l1073,166r,l1073,166r24,11l1097,177r,l1132,188r,l1132,188r24,11l1156,199r,l1191,210r,l1191,210r24,11l1215,221r,l1238,243r,l1238,243r36,11l1274,254r,l1297,265r,l1297,265r24,11l1321,276r,l1344,287r,l1344,287r36,12l1380,299r,l1403,321r,l1403,321r24,11l1427,332r,l1450,343r,l1450,343r24,22l1474,365r,l1498,376r,l1498,376r23,11l1521,387r,l1545,409r,l1545,409r23,11l1568,420r,l1592,431r,l1592,431r12,23l1604,454r,l1627,465r,l1627,465r24,22l1651,487r,l1674,498r,l1674,498r12,22l1686,520r,l1710,531r,l1710,531r12,22l1722,553r,l1745,564r,l1745,564r12,22l1757,586r,l1781,609r,l1781,609r11,11l1792,620r,l1816,642r,l1816,642r12,11l1828,653r,l1840,675r,l1840,675r11,22l1851,697r,l1863,708r,l1863,708r24,22l1887,730r,l1898,752r,l1898,752r,12l1898,764r,l1910,786r,l1910,786r12,22l1922,808r,l1934,830r,l1934,830r12,11l1946,841r,l1957,863r,l1957,863r,22l1957,885,,1140,,xe" fillcolor="#99f" strokeweight=".6pt">
              <v:path arrowok="t"/>
            </v:shape>
            <v:shape id="_x0000_s2079" style="position:absolute;left:7022;top:3321;width:365;height:321" coordsize="31,29" path="m,l,10,31,29e" filled="f" strokeweight="0">
              <v:path arrowok="t"/>
            </v:shape>
            <v:shape id="_x0000_s2080" style="position:absolute;left:4145;top:4539;width:884;height:1339" coordsize="884,1339" path="m884,952r,l849,941r,l849,941,825,930r,l825,930,802,919r,l802,919,766,897r,l766,897,743,886r,l743,886,707,874r,l707,874,684,863r,l684,863,660,852r,l660,852,637,841r,l637,841,613,819r,l613,819,578,808r,l578,808,554,797r,l554,797,531,786r,l531,786,507,764r,l507,764,483,753r,l483,753,460,731r,l460,731,448,719r,l448,719,424,708r,l424,708,401,686r,l401,686,377,675r,l377,675,354,653r,l354,653,342,642r,l342,642,318,620r,l318,620,295,609r,l295,609,283,587r,l283,587,259,576r,l259,576,248,553r,l248,553,224,542r,l224,542,212,520r,l212,520,200,498r,l200,498,177,487r,l177,487,165,465r,l165,465,153,443r,l153,443,141,432r,l141,432,130,409r,l130,409,118,387r,l118,387,106,376r,l106,376,94,354r,l94,354,83,332r,l83,332,71,321r,l71,321,59,299r,l59,299r,-22l59,277r,l47,255r,l47,255,35,243r,l35,243r,-22l35,221r,l24,199r,l24,199r,-22l24,177r,l12,155r,l12,155r,-11l12,144r,l,122r,l,122,,100r,l,100,,77r,l,77,,55r,l,55,,44r,l,44,,22r,l,22,,,,,,387r,l,409r,l,409r,23l,432r,l,454r,l,454r,22l,476r,l,487r,l,487r,22l,509r,l12,531r,l12,531r,22l12,553r,l24,564r,l24,564r,23l24,587r,l35,609r,l35,609r,22l35,631r,l47,642r,l47,642r12,22l59,664r,l59,686r,l59,686r12,22l71,708r,l83,731r,l83,731r11,11l94,742r,l106,764r,l106,764r12,22l118,786r,l130,797r,l130,797r11,22l141,819r,l153,841r,l153,841r12,11l165,852r,l177,874r,l177,874r23,23l200,897r,l212,908r,l212,908r12,22l224,930r,l248,941r,l248,941r11,22l259,963r,l283,985r,l283,985r12,11l295,996r,l318,1018r,l318,1018r24,11l342,1029r,l354,1052r,l354,1052r23,11l377,1063r,l401,1074r,l401,1074r23,22l424,1096r,l448,1107r,l448,1107r12,22l460,1129r,l483,1140r,l483,1140r24,11l507,1151r,l531,1173r,l531,1173r23,11l554,1184r,l578,1195r,l578,1195r35,23l613,1218r,l637,1229r,l637,1229r23,11l660,1240r,l684,1251r,l684,1251r23,11l707,1262r,l743,1284r,l743,1284r23,11l766,1295r,l802,1306r,l802,1306r23,11l825,1317r,l849,1328r,l849,1328r35,11l884,1339r,-387xe" fillcolor="#668080" strokeweight=".6pt">
              <v:path arrowok="t"/>
            </v:shape>
            <v:shape id="_x0000_s2081" style="position:absolute;left:4145;top:3399;width:2004;height:2092" coordsize="2004,2092" path="m884,2092r,l849,2081r,l849,2081r-24,-11l825,2070r,l802,2059r,l802,2059r-36,-22l766,2037r,l743,2026r,l743,2026r-36,-12l707,2014r,l684,2003r,l684,2003r-24,-11l660,1992r,l637,1981r,l637,1981r-24,-22l613,1959r,l578,1948r,l578,1948r-24,-11l554,1937r,l531,1926r,l531,1926r-24,-22l507,1904r,l483,1893r,l483,1893r-23,-22l460,1871r,l448,1859r,l448,1859r-24,-11l424,1848r,l401,1826r,l401,1826r-24,-11l377,1815r,l354,1793r,l354,1793r-12,-11l342,1782r,l318,1760r,l318,1760r-23,-11l295,1749r,l283,1727r,l283,1727r-24,-11l259,1716r,l248,1693r,l248,1693r-24,-11l224,1682r,l212,1660r,l212,1660r-12,-22l200,1638r,l177,1627r,l177,1627r-12,-22l165,1605r,l153,1583r,l153,1583r-12,-11l141,1572r,l130,1549r,l130,1549r-12,-22l118,1527r,l106,1516r,l106,1516,94,1494r,l94,1494,83,1472r,l83,1472,71,1461r,l71,1461,59,1439r,l59,1439r,-22l59,1417r,l47,1395r,l47,1395,35,1383r,l35,1383r,-22l35,1361r,l24,1339r,l24,1339r,-22l24,1317r,l12,1295r,l12,1295r,-11l12,1284r,l,1262r,l,1262r,-22l,1240r,l,1217r,l,1217r,-22l,1195r,l,1184r,l,1184r,-22l,1162r,l,1140r,l,1140r,-22l,1118r,l,1096r,l,1096r,-11l,1085r,l,1062r,l,1062r,-22l,1040r,l,1018r,l,1018,12,996r,l12,996r,-11l12,985r,l24,963r,l24,963r,-22l24,941r,l35,918r,l35,918r,-11l35,907r,l47,885r,l47,885,59,863r,l59,863r,-22l59,841r,l71,830r,l71,830,83,808r,l83,808,94,786r,l94,786r12,-22l106,764r,l118,752r,l118,752r12,-22l130,730r,l141,708r,l141,708r12,-11l153,697r,l165,675r,l165,675r12,-22l177,653r,l200,642r,l200,642r12,-22l212,620r,l224,609r,l224,609r24,-23l248,586r,l259,564r,l259,564r24,-11l283,553r,l295,531r,l295,531r23,-11l318,520r,l342,498r,l342,498r12,-11l354,487r,l377,465r,l377,465r24,-11l401,454r,l424,431r,l424,431r24,-11l448,420r,l460,409r,l460,409r23,-22l483,387r,l507,376r,l507,376r24,-11l531,365r,l554,343r,l554,343r24,-11l578,332r,l613,321r,l613,321r24,-22l637,299r,l660,287r,l660,287r24,-11l684,276r,l707,265r,l707,265r36,-11l743,254r,l766,243r,l766,243r36,-22l802,221r,l825,210r,l825,210r24,-11l849,199r,l884,188r,l884,188r24,-11l908,177r,l943,166r,l943,166r24,-11l967,155r,l1002,155r,l1002,155r24,-11l1026,144r,l1061,133r,l1061,133r35,-12l1096,121r,l1120,110r,l1120,110r35,-11l1155,99r,l1191,99r,l1191,99r23,-11l1214,88r,l1250,77r,l1250,77r35,l1285,77r,l1320,66r,l1320,66r36,-11l1356,55r,l1379,55r,l1379,55r36,-11l1415,44r,l1450,44r,l1450,44r36,-11l1486,33r,l1521,33r,l1521,33r35,-11l1556,22r,l1592,22r,l1592,22r35,l1627,22r,l1662,11r,l1662,11r24,l1686,11r,l1721,11r,l1721,11,1757,r,l1757,r35,l1792,r,l1827,r,l1827,r36,l1863,r,l1898,r,l1898,r36,l1934,r,l1969,r,l1969,r35,l2004,r,1140l884,2092xe" fillcolor="#cff" strokeweight=".6pt">
              <v:path arrowok="t"/>
            </v:shape>
            <v:shape id="_x0000_s2082" style="position:absolute;left:4228;top:3487;width:212;height:720" coordsize="18,65" path="m18,r,10l,65e" filled="f" strokeweight="0">
              <v:path arrowok="t"/>
            </v:shape>
            <v:shape id="_x0000_s2083" style="position:absolute;left:6998;top:4539;width:1167;height:1428" coordsize="1167,1428" path="m1167,r,l1167,22r,l1167,22r,22l1167,44r,l1167,55r,l1167,55r-11,22l1156,77r,l1156,100r,l1156,100r,22l1156,122r,l1156,144r,l1156,144r-12,11l1144,155r,l1144,177r,l1144,177r-12,22l1132,199r,l1132,221r,l1132,221r-12,22l1120,243r,l1108,255r,l1108,255r,22l1108,277r,l1097,299r,l1097,299r-12,22l1085,321r,l1073,332r,l1073,332r-12,22l1061,354r,l1049,376r,l1049,376r,11l1049,387r,l1038,409r,l1038,409r-24,23l1014,432r,l1002,443r,l1002,443r-11,22l991,465r,l979,487r,l979,487r-12,11l967,498r,l943,520r,l943,520r-11,22l932,542r,l908,553r,l908,553r-12,23l896,576r,l873,587r,l873,587r-12,22l861,609r,l837,620r,l837,620r-12,22l825,642r,l802,653r,l802,653r-24,22l778,675r,l755,686r,l755,686r-12,22l743,708r,l719,719r,l719,719r-23,12l696,731r,l672,753r,l672,753r-23,11l649,764r,l625,786r,l625,786r-24,11l601,797r,l578,808r,l578,808r-24,11l554,819r,l531,841r,l531,841r-36,11l495,852r,l472,863r,l472,863r-24,11l448,874r,l425,886r,l425,886r-36,11l389,897r,l366,919r,l366,919r-24,11l342,930r,l307,941r,l307,941r-24,11l283,952r,l248,963r,l248,963r-24,11l224,974r,l189,985r,l189,985r-24,11l165,996r,l130,996r,l130,996r-36,11l94,1007r,l71,1018r,l71,1018r-35,11l36,1029r,l,1040r,l,1428r,l36,1417r,l36,1417r35,-11l71,1406r,l94,1406r,l94,1406r36,-11l130,1395r,l165,1384r,l165,1384r24,-11l189,1373r,l224,1362r,l224,1362r24,-12l248,1350r,l283,1339r,l283,1339r24,-11l307,1328r,l342,1317r,l342,1317r24,-11l366,1306r,l389,1295r,l389,1295r36,-11l425,1284r,l448,1262r,l448,1262r24,-11l472,1251r,l495,1240r,l495,1240r36,-11l531,1229r,l554,1218r,l554,1218r24,-23l578,1195r,l601,1184r,l601,1184r24,-11l625,1173r,l649,1151r,l649,1151r23,-11l672,1140r,l696,1129r,l696,1129r23,-22l719,1107r,l743,1096r,l743,1096r12,-22l755,1074r,l778,1063r,l778,1063r24,-11l802,1052r,l825,1029r,l825,1029r12,-11l837,1018r,l861,996r,l861,996r12,-11l873,985r,l896,963r,l896,963r12,-22l908,941r,l932,930r,l932,930r11,-22l943,908r,l967,897r,l967,897r12,-23l979,874r,l991,852r,l991,852r11,-11l1002,841r,l1014,819r,l1014,819r24,-22l1038,797r,l1049,786r,l1049,786r,-22l1049,764r,l1061,742r,l1061,742r12,-11l1073,731r,l1085,708r,l1085,708r12,-22l1097,686r,l1108,664r,l1108,664r,-22l1108,642r,l1120,631r,l1120,631r12,-22l1132,609r,l1132,587r,l1132,587r12,-23l1144,564r,l1144,553r,l1144,553r12,-22l1156,531r,l1156,509r,l1156,509r,-22l1156,487r,l1156,476r,l1156,476r11,-22l1167,454r,l1167,432r,l1167,432r,-23l1167,409r,l1167,387r,l1167,xe" fillcolor="#4d1a33" strokeweight=".6pt">
              <v:path arrowok="t"/>
            </v:shape>
            <v:shape id="_x0000_s2084" style="position:absolute;left:6149;top:4284;width:2016;height:1295" coordsize="2016,1295" path="m1957,r,l1969,22r,l1969,22r12,11l1981,33r,l1981,56r,l1981,56r12,22l1993,78r,l1993,100r,l1993,100r12,11l2005,111r,l2005,133r,l2005,133r,22l2005,155r,l2005,177r,l2005,177r11,23l2016,200r,l2016,211r,l2016,211r,22l2016,233r,l2016,255r,l2016,255r,22l2016,277r,l2016,299r,l2016,299r,11l2016,310r,l2005,332r,l2005,332r,23l2005,355r,l2005,377r,l2005,377r,22l2005,399r,l1993,410r,l1993,410r,22l1993,432r,l1981,454r,l1981,454r,22l1981,476r,l1969,498r,l1969,498r-12,12l1957,510r,l1957,532r,l1957,532r-11,22l1946,554r,l1934,576r,l1934,576r-12,11l1922,587r,l1910,609r,l1910,609r-12,22l1898,631r,l1898,642r,l1898,642r-11,22l1887,664r,l1863,687r,l1863,687r-12,11l1851,698r,l1840,720r,l1840,720r-12,22l1828,742r,l1816,753r,l1816,753r-24,22l1792,775r,l1781,797r,l1781,797r-24,11l1757,808r,l1745,831r,l1745,831r-23,11l1722,842r,l1710,864r,l1710,864r-24,11l1686,875r,l1674,897r,l1674,897r-23,11l1651,908r,l1627,930r,l1627,930r-23,11l1604,941r,l1592,963r,l1592,963r-24,11l1568,974r,l1545,986r,l1545,986r-24,22l1521,1008r,l1498,1019r,l1498,1019r-24,22l1474,1041r,l1450,1052r,l1450,1052r-23,11l1427,1063r,l1403,1074r,l1403,1074r-23,22l1380,1096r,l1344,1107r,l1344,1107r-23,11l1321,1118r,l1297,1129r,l1297,1129r-23,12l1274,1141r,l1238,1152r,l1238,1152r-23,22l1215,1174r,l1191,1185r,l1191,1185r-35,11l1156,1196r,l1132,1207r,l1132,1207r-35,11l1097,1218r,l1073,1229r,l1073,1229r-35,11l1038,1240r,l1014,1251r,l1014,1251r-35,l979,1251r,l943,1262r,l943,1262r-23,11l920,1273r,l885,1284r,l885,1284r-36,11l849,1295,,255,1957,xe" fillcolor="#936" strokeweight=".6pt">
              <v:path arrowok="t"/>
            </v:shape>
            <v:shape id="_x0000_s2085" style="position:absolute;left:7965;top:5436;width:365;height:44" coordsize="31,4" path="m31,4l21,4,,e" filled="f" strokeweight="0">
              <v:path arrowok="t"/>
            </v:shape>
            <v:shape id="_x0000_s2086" style="position:absolute;left:5029;top:5491;width:1969;height:587" coordsize="1969,587" path="m1969,88r,l1946,100r,l1946,100r-36,l1910,100r,l1875,111r,l1875,111r-36,11l1839,122r,l1816,122r,l1816,122r-35,11l1781,133r,l1745,133r,l1745,133r-35,11l1710,144r,l1674,144r,l1674,144r-35,11l1639,155r,l1615,155r,l1615,155r-35,11l1580,166r,l1545,166r,l1545,166r-36,11l1509,177r,l1474,177r,l1474,177r-35,l1439,177r,l1403,177r,l1403,177r-35,11l1368,188r,l1332,188r,l1332,188r-35,l1297,188r,l1262,188r,l1262,188r-36,l1226,188r,l1191,188r,l1191,188r-35,l1156,188r,l1120,188r,l1120,188r-35,l1085,188r,l1050,188r,l1050,188r-36,l1014,188r,l979,188r,l979,188r-36,l943,188r,l908,188r,l908,188r-35,l873,188r,l837,177r,l837,177r-35,l802,177r,l778,177r,l778,177r-35,l743,177r,l708,166r,l708,166r-36,l672,166r,l637,155r,l637,155r-35,l602,155r,l566,144r,l566,144r-35,l531,144r,l495,133r,l495,133r-23,l472,133r,l436,122r,l436,122r-35,l401,122r,l366,111r,l366,111,330,100r,l330,100r-23,l307,100r,l271,88r,l271,88,236,77r,l236,77,212,66r,l212,66,177,55r,l177,55,142,44r,l142,44r-24,l118,44r,l83,33r,l83,33,59,22r,l59,22,24,11r,l24,11,,,,,,387r,l24,398r,l24,398r35,12l59,410r,l83,421r,l83,421r35,11l118,432r,l142,443r,l142,443r35,11l177,454r,l212,454r,l212,454r24,11l236,465r,l271,476r,l271,476r36,11l307,487r,l330,487r,l330,487r36,11l366,498r,l401,509r,l401,509r35,l436,509r,l472,520r,l472,520r23,11l495,531r,l531,531r,l531,531r35,11l566,542r,l602,542r,l602,542r35,11l637,553r,l672,553r,l672,553r36,l708,553r,l743,565r,l743,565r35,l778,565r,l802,565r,l802,565r35,11l837,576r,l873,576r,l873,576r35,l908,576r,l943,576r,l943,576r36,l979,576r,l1014,576r,l1014,576r36,11l1050,587r,l1085,587r,l1085,587r35,l1120,587r,l1156,587r,l1156,587r35,l1191,587r,l1226,576r,l1226,576r36,l1262,576r,l1297,576r,l1297,576r35,l1332,576r,l1368,576r,l1368,576r35,l1403,576r,l1439,565r,l1439,565r35,l1474,565r,l1509,565r,l1509,565r36,-12l1545,553r,l1580,553r,l1580,553r35,l1615,553r,l1639,542r,l1639,542r35,l1674,542r,l1710,531r,l1710,531r35,l1745,531r,l1781,520r,l1781,520r35,-11l1816,509r,l1839,509r,l1839,509r36,-11l1875,498r,l1910,487r,l1910,487r36,l1946,487r,l1969,476r,l1969,88xe" fillcolor="#808066" strokeweight=".6pt">
              <v:path arrowok="t"/>
            </v:shape>
            <v:shape id="_x0000_s2087" style="position:absolute;left:5029;top:4539;width:1969;height:1140" coordsize="1969,1140" path="m1969,1040r,l1946,1052r,l1946,1052r-36,l1910,1052r,l1875,1063r,l1875,1063r-36,11l1839,1074r,l1816,1074r,l1816,1074r-35,11l1781,1085r,l1745,1085r,l1745,1085r-35,11l1710,1096r,l1674,1096r,l1674,1096r-35,11l1639,1107r,l1615,1107r,l1615,1107r-35,11l1580,1118r,l1545,1118r,l1545,1118r-36,11l1509,1129r,l1474,1129r,l1474,1129r-35,l1439,1129r,l1403,1129r,l1403,1129r-35,11l1368,1140r,l1332,1140r,l1332,1140r-35,l1297,1140r,l1262,1140r,l1262,1140r-36,l1226,1140r,l1191,1140r,l1191,1140r-35,l1156,1140r,l1120,1140r,l1120,1140r-35,l1085,1140r,l1050,1140r,l1050,1140r-36,l1014,1140r,l979,1140r,l979,1140r-36,l943,1140r,l908,1140r,l908,1140r-35,l873,1140r,l837,1129r,l837,1129r-35,l802,1129r,l778,1129r,l778,1129r-35,l743,1129r,l708,1118r,l708,1118r-36,l672,1118r,l637,1107r,l637,1107r-35,l602,1107r,l566,1096r,l566,1096r-35,l531,1096r,l495,1085r,l495,1085r-23,l472,1085r,l436,1074r,l436,1074r-35,l401,1074r,l366,1063r,l366,1063r-36,-11l330,1052r,l307,1052r,l307,1052r-36,-12l271,1040r,l236,1029r,l236,1029r-24,-11l212,1018r,l177,1007r,l177,1007,142,996r,l142,996r-24,l118,996r,l83,985r,l83,985,59,974r,l59,974,24,963r,l24,963,,952r,l1120,r849,1040xe" fillcolor="#ffc" strokeweight=".6pt">
              <v:path arrowok="t"/>
            </v:shape>
            <v:shape id="_x0000_s2088" style="position:absolute;left:4970;top:6067;width:1038;height:1" coordsize="88,0" path="m,l11,,88,e" filled="f" strokeweight="0">
              <v:path arrowok="t"/>
            </v:shape>
            <v:rect id="_x0000_s2089" style="position:absolute;left:3945;top:5989;width:970;height:323;mso-wrap-style:none" filled="f" stroked="f">
              <v:textbox inset="0,0,0,0">
                <w:txbxContent>
                  <w:p w:rsidR="00000000" w:rsidRDefault="00000000">
                    <w:r>
                      <w:rPr>
                        <w:b/>
                        <w:bCs/>
                        <w:color w:val="000000"/>
                        <w:sz w:val="12"/>
                        <w:szCs w:val="12"/>
                      </w:rPr>
                      <w:t>Водовозы</w:t>
                    </w:r>
                    <w:r>
                      <w:rPr>
                        <w:b/>
                        <w:bCs/>
                        <w:color w:val="000000"/>
                        <w:sz w:val="12"/>
                        <w:szCs w:val="12"/>
                        <w:lang w:val="en-US"/>
                      </w:rPr>
                      <w:t xml:space="preserve"> 16%    </w:t>
                    </w:r>
                  </w:p>
                </w:txbxContent>
              </v:textbox>
            </v:rect>
            <v:rect id="_x0000_s2090" style="position:absolute;left:8354;top:5325;width:696;height:320;mso-wrap-style:none" filled="f" stroked="f">
              <v:textbox inset="0,0,0,0">
                <w:txbxContent>
                  <w:p w:rsidR="00000000" w:rsidRDefault="00000000">
                    <w:pPr>
                      <w:jc w:val="center"/>
                    </w:pPr>
                    <w:r>
                      <w:rPr>
                        <w:b/>
                        <w:bCs/>
                        <w:color w:val="000000"/>
                        <w:sz w:val="12"/>
                        <w:szCs w:val="12"/>
                      </w:rPr>
                      <w:t>СЕНАСА</w:t>
                    </w:r>
                    <w:r>
                      <w:rPr>
                        <w:b/>
                        <w:bCs/>
                        <w:color w:val="000000"/>
                        <w:sz w:val="12"/>
                        <w:szCs w:val="12"/>
                      </w:rPr>
                      <w:br/>
                      <w:t>22%</w:t>
                    </w:r>
                  </w:p>
                </w:txbxContent>
              </v:textbox>
            </v:rect>
            <v:rect id="_x0000_s2091" style="position:absolute;left:6798;top:3000;width:590;height:264;mso-wrap-style:none" filled="f" stroked="f">
              <v:textbox inset="0,0,0,0">
                <w:txbxContent>
                  <w:p w:rsidR="00000000" w:rsidRDefault="00000000">
                    <w:pPr>
                      <w:spacing w:line="240" w:lineRule="auto"/>
                      <w:jc w:val="center"/>
                      <w:rPr>
                        <w:sz w:val="14"/>
                      </w:rPr>
                    </w:pPr>
                    <w:r>
                      <w:rPr>
                        <w:b/>
                        <w:bCs/>
                        <w:color w:val="000000"/>
                        <w:sz w:val="12"/>
                        <w:szCs w:val="12"/>
                      </w:rPr>
                      <w:t>ЕССАП</w:t>
                    </w:r>
                    <w:r>
                      <w:rPr>
                        <w:b/>
                        <w:bCs/>
                        <w:color w:val="000000"/>
                        <w:sz w:val="12"/>
                        <w:szCs w:val="12"/>
                      </w:rPr>
                      <w:br/>
                      <w:t>21%</w:t>
                    </w:r>
                  </w:p>
                </w:txbxContent>
              </v:textbox>
            </v:rect>
            <v:rect id="_x0000_s2092" style="position:absolute;left:3906;top:3166;width:1135;height:259;mso-wrap-style:none" filled="f" stroked="f">
              <v:textbox inset="0,0,0,0">
                <w:txbxContent>
                  <w:p w:rsidR="00000000" w:rsidRDefault="00000000">
                    <w:pPr>
                      <w:spacing w:line="240" w:lineRule="auto"/>
                      <w:jc w:val="center"/>
                      <w:rPr>
                        <w:sz w:val="12"/>
                      </w:rPr>
                    </w:pPr>
                    <w:r>
                      <w:rPr>
                        <w:b/>
                        <w:bCs/>
                        <w:color w:val="000000"/>
                        <w:sz w:val="12"/>
                        <w:szCs w:val="12"/>
                      </w:rPr>
                      <w:t>Без доступа к услуге</w:t>
                    </w:r>
                    <w:r>
                      <w:rPr>
                        <w:b/>
                        <w:bCs/>
                        <w:color w:val="000000"/>
                        <w:sz w:val="12"/>
                        <w:szCs w:val="12"/>
                      </w:rPr>
                      <w:br/>
                    </w:r>
                    <w:r>
                      <w:rPr>
                        <w:b/>
                        <w:bCs/>
                        <w:sz w:val="12"/>
                      </w:rPr>
                      <w:t>41%</w:t>
                    </w:r>
                  </w:p>
                </w:txbxContent>
              </v:textbox>
            </v:rect>
            <v:rect id="_x0000_s2093" style="position:absolute;left:7493;top:2502;width:1769;height:963" strokeweight="0"/>
            <v:rect id="_x0000_s2094" style="position:absolute;left:7882;top:2579;width:107;height:100" fillcolor="#99f" strokeweight=".6pt"/>
            <v:rect id="_x0000_s2095" style="position:absolute;left:8012;top:2546;width:590;height:210;mso-wrap-style:none" filled="f" stroked="f">
              <v:textbox inset="0,0,0,0">
                <w:txbxContent>
                  <w:p w:rsidR="00000000" w:rsidRDefault="00000000">
                    <w:r>
                      <w:rPr>
                        <w:b/>
                        <w:bCs/>
                        <w:color w:val="000000"/>
                        <w:sz w:val="14"/>
                        <w:szCs w:val="14"/>
                      </w:rPr>
                      <w:t>ЕССАП</w:t>
                    </w:r>
                  </w:p>
                </w:txbxContent>
              </v:textbox>
            </v:rect>
            <v:rect id="_x0000_s2096" style="position:absolute;left:7882;top:2823;width:107;height:89" fillcolor="#936" strokeweight=".6pt"/>
            <v:rect id="_x0000_s2097" style="position:absolute;left:8012;top:2779;width:696;height:210;mso-wrap-style:none" filled="f" stroked="f">
              <v:textbox inset="0,0,0,0">
                <w:txbxContent>
                  <w:p w:rsidR="00000000" w:rsidRDefault="00000000">
                    <w:r>
                      <w:rPr>
                        <w:b/>
                        <w:bCs/>
                        <w:color w:val="000000"/>
                        <w:sz w:val="14"/>
                        <w:szCs w:val="14"/>
                      </w:rPr>
                      <w:t>СЕНАСА</w:t>
                    </w:r>
                  </w:p>
                </w:txbxContent>
              </v:textbox>
            </v:rect>
            <v:rect id="_x0000_s2098" style="position:absolute;left:7882;top:3055;width:107;height:100" fillcolor="#ffc" strokeweight=".6pt"/>
            <v:rect id="_x0000_s2099" style="position:absolute;left:8012;top:3022;width:872;height:210;mso-wrap-style:none" filled="f" stroked="f">
              <v:textbox inset="0,0,0,0">
                <w:txbxContent>
                  <w:p w:rsidR="00000000" w:rsidRDefault="00000000">
                    <w:r>
                      <w:rPr>
                        <w:b/>
                        <w:bCs/>
                        <w:color w:val="000000"/>
                        <w:sz w:val="14"/>
                        <w:szCs w:val="14"/>
                      </w:rPr>
                      <w:t>Водовозы</w:t>
                    </w:r>
                  </w:p>
                </w:txbxContent>
              </v:textbox>
            </v:rect>
            <v:rect id="_x0000_s2100" style="position:absolute;left:7882;top:3288;width:107;height:100" fillcolor="#cff" strokeweight=".6pt"/>
            <v:rect id="_x0000_s2101" style="position:absolute;left:8012;top:3255;width:1237;height:196;mso-wrap-style:none" filled="f" stroked="f">
              <v:textbox inset="0,0,0,0">
                <w:txbxContent>
                  <w:p w:rsidR="00000000" w:rsidRDefault="00000000">
                    <w:pPr>
                      <w:rPr>
                        <w:sz w:val="14"/>
                      </w:rPr>
                    </w:pPr>
                    <w:r>
                      <w:rPr>
                        <w:b/>
                        <w:bCs/>
                        <w:color w:val="000000"/>
                        <w:sz w:val="13"/>
                        <w:szCs w:val="14"/>
                      </w:rPr>
                      <w:t>Без доступа к услуге</w:t>
                    </w:r>
                  </w:p>
                </w:txbxContent>
              </v:textbox>
            </v:rect>
          </v:group>
        </w:pict>
      </w:r>
    </w:p>
    <w:p w:rsidR="00000000" w:rsidRDefault="00000000">
      <w:pPr>
        <w:spacing w:line="720" w:lineRule="auto"/>
      </w:pPr>
    </w:p>
    <w:p w:rsidR="00000000" w:rsidRDefault="00000000">
      <w:pPr>
        <w:spacing w:line="720" w:lineRule="auto"/>
      </w:pPr>
    </w:p>
    <w:p w:rsidR="00000000" w:rsidRDefault="00000000">
      <w:pPr>
        <w:spacing w:line="720" w:lineRule="auto"/>
      </w:pPr>
    </w:p>
    <w:p w:rsidR="00000000" w:rsidRDefault="00000000">
      <w:pPr>
        <w:spacing w:line="720" w:lineRule="auto"/>
      </w:pPr>
    </w:p>
    <w:p w:rsidR="00000000" w:rsidRDefault="00000000">
      <w:pPr>
        <w:spacing w:line="720" w:lineRule="auto"/>
      </w:pPr>
    </w:p>
    <w:p w:rsidR="00000000" w:rsidRDefault="00000000"/>
    <w:p w:rsidR="00000000" w:rsidRDefault="00000000">
      <w:pPr>
        <w:rPr>
          <w:b/>
          <w:bCs/>
        </w:rPr>
      </w:pPr>
      <w:r>
        <w:rPr>
          <w:b/>
          <w:bCs/>
          <w:lang w:val="en-US"/>
        </w:rPr>
        <w:tab/>
      </w:r>
      <w:r>
        <w:rPr>
          <w:b/>
          <w:bCs/>
        </w:rPr>
        <w:t>2.2</w:t>
      </w:r>
      <w:r>
        <w:rPr>
          <w:b/>
          <w:bCs/>
        </w:rPr>
        <w:tab/>
        <w:t>Население, имеющие доступ к системе переработки отходов</w:t>
      </w:r>
    </w:p>
    <w:p w:rsidR="00000000" w:rsidRDefault="00000000">
      <w:pPr>
        <w:jc w:val="center"/>
        <w:rPr>
          <w:b/>
          <w:bCs/>
        </w:rPr>
      </w:pPr>
    </w:p>
    <w:p w:rsidR="00000000" w:rsidRDefault="00000000">
      <w:r>
        <w:t>409.</w:t>
      </w:r>
      <w:r>
        <w:tab/>
        <w:t>Ежедневно в стране производится 0,870 кг твердых бытовых отходов на жителя и 1,038 кг твердых отходов на жителя в городах.  Из городских отходов сбору подлежит лишь 53% отходов.  Ситуация с окончательным удалением отходов, когда 80% отправляется на свалки под открытым небом и лишь 20% подвергается переработке, вызывает тревогу, хотя наметилась тенденция к улучшению положения.</w:t>
      </w:r>
    </w:p>
    <w:p w:rsidR="00000000" w:rsidRDefault="00000000"/>
    <w:p w:rsidR="00000000" w:rsidRDefault="00000000">
      <w:r>
        <w:t>410.</w:t>
      </w:r>
      <w:r>
        <w:tab/>
        <w:t>Проблема переработки и окончательного удаления отходов по</w:t>
      </w:r>
      <w:r>
        <w:noBreakHyphen/>
        <w:t>прежнему срочно требует к себе самого пристального внимания со стороны всех органов власти (на уровне страны, департаментов и муниципалитетов), хотя в этом деле наметился прогресс.  В этой связи анализ по секторам ситуации с удалением твердых отходов в Парагвае и конкретные инициативы, призванные найти необходимый вариант решения, например, инициатива, выдвинутая органами власти департамента Сентраль (в 2000</w:t>
      </w:r>
      <w:r>
        <w:noBreakHyphen/>
        <w:t>2002 годах) и разработка Генерального плана по удалению коммунальных твердых отходов для восточного района Парагвая (2003 год), представляет собой некоторые из мероприятий, осуществленных в последнее время в целях согласования усилий в этом направлении.  Кроме того, в различных муниципалитетах принимаются меры по улучшению положения с управлением отходами и их окончательным удалением.  Предпринимаются также усилия по совершенствованию системы управления этими службами и разрабатываются проекты по созданию свалок с грунтовой засыпкой и начали осуществляться проекты по созданию контролируемых свалок.</w:t>
      </w:r>
    </w:p>
    <w:p w:rsidR="00000000" w:rsidRDefault="00000000"/>
    <w:p w:rsidR="00000000" w:rsidRDefault="00000000">
      <w:pPr>
        <w:keepNext/>
        <w:keepLines/>
        <w:spacing w:after="240"/>
        <w:jc w:val="center"/>
        <w:rPr>
          <w:b/>
          <w:bCs/>
        </w:rPr>
      </w:pPr>
      <w:r>
        <w:rPr>
          <w:b/>
          <w:bCs/>
        </w:rPr>
        <w:t>Объем производства и сбора твердых отходов с разбивкой по департаментам</w:t>
      </w:r>
    </w:p>
    <w:bookmarkStart w:id="88" w:name="_MON_1240126153"/>
    <w:bookmarkStart w:id="89" w:name="_MON_1240127204"/>
    <w:bookmarkStart w:id="90" w:name="_MON_1240128344"/>
    <w:bookmarkStart w:id="91" w:name="_MON_1240128763"/>
    <w:bookmarkStart w:id="92" w:name="_MON_1240129134"/>
    <w:bookmarkStart w:id="93" w:name="_MON_1246110907"/>
    <w:bookmarkStart w:id="94" w:name="_MON_1246112144"/>
    <w:bookmarkEnd w:id="88"/>
    <w:bookmarkEnd w:id="89"/>
    <w:bookmarkEnd w:id="90"/>
    <w:bookmarkEnd w:id="91"/>
    <w:bookmarkEnd w:id="92"/>
    <w:bookmarkEnd w:id="93"/>
    <w:bookmarkEnd w:id="94"/>
    <w:p w:rsidR="00000000" w:rsidRDefault="00000000">
      <w:pPr>
        <w:keepNext/>
        <w:keepLines/>
        <w:spacing w:after="240"/>
        <w:jc w:val="center"/>
        <w:rPr>
          <w:rFonts w:ascii="Arial" w:hAnsi="Arial" w:cs="Arial"/>
          <w:b/>
          <w:bCs/>
          <w:sz w:val="20"/>
        </w:rPr>
      </w:pPr>
      <w:r>
        <w:object w:dxaOrig="8739" w:dyaOrig="5668">
          <v:shape id="_x0000_i1041" type="#_x0000_t75" style="width:437.25pt;height:283.5pt" o:ole="" fillcolor="#0c9">
            <v:imagedata r:id="rId71" o:title=""/>
          </v:shape>
          <o:OLEObject Type="Embed" ProgID="Word.Document.8" ShapeID="_x0000_i1041" DrawAspect="Content" ObjectID="_1394904864" r:id="rId72">
            <o:FieldCodes>\s</o:FieldCodes>
          </o:OLEObject>
        </w:object>
      </w:r>
    </w:p>
    <w:p w:rsidR="00000000" w:rsidRDefault="00000000">
      <w:r>
        <w:t>411.</w:t>
      </w:r>
      <w:r>
        <w:tab/>
        <w:t>На национальном уровне государственные больницы производят приблизительно 10 тонн отходов в день.  Приблизительно 41,5% этих отходов являются опасными отходами, а 58,5% - обычными отходами.  В городе Асунсьон, где находится большинство государственных госпиталей, ежедневно производится приблизительно 2,7 тонн отходов</w:t>
      </w:r>
      <w:r>
        <w:rPr>
          <w:rStyle w:val="FootnoteReference"/>
        </w:rPr>
        <w:footnoteReference w:id="32"/>
      </w:r>
      <w:r>
        <w:t>.</w:t>
      </w:r>
    </w:p>
    <w:p w:rsidR="00000000" w:rsidRDefault="00000000"/>
    <w:p w:rsidR="00000000" w:rsidRDefault="00000000">
      <w:r>
        <w:t>412.</w:t>
      </w:r>
      <w:r>
        <w:tab/>
        <w:t>Характерные особенности, а также социально-экономические условия Парагвая находят свое отражение в объеме и составе производимых отходов.  Следует отметить, что в связи с сокращением численности населения и преобладанием видов деятельности, характерных для сельских районов, увеличивается доля органических отходов.  Средний показатель производства твердых отходов в городах составляет порядка 1,0 кг на человека в день (от 0,5 до 1,8 кг на человека в день).  Согласно существующим оценкам, в настоящее время городское население производит ежедневно порядка 3 700 тонн отходов.</w:t>
      </w:r>
    </w:p>
    <w:p w:rsidR="00000000" w:rsidRDefault="00000000"/>
    <w:p w:rsidR="00000000" w:rsidRDefault="00000000">
      <w:r>
        <w:t>413.</w:t>
      </w:r>
      <w:r>
        <w:tab/>
        <w:t>Что касается сбора инфицированных отходов, то он осуществляется практически исключительно в Асунсьоне и составляет в среднем 55 тонн в месяц.  Переработка больничных отходов осуществляется также практически исключительно в Асунсьоне с использованием плохо работающих двухкамерных инсинераторов.</w:t>
      </w:r>
    </w:p>
    <w:p w:rsidR="00000000" w:rsidRDefault="00000000"/>
    <w:p w:rsidR="00000000" w:rsidRDefault="00000000">
      <w:r>
        <w:t>414.</w:t>
      </w:r>
      <w:r>
        <w:tab/>
        <w:t xml:space="preserve">В этой сфере есть некоторые подвижки и достигнут определенный прогресс.  Приоритетной задачей правительства является решение проблемы твердых отходов, производимых учреждениями системы здравоохранения, по линии министерства здравоохранения и социального обеспечения путем принятия мер в трех направлениях:  </w:t>
      </w:r>
      <w:r>
        <w:rPr>
          <w:lang w:val="en-US"/>
        </w:rPr>
        <w:t>i</w:t>
      </w:r>
      <w:r>
        <w:t xml:space="preserve">)  утверждение посредством принятия Постановления № 750/02 регламента в отношении твердых отходов;  </w:t>
      </w:r>
      <w:r>
        <w:rPr>
          <w:lang w:val="en-US"/>
        </w:rPr>
        <w:t>ii</w:t>
      </w:r>
      <w:r>
        <w:t xml:space="preserve">)  содействие небольничной переработке твердых отходов, производимых учреждениями системы здравоохранения в Асуньсьоне, с помощью системы, которая допускает участие частного сектора в сборе и перевозке отходов и функционировании объектов по переработке;  </w:t>
      </w:r>
      <w:r>
        <w:rPr>
          <w:lang w:val="en-US"/>
        </w:rPr>
        <w:t>iii</w:t>
      </w:r>
      <w:r>
        <w:t>)  содействие осуществлению оценки вопросов управления твердыми отходами и переработки твердых отходов, вырабатываемых учреждениями системы здравоохранения, в целях принятия мер по совершенствованию системы управления этими отходами.</w:t>
      </w:r>
    </w:p>
    <w:p w:rsidR="00000000" w:rsidRDefault="00000000"/>
    <w:p w:rsidR="00000000" w:rsidRDefault="00000000">
      <w:r>
        <w:t>415.</w:t>
      </w:r>
      <w:r>
        <w:tab/>
        <w:t>Местные органы власти Асуньсьона намерены добиваться решения проблемы твердых отходов, производимых учреждениями системы здравоохранения.  Руководство муниципалитета Асуньсьона объявило тендер на контракт, предусматривающий сбор, перевозку, переработку и окончательное удаление твердых отходов, производимых учреждениями системы здравоохранения, что свидетельствует о том, что городские власти уделяют этому вопросу приоритетное внимание.</w:t>
      </w:r>
    </w:p>
    <w:p w:rsidR="00000000" w:rsidRDefault="00000000"/>
    <w:p w:rsidR="00000000" w:rsidRDefault="00000000">
      <w:r>
        <w:t>416.</w:t>
      </w:r>
      <w:r>
        <w:tab/>
        <w:t>Серьезной проблемой является отсутствие во многих районах систем канализации.  В 1992 году доступ к центральным системам канализации имели лишь 7,9% домов в стране, а в 1997-1998 годах эта доля возросла лишь до 8,2%.  По последним официальным данным (Комплексное обследование домашних хозяйств 2000-2001 годов), доступ к системе канализации имело лишь 10% домохозяйств и у приблизительно 90% домохозяйств доступ не индивидуальный, а через частные или коллективные системы.  В период с 1992 по 2001 год доля домохозяйств, имеющих доступ к системе канализации, возросла с</w:t>
      </w:r>
      <w:r>
        <w:rPr>
          <w:lang w:val="en-US"/>
        </w:rPr>
        <w:t> </w:t>
      </w:r>
      <w:r>
        <w:t>7% до 10%.  В этом смысле домохозяйства в сельской местности находятся в менее благоприятном положении по сравнению с городскими домохозяйствами.  Серьезные пробелы в организации ассенизации, в частности создании систем канализации, порождают санитарные проблемы, в частности проблемы заражения водоносных пластов.</w:t>
      </w:r>
    </w:p>
    <w:p w:rsidR="00000000" w:rsidRDefault="00000000"/>
    <w:p w:rsidR="00000000" w:rsidRDefault="00000000">
      <w:r>
        <w:t>417.</w:t>
      </w:r>
      <w:r>
        <w:tab/>
        <w:t>На диаграмме 2 отражена динамика изменений показателя доступа к системам канализации в Парагвае в период с 1992 по 2001 год.</w:t>
      </w:r>
    </w:p>
    <w:p w:rsidR="00000000" w:rsidRDefault="00000000"/>
    <w:p w:rsidR="00000000" w:rsidRDefault="00000000">
      <w:pPr>
        <w:keepNext/>
        <w:jc w:val="center"/>
        <w:rPr>
          <w:b/>
          <w:bCs/>
        </w:rPr>
      </w:pPr>
      <w:r>
        <w:rPr>
          <w:b/>
          <w:bCs/>
        </w:rPr>
        <w:t>Диаграмма 2</w:t>
      </w:r>
    </w:p>
    <w:p w:rsidR="00000000" w:rsidRDefault="00000000">
      <w:pPr>
        <w:keepNext/>
        <w:jc w:val="center"/>
        <w:rPr>
          <w:b/>
          <w:bCs/>
        </w:rPr>
      </w:pPr>
    </w:p>
    <w:p w:rsidR="00000000" w:rsidRDefault="00000000">
      <w:pPr>
        <w:keepNext/>
        <w:jc w:val="center"/>
        <w:rPr>
          <w:b/>
          <w:bCs/>
        </w:rPr>
      </w:pPr>
      <w:r>
        <w:rPr>
          <w:b/>
          <w:bCs/>
        </w:rPr>
        <w:t>Динамика изменения показателя доступа к канализации в Парагвае</w:t>
      </w:r>
      <w:r>
        <w:rPr>
          <w:b/>
          <w:bCs/>
        </w:rPr>
        <w:br/>
        <w:t>в период с 1992 по 2001 год</w:t>
      </w:r>
    </w:p>
    <w:p w:rsidR="00000000" w:rsidRDefault="00000000">
      <w:pPr>
        <w:jc w:val="center"/>
        <w:rPr>
          <w:b/>
          <w:bCs/>
        </w:rPr>
      </w:pPr>
    </w:p>
    <w:p w:rsidR="00000000" w:rsidRDefault="00000000">
      <w:pPr>
        <w:spacing w:line="720" w:lineRule="auto"/>
        <w:jc w:val="center"/>
      </w:pPr>
      <w:r>
        <w:rPr>
          <w:noProof/>
          <w:sz w:val="20"/>
          <w:lang w:eastAsia="ru-RU"/>
        </w:rPr>
        <w:pict>
          <v:shape id="_x0000_s2102" type="#_x0000_t202" style="position:absolute;left:0;text-align:left;margin-left:96.6pt;margin-top:10.7pt;width:227.35pt;height:35.4pt;z-index:28" stroked="f">
            <v:textbox inset=".5mm,.3mm,.5mm,.3mm">
              <w:txbxContent>
                <w:p w:rsidR="00000000" w:rsidRDefault="00000000">
                  <w:pPr>
                    <w:spacing w:line="216" w:lineRule="auto"/>
                    <w:jc w:val="center"/>
                    <w:rPr>
                      <w:b/>
                      <w:bCs/>
                      <w:sz w:val="20"/>
                    </w:rPr>
                  </w:pPr>
                  <w:r>
                    <w:rPr>
                      <w:b/>
                      <w:bCs/>
                      <w:sz w:val="20"/>
                    </w:rPr>
                    <w:t>Население, имеющее доступ к системам канализации.</w:t>
                  </w:r>
                </w:p>
                <w:p w:rsidR="00000000" w:rsidRDefault="00000000">
                  <w:pPr>
                    <w:spacing w:line="216" w:lineRule="auto"/>
                    <w:jc w:val="center"/>
                    <w:rPr>
                      <w:b/>
                      <w:bCs/>
                      <w:sz w:val="20"/>
                    </w:rPr>
                  </w:pPr>
                  <w:r>
                    <w:rPr>
                      <w:b/>
                      <w:bCs/>
                      <w:sz w:val="20"/>
                    </w:rPr>
                    <w:t>В целом по стране, 1992-2001 годы</w:t>
                  </w:r>
                </w:p>
              </w:txbxContent>
            </v:textbox>
          </v:shape>
        </w:pict>
      </w:r>
      <w:bookmarkStart w:id="95" w:name="_MON_1236499814"/>
      <w:bookmarkStart w:id="96" w:name="_MON_1240058934"/>
      <w:bookmarkStart w:id="97" w:name="_MON_1246112145"/>
      <w:bookmarkEnd w:id="95"/>
      <w:bookmarkEnd w:id="96"/>
      <w:bookmarkEnd w:id="97"/>
      <w:r>
        <w:object w:dxaOrig="6603" w:dyaOrig="3592">
          <v:shape id="_x0000_i1042" type="#_x0000_t75" style="width:312pt;height:179.25pt" o:ole="">
            <v:imagedata r:id="rId73" o:title=""/>
          </v:shape>
          <o:OLEObject Type="Embed" ProgID="Word.Picture.8" ShapeID="_x0000_i1042" DrawAspect="Content" ObjectID="_1394904865" r:id="rId74"/>
        </w:object>
      </w:r>
    </w:p>
    <w:p w:rsidR="00000000" w:rsidRDefault="00000000">
      <w:pPr>
        <w:tabs>
          <w:tab w:val="clear" w:pos="2268"/>
          <w:tab w:val="left" w:pos="1932"/>
        </w:tabs>
        <w:ind w:left="1932" w:hanging="1932"/>
        <w:rPr>
          <w:i/>
          <w:iCs/>
        </w:rPr>
      </w:pPr>
      <w:r>
        <w:tab/>
      </w:r>
      <w:r>
        <w:rPr>
          <w:i/>
          <w:iCs/>
        </w:rPr>
        <w:t>Источник:</w:t>
      </w:r>
      <w:r>
        <w:rPr>
          <w:i/>
          <w:iCs/>
        </w:rPr>
        <w:tab/>
      </w:r>
      <w:r>
        <w:rPr>
          <w:i/>
          <w:iCs/>
        </w:rPr>
        <w:tab/>
        <w:t>Цели в области развития, сформулированные в Декларации тысячелетия - Предварительный доклад ПРООН за 2003 год.</w:t>
      </w:r>
    </w:p>
    <w:p w:rsidR="00000000" w:rsidRDefault="00000000"/>
    <w:p w:rsidR="00000000" w:rsidRDefault="00000000">
      <w:pPr>
        <w:sectPr w:rsidR="00000000">
          <w:headerReference w:type="even" r:id="rId75"/>
          <w:headerReference w:type="first" r:id="rId76"/>
          <w:pgSz w:w="11906" w:h="16838" w:code="9"/>
          <w:pgMar w:top="851" w:right="851" w:bottom="1701" w:left="1701" w:header="851" w:footer="851" w:gutter="0"/>
          <w:cols w:space="720"/>
          <w:formProt w:val="0"/>
          <w:noEndnote/>
          <w:titlePg/>
        </w:sectPr>
      </w:pPr>
    </w:p>
    <w:p w:rsidR="00000000" w:rsidRDefault="00000000">
      <w:pPr>
        <w:spacing w:line="240" w:lineRule="auto"/>
        <w:jc w:val="center"/>
        <w:rPr>
          <w:b/>
          <w:bCs/>
          <w:sz w:val="22"/>
          <w:lang w:val="es-ES_tradnl"/>
        </w:rPr>
      </w:pPr>
      <w:r>
        <w:rPr>
          <w:b/>
          <w:bCs/>
          <w:sz w:val="22"/>
        </w:rPr>
        <w:t>В отношении первого (2006 год) и второго (2016 года) этапов поставлена цель обеспечить питьевой водой 80% населения в рамках программы ЕССАП (бывшего предприятия КОРПОСАНА) и Межамериканского банка развития</w:t>
      </w:r>
    </w:p>
    <w:p w:rsidR="00000000" w:rsidRDefault="00000000">
      <w:pPr>
        <w:spacing w:line="240" w:lineRule="auto"/>
        <w:rPr>
          <w:bCs/>
          <w:sz w:val="22"/>
        </w:rPr>
      </w:pPr>
    </w:p>
    <w:p w:rsidR="00000000" w:rsidRDefault="00000000">
      <w:pPr>
        <w:spacing w:line="240" w:lineRule="auto"/>
        <w:jc w:val="center"/>
        <w:rPr>
          <w:bCs/>
          <w:sz w:val="22"/>
        </w:rPr>
      </w:pPr>
      <w:r>
        <w:rPr>
          <w:bCs/>
          <w:sz w:val="22"/>
          <w:lang w:val="es-ES_tradnl"/>
        </w:rPr>
        <w:t>(</w:t>
      </w:r>
      <w:r>
        <w:rPr>
          <w:bCs/>
          <w:sz w:val="22"/>
        </w:rPr>
        <w:t>в процентах</w:t>
      </w:r>
      <w:r>
        <w:rPr>
          <w:bCs/>
          <w:sz w:val="22"/>
          <w:lang w:val="es-ES_tradnl"/>
        </w:rPr>
        <w:t>)</w:t>
      </w:r>
    </w:p>
    <w:p w:rsidR="00000000" w:rsidRDefault="00000000">
      <w:pPr>
        <w:spacing w:line="240" w:lineRule="auto"/>
        <w:rPr>
          <w:bCs/>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90"/>
        <w:gridCol w:w="856"/>
        <w:gridCol w:w="1004"/>
        <w:gridCol w:w="916"/>
        <w:gridCol w:w="856"/>
        <w:gridCol w:w="1004"/>
        <w:gridCol w:w="916"/>
        <w:gridCol w:w="856"/>
        <w:gridCol w:w="1004"/>
        <w:gridCol w:w="916"/>
        <w:gridCol w:w="856"/>
        <w:gridCol w:w="1004"/>
        <w:gridCol w:w="916"/>
      </w:tblGrid>
      <w:tr w:rsidR="00000000">
        <w:trPr>
          <w:cantSplit/>
        </w:trPr>
        <w:tc>
          <w:tcPr>
            <w:tcW w:w="2390" w:type="dxa"/>
            <w:vMerge w:val="restart"/>
            <w:vAlign w:val="center"/>
          </w:tcPr>
          <w:p w:rsidR="00000000" w:rsidRDefault="00000000">
            <w:pPr>
              <w:jc w:val="center"/>
              <w:rPr>
                <w:b/>
                <w:bCs/>
                <w:sz w:val="20"/>
              </w:rPr>
            </w:pPr>
            <w:r>
              <w:rPr>
                <w:b/>
                <w:bCs/>
                <w:sz w:val="20"/>
              </w:rPr>
              <w:t>Источник воды</w:t>
            </w:r>
          </w:p>
        </w:tc>
        <w:tc>
          <w:tcPr>
            <w:tcW w:w="2776" w:type="dxa"/>
            <w:gridSpan w:val="3"/>
            <w:vAlign w:val="center"/>
          </w:tcPr>
          <w:p w:rsidR="00000000" w:rsidRDefault="00000000">
            <w:pPr>
              <w:jc w:val="center"/>
              <w:rPr>
                <w:b/>
                <w:bCs/>
                <w:sz w:val="20"/>
              </w:rPr>
            </w:pPr>
            <w:r>
              <w:rPr>
                <w:b/>
                <w:bCs/>
                <w:sz w:val="20"/>
              </w:rPr>
              <w:t>1995*</w:t>
            </w:r>
          </w:p>
        </w:tc>
        <w:tc>
          <w:tcPr>
            <w:tcW w:w="2776" w:type="dxa"/>
            <w:gridSpan w:val="3"/>
            <w:vAlign w:val="center"/>
          </w:tcPr>
          <w:p w:rsidR="00000000" w:rsidRDefault="00000000">
            <w:pPr>
              <w:jc w:val="center"/>
              <w:rPr>
                <w:b/>
                <w:bCs/>
                <w:sz w:val="20"/>
              </w:rPr>
            </w:pPr>
            <w:r>
              <w:rPr>
                <w:b/>
                <w:bCs/>
                <w:sz w:val="20"/>
              </w:rPr>
              <w:t>1999*</w:t>
            </w:r>
          </w:p>
        </w:tc>
        <w:tc>
          <w:tcPr>
            <w:tcW w:w="2776" w:type="dxa"/>
            <w:gridSpan w:val="3"/>
            <w:vAlign w:val="center"/>
          </w:tcPr>
          <w:p w:rsidR="00000000" w:rsidRDefault="00000000">
            <w:pPr>
              <w:jc w:val="center"/>
              <w:rPr>
                <w:b/>
                <w:bCs/>
                <w:sz w:val="20"/>
              </w:rPr>
            </w:pPr>
            <w:r>
              <w:rPr>
                <w:b/>
                <w:bCs/>
                <w:sz w:val="20"/>
              </w:rPr>
              <w:t>2004</w:t>
            </w:r>
          </w:p>
        </w:tc>
        <w:tc>
          <w:tcPr>
            <w:tcW w:w="2776" w:type="dxa"/>
            <w:gridSpan w:val="3"/>
            <w:vAlign w:val="center"/>
          </w:tcPr>
          <w:p w:rsidR="00000000" w:rsidRDefault="00000000">
            <w:pPr>
              <w:jc w:val="center"/>
              <w:rPr>
                <w:b/>
                <w:bCs/>
                <w:sz w:val="20"/>
              </w:rPr>
            </w:pPr>
            <w:r>
              <w:rPr>
                <w:b/>
                <w:bCs/>
                <w:sz w:val="20"/>
              </w:rPr>
              <w:t>2005</w:t>
            </w:r>
          </w:p>
        </w:tc>
      </w:tr>
      <w:tr w:rsidR="00000000">
        <w:trPr>
          <w:cantSplit/>
        </w:trPr>
        <w:tc>
          <w:tcPr>
            <w:tcW w:w="2390" w:type="dxa"/>
            <w:vMerge/>
            <w:vAlign w:val="center"/>
          </w:tcPr>
          <w:p w:rsidR="00000000" w:rsidRDefault="00000000">
            <w:pPr>
              <w:jc w:val="center"/>
              <w:rPr>
                <w:b/>
                <w:bCs/>
                <w:sz w:val="20"/>
              </w:rPr>
            </w:pPr>
          </w:p>
        </w:tc>
        <w:tc>
          <w:tcPr>
            <w:tcW w:w="856" w:type="dxa"/>
            <w:vMerge w:val="restart"/>
            <w:vAlign w:val="center"/>
          </w:tcPr>
          <w:p w:rsidR="00000000" w:rsidRDefault="00000000">
            <w:pPr>
              <w:jc w:val="center"/>
              <w:rPr>
                <w:b/>
                <w:bCs/>
                <w:sz w:val="20"/>
              </w:rPr>
            </w:pPr>
            <w:r>
              <w:rPr>
                <w:b/>
                <w:bCs/>
                <w:sz w:val="20"/>
              </w:rPr>
              <w:t>Всего</w:t>
            </w:r>
          </w:p>
        </w:tc>
        <w:tc>
          <w:tcPr>
            <w:tcW w:w="1920" w:type="dxa"/>
            <w:gridSpan w:val="2"/>
            <w:vAlign w:val="center"/>
          </w:tcPr>
          <w:p w:rsidR="00000000" w:rsidRDefault="00000000">
            <w:pPr>
              <w:jc w:val="center"/>
              <w:rPr>
                <w:b/>
                <w:bCs/>
                <w:sz w:val="20"/>
              </w:rPr>
            </w:pPr>
            <w:r>
              <w:rPr>
                <w:b/>
                <w:bCs/>
                <w:sz w:val="20"/>
              </w:rPr>
              <w:t>Районы</w:t>
            </w:r>
          </w:p>
        </w:tc>
        <w:tc>
          <w:tcPr>
            <w:tcW w:w="856" w:type="dxa"/>
            <w:vMerge w:val="restart"/>
            <w:vAlign w:val="center"/>
          </w:tcPr>
          <w:p w:rsidR="00000000" w:rsidRDefault="00000000">
            <w:pPr>
              <w:jc w:val="center"/>
              <w:rPr>
                <w:b/>
                <w:bCs/>
                <w:sz w:val="20"/>
              </w:rPr>
            </w:pPr>
            <w:r>
              <w:rPr>
                <w:b/>
                <w:bCs/>
                <w:sz w:val="20"/>
              </w:rPr>
              <w:t>Всего</w:t>
            </w:r>
          </w:p>
        </w:tc>
        <w:tc>
          <w:tcPr>
            <w:tcW w:w="1920" w:type="dxa"/>
            <w:gridSpan w:val="2"/>
            <w:vAlign w:val="center"/>
          </w:tcPr>
          <w:p w:rsidR="00000000" w:rsidRDefault="00000000">
            <w:pPr>
              <w:jc w:val="center"/>
              <w:rPr>
                <w:b/>
                <w:bCs/>
                <w:sz w:val="20"/>
              </w:rPr>
            </w:pPr>
            <w:r>
              <w:rPr>
                <w:b/>
                <w:bCs/>
                <w:sz w:val="20"/>
              </w:rPr>
              <w:t>Районы</w:t>
            </w:r>
          </w:p>
        </w:tc>
        <w:tc>
          <w:tcPr>
            <w:tcW w:w="856" w:type="dxa"/>
            <w:vMerge w:val="restart"/>
            <w:vAlign w:val="center"/>
          </w:tcPr>
          <w:p w:rsidR="00000000" w:rsidRDefault="00000000">
            <w:pPr>
              <w:jc w:val="center"/>
              <w:rPr>
                <w:b/>
                <w:bCs/>
                <w:sz w:val="20"/>
              </w:rPr>
            </w:pPr>
            <w:r>
              <w:rPr>
                <w:b/>
                <w:bCs/>
                <w:sz w:val="20"/>
              </w:rPr>
              <w:t>Всего</w:t>
            </w:r>
          </w:p>
        </w:tc>
        <w:tc>
          <w:tcPr>
            <w:tcW w:w="1920" w:type="dxa"/>
            <w:gridSpan w:val="2"/>
            <w:vAlign w:val="center"/>
          </w:tcPr>
          <w:p w:rsidR="00000000" w:rsidRDefault="00000000">
            <w:pPr>
              <w:jc w:val="center"/>
              <w:rPr>
                <w:b/>
                <w:bCs/>
                <w:sz w:val="20"/>
              </w:rPr>
            </w:pPr>
            <w:r>
              <w:rPr>
                <w:b/>
                <w:bCs/>
                <w:sz w:val="20"/>
              </w:rPr>
              <w:t>Районы</w:t>
            </w:r>
          </w:p>
        </w:tc>
        <w:tc>
          <w:tcPr>
            <w:tcW w:w="856" w:type="dxa"/>
            <w:vMerge w:val="restart"/>
            <w:vAlign w:val="center"/>
          </w:tcPr>
          <w:p w:rsidR="00000000" w:rsidRDefault="00000000">
            <w:pPr>
              <w:jc w:val="center"/>
              <w:rPr>
                <w:b/>
                <w:bCs/>
                <w:sz w:val="20"/>
              </w:rPr>
            </w:pPr>
            <w:r>
              <w:rPr>
                <w:b/>
                <w:bCs/>
                <w:sz w:val="20"/>
              </w:rPr>
              <w:t>Всего</w:t>
            </w:r>
          </w:p>
        </w:tc>
        <w:tc>
          <w:tcPr>
            <w:tcW w:w="1920" w:type="dxa"/>
            <w:gridSpan w:val="2"/>
            <w:vAlign w:val="center"/>
          </w:tcPr>
          <w:p w:rsidR="00000000" w:rsidRDefault="00000000">
            <w:pPr>
              <w:jc w:val="center"/>
              <w:rPr>
                <w:b/>
                <w:bCs/>
                <w:sz w:val="20"/>
              </w:rPr>
            </w:pPr>
            <w:r>
              <w:rPr>
                <w:b/>
                <w:bCs/>
                <w:sz w:val="20"/>
              </w:rPr>
              <w:t>Районы</w:t>
            </w:r>
          </w:p>
        </w:tc>
      </w:tr>
      <w:tr w:rsidR="00000000">
        <w:trPr>
          <w:cantSplit/>
        </w:trPr>
        <w:tc>
          <w:tcPr>
            <w:tcW w:w="2390" w:type="dxa"/>
            <w:vMerge/>
            <w:vAlign w:val="center"/>
          </w:tcPr>
          <w:p w:rsidR="00000000" w:rsidRDefault="00000000">
            <w:pPr>
              <w:jc w:val="center"/>
              <w:rPr>
                <w:b/>
                <w:bCs/>
                <w:sz w:val="20"/>
              </w:rPr>
            </w:pPr>
          </w:p>
        </w:tc>
        <w:tc>
          <w:tcPr>
            <w:tcW w:w="856" w:type="dxa"/>
            <w:vMerge/>
            <w:vAlign w:val="center"/>
          </w:tcPr>
          <w:p w:rsidR="00000000" w:rsidRDefault="00000000">
            <w:pPr>
              <w:jc w:val="center"/>
              <w:rPr>
                <w:b/>
                <w:bCs/>
                <w:sz w:val="20"/>
              </w:rPr>
            </w:pPr>
          </w:p>
        </w:tc>
        <w:tc>
          <w:tcPr>
            <w:tcW w:w="1004" w:type="dxa"/>
            <w:vAlign w:val="center"/>
          </w:tcPr>
          <w:p w:rsidR="00000000" w:rsidRDefault="00000000">
            <w:pPr>
              <w:jc w:val="center"/>
              <w:rPr>
                <w:b/>
                <w:bCs/>
                <w:sz w:val="20"/>
              </w:rPr>
            </w:pPr>
            <w:r>
              <w:rPr>
                <w:b/>
                <w:bCs/>
                <w:sz w:val="20"/>
              </w:rPr>
              <w:t>Городские</w:t>
            </w:r>
          </w:p>
        </w:tc>
        <w:tc>
          <w:tcPr>
            <w:tcW w:w="916" w:type="dxa"/>
            <w:vAlign w:val="center"/>
          </w:tcPr>
          <w:p w:rsidR="00000000" w:rsidRDefault="00000000">
            <w:pPr>
              <w:jc w:val="center"/>
              <w:rPr>
                <w:b/>
                <w:bCs/>
                <w:sz w:val="20"/>
              </w:rPr>
            </w:pPr>
            <w:r>
              <w:rPr>
                <w:b/>
                <w:bCs/>
                <w:sz w:val="20"/>
              </w:rPr>
              <w:t>Сельские</w:t>
            </w:r>
          </w:p>
        </w:tc>
        <w:tc>
          <w:tcPr>
            <w:tcW w:w="856" w:type="dxa"/>
            <w:vMerge/>
            <w:vAlign w:val="center"/>
          </w:tcPr>
          <w:p w:rsidR="00000000" w:rsidRDefault="00000000">
            <w:pPr>
              <w:jc w:val="center"/>
              <w:rPr>
                <w:b/>
                <w:bCs/>
                <w:sz w:val="20"/>
              </w:rPr>
            </w:pPr>
          </w:p>
        </w:tc>
        <w:tc>
          <w:tcPr>
            <w:tcW w:w="1004" w:type="dxa"/>
            <w:vAlign w:val="center"/>
          </w:tcPr>
          <w:p w:rsidR="00000000" w:rsidRDefault="00000000">
            <w:pPr>
              <w:jc w:val="center"/>
              <w:rPr>
                <w:b/>
                <w:bCs/>
                <w:sz w:val="20"/>
              </w:rPr>
            </w:pPr>
            <w:r>
              <w:rPr>
                <w:b/>
                <w:bCs/>
                <w:sz w:val="20"/>
              </w:rPr>
              <w:t>Городские</w:t>
            </w:r>
          </w:p>
        </w:tc>
        <w:tc>
          <w:tcPr>
            <w:tcW w:w="916" w:type="dxa"/>
            <w:vAlign w:val="center"/>
          </w:tcPr>
          <w:p w:rsidR="00000000" w:rsidRDefault="00000000">
            <w:pPr>
              <w:jc w:val="center"/>
              <w:rPr>
                <w:b/>
                <w:bCs/>
                <w:sz w:val="20"/>
              </w:rPr>
            </w:pPr>
            <w:r>
              <w:rPr>
                <w:b/>
                <w:bCs/>
                <w:sz w:val="20"/>
              </w:rPr>
              <w:t>Сельские</w:t>
            </w:r>
          </w:p>
        </w:tc>
        <w:tc>
          <w:tcPr>
            <w:tcW w:w="856" w:type="dxa"/>
            <w:vMerge/>
            <w:vAlign w:val="center"/>
          </w:tcPr>
          <w:p w:rsidR="00000000" w:rsidRDefault="00000000">
            <w:pPr>
              <w:jc w:val="center"/>
              <w:rPr>
                <w:b/>
                <w:bCs/>
                <w:sz w:val="20"/>
              </w:rPr>
            </w:pPr>
          </w:p>
        </w:tc>
        <w:tc>
          <w:tcPr>
            <w:tcW w:w="1004" w:type="dxa"/>
            <w:vAlign w:val="center"/>
          </w:tcPr>
          <w:p w:rsidR="00000000" w:rsidRDefault="00000000">
            <w:pPr>
              <w:jc w:val="center"/>
              <w:rPr>
                <w:b/>
                <w:bCs/>
                <w:sz w:val="20"/>
              </w:rPr>
            </w:pPr>
            <w:r>
              <w:rPr>
                <w:b/>
                <w:bCs/>
                <w:sz w:val="20"/>
              </w:rPr>
              <w:t>Городские</w:t>
            </w:r>
          </w:p>
        </w:tc>
        <w:tc>
          <w:tcPr>
            <w:tcW w:w="916" w:type="dxa"/>
            <w:vAlign w:val="center"/>
          </w:tcPr>
          <w:p w:rsidR="00000000" w:rsidRDefault="00000000">
            <w:pPr>
              <w:jc w:val="center"/>
              <w:rPr>
                <w:b/>
                <w:bCs/>
                <w:sz w:val="20"/>
              </w:rPr>
            </w:pPr>
            <w:r>
              <w:rPr>
                <w:b/>
                <w:bCs/>
                <w:sz w:val="20"/>
              </w:rPr>
              <w:t>Сельские</w:t>
            </w:r>
          </w:p>
        </w:tc>
        <w:tc>
          <w:tcPr>
            <w:tcW w:w="856" w:type="dxa"/>
            <w:vMerge/>
            <w:vAlign w:val="center"/>
          </w:tcPr>
          <w:p w:rsidR="00000000" w:rsidRDefault="00000000">
            <w:pPr>
              <w:jc w:val="center"/>
              <w:rPr>
                <w:b/>
                <w:bCs/>
                <w:sz w:val="20"/>
              </w:rPr>
            </w:pPr>
          </w:p>
        </w:tc>
        <w:tc>
          <w:tcPr>
            <w:tcW w:w="1004" w:type="dxa"/>
            <w:vAlign w:val="center"/>
          </w:tcPr>
          <w:p w:rsidR="00000000" w:rsidRDefault="00000000">
            <w:pPr>
              <w:jc w:val="center"/>
              <w:rPr>
                <w:b/>
                <w:bCs/>
                <w:sz w:val="20"/>
              </w:rPr>
            </w:pPr>
            <w:r>
              <w:rPr>
                <w:b/>
                <w:bCs/>
                <w:sz w:val="20"/>
              </w:rPr>
              <w:t>Городские</w:t>
            </w:r>
          </w:p>
        </w:tc>
        <w:tc>
          <w:tcPr>
            <w:tcW w:w="916" w:type="dxa"/>
            <w:vAlign w:val="center"/>
          </w:tcPr>
          <w:p w:rsidR="00000000" w:rsidRDefault="00000000">
            <w:pPr>
              <w:jc w:val="center"/>
              <w:rPr>
                <w:b/>
                <w:bCs/>
                <w:sz w:val="20"/>
              </w:rPr>
            </w:pPr>
            <w:r>
              <w:rPr>
                <w:b/>
                <w:bCs/>
                <w:sz w:val="20"/>
              </w:rPr>
              <w:t>Сельские</w:t>
            </w:r>
          </w:p>
        </w:tc>
      </w:tr>
      <w:tr w:rsidR="00000000">
        <w:trPr>
          <w:cantSplit/>
        </w:trPr>
        <w:tc>
          <w:tcPr>
            <w:tcW w:w="2390" w:type="dxa"/>
            <w:noWrap/>
            <w:vAlign w:val="bottom"/>
          </w:tcPr>
          <w:p w:rsidR="00000000" w:rsidRDefault="00000000">
            <w:pPr>
              <w:rPr>
                <w:sz w:val="20"/>
              </w:rPr>
            </w:pPr>
            <w:r>
              <w:rPr>
                <w:sz w:val="20"/>
              </w:rPr>
              <w:t>Корпосана или Сенаса</w:t>
            </w:r>
          </w:p>
        </w:tc>
        <w:tc>
          <w:tcPr>
            <w:tcW w:w="856" w:type="dxa"/>
            <w:noWrap/>
            <w:vAlign w:val="bottom"/>
          </w:tcPr>
          <w:p w:rsidR="00000000" w:rsidRDefault="00000000">
            <w:pPr>
              <w:jc w:val="right"/>
              <w:rPr>
                <w:sz w:val="20"/>
                <w:lang w:val="en-GB"/>
              </w:rPr>
            </w:pPr>
            <w:r>
              <w:rPr>
                <w:sz w:val="20"/>
                <w:lang w:val="en-GB"/>
              </w:rPr>
              <w:t>34,6</w:t>
            </w:r>
          </w:p>
        </w:tc>
        <w:tc>
          <w:tcPr>
            <w:tcW w:w="1004" w:type="dxa"/>
            <w:noWrap/>
            <w:vAlign w:val="bottom"/>
          </w:tcPr>
          <w:p w:rsidR="00000000" w:rsidRDefault="00000000">
            <w:pPr>
              <w:jc w:val="right"/>
              <w:rPr>
                <w:sz w:val="20"/>
                <w:lang w:val="en-GB"/>
              </w:rPr>
            </w:pPr>
            <w:r>
              <w:rPr>
                <w:sz w:val="20"/>
                <w:lang w:val="en-GB"/>
              </w:rPr>
              <w:t>59,8</w:t>
            </w:r>
          </w:p>
        </w:tc>
        <w:tc>
          <w:tcPr>
            <w:tcW w:w="916" w:type="dxa"/>
            <w:noWrap/>
            <w:vAlign w:val="bottom"/>
          </w:tcPr>
          <w:p w:rsidR="00000000" w:rsidRDefault="00000000">
            <w:pPr>
              <w:jc w:val="right"/>
              <w:rPr>
                <w:sz w:val="20"/>
                <w:lang w:val="en-GB"/>
              </w:rPr>
            </w:pPr>
            <w:r>
              <w:rPr>
                <w:sz w:val="20"/>
                <w:lang w:val="en-GB"/>
              </w:rPr>
              <w:t>4,8</w:t>
            </w:r>
          </w:p>
        </w:tc>
        <w:tc>
          <w:tcPr>
            <w:tcW w:w="856" w:type="dxa"/>
            <w:noWrap/>
            <w:vAlign w:val="bottom"/>
          </w:tcPr>
          <w:p w:rsidR="00000000" w:rsidRDefault="00000000">
            <w:pPr>
              <w:jc w:val="right"/>
              <w:rPr>
                <w:sz w:val="20"/>
                <w:lang w:val="en-GB"/>
              </w:rPr>
            </w:pPr>
            <w:r>
              <w:rPr>
                <w:sz w:val="20"/>
                <w:lang w:val="en-GB"/>
              </w:rPr>
              <w:t>37,1</w:t>
            </w:r>
          </w:p>
        </w:tc>
        <w:tc>
          <w:tcPr>
            <w:tcW w:w="1004" w:type="dxa"/>
            <w:noWrap/>
            <w:vAlign w:val="bottom"/>
          </w:tcPr>
          <w:p w:rsidR="00000000" w:rsidRDefault="00000000">
            <w:pPr>
              <w:jc w:val="right"/>
              <w:rPr>
                <w:sz w:val="20"/>
                <w:lang w:val="en-GB"/>
              </w:rPr>
            </w:pPr>
            <w:r>
              <w:rPr>
                <w:sz w:val="20"/>
                <w:lang w:val="en-GB"/>
              </w:rPr>
              <w:t>57,8</w:t>
            </w:r>
          </w:p>
        </w:tc>
        <w:tc>
          <w:tcPr>
            <w:tcW w:w="916" w:type="dxa"/>
            <w:noWrap/>
            <w:vAlign w:val="bottom"/>
          </w:tcPr>
          <w:p w:rsidR="00000000" w:rsidRDefault="00000000">
            <w:pPr>
              <w:jc w:val="right"/>
              <w:rPr>
                <w:sz w:val="20"/>
                <w:lang w:val="en-GB"/>
              </w:rPr>
            </w:pPr>
            <w:r>
              <w:rPr>
                <w:sz w:val="20"/>
                <w:lang w:val="en-GB"/>
              </w:rPr>
              <w:t>9,8</w:t>
            </w:r>
          </w:p>
        </w:tc>
        <w:tc>
          <w:tcPr>
            <w:tcW w:w="856" w:type="dxa"/>
            <w:noWrap/>
            <w:vAlign w:val="bottom"/>
          </w:tcPr>
          <w:p w:rsidR="00000000" w:rsidRDefault="00000000">
            <w:pPr>
              <w:jc w:val="right"/>
              <w:rPr>
                <w:sz w:val="20"/>
                <w:lang w:val="en-GB"/>
              </w:rPr>
            </w:pPr>
            <w:r>
              <w:rPr>
                <w:sz w:val="20"/>
                <w:lang w:val="en-GB"/>
              </w:rPr>
              <w:t>46,0</w:t>
            </w:r>
          </w:p>
        </w:tc>
        <w:tc>
          <w:tcPr>
            <w:tcW w:w="1004" w:type="dxa"/>
            <w:noWrap/>
            <w:vAlign w:val="bottom"/>
          </w:tcPr>
          <w:p w:rsidR="00000000" w:rsidRDefault="00000000">
            <w:pPr>
              <w:jc w:val="right"/>
              <w:rPr>
                <w:sz w:val="20"/>
                <w:lang w:val="en-GB"/>
              </w:rPr>
            </w:pPr>
            <w:r>
              <w:rPr>
                <w:sz w:val="20"/>
                <w:lang w:val="en-GB"/>
              </w:rPr>
              <w:t>60,4</w:t>
            </w:r>
          </w:p>
        </w:tc>
        <w:tc>
          <w:tcPr>
            <w:tcW w:w="916" w:type="dxa"/>
            <w:noWrap/>
            <w:vAlign w:val="bottom"/>
          </w:tcPr>
          <w:p w:rsidR="00000000" w:rsidRDefault="00000000">
            <w:pPr>
              <w:jc w:val="right"/>
              <w:rPr>
                <w:sz w:val="20"/>
                <w:lang w:val="en-GB"/>
              </w:rPr>
            </w:pPr>
            <w:r>
              <w:rPr>
                <w:sz w:val="20"/>
                <w:lang w:val="en-GB"/>
              </w:rPr>
              <w:t>24,9</w:t>
            </w:r>
          </w:p>
        </w:tc>
        <w:tc>
          <w:tcPr>
            <w:tcW w:w="856" w:type="dxa"/>
            <w:noWrap/>
            <w:vAlign w:val="bottom"/>
          </w:tcPr>
          <w:p w:rsidR="00000000" w:rsidRDefault="00000000">
            <w:pPr>
              <w:jc w:val="right"/>
              <w:rPr>
                <w:sz w:val="20"/>
                <w:lang w:val="en-GB"/>
              </w:rPr>
            </w:pPr>
            <w:r>
              <w:rPr>
                <w:sz w:val="20"/>
                <w:lang w:val="en-GB"/>
              </w:rPr>
              <w:t xml:space="preserve">46,3 </w:t>
            </w:r>
          </w:p>
        </w:tc>
        <w:tc>
          <w:tcPr>
            <w:tcW w:w="1004" w:type="dxa"/>
            <w:noWrap/>
            <w:vAlign w:val="bottom"/>
          </w:tcPr>
          <w:p w:rsidR="00000000" w:rsidRDefault="00000000">
            <w:pPr>
              <w:jc w:val="right"/>
              <w:rPr>
                <w:sz w:val="20"/>
                <w:lang w:val="en-GB"/>
              </w:rPr>
            </w:pPr>
            <w:r>
              <w:rPr>
                <w:sz w:val="20"/>
                <w:lang w:val="en-GB"/>
              </w:rPr>
              <w:t>60,0</w:t>
            </w:r>
          </w:p>
        </w:tc>
        <w:tc>
          <w:tcPr>
            <w:tcW w:w="916" w:type="dxa"/>
            <w:noWrap/>
            <w:vAlign w:val="bottom"/>
          </w:tcPr>
          <w:p w:rsidR="00000000" w:rsidRDefault="00000000">
            <w:pPr>
              <w:jc w:val="right"/>
              <w:rPr>
                <w:sz w:val="20"/>
                <w:lang w:val="en-GB"/>
              </w:rPr>
            </w:pPr>
            <w:r>
              <w:rPr>
                <w:sz w:val="20"/>
                <w:lang w:val="en-GB"/>
              </w:rPr>
              <w:t xml:space="preserve">25,3 </w:t>
            </w:r>
          </w:p>
        </w:tc>
      </w:tr>
      <w:tr w:rsidR="00000000">
        <w:trPr>
          <w:cantSplit/>
        </w:trPr>
        <w:tc>
          <w:tcPr>
            <w:tcW w:w="2390" w:type="dxa"/>
            <w:noWrap/>
            <w:vAlign w:val="bottom"/>
          </w:tcPr>
          <w:p w:rsidR="00000000" w:rsidRDefault="00000000">
            <w:pPr>
              <w:rPr>
                <w:sz w:val="20"/>
              </w:rPr>
            </w:pPr>
            <w:r>
              <w:rPr>
                <w:sz w:val="20"/>
              </w:rPr>
              <w:t>Частные системы</w:t>
            </w:r>
          </w:p>
        </w:tc>
        <w:tc>
          <w:tcPr>
            <w:tcW w:w="856" w:type="dxa"/>
            <w:noWrap/>
            <w:vAlign w:val="bottom"/>
          </w:tcPr>
          <w:p w:rsidR="00000000" w:rsidRDefault="00000000">
            <w:pPr>
              <w:jc w:val="right"/>
              <w:rPr>
                <w:sz w:val="20"/>
              </w:rPr>
            </w:pPr>
            <w:r>
              <w:rPr>
                <w:sz w:val="20"/>
              </w:rPr>
              <w:t>7,0</w:t>
            </w:r>
          </w:p>
        </w:tc>
        <w:tc>
          <w:tcPr>
            <w:tcW w:w="1004" w:type="dxa"/>
            <w:noWrap/>
            <w:vAlign w:val="bottom"/>
          </w:tcPr>
          <w:p w:rsidR="00000000" w:rsidRDefault="00000000">
            <w:pPr>
              <w:jc w:val="right"/>
              <w:rPr>
                <w:sz w:val="20"/>
              </w:rPr>
            </w:pPr>
            <w:r>
              <w:rPr>
                <w:sz w:val="20"/>
              </w:rPr>
              <w:t>9,0</w:t>
            </w:r>
          </w:p>
        </w:tc>
        <w:tc>
          <w:tcPr>
            <w:tcW w:w="916" w:type="dxa"/>
            <w:noWrap/>
            <w:vAlign w:val="bottom"/>
          </w:tcPr>
          <w:p w:rsidR="00000000" w:rsidRDefault="00000000">
            <w:pPr>
              <w:jc w:val="right"/>
              <w:rPr>
                <w:sz w:val="20"/>
              </w:rPr>
            </w:pPr>
            <w:r>
              <w:rPr>
                <w:sz w:val="20"/>
              </w:rPr>
              <w:t>4,6</w:t>
            </w:r>
          </w:p>
        </w:tc>
        <w:tc>
          <w:tcPr>
            <w:tcW w:w="856" w:type="dxa"/>
            <w:noWrap/>
            <w:vAlign w:val="bottom"/>
          </w:tcPr>
          <w:p w:rsidR="00000000" w:rsidRDefault="00000000">
            <w:pPr>
              <w:jc w:val="right"/>
              <w:rPr>
                <w:sz w:val="20"/>
              </w:rPr>
            </w:pPr>
            <w:r>
              <w:rPr>
                <w:sz w:val="20"/>
              </w:rPr>
              <w:t>10,3</w:t>
            </w:r>
          </w:p>
        </w:tc>
        <w:tc>
          <w:tcPr>
            <w:tcW w:w="1004" w:type="dxa"/>
            <w:noWrap/>
            <w:vAlign w:val="bottom"/>
          </w:tcPr>
          <w:p w:rsidR="00000000" w:rsidRDefault="00000000">
            <w:pPr>
              <w:jc w:val="right"/>
              <w:rPr>
                <w:sz w:val="20"/>
              </w:rPr>
            </w:pPr>
            <w:r>
              <w:rPr>
                <w:sz w:val="20"/>
              </w:rPr>
              <w:t>13,8</w:t>
            </w:r>
          </w:p>
        </w:tc>
        <w:tc>
          <w:tcPr>
            <w:tcW w:w="916" w:type="dxa"/>
            <w:noWrap/>
            <w:vAlign w:val="bottom"/>
          </w:tcPr>
          <w:p w:rsidR="00000000" w:rsidRDefault="00000000">
            <w:pPr>
              <w:jc w:val="right"/>
              <w:rPr>
                <w:sz w:val="20"/>
              </w:rPr>
            </w:pPr>
            <w:r>
              <w:rPr>
                <w:sz w:val="20"/>
              </w:rPr>
              <w:t>5,6</w:t>
            </w:r>
          </w:p>
        </w:tc>
        <w:tc>
          <w:tcPr>
            <w:tcW w:w="856" w:type="dxa"/>
            <w:noWrap/>
            <w:vAlign w:val="bottom"/>
          </w:tcPr>
          <w:p w:rsidR="00000000" w:rsidRDefault="00000000">
            <w:pPr>
              <w:jc w:val="right"/>
              <w:rPr>
                <w:sz w:val="20"/>
              </w:rPr>
            </w:pPr>
            <w:r>
              <w:rPr>
                <w:sz w:val="20"/>
              </w:rPr>
              <w:t>13,8</w:t>
            </w:r>
          </w:p>
        </w:tc>
        <w:tc>
          <w:tcPr>
            <w:tcW w:w="1004" w:type="dxa"/>
            <w:noWrap/>
            <w:vAlign w:val="bottom"/>
          </w:tcPr>
          <w:p w:rsidR="00000000" w:rsidRDefault="00000000">
            <w:pPr>
              <w:jc w:val="right"/>
              <w:rPr>
                <w:sz w:val="20"/>
              </w:rPr>
            </w:pPr>
            <w:r>
              <w:rPr>
                <w:sz w:val="20"/>
              </w:rPr>
              <w:t>17,9</w:t>
            </w:r>
          </w:p>
        </w:tc>
        <w:tc>
          <w:tcPr>
            <w:tcW w:w="916" w:type="dxa"/>
            <w:noWrap/>
            <w:vAlign w:val="bottom"/>
          </w:tcPr>
          <w:p w:rsidR="00000000" w:rsidRDefault="00000000">
            <w:pPr>
              <w:jc w:val="right"/>
              <w:rPr>
                <w:sz w:val="20"/>
              </w:rPr>
            </w:pPr>
            <w:r>
              <w:rPr>
                <w:sz w:val="20"/>
              </w:rPr>
              <w:t>7,8</w:t>
            </w:r>
          </w:p>
        </w:tc>
        <w:tc>
          <w:tcPr>
            <w:tcW w:w="856" w:type="dxa"/>
            <w:noWrap/>
            <w:vAlign w:val="bottom"/>
          </w:tcPr>
          <w:p w:rsidR="00000000" w:rsidRDefault="00000000">
            <w:pPr>
              <w:jc w:val="right"/>
              <w:rPr>
                <w:sz w:val="20"/>
              </w:rPr>
            </w:pPr>
            <w:r>
              <w:rPr>
                <w:sz w:val="20"/>
              </w:rPr>
              <w:t xml:space="preserve">16,9 </w:t>
            </w:r>
          </w:p>
        </w:tc>
        <w:tc>
          <w:tcPr>
            <w:tcW w:w="1004" w:type="dxa"/>
            <w:noWrap/>
            <w:vAlign w:val="bottom"/>
          </w:tcPr>
          <w:p w:rsidR="00000000" w:rsidRDefault="00000000">
            <w:pPr>
              <w:jc w:val="right"/>
              <w:rPr>
                <w:sz w:val="20"/>
              </w:rPr>
            </w:pPr>
            <w:r>
              <w:rPr>
                <w:sz w:val="20"/>
              </w:rPr>
              <w:t>21,3</w:t>
            </w:r>
          </w:p>
        </w:tc>
        <w:tc>
          <w:tcPr>
            <w:tcW w:w="916" w:type="dxa"/>
            <w:noWrap/>
            <w:vAlign w:val="bottom"/>
          </w:tcPr>
          <w:p w:rsidR="00000000" w:rsidRDefault="00000000">
            <w:pPr>
              <w:jc w:val="right"/>
              <w:rPr>
                <w:sz w:val="20"/>
              </w:rPr>
            </w:pPr>
            <w:r>
              <w:rPr>
                <w:sz w:val="20"/>
              </w:rPr>
              <w:t xml:space="preserve">10,2 </w:t>
            </w:r>
          </w:p>
        </w:tc>
      </w:tr>
      <w:tr w:rsidR="00000000">
        <w:trPr>
          <w:cantSplit/>
        </w:trPr>
        <w:tc>
          <w:tcPr>
            <w:tcW w:w="2390" w:type="dxa"/>
            <w:noWrap/>
            <w:vAlign w:val="bottom"/>
          </w:tcPr>
          <w:p w:rsidR="00000000" w:rsidRDefault="00000000">
            <w:pPr>
              <w:rPr>
                <w:sz w:val="20"/>
              </w:rPr>
            </w:pPr>
            <w:r>
              <w:rPr>
                <w:sz w:val="20"/>
              </w:rPr>
              <w:t>Ручей, запруда или река</w:t>
            </w:r>
          </w:p>
        </w:tc>
        <w:tc>
          <w:tcPr>
            <w:tcW w:w="856" w:type="dxa"/>
            <w:noWrap/>
            <w:vAlign w:val="bottom"/>
          </w:tcPr>
          <w:p w:rsidR="00000000" w:rsidRDefault="00000000">
            <w:pPr>
              <w:jc w:val="right"/>
              <w:rPr>
                <w:sz w:val="20"/>
              </w:rPr>
            </w:pPr>
            <w:r>
              <w:rPr>
                <w:sz w:val="20"/>
              </w:rPr>
              <w:t>1,1</w:t>
            </w:r>
          </w:p>
        </w:tc>
        <w:tc>
          <w:tcPr>
            <w:tcW w:w="1004" w:type="dxa"/>
            <w:noWrap/>
            <w:vAlign w:val="bottom"/>
          </w:tcPr>
          <w:p w:rsidR="00000000" w:rsidRDefault="00000000">
            <w:pPr>
              <w:jc w:val="right"/>
              <w:rPr>
                <w:sz w:val="20"/>
              </w:rPr>
            </w:pPr>
            <w:r>
              <w:rPr>
                <w:sz w:val="20"/>
              </w:rPr>
              <w:t>0,2</w:t>
            </w:r>
          </w:p>
        </w:tc>
        <w:tc>
          <w:tcPr>
            <w:tcW w:w="916" w:type="dxa"/>
            <w:noWrap/>
            <w:vAlign w:val="bottom"/>
          </w:tcPr>
          <w:p w:rsidR="00000000" w:rsidRDefault="00000000">
            <w:pPr>
              <w:jc w:val="right"/>
              <w:rPr>
                <w:sz w:val="20"/>
              </w:rPr>
            </w:pPr>
            <w:r>
              <w:rPr>
                <w:sz w:val="20"/>
              </w:rPr>
              <w:t>2,1</w:t>
            </w:r>
          </w:p>
        </w:tc>
        <w:tc>
          <w:tcPr>
            <w:tcW w:w="856" w:type="dxa"/>
            <w:noWrap/>
            <w:vAlign w:val="bottom"/>
          </w:tcPr>
          <w:p w:rsidR="00000000" w:rsidRDefault="00000000">
            <w:pPr>
              <w:jc w:val="right"/>
              <w:rPr>
                <w:sz w:val="20"/>
              </w:rPr>
            </w:pPr>
            <w:r>
              <w:rPr>
                <w:sz w:val="20"/>
              </w:rPr>
              <w:t>0,6</w:t>
            </w:r>
          </w:p>
        </w:tc>
        <w:tc>
          <w:tcPr>
            <w:tcW w:w="1004" w:type="dxa"/>
            <w:noWrap/>
            <w:vAlign w:val="bottom"/>
          </w:tcPr>
          <w:p w:rsidR="00000000" w:rsidRDefault="00000000">
            <w:pPr>
              <w:jc w:val="right"/>
              <w:rPr>
                <w:sz w:val="20"/>
              </w:rPr>
            </w:pPr>
            <w:r>
              <w:rPr>
                <w:sz w:val="20"/>
              </w:rPr>
              <w:t>-</w:t>
            </w:r>
          </w:p>
        </w:tc>
        <w:tc>
          <w:tcPr>
            <w:tcW w:w="916" w:type="dxa"/>
            <w:noWrap/>
            <w:vAlign w:val="bottom"/>
          </w:tcPr>
          <w:p w:rsidR="00000000" w:rsidRDefault="00000000">
            <w:pPr>
              <w:jc w:val="right"/>
              <w:rPr>
                <w:sz w:val="20"/>
              </w:rPr>
            </w:pPr>
            <w:r>
              <w:rPr>
                <w:sz w:val="20"/>
              </w:rPr>
              <w:t>1,4</w:t>
            </w:r>
          </w:p>
        </w:tc>
        <w:tc>
          <w:tcPr>
            <w:tcW w:w="856" w:type="dxa"/>
            <w:noWrap/>
            <w:vAlign w:val="bottom"/>
          </w:tcPr>
          <w:p w:rsidR="00000000" w:rsidRDefault="00000000">
            <w:pPr>
              <w:jc w:val="right"/>
              <w:rPr>
                <w:sz w:val="20"/>
              </w:rPr>
            </w:pPr>
            <w:r>
              <w:rPr>
                <w:sz w:val="20"/>
              </w:rPr>
              <w:t>2,2</w:t>
            </w:r>
          </w:p>
        </w:tc>
        <w:tc>
          <w:tcPr>
            <w:tcW w:w="1004" w:type="dxa"/>
            <w:noWrap/>
            <w:vAlign w:val="bottom"/>
          </w:tcPr>
          <w:p w:rsidR="00000000" w:rsidRDefault="00000000">
            <w:pPr>
              <w:jc w:val="right"/>
              <w:rPr>
                <w:sz w:val="20"/>
              </w:rPr>
            </w:pPr>
            <w:r>
              <w:rPr>
                <w:sz w:val="20"/>
              </w:rPr>
              <w:t>0,1</w:t>
            </w:r>
          </w:p>
        </w:tc>
        <w:tc>
          <w:tcPr>
            <w:tcW w:w="916" w:type="dxa"/>
            <w:noWrap/>
            <w:vAlign w:val="bottom"/>
          </w:tcPr>
          <w:p w:rsidR="00000000" w:rsidRDefault="00000000">
            <w:pPr>
              <w:jc w:val="right"/>
              <w:rPr>
                <w:sz w:val="20"/>
              </w:rPr>
            </w:pPr>
            <w:r>
              <w:rPr>
                <w:sz w:val="20"/>
              </w:rPr>
              <w:t>5,2</w:t>
            </w:r>
          </w:p>
        </w:tc>
        <w:tc>
          <w:tcPr>
            <w:tcW w:w="856" w:type="dxa"/>
            <w:noWrap/>
            <w:vAlign w:val="bottom"/>
          </w:tcPr>
          <w:p w:rsidR="00000000" w:rsidRDefault="00000000">
            <w:pPr>
              <w:jc w:val="right"/>
              <w:rPr>
                <w:sz w:val="20"/>
              </w:rPr>
            </w:pPr>
            <w:r>
              <w:rPr>
                <w:sz w:val="20"/>
              </w:rPr>
              <w:t xml:space="preserve">1,7 </w:t>
            </w:r>
          </w:p>
        </w:tc>
        <w:tc>
          <w:tcPr>
            <w:tcW w:w="1004" w:type="dxa"/>
            <w:noWrap/>
            <w:vAlign w:val="bottom"/>
          </w:tcPr>
          <w:p w:rsidR="00000000" w:rsidRDefault="00000000">
            <w:pPr>
              <w:jc w:val="right"/>
              <w:rPr>
                <w:sz w:val="20"/>
              </w:rPr>
            </w:pPr>
            <w:r>
              <w:rPr>
                <w:sz w:val="20"/>
              </w:rPr>
              <w:t>0,2</w:t>
            </w:r>
          </w:p>
        </w:tc>
        <w:tc>
          <w:tcPr>
            <w:tcW w:w="916" w:type="dxa"/>
            <w:noWrap/>
            <w:vAlign w:val="bottom"/>
          </w:tcPr>
          <w:p w:rsidR="00000000" w:rsidRDefault="00000000">
            <w:pPr>
              <w:jc w:val="right"/>
              <w:rPr>
                <w:sz w:val="20"/>
              </w:rPr>
            </w:pPr>
            <w:r>
              <w:rPr>
                <w:sz w:val="20"/>
              </w:rPr>
              <w:t xml:space="preserve">4,0 </w:t>
            </w:r>
          </w:p>
        </w:tc>
      </w:tr>
      <w:tr w:rsidR="00000000">
        <w:trPr>
          <w:cantSplit/>
        </w:trPr>
        <w:tc>
          <w:tcPr>
            <w:tcW w:w="2390" w:type="dxa"/>
            <w:noWrap/>
            <w:vAlign w:val="bottom"/>
          </w:tcPr>
          <w:p w:rsidR="00000000" w:rsidRDefault="00000000">
            <w:pPr>
              <w:rPr>
                <w:sz w:val="20"/>
              </w:rPr>
            </w:pPr>
            <w:r>
              <w:rPr>
                <w:sz w:val="20"/>
              </w:rPr>
              <w:t>Источник или родник</w:t>
            </w:r>
          </w:p>
        </w:tc>
        <w:tc>
          <w:tcPr>
            <w:tcW w:w="856" w:type="dxa"/>
            <w:noWrap/>
            <w:vAlign w:val="bottom"/>
          </w:tcPr>
          <w:p w:rsidR="00000000" w:rsidRDefault="00000000">
            <w:pPr>
              <w:jc w:val="right"/>
              <w:rPr>
                <w:sz w:val="20"/>
              </w:rPr>
            </w:pPr>
            <w:r>
              <w:rPr>
                <w:sz w:val="20"/>
              </w:rPr>
              <w:t>3,1</w:t>
            </w:r>
          </w:p>
        </w:tc>
        <w:tc>
          <w:tcPr>
            <w:tcW w:w="1004" w:type="dxa"/>
            <w:noWrap/>
            <w:vAlign w:val="bottom"/>
          </w:tcPr>
          <w:p w:rsidR="00000000" w:rsidRDefault="00000000">
            <w:pPr>
              <w:jc w:val="right"/>
              <w:rPr>
                <w:sz w:val="20"/>
              </w:rPr>
            </w:pPr>
            <w:r>
              <w:rPr>
                <w:sz w:val="20"/>
              </w:rPr>
              <w:t>0,0</w:t>
            </w:r>
          </w:p>
        </w:tc>
        <w:tc>
          <w:tcPr>
            <w:tcW w:w="916" w:type="dxa"/>
            <w:noWrap/>
            <w:vAlign w:val="bottom"/>
          </w:tcPr>
          <w:p w:rsidR="00000000" w:rsidRDefault="00000000">
            <w:pPr>
              <w:jc w:val="right"/>
              <w:rPr>
                <w:sz w:val="20"/>
              </w:rPr>
            </w:pPr>
            <w:r>
              <w:rPr>
                <w:sz w:val="20"/>
              </w:rPr>
              <w:t>6,8</w:t>
            </w:r>
          </w:p>
        </w:tc>
        <w:tc>
          <w:tcPr>
            <w:tcW w:w="856" w:type="dxa"/>
            <w:noWrap/>
            <w:vAlign w:val="bottom"/>
          </w:tcPr>
          <w:p w:rsidR="00000000" w:rsidRDefault="00000000">
            <w:pPr>
              <w:jc w:val="right"/>
              <w:rPr>
                <w:sz w:val="20"/>
              </w:rPr>
            </w:pPr>
            <w:r>
              <w:rPr>
                <w:sz w:val="20"/>
              </w:rPr>
              <w:t>3,1</w:t>
            </w:r>
          </w:p>
        </w:tc>
        <w:tc>
          <w:tcPr>
            <w:tcW w:w="1004" w:type="dxa"/>
            <w:noWrap/>
            <w:vAlign w:val="bottom"/>
          </w:tcPr>
          <w:p w:rsidR="00000000" w:rsidRDefault="00000000">
            <w:pPr>
              <w:jc w:val="right"/>
              <w:rPr>
                <w:sz w:val="20"/>
              </w:rPr>
            </w:pPr>
            <w:r>
              <w:rPr>
                <w:sz w:val="20"/>
              </w:rPr>
              <w:t>0,1</w:t>
            </w:r>
          </w:p>
        </w:tc>
        <w:tc>
          <w:tcPr>
            <w:tcW w:w="916" w:type="dxa"/>
            <w:noWrap/>
            <w:vAlign w:val="bottom"/>
          </w:tcPr>
          <w:p w:rsidR="00000000" w:rsidRDefault="00000000">
            <w:pPr>
              <w:jc w:val="right"/>
              <w:rPr>
                <w:sz w:val="20"/>
              </w:rPr>
            </w:pPr>
            <w:r>
              <w:rPr>
                <w:sz w:val="20"/>
              </w:rPr>
              <w:t>7,0</w:t>
            </w:r>
          </w:p>
        </w:tc>
        <w:tc>
          <w:tcPr>
            <w:tcW w:w="856" w:type="dxa"/>
            <w:noWrap/>
            <w:vAlign w:val="bottom"/>
          </w:tcPr>
          <w:p w:rsidR="00000000" w:rsidRDefault="00000000">
            <w:pPr>
              <w:jc w:val="right"/>
              <w:rPr>
                <w:sz w:val="20"/>
              </w:rPr>
            </w:pPr>
            <w:r>
              <w:rPr>
                <w:sz w:val="20"/>
              </w:rPr>
              <w:t>-</w:t>
            </w:r>
          </w:p>
        </w:tc>
        <w:tc>
          <w:tcPr>
            <w:tcW w:w="1004" w:type="dxa"/>
            <w:noWrap/>
            <w:vAlign w:val="bottom"/>
          </w:tcPr>
          <w:p w:rsidR="00000000" w:rsidRDefault="00000000">
            <w:pPr>
              <w:jc w:val="right"/>
              <w:rPr>
                <w:sz w:val="20"/>
              </w:rPr>
            </w:pPr>
            <w:r>
              <w:rPr>
                <w:sz w:val="20"/>
              </w:rPr>
              <w:t>-</w:t>
            </w:r>
          </w:p>
        </w:tc>
        <w:tc>
          <w:tcPr>
            <w:tcW w:w="916" w:type="dxa"/>
            <w:noWrap/>
            <w:vAlign w:val="bottom"/>
          </w:tcPr>
          <w:p w:rsidR="00000000" w:rsidRDefault="00000000">
            <w:pPr>
              <w:jc w:val="right"/>
              <w:rPr>
                <w:sz w:val="20"/>
              </w:rPr>
            </w:pPr>
            <w:r>
              <w:rPr>
                <w:sz w:val="20"/>
              </w:rPr>
              <w:t>-</w:t>
            </w:r>
          </w:p>
        </w:tc>
        <w:tc>
          <w:tcPr>
            <w:tcW w:w="856" w:type="dxa"/>
            <w:noWrap/>
            <w:vAlign w:val="bottom"/>
          </w:tcPr>
          <w:p w:rsidR="00000000" w:rsidRDefault="00000000">
            <w:pPr>
              <w:jc w:val="right"/>
              <w:rPr>
                <w:sz w:val="20"/>
              </w:rPr>
            </w:pPr>
            <w:r>
              <w:rPr>
                <w:sz w:val="20"/>
              </w:rPr>
              <w:t>-</w:t>
            </w:r>
          </w:p>
        </w:tc>
        <w:tc>
          <w:tcPr>
            <w:tcW w:w="1004" w:type="dxa"/>
            <w:noWrap/>
            <w:vAlign w:val="bottom"/>
          </w:tcPr>
          <w:p w:rsidR="00000000" w:rsidRDefault="00000000">
            <w:pPr>
              <w:jc w:val="right"/>
              <w:rPr>
                <w:sz w:val="20"/>
              </w:rPr>
            </w:pPr>
            <w:r>
              <w:rPr>
                <w:sz w:val="20"/>
              </w:rPr>
              <w:t>-</w:t>
            </w:r>
          </w:p>
        </w:tc>
        <w:tc>
          <w:tcPr>
            <w:tcW w:w="916" w:type="dxa"/>
            <w:noWrap/>
            <w:vAlign w:val="bottom"/>
          </w:tcPr>
          <w:p w:rsidR="00000000" w:rsidRDefault="00000000">
            <w:pPr>
              <w:jc w:val="right"/>
              <w:rPr>
                <w:sz w:val="20"/>
              </w:rPr>
            </w:pPr>
            <w:r>
              <w:rPr>
                <w:sz w:val="20"/>
              </w:rPr>
              <w:t>-</w:t>
            </w:r>
          </w:p>
        </w:tc>
      </w:tr>
      <w:tr w:rsidR="00000000">
        <w:trPr>
          <w:cantSplit/>
        </w:trPr>
        <w:tc>
          <w:tcPr>
            <w:tcW w:w="2390" w:type="dxa"/>
            <w:noWrap/>
            <w:vAlign w:val="bottom"/>
          </w:tcPr>
          <w:p w:rsidR="00000000" w:rsidRDefault="00000000">
            <w:pPr>
              <w:rPr>
                <w:sz w:val="20"/>
              </w:rPr>
            </w:pPr>
            <w:r>
              <w:rPr>
                <w:sz w:val="20"/>
              </w:rPr>
              <w:t>Артезианский колодец</w:t>
            </w:r>
          </w:p>
        </w:tc>
        <w:tc>
          <w:tcPr>
            <w:tcW w:w="856" w:type="dxa"/>
            <w:noWrap/>
            <w:vAlign w:val="bottom"/>
          </w:tcPr>
          <w:p w:rsidR="00000000" w:rsidRDefault="00000000">
            <w:pPr>
              <w:jc w:val="right"/>
              <w:rPr>
                <w:sz w:val="20"/>
              </w:rPr>
            </w:pPr>
            <w:r>
              <w:rPr>
                <w:sz w:val="20"/>
              </w:rPr>
              <w:t>-</w:t>
            </w:r>
          </w:p>
        </w:tc>
        <w:tc>
          <w:tcPr>
            <w:tcW w:w="1004" w:type="dxa"/>
            <w:noWrap/>
            <w:vAlign w:val="bottom"/>
          </w:tcPr>
          <w:p w:rsidR="00000000" w:rsidRDefault="00000000">
            <w:pPr>
              <w:jc w:val="right"/>
              <w:rPr>
                <w:sz w:val="20"/>
              </w:rPr>
            </w:pPr>
            <w:r>
              <w:rPr>
                <w:sz w:val="20"/>
              </w:rPr>
              <w:t>-</w:t>
            </w:r>
          </w:p>
        </w:tc>
        <w:tc>
          <w:tcPr>
            <w:tcW w:w="916" w:type="dxa"/>
            <w:noWrap/>
            <w:vAlign w:val="bottom"/>
          </w:tcPr>
          <w:p w:rsidR="00000000" w:rsidRDefault="00000000">
            <w:pPr>
              <w:jc w:val="right"/>
              <w:rPr>
                <w:sz w:val="20"/>
              </w:rPr>
            </w:pPr>
            <w:r>
              <w:rPr>
                <w:sz w:val="20"/>
              </w:rPr>
              <w:t>-</w:t>
            </w:r>
          </w:p>
        </w:tc>
        <w:tc>
          <w:tcPr>
            <w:tcW w:w="856" w:type="dxa"/>
            <w:noWrap/>
            <w:vAlign w:val="bottom"/>
          </w:tcPr>
          <w:p w:rsidR="00000000" w:rsidRDefault="00000000">
            <w:pPr>
              <w:jc w:val="right"/>
              <w:rPr>
                <w:sz w:val="20"/>
              </w:rPr>
            </w:pPr>
            <w:r>
              <w:rPr>
                <w:sz w:val="20"/>
              </w:rPr>
              <w:t>-</w:t>
            </w:r>
          </w:p>
        </w:tc>
        <w:tc>
          <w:tcPr>
            <w:tcW w:w="1004" w:type="dxa"/>
            <w:noWrap/>
            <w:vAlign w:val="bottom"/>
          </w:tcPr>
          <w:p w:rsidR="00000000" w:rsidRDefault="00000000">
            <w:pPr>
              <w:jc w:val="right"/>
              <w:rPr>
                <w:sz w:val="20"/>
              </w:rPr>
            </w:pPr>
            <w:r>
              <w:rPr>
                <w:sz w:val="20"/>
              </w:rPr>
              <w:t>-</w:t>
            </w:r>
          </w:p>
        </w:tc>
        <w:tc>
          <w:tcPr>
            <w:tcW w:w="916" w:type="dxa"/>
            <w:noWrap/>
            <w:vAlign w:val="bottom"/>
          </w:tcPr>
          <w:p w:rsidR="00000000" w:rsidRDefault="00000000">
            <w:pPr>
              <w:jc w:val="right"/>
              <w:rPr>
                <w:sz w:val="20"/>
              </w:rPr>
            </w:pPr>
            <w:r>
              <w:rPr>
                <w:sz w:val="20"/>
              </w:rPr>
              <w:t>-</w:t>
            </w:r>
          </w:p>
        </w:tc>
        <w:tc>
          <w:tcPr>
            <w:tcW w:w="856" w:type="dxa"/>
            <w:noWrap/>
            <w:vAlign w:val="bottom"/>
          </w:tcPr>
          <w:p w:rsidR="00000000" w:rsidRDefault="00000000">
            <w:pPr>
              <w:jc w:val="right"/>
              <w:rPr>
                <w:sz w:val="20"/>
              </w:rPr>
            </w:pPr>
            <w:r>
              <w:rPr>
                <w:sz w:val="20"/>
              </w:rPr>
              <w:t>2,6</w:t>
            </w:r>
          </w:p>
        </w:tc>
        <w:tc>
          <w:tcPr>
            <w:tcW w:w="1004" w:type="dxa"/>
            <w:noWrap/>
            <w:vAlign w:val="bottom"/>
          </w:tcPr>
          <w:p w:rsidR="00000000" w:rsidRDefault="00000000">
            <w:pPr>
              <w:jc w:val="right"/>
              <w:rPr>
                <w:sz w:val="20"/>
              </w:rPr>
            </w:pPr>
            <w:r>
              <w:rPr>
                <w:sz w:val="20"/>
              </w:rPr>
              <w:t>2,7</w:t>
            </w:r>
          </w:p>
        </w:tc>
        <w:tc>
          <w:tcPr>
            <w:tcW w:w="916" w:type="dxa"/>
            <w:noWrap/>
            <w:vAlign w:val="bottom"/>
          </w:tcPr>
          <w:p w:rsidR="00000000" w:rsidRDefault="00000000">
            <w:pPr>
              <w:jc w:val="right"/>
              <w:rPr>
                <w:sz w:val="20"/>
              </w:rPr>
            </w:pPr>
            <w:r>
              <w:rPr>
                <w:sz w:val="20"/>
              </w:rPr>
              <w:t>2,6</w:t>
            </w:r>
          </w:p>
        </w:tc>
        <w:tc>
          <w:tcPr>
            <w:tcW w:w="856" w:type="dxa"/>
            <w:noWrap/>
            <w:vAlign w:val="bottom"/>
          </w:tcPr>
          <w:p w:rsidR="00000000" w:rsidRDefault="00000000">
            <w:pPr>
              <w:jc w:val="right"/>
              <w:rPr>
                <w:sz w:val="20"/>
              </w:rPr>
            </w:pPr>
            <w:r>
              <w:rPr>
                <w:sz w:val="20"/>
              </w:rPr>
              <w:t xml:space="preserve">2,4 </w:t>
            </w:r>
          </w:p>
        </w:tc>
        <w:tc>
          <w:tcPr>
            <w:tcW w:w="1004" w:type="dxa"/>
            <w:noWrap/>
            <w:vAlign w:val="bottom"/>
          </w:tcPr>
          <w:p w:rsidR="00000000" w:rsidRDefault="00000000">
            <w:pPr>
              <w:jc w:val="right"/>
              <w:rPr>
                <w:sz w:val="20"/>
              </w:rPr>
            </w:pPr>
            <w:r>
              <w:rPr>
                <w:sz w:val="20"/>
              </w:rPr>
              <w:t>2,0</w:t>
            </w:r>
          </w:p>
        </w:tc>
        <w:tc>
          <w:tcPr>
            <w:tcW w:w="916" w:type="dxa"/>
            <w:noWrap/>
            <w:vAlign w:val="bottom"/>
          </w:tcPr>
          <w:p w:rsidR="00000000" w:rsidRDefault="00000000">
            <w:pPr>
              <w:jc w:val="right"/>
              <w:rPr>
                <w:sz w:val="20"/>
              </w:rPr>
            </w:pPr>
            <w:r>
              <w:rPr>
                <w:sz w:val="20"/>
              </w:rPr>
              <w:t xml:space="preserve">3,2 </w:t>
            </w:r>
          </w:p>
        </w:tc>
      </w:tr>
      <w:tr w:rsidR="00000000">
        <w:trPr>
          <w:cantSplit/>
        </w:trPr>
        <w:tc>
          <w:tcPr>
            <w:tcW w:w="2390" w:type="dxa"/>
            <w:noWrap/>
            <w:vAlign w:val="bottom"/>
          </w:tcPr>
          <w:p w:rsidR="00000000" w:rsidRDefault="00000000">
            <w:pPr>
              <w:rPr>
                <w:sz w:val="20"/>
              </w:rPr>
            </w:pPr>
            <w:r>
              <w:rPr>
                <w:sz w:val="20"/>
              </w:rPr>
              <w:t>Колодец с насосом</w:t>
            </w:r>
          </w:p>
        </w:tc>
        <w:tc>
          <w:tcPr>
            <w:tcW w:w="856" w:type="dxa"/>
            <w:noWrap/>
            <w:vAlign w:val="bottom"/>
          </w:tcPr>
          <w:p w:rsidR="00000000" w:rsidRDefault="00000000">
            <w:pPr>
              <w:jc w:val="right"/>
              <w:rPr>
                <w:sz w:val="20"/>
              </w:rPr>
            </w:pPr>
            <w:r>
              <w:rPr>
                <w:sz w:val="20"/>
              </w:rPr>
              <w:t>13,0</w:t>
            </w:r>
          </w:p>
        </w:tc>
        <w:tc>
          <w:tcPr>
            <w:tcW w:w="1004" w:type="dxa"/>
            <w:noWrap/>
            <w:vAlign w:val="bottom"/>
          </w:tcPr>
          <w:p w:rsidR="00000000" w:rsidRDefault="00000000">
            <w:pPr>
              <w:jc w:val="right"/>
              <w:rPr>
                <w:sz w:val="20"/>
              </w:rPr>
            </w:pPr>
            <w:r>
              <w:rPr>
                <w:sz w:val="20"/>
              </w:rPr>
              <w:t>12,8</w:t>
            </w:r>
          </w:p>
        </w:tc>
        <w:tc>
          <w:tcPr>
            <w:tcW w:w="916" w:type="dxa"/>
            <w:noWrap/>
            <w:vAlign w:val="bottom"/>
          </w:tcPr>
          <w:p w:rsidR="00000000" w:rsidRDefault="00000000">
            <w:pPr>
              <w:jc w:val="right"/>
              <w:rPr>
                <w:sz w:val="20"/>
              </w:rPr>
            </w:pPr>
            <w:r>
              <w:rPr>
                <w:sz w:val="20"/>
              </w:rPr>
              <w:t>13,3</w:t>
            </w:r>
          </w:p>
        </w:tc>
        <w:tc>
          <w:tcPr>
            <w:tcW w:w="856" w:type="dxa"/>
            <w:noWrap/>
            <w:vAlign w:val="bottom"/>
          </w:tcPr>
          <w:p w:rsidR="00000000" w:rsidRDefault="00000000">
            <w:pPr>
              <w:jc w:val="right"/>
              <w:rPr>
                <w:sz w:val="20"/>
              </w:rPr>
            </w:pPr>
            <w:r>
              <w:rPr>
                <w:sz w:val="20"/>
              </w:rPr>
              <w:t>16,6</w:t>
            </w:r>
          </w:p>
        </w:tc>
        <w:tc>
          <w:tcPr>
            <w:tcW w:w="1004" w:type="dxa"/>
            <w:noWrap/>
            <w:vAlign w:val="bottom"/>
          </w:tcPr>
          <w:p w:rsidR="00000000" w:rsidRDefault="00000000">
            <w:pPr>
              <w:jc w:val="right"/>
              <w:rPr>
                <w:sz w:val="20"/>
              </w:rPr>
            </w:pPr>
            <w:r>
              <w:rPr>
                <w:sz w:val="20"/>
              </w:rPr>
              <w:t>16,0</w:t>
            </w:r>
          </w:p>
        </w:tc>
        <w:tc>
          <w:tcPr>
            <w:tcW w:w="916" w:type="dxa"/>
            <w:noWrap/>
            <w:vAlign w:val="bottom"/>
          </w:tcPr>
          <w:p w:rsidR="00000000" w:rsidRDefault="00000000">
            <w:pPr>
              <w:jc w:val="right"/>
              <w:rPr>
                <w:sz w:val="20"/>
              </w:rPr>
            </w:pPr>
            <w:r>
              <w:rPr>
                <w:sz w:val="20"/>
              </w:rPr>
              <w:t>17,4</w:t>
            </w:r>
          </w:p>
        </w:tc>
        <w:tc>
          <w:tcPr>
            <w:tcW w:w="856" w:type="dxa"/>
            <w:noWrap/>
            <w:vAlign w:val="bottom"/>
          </w:tcPr>
          <w:p w:rsidR="00000000" w:rsidRDefault="00000000">
            <w:pPr>
              <w:jc w:val="right"/>
              <w:rPr>
                <w:sz w:val="20"/>
              </w:rPr>
            </w:pPr>
            <w:r>
              <w:rPr>
                <w:sz w:val="20"/>
              </w:rPr>
              <w:t>12,4</w:t>
            </w:r>
          </w:p>
        </w:tc>
        <w:tc>
          <w:tcPr>
            <w:tcW w:w="1004" w:type="dxa"/>
            <w:noWrap/>
            <w:vAlign w:val="bottom"/>
          </w:tcPr>
          <w:p w:rsidR="00000000" w:rsidRDefault="00000000">
            <w:pPr>
              <w:jc w:val="right"/>
              <w:rPr>
                <w:sz w:val="20"/>
              </w:rPr>
            </w:pPr>
            <w:r>
              <w:rPr>
                <w:sz w:val="20"/>
              </w:rPr>
              <w:t>10,4</w:t>
            </w:r>
          </w:p>
        </w:tc>
        <w:tc>
          <w:tcPr>
            <w:tcW w:w="916" w:type="dxa"/>
            <w:noWrap/>
            <w:vAlign w:val="bottom"/>
          </w:tcPr>
          <w:p w:rsidR="00000000" w:rsidRDefault="00000000">
            <w:pPr>
              <w:jc w:val="right"/>
              <w:rPr>
                <w:sz w:val="20"/>
              </w:rPr>
            </w:pPr>
            <w:r>
              <w:rPr>
                <w:sz w:val="20"/>
              </w:rPr>
              <w:t>15,4</w:t>
            </w:r>
          </w:p>
        </w:tc>
        <w:tc>
          <w:tcPr>
            <w:tcW w:w="856" w:type="dxa"/>
            <w:noWrap/>
            <w:vAlign w:val="bottom"/>
          </w:tcPr>
          <w:p w:rsidR="00000000" w:rsidRDefault="00000000">
            <w:pPr>
              <w:jc w:val="right"/>
              <w:rPr>
                <w:sz w:val="20"/>
              </w:rPr>
            </w:pPr>
            <w:r>
              <w:rPr>
                <w:sz w:val="20"/>
              </w:rPr>
              <w:t xml:space="preserve">12,1 </w:t>
            </w:r>
          </w:p>
        </w:tc>
        <w:tc>
          <w:tcPr>
            <w:tcW w:w="1004" w:type="dxa"/>
            <w:noWrap/>
            <w:vAlign w:val="bottom"/>
          </w:tcPr>
          <w:p w:rsidR="00000000" w:rsidRDefault="00000000">
            <w:pPr>
              <w:jc w:val="right"/>
              <w:rPr>
                <w:sz w:val="20"/>
              </w:rPr>
            </w:pPr>
            <w:r>
              <w:rPr>
                <w:sz w:val="20"/>
              </w:rPr>
              <w:t>7,7</w:t>
            </w:r>
          </w:p>
        </w:tc>
        <w:tc>
          <w:tcPr>
            <w:tcW w:w="916" w:type="dxa"/>
            <w:noWrap/>
            <w:vAlign w:val="bottom"/>
          </w:tcPr>
          <w:p w:rsidR="00000000" w:rsidRDefault="00000000">
            <w:pPr>
              <w:jc w:val="right"/>
              <w:rPr>
                <w:sz w:val="20"/>
              </w:rPr>
            </w:pPr>
            <w:r>
              <w:rPr>
                <w:sz w:val="20"/>
              </w:rPr>
              <w:t xml:space="preserve">18,8 </w:t>
            </w:r>
          </w:p>
        </w:tc>
      </w:tr>
      <w:tr w:rsidR="00000000">
        <w:trPr>
          <w:cantSplit/>
        </w:trPr>
        <w:tc>
          <w:tcPr>
            <w:tcW w:w="2390" w:type="dxa"/>
            <w:noWrap/>
            <w:vAlign w:val="bottom"/>
          </w:tcPr>
          <w:p w:rsidR="00000000" w:rsidRDefault="00000000">
            <w:pPr>
              <w:rPr>
                <w:sz w:val="20"/>
              </w:rPr>
            </w:pPr>
            <w:r>
              <w:rPr>
                <w:sz w:val="20"/>
              </w:rPr>
              <w:t>Колодец без насоса</w:t>
            </w:r>
          </w:p>
        </w:tc>
        <w:tc>
          <w:tcPr>
            <w:tcW w:w="856" w:type="dxa"/>
            <w:noWrap/>
            <w:vAlign w:val="bottom"/>
          </w:tcPr>
          <w:p w:rsidR="00000000" w:rsidRDefault="00000000">
            <w:pPr>
              <w:jc w:val="right"/>
              <w:rPr>
                <w:sz w:val="20"/>
              </w:rPr>
            </w:pPr>
            <w:r>
              <w:rPr>
                <w:sz w:val="20"/>
              </w:rPr>
              <w:t>39,9</w:t>
            </w:r>
          </w:p>
        </w:tc>
        <w:tc>
          <w:tcPr>
            <w:tcW w:w="1004" w:type="dxa"/>
            <w:noWrap/>
            <w:vAlign w:val="bottom"/>
          </w:tcPr>
          <w:p w:rsidR="00000000" w:rsidRDefault="00000000">
            <w:pPr>
              <w:jc w:val="right"/>
              <w:rPr>
                <w:sz w:val="20"/>
              </w:rPr>
            </w:pPr>
            <w:r>
              <w:rPr>
                <w:sz w:val="20"/>
              </w:rPr>
              <w:t>17,2</w:t>
            </w:r>
          </w:p>
        </w:tc>
        <w:tc>
          <w:tcPr>
            <w:tcW w:w="916" w:type="dxa"/>
            <w:noWrap/>
            <w:vAlign w:val="bottom"/>
          </w:tcPr>
          <w:p w:rsidR="00000000" w:rsidRDefault="00000000">
            <w:pPr>
              <w:jc w:val="right"/>
              <w:rPr>
                <w:sz w:val="20"/>
              </w:rPr>
            </w:pPr>
            <w:r>
              <w:rPr>
                <w:sz w:val="20"/>
              </w:rPr>
              <w:t>66,6</w:t>
            </w:r>
          </w:p>
        </w:tc>
        <w:tc>
          <w:tcPr>
            <w:tcW w:w="856" w:type="dxa"/>
            <w:noWrap/>
            <w:vAlign w:val="bottom"/>
          </w:tcPr>
          <w:p w:rsidR="00000000" w:rsidRDefault="00000000">
            <w:pPr>
              <w:jc w:val="right"/>
              <w:rPr>
                <w:sz w:val="20"/>
              </w:rPr>
            </w:pPr>
            <w:r>
              <w:rPr>
                <w:sz w:val="20"/>
              </w:rPr>
              <w:t>31,6</w:t>
            </w:r>
          </w:p>
        </w:tc>
        <w:tc>
          <w:tcPr>
            <w:tcW w:w="1004" w:type="dxa"/>
            <w:noWrap/>
            <w:vAlign w:val="bottom"/>
          </w:tcPr>
          <w:p w:rsidR="00000000" w:rsidRDefault="00000000">
            <w:pPr>
              <w:jc w:val="right"/>
              <w:rPr>
                <w:sz w:val="20"/>
              </w:rPr>
            </w:pPr>
            <w:r>
              <w:rPr>
                <w:sz w:val="20"/>
              </w:rPr>
              <w:t>12,0</w:t>
            </w:r>
          </w:p>
        </w:tc>
        <w:tc>
          <w:tcPr>
            <w:tcW w:w="916" w:type="dxa"/>
            <w:noWrap/>
            <w:vAlign w:val="bottom"/>
          </w:tcPr>
          <w:p w:rsidR="00000000" w:rsidRDefault="00000000">
            <w:pPr>
              <w:jc w:val="right"/>
              <w:rPr>
                <w:sz w:val="20"/>
              </w:rPr>
            </w:pPr>
            <w:r>
              <w:rPr>
                <w:sz w:val="20"/>
              </w:rPr>
              <w:t>57,7</w:t>
            </w:r>
          </w:p>
        </w:tc>
        <w:tc>
          <w:tcPr>
            <w:tcW w:w="856" w:type="dxa"/>
            <w:noWrap/>
            <w:vAlign w:val="bottom"/>
          </w:tcPr>
          <w:p w:rsidR="00000000" w:rsidRDefault="00000000">
            <w:pPr>
              <w:jc w:val="right"/>
              <w:rPr>
                <w:sz w:val="20"/>
              </w:rPr>
            </w:pPr>
            <w:r>
              <w:rPr>
                <w:sz w:val="20"/>
              </w:rPr>
              <w:t>22,4</w:t>
            </w:r>
          </w:p>
        </w:tc>
        <w:tc>
          <w:tcPr>
            <w:tcW w:w="1004" w:type="dxa"/>
            <w:noWrap/>
            <w:vAlign w:val="bottom"/>
          </w:tcPr>
          <w:p w:rsidR="00000000" w:rsidRDefault="00000000">
            <w:pPr>
              <w:jc w:val="right"/>
              <w:rPr>
                <w:sz w:val="20"/>
              </w:rPr>
            </w:pPr>
            <w:r>
              <w:rPr>
                <w:sz w:val="20"/>
              </w:rPr>
              <w:t>8,4</w:t>
            </w:r>
          </w:p>
        </w:tc>
        <w:tc>
          <w:tcPr>
            <w:tcW w:w="916" w:type="dxa"/>
            <w:noWrap/>
            <w:vAlign w:val="bottom"/>
          </w:tcPr>
          <w:p w:rsidR="00000000" w:rsidRDefault="00000000">
            <w:pPr>
              <w:jc w:val="right"/>
              <w:rPr>
                <w:sz w:val="20"/>
              </w:rPr>
            </w:pPr>
            <w:r>
              <w:rPr>
                <w:sz w:val="20"/>
              </w:rPr>
              <w:t>42,8</w:t>
            </w:r>
          </w:p>
        </w:tc>
        <w:tc>
          <w:tcPr>
            <w:tcW w:w="856" w:type="dxa"/>
            <w:noWrap/>
            <w:vAlign w:val="bottom"/>
          </w:tcPr>
          <w:p w:rsidR="00000000" w:rsidRDefault="00000000">
            <w:pPr>
              <w:jc w:val="right"/>
              <w:rPr>
                <w:sz w:val="20"/>
              </w:rPr>
            </w:pPr>
            <w:r>
              <w:rPr>
                <w:sz w:val="20"/>
              </w:rPr>
              <w:t xml:space="preserve">20,3 </w:t>
            </w:r>
          </w:p>
        </w:tc>
        <w:tc>
          <w:tcPr>
            <w:tcW w:w="1004" w:type="dxa"/>
            <w:noWrap/>
            <w:vAlign w:val="bottom"/>
          </w:tcPr>
          <w:p w:rsidR="00000000" w:rsidRDefault="00000000">
            <w:pPr>
              <w:jc w:val="right"/>
              <w:rPr>
                <w:sz w:val="20"/>
              </w:rPr>
            </w:pPr>
            <w:r>
              <w:rPr>
                <w:sz w:val="20"/>
              </w:rPr>
              <w:t>8,8</w:t>
            </w:r>
          </w:p>
        </w:tc>
        <w:tc>
          <w:tcPr>
            <w:tcW w:w="916" w:type="dxa"/>
            <w:noWrap/>
            <w:vAlign w:val="bottom"/>
          </w:tcPr>
          <w:p w:rsidR="00000000" w:rsidRDefault="00000000">
            <w:pPr>
              <w:jc w:val="right"/>
              <w:rPr>
                <w:sz w:val="20"/>
              </w:rPr>
            </w:pPr>
            <w:r>
              <w:rPr>
                <w:sz w:val="20"/>
              </w:rPr>
              <w:t xml:space="preserve">37,8 </w:t>
            </w:r>
          </w:p>
        </w:tc>
      </w:tr>
      <w:tr w:rsidR="00000000">
        <w:trPr>
          <w:cantSplit/>
        </w:trPr>
        <w:tc>
          <w:tcPr>
            <w:tcW w:w="2390" w:type="dxa"/>
            <w:noWrap/>
            <w:vAlign w:val="bottom"/>
          </w:tcPr>
          <w:p w:rsidR="00000000" w:rsidRDefault="00000000">
            <w:pPr>
              <w:rPr>
                <w:sz w:val="20"/>
              </w:rPr>
            </w:pPr>
            <w:r>
              <w:rPr>
                <w:sz w:val="20"/>
              </w:rPr>
              <w:t>Водовоз</w:t>
            </w:r>
          </w:p>
        </w:tc>
        <w:tc>
          <w:tcPr>
            <w:tcW w:w="856" w:type="dxa"/>
            <w:noWrap/>
            <w:vAlign w:val="bottom"/>
          </w:tcPr>
          <w:p w:rsidR="00000000" w:rsidRDefault="00000000">
            <w:pPr>
              <w:jc w:val="right"/>
              <w:rPr>
                <w:sz w:val="20"/>
              </w:rPr>
            </w:pPr>
            <w:r>
              <w:rPr>
                <w:sz w:val="20"/>
              </w:rPr>
              <w:t>0,2</w:t>
            </w:r>
          </w:p>
        </w:tc>
        <w:tc>
          <w:tcPr>
            <w:tcW w:w="1004" w:type="dxa"/>
            <w:noWrap/>
            <w:vAlign w:val="bottom"/>
          </w:tcPr>
          <w:p w:rsidR="00000000" w:rsidRDefault="00000000">
            <w:pPr>
              <w:jc w:val="right"/>
              <w:rPr>
                <w:sz w:val="20"/>
              </w:rPr>
            </w:pPr>
            <w:r>
              <w:rPr>
                <w:sz w:val="20"/>
              </w:rPr>
              <w:t>0,1</w:t>
            </w:r>
          </w:p>
        </w:tc>
        <w:tc>
          <w:tcPr>
            <w:tcW w:w="916" w:type="dxa"/>
            <w:noWrap/>
            <w:vAlign w:val="bottom"/>
          </w:tcPr>
          <w:p w:rsidR="00000000" w:rsidRDefault="00000000">
            <w:pPr>
              <w:jc w:val="right"/>
              <w:rPr>
                <w:sz w:val="20"/>
              </w:rPr>
            </w:pPr>
            <w:r>
              <w:rPr>
                <w:sz w:val="20"/>
              </w:rPr>
              <w:t>0,2</w:t>
            </w:r>
          </w:p>
        </w:tc>
        <w:tc>
          <w:tcPr>
            <w:tcW w:w="856" w:type="dxa"/>
            <w:noWrap/>
            <w:vAlign w:val="bottom"/>
          </w:tcPr>
          <w:p w:rsidR="00000000" w:rsidRDefault="00000000">
            <w:pPr>
              <w:jc w:val="right"/>
              <w:rPr>
                <w:sz w:val="20"/>
              </w:rPr>
            </w:pPr>
            <w:r>
              <w:rPr>
                <w:sz w:val="20"/>
              </w:rPr>
              <w:t>0,2</w:t>
            </w:r>
          </w:p>
        </w:tc>
        <w:tc>
          <w:tcPr>
            <w:tcW w:w="1004" w:type="dxa"/>
            <w:noWrap/>
            <w:vAlign w:val="bottom"/>
          </w:tcPr>
          <w:p w:rsidR="00000000" w:rsidRDefault="00000000">
            <w:pPr>
              <w:jc w:val="right"/>
              <w:rPr>
                <w:sz w:val="20"/>
              </w:rPr>
            </w:pPr>
            <w:r>
              <w:rPr>
                <w:sz w:val="20"/>
              </w:rPr>
              <w:t>0,3</w:t>
            </w:r>
          </w:p>
        </w:tc>
        <w:tc>
          <w:tcPr>
            <w:tcW w:w="916" w:type="dxa"/>
            <w:noWrap/>
            <w:vAlign w:val="bottom"/>
          </w:tcPr>
          <w:p w:rsidR="00000000" w:rsidRDefault="00000000">
            <w:pPr>
              <w:jc w:val="right"/>
              <w:rPr>
                <w:sz w:val="20"/>
              </w:rPr>
            </w:pPr>
            <w:r>
              <w:rPr>
                <w:sz w:val="20"/>
              </w:rPr>
              <w:t>-</w:t>
            </w:r>
          </w:p>
        </w:tc>
        <w:tc>
          <w:tcPr>
            <w:tcW w:w="856" w:type="dxa"/>
            <w:noWrap/>
            <w:vAlign w:val="bottom"/>
          </w:tcPr>
          <w:p w:rsidR="00000000" w:rsidRDefault="00000000">
            <w:pPr>
              <w:jc w:val="right"/>
              <w:rPr>
                <w:sz w:val="20"/>
              </w:rPr>
            </w:pPr>
            <w:r>
              <w:rPr>
                <w:sz w:val="20"/>
              </w:rPr>
              <w:t>-</w:t>
            </w:r>
          </w:p>
        </w:tc>
        <w:tc>
          <w:tcPr>
            <w:tcW w:w="1004" w:type="dxa"/>
            <w:noWrap/>
            <w:vAlign w:val="bottom"/>
          </w:tcPr>
          <w:p w:rsidR="00000000" w:rsidRDefault="00000000">
            <w:pPr>
              <w:jc w:val="right"/>
              <w:rPr>
                <w:sz w:val="20"/>
              </w:rPr>
            </w:pPr>
            <w:r>
              <w:rPr>
                <w:sz w:val="20"/>
              </w:rPr>
              <w:t>-</w:t>
            </w:r>
          </w:p>
        </w:tc>
        <w:tc>
          <w:tcPr>
            <w:tcW w:w="916" w:type="dxa"/>
            <w:noWrap/>
            <w:vAlign w:val="bottom"/>
          </w:tcPr>
          <w:p w:rsidR="00000000" w:rsidRDefault="00000000">
            <w:pPr>
              <w:jc w:val="right"/>
              <w:rPr>
                <w:sz w:val="20"/>
              </w:rPr>
            </w:pPr>
            <w:r>
              <w:rPr>
                <w:sz w:val="20"/>
              </w:rPr>
              <w:t>-</w:t>
            </w:r>
          </w:p>
        </w:tc>
        <w:tc>
          <w:tcPr>
            <w:tcW w:w="856" w:type="dxa"/>
            <w:noWrap/>
            <w:vAlign w:val="bottom"/>
          </w:tcPr>
          <w:p w:rsidR="00000000" w:rsidRDefault="00000000">
            <w:pPr>
              <w:jc w:val="right"/>
              <w:rPr>
                <w:sz w:val="20"/>
              </w:rPr>
            </w:pPr>
            <w:r>
              <w:rPr>
                <w:sz w:val="20"/>
              </w:rPr>
              <w:t>-</w:t>
            </w:r>
          </w:p>
        </w:tc>
        <w:tc>
          <w:tcPr>
            <w:tcW w:w="1004" w:type="dxa"/>
            <w:noWrap/>
            <w:vAlign w:val="bottom"/>
          </w:tcPr>
          <w:p w:rsidR="00000000" w:rsidRDefault="00000000">
            <w:pPr>
              <w:jc w:val="right"/>
              <w:rPr>
                <w:sz w:val="20"/>
              </w:rPr>
            </w:pPr>
            <w:r>
              <w:rPr>
                <w:sz w:val="20"/>
              </w:rPr>
              <w:t>-</w:t>
            </w:r>
          </w:p>
        </w:tc>
        <w:tc>
          <w:tcPr>
            <w:tcW w:w="916" w:type="dxa"/>
            <w:noWrap/>
            <w:vAlign w:val="bottom"/>
          </w:tcPr>
          <w:p w:rsidR="00000000" w:rsidRDefault="00000000">
            <w:pPr>
              <w:jc w:val="right"/>
              <w:rPr>
                <w:sz w:val="20"/>
              </w:rPr>
            </w:pPr>
            <w:r>
              <w:rPr>
                <w:sz w:val="20"/>
              </w:rPr>
              <w:t>-</w:t>
            </w:r>
          </w:p>
        </w:tc>
      </w:tr>
      <w:tr w:rsidR="00000000">
        <w:trPr>
          <w:cantSplit/>
        </w:trPr>
        <w:tc>
          <w:tcPr>
            <w:tcW w:w="2390" w:type="dxa"/>
            <w:noWrap/>
            <w:vAlign w:val="bottom"/>
          </w:tcPr>
          <w:p w:rsidR="00000000" w:rsidRDefault="00000000">
            <w:pPr>
              <w:rPr>
                <w:sz w:val="20"/>
              </w:rPr>
            </w:pPr>
            <w:r>
              <w:rPr>
                <w:sz w:val="20"/>
              </w:rPr>
              <w:t>Бак для пресной воды</w:t>
            </w:r>
          </w:p>
        </w:tc>
        <w:tc>
          <w:tcPr>
            <w:tcW w:w="856" w:type="dxa"/>
            <w:noWrap/>
            <w:vAlign w:val="bottom"/>
          </w:tcPr>
          <w:p w:rsidR="00000000" w:rsidRDefault="00000000">
            <w:pPr>
              <w:jc w:val="right"/>
              <w:rPr>
                <w:sz w:val="20"/>
              </w:rPr>
            </w:pPr>
            <w:r>
              <w:rPr>
                <w:sz w:val="20"/>
              </w:rPr>
              <w:t>-</w:t>
            </w:r>
          </w:p>
        </w:tc>
        <w:tc>
          <w:tcPr>
            <w:tcW w:w="1004" w:type="dxa"/>
            <w:noWrap/>
            <w:vAlign w:val="bottom"/>
          </w:tcPr>
          <w:p w:rsidR="00000000" w:rsidRDefault="00000000">
            <w:pPr>
              <w:jc w:val="right"/>
              <w:rPr>
                <w:sz w:val="20"/>
              </w:rPr>
            </w:pPr>
            <w:r>
              <w:rPr>
                <w:sz w:val="20"/>
              </w:rPr>
              <w:t>-</w:t>
            </w:r>
          </w:p>
        </w:tc>
        <w:tc>
          <w:tcPr>
            <w:tcW w:w="916" w:type="dxa"/>
            <w:noWrap/>
            <w:vAlign w:val="bottom"/>
          </w:tcPr>
          <w:p w:rsidR="00000000" w:rsidRDefault="00000000">
            <w:pPr>
              <w:jc w:val="right"/>
              <w:rPr>
                <w:sz w:val="20"/>
              </w:rPr>
            </w:pPr>
            <w:r>
              <w:rPr>
                <w:sz w:val="20"/>
              </w:rPr>
              <w:t>-</w:t>
            </w:r>
          </w:p>
        </w:tc>
        <w:tc>
          <w:tcPr>
            <w:tcW w:w="856" w:type="dxa"/>
            <w:noWrap/>
            <w:vAlign w:val="bottom"/>
          </w:tcPr>
          <w:p w:rsidR="00000000" w:rsidRDefault="00000000">
            <w:pPr>
              <w:jc w:val="right"/>
              <w:rPr>
                <w:sz w:val="20"/>
              </w:rPr>
            </w:pPr>
            <w:r>
              <w:rPr>
                <w:sz w:val="20"/>
              </w:rPr>
              <w:t>-</w:t>
            </w:r>
          </w:p>
        </w:tc>
        <w:tc>
          <w:tcPr>
            <w:tcW w:w="1004" w:type="dxa"/>
            <w:noWrap/>
            <w:vAlign w:val="bottom"/>
          </w:tcPr>
          <w:p w:rsidR="00000000" w:rsidRDefault="00000000">
            <w:pPr>
              <w:jc w:val="right"/>
              <w:rPr>
                <w:sz w:val="20"/>
              </w:rPr>
            </w:pPr>
            <w:r>
              <w:rPr>
                <w:sz w:val="20"/>
              </w:rPr>
              <w:t>-</w:t>
            </w:r>
          </w:p>
        </w:tc>
        <w:tc>
          <w:tcPr>
            <w:tcW w:w="916" w:type="dxa"/>
            <w:noWrap/>
            <w:vAlign w:val="bottom"/>
          </w:tcPr>
          <w:p w:rsidR="00000000" w:rsidRDefault="00000000">
            <w:pPr>
              <w:jc w:val="right"/>
              <w:rPr>
                <w:sz w:val="20"/>
              </w:rPr>
            </w:pPr>
            <w:r>
              <w:rPr>
                <w:sz w:val="20"/>
              </w:rPr>
              <w:t>-</w:t>
            </w:r>
          </w:p>
        </w:tc>
        <w:tc>
          <w:tcPr>
            <w:tcW w:w="856" w:type="dxa"/>
            <w:noWrap/>
            <w:vAlign w:val="bottom"/>
          </w:tcPr>
          <w:p w:rsidR="00000000" w:rsidRDefault="00000000">
            <w:pPr>
              <w:jc w:val="right"/>
              <w:rPr>
                <w:sz w:val="20"/>
              </w:rPr>
            </w:pPr>
            <w:r>
              <w:rPr>
                <w:sz w:val="20"/>
              </w:rPr>
              <w:t>0,5</w:t>
            </w:r>
          </w:p>
        </w:tc>
        <w:tc>
          <w:tcPr>
            <w:tcW w:w="1004" w:type="dxa"/>
            <w:noWrap/>
            <w:vAlign w:val="bottom"/>
          </w:tcPr>
          <w:p w:rsidR="00000000" w:rsidRDefault="00000000">
            <w:pPr>
              <w:jc w:val="right"/>
              <w:rPr>
                <w:sz w:val="20"/>
              </w:rPr>
            </w:pPr>
            <w:r>
              <w:rPr>
                <w:sz w:val="20"/>
              </w:rPr>
              <w:t>0,1</w:t>
            </w:r>
          </w:p>
        </w:tc>
        <w:tc>
          <w:tcPr>
            <w:tcW w:w="916" w:type="dxa"/>
            <w:noWrap/>
            <w:vAlign w:val="bottom"/>
          </w:tcPr>
          <w:p w:rsidR="00000000" w:rsidRDefault="00000000">
            <w:pPr>
              <w:jc w:val="right"/>
              <w:rPr>
                <w:sz w:val="20"/>
              </w:rPr>
            </w:pPr>
            <w:r>
              <w:rPr>
                <w:sz w:val="20"/>
              </w:rPr>
              <w:t>1,1</w:t>
            </w:r>
          </w:p>
        </w:tc>
        <w:tc>
          <w:tcPr>
            <w:tcW w:w="856" w:type="dxa"/>
            <w:noWrap/>
            <w:vAlign w:val="bottom"/>
          </w:tcPr>
          <w:p w:rsidR="00000000" w:rsidRDefault="00000000">
            <w:pPr>
              <w:jc w:val="right"/>
              <w:rPr>
                <w:sz w:val="20"/>
              </w:rPr>
            </w:pPr>
            <w:r>
              <w:rPr>
                <w:sz w:val="20"/>
              </w:rPr>
              <w:t xml:space="preserve">0,3 </w:t>
            </w:r>
          </w:p>
        </w:tc>
        <w:tc>
          <w:tcPr>
            <w:tcW w:w="1004" w:type="dxa"/>
            <w:noWrap/>
            <w:vAlign w:val="bottom"/>
          </w:tcPr>
          <w:p w:rsidR="00000000" w:rsidRDefault="00000000">
            <w:pPr>
              <w:jc w:val="right"/>
              <w:rPr>
                <w:sz w:val="20"/>
              </w:rPr>
            </w:pPr>
            <w:r>
              <w:rPr>
                <w:sz w:val="20"/>
              </w:rPr>
              <w:t>0,0</w:t>
            </w:r>
          </w:p>
        </w:tc>
        <w:tc>
          <w:tcPr>
            <w:tcW w:w="916" w:type="dxa"/>
            <w:noWrap/>
            <w:vAlign w:val="bottom"/>
          </w:tcPr>
          <w:p w:rsidR="00000000" w:rsidRDefault="00000000">
            <w:pPr>
              <w:jc w:val="right"/>
              <w:rPr>
                <w:sz w:val="20"/>
              </w:rPr>
            </w:pPr>
            <w:r>
              <w:rPr>
                <w:sz w:val="20"/>
              </w:rPr>
              <w:t xml:space="preserve">0,7 </w:t>
            </w:r>
          </w:p>
        </w:tc>
      </w:tr>
      <w:tr w:rsidR="00000000">
        <w:trPr>
          <w:cantSplit/>
        </w:trPr>
        <w:tc>
          <w:tcPr>
            <w:tcW w:w="2390" w:type="dxa"/>
            <w:noWrap/>
            <w:vAlign w:val="bottom"/>
          </w:tcPr>
          <w:p w:rsidR="00000000" w:rsidRDefault="00000000">
            <w:pPr>
              <w:rPr>
                <w:sz w:val="20"/>
              </w:rPr>
            </w:pPr>
            <w:r>
              <w:rPr>
                <w:sz w:val="20"/>
              </w:rPr>
              <w:t>Другое</w:t>
            </w:r>
            <w:r>
              <w:rPr>
                <w:b/>
                <w:bCs/>
                <w:sz w:val="20"/>
              </w:rPr>
              <w:t>**</w:t>
            </w:r>
          </w:p>
        </w:tc>
        <w:tc>
          <w:tcPr>
            <w:tcW w:w="856" w:type="dxa"/>
            <w:noWrap/>
            <w:vAlign w:val="bottom"/>
          </w:tcPr>
          <w:p w:rsidR="00000000" w:rsidRDefault="00000000">
            <w:pPr>
              <w:jc w:val="right"/>
              <w:rPr>
                <w:sz w:val="20"/>
              </w:rPr>
            </w:pPr>
            <w:r>
              <w:rPr>
                <w:sz w:val="20"/>
              </w:rPr>
              <w:t>1,2</w:t>
            </w:r>
          </w:p>
        </w:tc>
        <w:tc>
          <w:tcPr>
            <w:tcW w:w="1004" w:type="dxa"/>
            <w:noWrap/>
            <w:vAlign w:val="bottom"/>
          </w:tcPr>
          <w:p w:rsidR="00000000" w:rsidRDefault="00000000">
            <w:pPr>
              <w:jc w:val="right"/>
              <w:rPr>
                <w:sz w:val="20"/>
              </w:rPr>
            </w:pPr>
            <w:r>
              <w:rPr>
                <w:sz w:val="20"/>
              </w:rPr>
              <w:t>0,8</w:t>
            </w:r>
          </w:p>
        </w:tc>
        <w:tc>
          <w:tcPr>
            <w:tcW w:w="916" w:type="dxa"/>
            <w:noWrap/>
            <w:vAlign w:val="bottom"/>
          </w:tcPr>
          <w:p w:rsidR="00000000" w:rsidRDefault="00000000">
            <w:pPr>
              <w:jc w:val="right"/>
              <w:rPr>
                <w:sz w:val="20"/>
              </w:rPr>
            </w:pPr>
            <w:r>
              <w:rPr>
                <w:sz w:val="20"/>
              </w:rPr>
              <w:t>1,6</w:t>
            </w:r>
          </w:p>
        </w:tc>
        <w:tc>
          <w:tcPr>
            <w:tcW w:w="856" w:type="dxa"/>
            <w:noWrap/>
            <w:vAlign w:val="bottom"/>
          </w:tcPr>
          <w:p w:rsidR="00000000" w:rsidRDefault="00000000">
            <w:pPr>
              <w:jc w:val="right"/>
              <w:rPr>
                <w:sz w:val="20"/>
              </w:rPr>
            </w:pPr>
            <w:r>
              <w:rPr>
                <w:sz w:val="20"/>
              </w:rPr>
              <w:t>0,5</w:t>
            </w:r>
          </w:p>
        </w:tc>
        <w:tc>
          <w:tcPr>
            <w:tcW w:w="1004" w:type="dxa"/>
            <w:noWrap/>
            <w:vAlign w:val="bottom"/>
          </w:tcPr>
          <w:p w:rsidR="00000000" w:rsidRDefault="00000000">
            <w:pPr>
              <w:jc w:val="right"/>
              <w:rPr>
                <w:sz w:val="20"/>
              </w:rPr>
            </w:pPr>
            <w:r>
              <w:rPr>
                <w:sz w:val="20"/>
              </w:rPr>
              <w:t>0,1</w:t>
            </w:r>
          </w:p>
        </w:tc>
        <w:tc>
          <w:tcPr>
            <w:tcW w:w="916" w:type="dxa"/>
            <w:noWrap/>
            <w:vAlign w:val="bottom"/>
          </w:tcPr>
          <w:p w:rsidR="00000000" w:rsidRDefault="00000000">
            <w:pPr>
              <w:jc w:val="right"/>
              <w:rPr>
                <w:sz w:val="20"/>
              </w:rPr>
            </w:pPr>
            <w:r>
              <w:rPr>
                <w:sz w:val="20"/>
              </w:rPr>
              <w:t>1,1</w:t>
            </w:r>
          </w:p>
        </w:tc>
        <w:tc>
          <w:tcPr>
            <w:tcW w:w="856" w:type="dxa"/>
            <w:noWrap/>
            <w:vAlign w:val="bottom"/>
          </w:tcPr>
          <w:p w:rsidR="00000000" w:rsidRDefault="00000000">
            <w:pPr>
              <w:jc w:val="right"/>
              <w:rPr>
                <w:sz w:val="20"/>
              </w:rPr>
            </w:pPr>
            <w:r>
              <w:rPr>
                <w:sz w:val="20"/>
              </w:rPr>
              <w:t>0,1</w:t>
            </w:r>
          </w:p>
        </w:tc>
        <w:tc>
          <w:tcPr>
            <w:tcW w:w="1004" w:type="dxa"/>
            <w:noWrap/>
            <w:vAlign w:val="bottom"/>
          </w:tcPr>
          <w:p w:rsidR="00000000" w:rsidRDefault="00000000">
            <w:pPr>
              <w:jc w:val="right"/>
              <w:rPr>
                <w:sz w:val="20"/>
              </w:rPr>
            </w:pPr>
            <w:r>
              <w:rPr>
                <w:sz w:val="20"/>
              </w:rPr>
              <w:t>0,0</w:t>
            </w:r>
          </w:p>
        </w:tc>
        <w:tc>
          <w:tcPr>
            <w:tcW w:w="916" w:type="dxa"/>
            <w:noWrap/>
            <w:vAlign w:val="bottom"/>
          </w:tcPr>
          <w:p w:rsidR="00000000" w:rsidRDefault="00000000">
            <w:pPr>
              <w:jc w:val="right"/>
              <w:rPr>
                <w:sz w:val="20"/>
              </w:rPr>
            </w:pPr>
            <w:r>
              <w:rPr>
                <w:sz w:val="20"/>
              </w:rPr>
              <w:t>0,1</w:t>
            </w:r>
          </w:p>
        </w:tc>
        <w:tc>
          <w:tcPr>
            <w:tcW w:w="856" w:type="dxa"/>
            <w:noWrap/>
            <w:vAlign w:val="bottom"/>
          </w:tcPr>
          <w:p w:rsidR="00000000" w:rsidRDefault="00000000">
            <w:pPr>
              <w:jc w:val="right"/>
              <w:rPr>
                <w:sz w:val="20"/>
              </w:rPr>
            </w:pPr>
            <w:r>
              <w:rPr>
                <w:sz w:val="20"/>
              </w:rPr>
              <w:t>-</w:t>
            </w:r>
          </w:p>
        </w:tc>
        <w:tc>
          <w:tcPr>
            <w:tcW w:w="1004" w:type="dxa"/>
            <w:noWrap/>
            <w:vAlign w:val="bottom"/>
          </w:tcPr>
          <w:p w:rsidR="00000000" w:rsidRDefault="00000000">
            <w:pPr>
              <w:jc w:val="right"/>
              <w:rPr>
                <w:sz w:val="20"/>
              </w:rPr>
            </w:pPr>
            <w:r>
              <w:rPr>
                <w:sz w:val="20"/>
              </w:rPr>
              <w:t>-</w:t>
            </w:r>
          </w:p>
        </w:tc>
        <w:tc>
          <w:tcPr>
            <w:tcW w:w="916" w:type="dxa"/>
            <w:noWrap/>
            <w:vAlign w:val="bottom"/>
          </w:tcPr>
          <w:p w:rsidR="00000000" w:rsidRDefault="00000000">
            <w:pPr>
              <w:jc w:val="right"/>
              <w:rPr>
                <w:sz w:val="20"/>
              </w:rPr>
            </w:pPr>
            <w:r>
              <w:rPr>
                <w:sz w:val="20"/>
              </w:rPr>
              <w:t>-</w:t>
            </w:r>
          </w:p>
        </w:tc>
      </w:tr>
      <w:tr w:rsidR="00000000">
        <w:trPr>
          <w:cantSplit/>
        </w:trPr>
        <w:tc>
          <w:tcPr>
            <w:tcW w:w="2390" w:type="dxa"/>
            <w:noWrap/>
            <w:vAlign w:val="bottom"/>
          </w:tcPr>
          <w:p w:rsidR="00000000" w:rsidRDefault="00000000">
            <w:pPr>
              <w:rPr>
                <w:b/>
                <w:bCs/>
                <w:sz w:val="20"/>
              </w:rPr>
            </w:pPr>
            <w:r>
              <w:rPr>
                <w:b/>
                <w:bCs/>
                <w:sz w:val="20"/>
                <w:lang w:val="es-ES_tradnl"/>
              </w:rPr>
              <w:tab/>
            </w:r>
            <w:r>
              <w:rPr>
                <w:b/>
                <w:bCs/>
                <w:sz w:val="20"/>
              </w:rPr>
              <w:t>Итого</w:t>
            </w:r>
          </w:p>
        </w:tc>
        <w:tc>
          <w:tcPr>
            <w:tcW w:w="856" w:type="dxa"/>
            <w:noWrap/>
            <w:vAlign w:val="bottom"/>
          </w:tcPr>
          <w:p w:rsidR="00000000" w:rsidRDefault="00000000">
            <w:pPr>
              <w:jc w:val="right"/>
              <w:rPr>
                <w:b/>
                <w:bCs/>
                <w:sz w:val="20"/>
              </w:rPr>
            </w:pPr>
            <w:r>
              <w:rPr>
                <w:b/>
                <w:bCs/>
                <w:sz w:val="20"/>
              </w:rPr>
              <w:t>1 000 404</w:t>
            </w:r>
          </w:p>
        </w:tc>
        <w:tc>
          <w:tcPr>
            <w:tcW w:w="1004" w:type="dxa"/>
            <w:noWrap/>
            <w:vAlign w:val="bottom"/>
          </w:tcPr>
          <w:p w:rsidR="00000000" w:rsidRDefault="00000000">
            <w:pPr>
              <w:tabs>
                <w:tab w:val="decimal" w:pos="600"/>
              </w:tabs>
              <w:jc w:val="right"/>
              <w:rPr>
                <w:b/>
                <w:bCs/>
                <w:sz w:val="20"/>
              </w:rPr>
            </w:pPr>
            <w:r>
              <w:rPr>
                <w:b/>
                <w:bCs/>
                <w:sz w:val="20"/>
              </w:rPr>
              <w:t>541 050</w:t>
            </w:r>
          </w:p>
        </w:tc>
        <w:tc>
          <w:tcPr>
            <w:tcW w:w="916" w:type="dxa"/>
            <w:noWrap/>
            <w:vAlign w:val="bottom"/>
          </w:tcPr>
          <w:p w:rsidR="00000000" w:rsidRDefault="00000000">
            <w:pPr>
              <w:tabs>
                <w:tab w:val="clear" w:pos="567"/>
                <w:tab w:val="decimal" w:pos="580"/>
              </w:tabs>
              <w:jc w:val="right"/>
              <w:rPr>
                <w:b/>
                <w:bCs/>
                <w:sz w:val="20"/>
              </w:rPr>
            </w:pPr>
            <w:r>
              <w:rPr>
                <w:b/>
                <w:bCs/>
                <w:sz w:val="20"/>
              </w:rPr>
              <w:t>459 354</w:t>
            </w:r>
          </w:p>
        </w:tc>
        <w:tc>
          <w:tcPr>
            <w:tcW w:w="856" w:type="dxa"/>
            <w:noWrap/>
            <w:vAlign w:val="bottom"/>
          </w:tcPr>
          <w:p w:rsidR="00000000" w:rsidRDefault="00000000">
            <w:pPr>
              <w:tabs>
                <w:tab w:val="decimal" w:pos="677"/>
              </w:tabs>
              <w:jc w:val="right"/>
              <w:rPr>
                <w:b/>
                <w:bCs/>
                <w:sz w:val="20"/>
              </w:rPr>
            </w:pPr>
            <w:r>
              <w:rPr>
                <w:b/>
                <w:bCs/>
                <w:sz w:val="20"/>
              </w:rPr>
              <w:t>1 107 486</w:t>
            </w:r>
          </w:p>
        </w:tc>
        <w:tc>
          <w:tcPr>
            <w:tcW w:w="1004" w:type="dxa"/>
            <w:noWrap/>
            <w:vAlign w:val="bottom"/>
          </w:tcPr>
          <w:p w:rsidR="00000000" w:rsidRDefault="00000000">
            <w:pPr>
              <w:tabs>
                <w:tab w:val="decimal" w:pos="657"/>
              </w:tabs>
              <w:jc w:val="right"/>
              <w:rPr>
                <w:b/>
                <w:bCs/>
                <w:sz w:val="20"/>
              </w:rPr>
            </w:pPr>
            <w:r>
              <w:rPr>
                <w:b/>
                <w:bCs/>
                <w:sz w:val="20"/>
              </w:rPr>
              <w:t>630 864</w:t>
            </w:r>
          </w:p>
        </w:tc>
        <w:tc>
          <w:tcPr>
            <w:tcW w:w="916" w:type="dxa"/>
            <w:noWrap/>
            <w:vAlign w:val="bottom"/>
          </w:tcPr>
          <w:p w:rsidR="00000000" w:rsidRDefault="00000000">
            <w:pPr>
              <w:tabs>
                <w:tab w:val="decimal" w:pos="634"/>
              </w:tabs>
              <w:jc w:val="right"/>
              <w:rPr>
                <w:b/>
                <w:bCs/>
                <w:sz w:val="20"/>
              </w:rPr>
            </w:pPr>
            <w:r>
              <w:rPr>
                <w:b/>
                <w:bCs/>
                <w:sz w:val="20"/>
              </w:rPr>
              <w:t>476 622</w:t>
            </w:r>
          </w:p>
        </w:tc>
        <w:tc>
          <w:tcPr>
            <w:tcW w:w="856" w:type="dxa"/>
            <w:noWrap/>
            <w:vAlign w:val="bottom"/>
          </w:tcPr>
          <w:p w:rsidR="00000000" w:rsidRDefault="00000000">
            <w:pPr>
              <w:tabs>
                <w:tab w:val="clear" w:pos="567"/>
                <w:tab w:val="decimal" w:pos="573"/>
              </w:tabs>
              <w:jc w:val="right"/>
              <w:rPr>
                <w:b/>
                <w:bCs/>
                <w:sz w:val="20"/>
              </w:rPr>
            </w:pPr>
            <w:r>
              <w:rPr>
                <w:b/>
                <w:bCs/>
                <w:sz w:val="20"/>
              </w:rPr>
              <w:t>1 288 717</w:t>
            </w:r>
          </w:p>
        </w:tc>
        <w:tc>
          <w:tcPr>
            <w:tcW w:w="1004" w:type="dxa"/>
            <w:noWrap/>
            <w:vAlign w:val="bottom"/>
          </w:tcPr>
          <w:p w:rsidR="00000000" w:rsidRDefault="00000000">
            <w:pPr>
              <w:tabs>
                <w:tab w:val="decimal" w:pos="662"/>
              </w:tabs>
              <w:jc w:val="right"/>
              <w:rPr>
                <w:b/>
                <w:bCs/>
                <w:sz w:val="20"/>
              </w:rPr>
            </w:pPr>
            <w:r>
              <w:rPr>
                <w:b/>
                <w:bCs/>
                <w:sz w:val="20"/>
              </w:rPr>
              <w:t>765 308</w:t>
            </w:r>
          </w:p>
        </w:tc>
        <w:tc>
          <w:tcPr>
            <w:tcW w:w="916" w:type="dxa"/>
            <w:noWrap/>
            <w:vAlign w:val="bottom"/>
          </w:tcPr>
          <w:p w:rsidR="00000000" w:rsidRDefault="00000000">
            <w:pPr>
              <w:tabs>
                <w:tab w:val="decimal" w:pos="639"/>
              </w:tabs>
              <w:jc w:val="right"/>
              <w:rPr>
                <w:b/>
                <w:bCs/>
                <w:sz w:val="20"/>
              </w:rPr>
            </w:pPr>
            <w:r>
              <w:rPr>
                <w:b/>
                <w:bCs/>
                <w:sz w:val="20"/>
              </w:rPr>
              <w:t>523 409</w:t>
            </w:r>
          </w:p>
        </w:tc>
        <w:tc>
          <w:tcPr>
            <w:tcW w:w="856" w:type="dxa"/>
            <w:noWrap/>
            <w:vAlign w:val="bottom"/>
          </w:tcPr>
          <w:p w:rsidR="00000000" w:rsidRDefault="00000000">
            <w:pPr>
              <w:tabs>
                <w:tab w:val="decimal" w:pos="750"/>
              </w:tabs>
              <w:jc w:val="right"/>
              <w:rPr>
                <w:b/>
                <w:bCs/>
                <w:sz w:val="20"/>
              </w:rPr>
            </w:pPr>
            <w:r>
              <w:rPr>
                <w:b/>
                <w:bCs/>
                <w:sz w:val="20"/>
              </w:rPr>
              <w:t>1 343 713</w:t>
            </w:r>
          </w:p>
        </w:tc>
        <w:tc>
          <w:tcPr>
            <w:tcW w:w="1004" w:type="dxa"/>
            <w:noWrap/>
            <w:vAlign w:val="bottom"/>
          </w:tcPr>
          <w:p w:rsidR="00000000" w:rsidRDefault="00000000">
            <w:pPr>
              <w:tabs>
                <w:tab w:val="decimal" w:pos="716"/>
              </w:tabs>
              <w:jc w:val="right"/>
              <w:rPr>
                <w:b/>
                <w:bCs/>
                <w:sz w:val="20"/>
              </w:rPr>
            </w:pPr>
            <w:r>
              <w:rPr>
                <w:b/>
                <w:bCs/>
                <w:sz w:val="20"/>
              </w:rPr>
              <w:t>813 606</w:t>
            </w:r>
          </w:p>
        </w:tc>
        <w:tc>
          <w:tcPr>
            <w:tcW w:w="916" w:type="dxa"/>
            <w:noWrap/>
            <w:vAlign w:val="bottom"/>
          </w:tcPr>
          <w:p w:rsidR="00000000" w:rsidRDefault="00000000">
            <w:pPr>
              <w:tabs>
                <w:tab w:val="decimal" w:pos="634"/>
              </w:tabs>
              <w:jc w:val="right"/>
              <w:rPr>
                <w:b/>
                <w:bCs/>
                <w:sz w:val="20"/>
              </w:rPr>
            </w:pPr>
            <w:r>
              <w:rPr>
                <w:b/>
                <w:bCs/>
                <w:sz w:val="20"/>
              </w:rPr>
              <w:t>530 107</w:t>
            </w:r>
          </w:p>
        </w:tc>
      </w:tr>
    </w:tbl>
    <w:p w:rsidR="00000000" w:rsidRDefault="00000000">
      <w:pPr>
        <w:spacing w:after="200" w:line="240" w:lineRule="auto"/>
        <w:rPr>
          <w:i/>
          <w:iCs/>
          <w:sz w:val="20"/>
          <w:szCs w:val="16"/>
        </w:rPr>
      </w:pPr>
    </w:p>
    <w:p w:rsidR="00000000" w:rsidRDefault="00000000">
      <w:pPr>
        <w:spacing w:after="200" w:line="240" w:lineRule="auto"/>
        <w:rPr>
          <w:b/>
          <w:bCs/>
          <w:sz w:val="20"/>
          <w:szCs w:val="16"/>
        </w:rPr>
      </w:pPr>
      <w:r>
        <w:rPr>
          <w:i/>
          <w:iCs/>
          <w:sz w:val="20"/>
          <w:szCs w:val="16"/>
        </w:rPr>
        <w:t>Источник:</w:t>
      </w:r>
      <w:r>
        <w:rPr>
          <w:sz w:val="20"/>
          <w:szCs w:val="16"/>
        </w:rPr>
        <w:t xml:space="preserve">  </w:t>
      </w:r>
      <w:r>
        <w:rPr>
          <w:sz w:val="20"/>
          <w:szCs w:val="16"/>
          <w:lang w:val="en-GB"/>
        </w:rPr>
        <w:t>STP</w:t>
      </w:r>
      <w:r>
        <w:rPr>
          <w:sz w:val="20"/>
          <w:szCs w:val="16"/>
        </w:rPr>
        <w:t>/</w:t>
      </w:r>
      <w:r>
        <w:rPr>
          <w:sz w:val="20"/>
          <w:szCs w:val="16"/>
          <w:lang w:val="en-GB"/>
        </w:rPr>
        <w:t>DGEEC</w:t>
      </w:r>
      <w:r>
        <w:rPr>
          <w:sz w:val="20"/>
          <w:szCs w:val="16"/>
        </w:rPr>
        <w:t>.  ТСП/ГУСОП.  Постоянное обследование домохозяйств 1995, 1999, 2004 годов.</w:t>
      </w:r>
    </w:p>
    <w:p w:rsidR="00000000" w:rsidRDefault="00000000">
      <w:pPr>
        <w:spacing w:after="200" w:line="240" w:lineRule="auto"/>
        <w:rPr>
          <w:sz w:val="20"/>
          <w:szCs w:val="16"/>
        </w:rPr>
      </w:pPr>
      <w:r>
        <w:rPr>
          <w:b/>
          <w:bCs/>
          <w:sz w:val="20"/>
          <w:szCs w:val="16"/>
        </w:rPr>
        <w:t>*</w:t>
      </w:r>
      <w:r>
        <w:rPr>
          <w:sz w:val="20"/>
          <w:szCs w:val="16"/>
        </w:rPr>
        <w:t xml:space="preserve"> </w:t>
      </w:r>
      <w:r>
        <w:rPr>
          <w:sz w:val="20"/>
          <w:szCs w:val="16"/>
        </w:rPr>
        <w:tab/>
        <w:t>Данные постоянной переписи домохозяйств 1995-1999 годов даны с учетом результатов переписи населения 2002 года.</w:t>
      </w:r>
    </w:p>
    <w:p w:rsidR="00000000" w:rsidRDefault="00000000">
      <w:pPr>
        <w:tabs>
          <w:tab w:val="left" w:pos="1932"/>
        </w:tabs>
        <w:spacing w:after="200" w:line="240" w:lineRule="auto"/>
        <w:rPr>
          <w:sz w:val="20"/>
          <w:szCs w:val="16"/>
        </w:rPr>
      </w:pPr>
      <w:r>
        <w:rPr>
          <w:b/>
          <w:bCs/>
          <w:sz w:val="20"/>
          <w:szCs w:val="16"/>
        </w:rPr>
        <w:t>**</w:t>
      </w:r>
      <w:r>
        <w:rPr>
          <w:sz w:val="20"/>
          <w:szCs w:val="16"/>
        </w:rPr>
        <w:t xml:space="preserve"> </w:t>
      </w:r>
      <w:r>
        <w:rPr>
          <w:sz w:val="20"/>
          <w:szCs w:val="16"/>
        </w:rPr>
        <w:tab/>
        <w:t>Данные по 1995 году включают в себя данные, касающиеся баков для пресной воды, артезианских колодцев, запруд;  данные по 1999 году включают в себя данные, касающиеся мусора, выбрасываемого в ручьи, на фермах и на открытых свалках;  данные за 2004 год включают в себя данные, касающиеся родников, источников и ручьев.</w:t>
      </w:r>
    </w:p>
    <w:p w:rsidR="00000000" w:rsidRDefault="00000000">
      <w:pPr>
        <w:sectPr w:rsidR="00000000">
          <w:headerReference w:type="even" r:id="rId77"/>
          <w:headerReference w:type="default" r:id="rId78"/>
          <w:footerReference w:type="default" r:id="rId79"/>
          <w:pgSz w:w="16840" w:h="11907" w:orient="landscape" w:code="9"/>
          <w:pgMar w:top="1701" w:right="1701" w:bottom="1701" w:left="1701" w:header="850" w:footer="850" w:gutter="0"/>
          <w:cols w:space="720"/>
          <w:docGrid w:linePitch="326"/>
        </w:sectPr>
      </w:pPr>
    </w:p>
    <w:p w:rsidR="00000000" w:rsidRDefault="00000000">
      <w:r>
        <w:t>418.</w:t>
      </w:r>
      <w:r>
        <w:tab/>
        <w:t>Также можно утверждать, что дети, проживающие в домах, к которым питьевая вода не подведена, а берется из открытых водных источников (ручьев) и обычных колодцев, в значительно большей степени подвержены общему истощению и хроническим заболеваниям, нежели дети, проживающие в домах, где водоснабжение осуществляют EССАП, СЕНАСА или частные компании (диаграмма 3).  Аналогичную картину можно наблюдать и на диаграмме 4:  в случаях, когда в жилищах нет канализации или же она в плачевном состоянии, дистрофия и хронические заболевания детей заметно выше по сравнению с детьми, проживающими в домах, где есть санузлы, подключенные к городской канализации либо к септикам.</w:t>
      </w:r>
    </w:p>
    <w:p w:rsidR="00000000" w:rsidRDefault="00000000"/>
    <w:p w:rsidR="00000000" w:rsidRDefault="00000000">
      <w:pPr>
        <w:autoSpaceDE w:val="0"/>
        <w:autoSpaceDN w:val="0"/>
        <w:adjustRightInd w:val="0"/>
        <w:jc w:val="center"/>
        <w:rPr>
          <w:b/>
          <w:bCs/>
          <w:lang w:val="es-ES_tradnl"/>
        </w:rPr>
      </w:pPr>
      <w:r>
        <w:rPr>
          <w:b/>
          <w:bCs/>
        </w:rPr>
        <w:t>Диаграмма</w:t>
      </w:r>
      <w:r>
        <w:rPr>
          <w:b/>
          <w:bCs/>
          <w:lang w:val="es-ES_tradnl"/>
        </w:rPr>
        <w:t xml:space="preserve"> 3</w:t>
      </w:r>
    </w:p>
    <w:p w:rsidR="00000000" w:rsidRDefault="00000000">
      <w:pPr>
        <w:autoSpaceDE w:val="0"/>
        <w:autoSpaceDN w:val="0"/>
        <w:adjustRightInd w:val="0"/>
        <w:spacing w:beforeLines="40" w:before="96" w:afterLines="40" w:after="96"/>
        <w:jc w:val="center"/>
        <w:rPr>
          <w:b/>
          <w:bCs/>
        </w:rPr>
      </w:pPr>
      <w:r>
        <w:rPr>
          <w:noProof/>
          <w:sz w:val="20"/>
          <w:lang w:eastAsia="ru-RU"/>
        </w:rPr>
        <w:pict>
          <v:shape id="_x0000_s2103" type="#_x0000_t75" style="position:absolute;left:0;text-align:left;margin-left:74.8pt;margin-top:71.85pt;width:305.75pt;height:191.4pt;z-index:29">
            <v:imagedata r:id="rId80" o:title=""/>
            <w10:wrap type="square" side="right"/>
          </v:shape>
        </w:pict>
      </w:r>
      <w:r>
        <w:rPr>
          <w:b/>
          <w:bCs/>
        </w:rPr>
        <w:t>Подверженность</w:t>
      </w:r>
      <w:r>
        <w:rPr>
          <w:b/>
          <w:bCs/>
          <w:lang w:val="es-ES_tradnl"/>
        </w:rPr>
        <w:t xml:space="preserve"> </w:t>
      </w:r>
      <w:r>
        <w:rPr>
          <w:b/>
          <w:bCs/>
        </w:rPr>
        <w:t>общему</w:t>
      </w:r>
      <w:r>
        <w:rPr>
          <w:b/>
          <w:bCs/>
          <w:lang w:val="es-ES_tradnl"/>
        </w:rPr>
        <w:t xml:space="preserve"> </w:t>
      </w:r>
      <w:r>
        <w:rPr>
          <w:b/>
          <w:bCs/>
        </w:rPr>
        <w:t>истощению</w:t>
      </w:r>
      <w:r>
        <w:rPr>
          <w:b/>
          <w:bCs/>
          <w:lang w:val="es-ES_tradnl"/>
        </w:rPr>
        <w:t xml:space="preserve"> </w:t>
      </w:r>
      <w:r>
        <w:rPr>
          <w:b/>
          <w:bCs/>
        </w:rPr>
        <w:t>и</w:t>
      </w:r>
      <w:r>
        <w:rPr>
          <w:b/>
          <w:bCs/>
          <w:lang w:val="es-ES_tradnl"/>
        </w:rPr>
        <w:t xml:space="preserve"> </w:t>
      </w:r>
      <w:r>
        <w:rPr>
          <w:b/>
          <w:bCs/>
        </w:rPr>
        <w:t>хроническим</w:t>
      </w:r>
      <w:r>
        <w:rPr>
          <w:b/>
          <w:bCs/>
          <w:lang w:val="es-ES_tradnl"/>
        </w:rPr>
        <w:t xml:space="preserve"> </w:t>
      </w:r>
      <w:r>
        <w:rPr>
          <w:b/>
          <w:bCs/>
        </w:rPr>
        <w:t>заболеваниям</w:t>
      </w:r>
      <w:r>
        <w:rPr>
          <w:b/>
          <w:bCs/>
          <w:lang w:val="es-ES_tradnl"/>
        </w:rPr>
        <w:t xml:space="preserve"> </w:t>
      </w:r>
      <w:r>
        <w:rPr>
          <w:b/>
          <w:bCs/>
        </w:rPr>
        <w:t>в зависимости от типа водоснабжения домов, где проживают семьи</w:t>
      </w:r>
    </w:p>
    <w:p w:rsidR="00000000" w:rsidRDefault="00000000">
      <w:pPr>
        <w:autoSpaceDE w:val="0"/>
        <w:autoSpaceDN w:val="0"/>
        <w:adjustRightInd w:val="0"/>
        <w:spacing w:beforeLines="40" w:before="96" w:afterLines="40" w:after="96"/>
      </w:pPr>
    </w:p>
    <w:p w:rsidR="00000000" w:rsidRDefault="00000000">
      <w:pPr>
        <w:autoSpaceDE w:val="0"/>
        <w:autoSpaceDN w:val="0"/>
        <w:adjustRightInd w:val="0"/>
        <w:spacing w:beforeLines="40" w:before="96" w:afterLines="40" w:after="96"/>
        <w:rPr>
          <w:lang w:val="es-ES_tradnl"/>
        </w:rPr>
      </w:pPr>
    </w:p>
    <w:p w:rsidR="00000000" w:rsidRDefault="00000000">
      <w:pPr>
        <w:autoSpaceDE w:val="0"/>
        <w:autoSpaceDN w:val="0"/>
        <w:adjustRightInd w:val="0"/>
        <w:spacing w:beforeLines="40" w:before="96" w:afterLines="40" w:after="96"/>
        <w:rPr>
          <w:lang w:val="es-ES_tradnl"/>
        </w:rPr>
      </w:pPr>
    </w:p>
    <w:p w:rsidR="00000000" w:rsidRDefault="00000000">
      <w:pPr>
        <w:autoSpaceDE w:val="0"/>
        <w:autoSpaceDN w:val="0"/>
        <w:adjustRightInd w:val="0"/>
        <w:spacing w:beforeLines="40" w:before="96" w:afterLines="40" w:after="96"/>
        <w:rPr>
          <w:lang w:val="es-ES_tradnl"/>
        </w:rPr>
      </w:pPr>
    </w:p>
    <w:p w:rsidR="00000000" w:rsidRDefault="00000000">
      <w:pPr>
        <w:autoSpaceDE w:val="0"/>
        <w:autoSpaceDN w:val="0"/>
        <w:adjustRightInd w:val="0"/>
        <w:spacing w:beforeLines="40" w:before="96" w:afterLines="40" w:after="96"/>
        <w:rPr>
          <w:lang w:val="es-ES_tradnl"/>
        </w:rPr>
      </w:pPr>
      <w:r>
        <w:rPr>
          <w:noProof/>
          <w:sz w:val="20"/>
          <w:lang w:eastAsia="ru-RU"/>
        </w:rPr>
        <w:pict>
          <v:shape id="_x0000_s2104" type="#_x0000_t202" style="position:absolute;margin-left:-324.25pt;margin-top:108.8pt;width:121.55pt;height:30.15pt;z-index:30" stroked="f">
            <v:textbox inset="0,0,.5mm,0">
              <w:txbxContent>
                <w:p w:rsidR="00000000" w:rsidRDefault="00000000">
                  <w:pPr>
                    <w:spacing w:line="216" w:lineRule="auto"/>
                    <w:rPr>
                      <w:sz w:val="16"/>
                    </w:rPr>
                  </w:pPr>
                  <w:r>
                    <w:rPr>
                      <w:sz w:val="16"/>
                      <w:lang w:val="en-US"/>
                    </w:rPr>
                    <w:t>p</w:t>
                  </w:r>
                  <w:r>
                    <w:rPr>
                      <w:sz w:val="16"/>
                    </w:rPr>
                    <w:t xml:space="preserve"> ‹ 0,001</w:t>
                  </w:r>
                </w:p>
                <w:p w:rsidR="00000000" w:rsidRDefault="00000000">
                  <w:pPr>
                    <w:spacing w:line="216" w:lineRule="auto"/>
                    <w:rPr>
                      <w:sz w:val="16"/>
                    </w:rPr>
                  </w:pPr>
                  <w:r>
                    <w:rPr>
                      <w:sz w:val="16"/>
                      <w:lang w:val="en-US"/>
                    </w:rPr>
                    <w:t>n</w:t>
                  </w:r>
                  <w:r>
                    <w:rPr>
                      <w:sz w:val="16"/>
                    </w:rPr>
                    <w:t xml:space="preserve"> = 653812</w:t>
                  </w:r>
                </w:p>
                <w:p w:rsidR="00000000" w:rsidRDefault="00000000">
                  <w:pPr>
                    <w:spacing w:line="216" w:lineRule="auto"/>
                    <w:rPr>
                      <w:sz w:val="16"/>
                    </w:rPr>
                  </w:pPr>
                  <w:r>
                    <w:rPr>
                      <w:sz w:val="16"/>
                    </w:rPr>
                    <w:t>Источник:  ГУСОП.</w:t>
                  </w:r>
                </w:p>
              </w:txbxContent>
            </v:textbox>
            <w10:wrap type="square" side="right"/>
            <w10:anchorlock/>
          </v:shape>
        </w:pict>
      </w:r>
    </w:p>
    <w:p w:rsidR="00000000" w:rsidRDefault="00000000">
      <w:pPr>
        <w:autoSpaceDE w:val="0"/>
        <w:autoSpaceDN w:val="0"/>
        <w:adjustRightInd w:val="0"/>
        <w:spacing w:beforeLines="40" w:before="96" w:afterLines="40" w:after="96"/>
        <w:rPr>
          <w:lang w:val="es-ES_tradnl"/>
        </w:rPr>
      </w:pPr>
    </w:p>
    <w:p w:rsidR="00000000" w:rsidRDefault="00000000">
      <w:pPr>
        <w:autoSpaceDE w:val="0"/>
        <w:autoSpaceDN w:val="0"/>
        <w:adjustRightInd w:val="0"/>
        <w:spacing w:beforeLines="40" w:before="96" w:afterLines="40" w:after="96"/>
        <w:rPr>
          <w:lang w:val="es-ES_tradnl"/>
        </w:rPr>
      </w:pPr>
    </w:p>
    <w:p w:rsidR="00000000" w:rsidRDefault="00000000">
      <w:pPr>
        <w:autoSpaceDE w:val="0"/>
        <w:autoSpaceDN w:val="0"/>
        <w:adjustRightInd w:val="0"/>
        <w:spacing w:beforeLines="40" w:before="96" w:afterLines="40" w:after="96"/>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b/>
          <w:bCs/>
        </w:rPr>
      </w:pPr>
      <w:r>
        <w:rPr>
          <w:b/>
          <w:bCs/>
        </w:rPr>
        <w:br w:type="page"/>
        <w:t>Диаграмма 4</w:t>
      </w:r>
    </w:p>
    <w:p w:rsidR="00000000" w:rsidRDefault="00000000">
      <w:pPr>
        <w:jc w:val="center"/>
        <w:rPr>
          <w:b/>
          <w:bCs/>
        </w:rPr>
      </w:pPr>
    </w:p>
    <w:p w:rsidR="00000000" w:rsidRDefault="00000000">
      <w:pPr>
        <w:jc w:val="center"/>
        <w:rPr>
          <w:b/>
          <w:bCs/>
        </w:rPr>
      </w:pPr>
      <w:r>
        <w:rPr>
          <w:b/>
          <w:bCs/>
        </w:rPr>
        <w:t>Подверженность общему истощению и хроническим заболеваниям</w:t>
      </w:r>
    </w:p>
    <w:p w:rsidR="00000000" w:rsidRDefault="00000000">
      <w:pPr>
        <w:jc w:val="center"/>
        <w:rPr>
          <w:b/>
          <w:bCs/>
        </w:rPr>
      </w:pPr>
      <w:r>
        <w:rPr>
          <w:b/>
          <w:bCs/>
        </w:rPr>
        <w:t xml:space="preserve">в зависимости от типа санитарного оснащения домов, </w:t>
      </w:r>
    </w:p>
    <w:p w:rsidR="00000000" w:rsidRDefault="00000000">
      <w:pPr>
        <w:jc w:val="center"/>
        <w:rPr>
          <w:b/>
          <w:bCs/>
        </w:rPr>
      </w:pPr>
      <w:r>
        <w:rPr>
          <w:b/>
          <w:bCs/>
        </w:rPr>
        <w:t>где проживают семьи.  КОДХ 2000/01 годов</w:t>
      </w:r>
    </w:p>
    <w:p w:rsidR="00000000" w:rsidRDefault="00000000">
      <w:pPr>
        <w:rPr>
          <w:lang w:val="es-ES_tradnl"/>
        </w:rPr>
      </w:pPr>
      <w:r>
        <w:rPr>
          <w:noProof/>
          <w:sz w:val="20"/>
          <w:lang w:eastAsia="ru-RU"/>
        </w:rPr>
        <w:pict>
          <v:shape id="_x0000_s2105" type="#_x0000_t202" style="position:absolute;margin-left:0;margin-top:6.25pt;width:243.85pt;height:19.05pt;z-index:31;mso-position-horizontal:center" stroked="f">
            <v:textbox>
              <w:txbxContent>
                <w:p w:rsidR="00000000" w:rsidRDefault="00000000">
                  <w:pPr>
                    <w:jc w:val="center"/>
                  </w:pPr>
                </w:p>
              </w:txbxContent>
            </v:textbox>
            <w10:wrap type="square" side="right"/>
          </v:shape>
        </w:pict>
      </w:r>
    </w:p>
    <w:p w:rsidR="00000000" w:rsidRDefault="00000000">
      <w:pPr>
        <w:rPr>
          <w:lang w:val="es-ES_tradnl"/>
        </w:rPr>
      </w:pPr>
    </w:p>
    <w:bookmarkStart w:id="98" w:name="_MON_1246185512"/>
    <w:bookmarkStart w:id="99" w:name="_MON_1246185523"/>
    <w:bookmarkStart w:id="100" w:name="_MON_1246185657"/>
    <w:bookmarkStart w:id="101" w:name="_MON_1246185780"/>
    <w:bookmarkStart w:id="102" w:name="_MON_1246185831"/>
    <w:bookmarkStart w:id="103" w:name="_MON_1246185864"/>
    <w:bookmarkStart w:id="104" w:name="_MON_1246186012"/>
    <w:bookmarkStart w:id="105" w:name="_MON_1246186051"/>
    <w:bookmarkStart w:id="106" w:name="_MON_1246186105"/>
    <w:bookmarkStart w:id="107" w:name="_MON_1246186172"/>
    <w:bookmarkStart w:id="108" w:name="_MON_1246186252"/>
    <w:bookmarkStart w:id="109" w:name="_MON_1246187492"/>
    <w:bookmarkEnd w:id="98"/>
    <w:bookmarkEnd w:id="99"/>
    <w:bookmarkEnd w:id="100"/>
    <w:bookmarkEnd w:id="101"/>
    <w:bookmarkEnd w:id="102"/>
    <w:bookmarkEnd w:id="103"/>
    <w:bookmarkEnd w:id="104"/>
    <w:bookmarkEnd w:id="105"/>
    <w:bookmarkEnd w:id="106"/>
    <w:bookmarkEnd w:id="107"/>
    <w:bookmarkEnd w:id="108"/>
    <w:bookmarkEnd w:id="109"/>
    <w:p w:rsidR="00000000" w:rsidRDefault="00000000">
      <w:pPr>
        <w:jc w:val="center"/>
      </w:pPr>
      <w:r>
        <w:object w:dxaOrig="5461" w:dyaOrig="3496">
          <v:shape id="_x0000_i1043" type="#_x0000_t75" style="width:286.5pt;height:183pt" o:ole="">
            <v:imagedata r:id="rId81" o:title=""/>
          </v:shape>
          <o:OLEObject Type="Embed" ProgID="Word.Picture.8" ShapeID="_x0000_i1043" DrawAspect="Content" ObjectID="_1394904866" r:id="rId82"/>
        </w:object>
      </w:r>
    </w:p>
    <w:p w:rsidR="00000000" w:rsidRDefault="00000000"/>
    <w:p w:rsidR="00000000" w:rsidRDefault="00000000">
      <w:pPr>
        <w:ind w:left="567" w:hanging="567"/>
        <w:rPr>
          <w:b/>
          <w:bCs/>
        </w:rPr>
      </w:pPr>
      <w:r>
        <w:rPr>
          <w:b/>
          <w:bCs/>
        </w:rPr>
        <w:t>3.</w:t>
      </w:r>
      <w:r>
        <w:tab/>
      </w:r>
      <w:r>
        <w:rPr>
          <w:b/>
        </w:rPr>
        <w:t xml:space="preserve">Обеспечение доступного жилья - </w:t>
      </w:r>
      <w:r>
        <w:rPr>
          <w:b/>
          <w:bCs/>
        </w:rPr>
        <w:t>Национальный совет по жилищному строительству (КОНАВИ)</w:t>
      </w:r>
    </w:p>
    <w:p w:rsidR="00000000" w:rsidRDefault="00000000">
      <w:pPr>
        <w:rPr>
          <w:b/>
          <w:bCs/>
        </w:rPr>
      </w:pPr>
    </w:p>
    <w:p w:rsidR="00000000" w:rsidRDefault="00000000">
      <w:pPr>
        <w:rPr>
          <w:bCs/>
        </w:rPr>
      </w:pPr>
      <w:r>
        <w:t>419.</w:t>
      </w:r>
      <w:r>
        <w:tab/>
      </w:r>
      <w:r>
        <w:rPr>
          <w:bCs/>
        </w:rPr>
        <w:t>Национальный совет по жилищному строительству, образованный в 1990 году, - это самостоятельная в экономическом плане организация, призванная "определять национальную политику в области жилищного строительства в рамках макроэкономической политики и Национального плана развития с целью удовлетворения потребностей в жилье и решения жилищных вопросов".  КОНАВИ является руководящим органом жилищного сектора Парагвая.</w:t>
      </w:r>
    </w:p>
    <w:p w:rsidR="00000000" w:rsidRDefault="00000000">
      <w:pPr>
        <w:tabs>
          <w:tab w:val="left" w:pos="540"/>
        </w:tabs>
        <w:rPr>
          <w:bCs/>
        </w:rPr>
      </w:pPr>
    </w:p>
    <w:p w:rsidR="00000000" w:rsidRDefault="00000000">
      <w:pPr>
        <w:rPr>
          <w:bCs/>
          <w:iCs/>
        </w:rPr>
      </w:pPr>
      <w:r>
        <w:rPr>
          <w:bCs/>
        </w:rPr>
        <w:t>420.</w:t>
      </w:r>
      <w:r>
        <w:rPr>
          <w:bCs/>
        </w:rPr>
        <w:tab/>
        <w:t xml:space="preserve">В период с 1995 года по 2000 год за счет ресурсов, выделенных </w:t>
      </w:r>
      <w:r>
        <w:rPr>
          <w:bCs/>
          <w:iCs/>
        </w:rPr>
        <w:t>Межамериканским банком развития (МБР) и Национальным казначейством, была внедрена система прямого жилищного субсидирования.  Она базировалась на трех составляющих:  субсидия, сбережения и кредит.  Были установлены 5 уровней субсидирования, рассчитанных в МРОТ, в зависимости от социально-экономических условий жизни бенефициаров и максимальной стоимости жилища.  Дополнительно посредническими финансовыми учреждениями (включая Общества жилищного накопления и кредитования, некоторые финансовые организации и кооперативы) выделялись кредиты под рыночные проценты и с поправкой на систему двойного индексирования.  Для стимулирования выдачи таких кредитов Национальный жилищный банк учредил фонд ипотечных зачетов, предоставляя льготы посредническим организациям, дающим кредиты на ипотечные нужды.</w:t>
      </w:r>
    </w:p>
    <w:p w:rsidR="00000000" w:rsidRDefault="00000000">
      <w:pPr>
        <w:tabs>
          <w:tab w:val="left" w:pos="540"/>
        </w:tabs>
        <w:rPr>
          <w:bCs/>
          <w:iCs/>
        </w:rPr>
      </w:pPr>
    </w:p>
    <w:p w:rsidR="00000000" w:rsidRDefault="00000000">
      <w:pPr>
        <w:rPr>
          <w:bCs/>
          <w:iCs/>
        </w:rPr>
      </w:pPr>
      <w:r>
        <w:rPr>
          <w:bCs/>
          <w:iCs/>
        </w:rPr>
        <w:t>421.</w:t>
      </w:r>
      <w:r>
        <w:rPr>
          <w:bCs/>
          <w:iCs/>
        </w:rPr>
        <w:tab/>
      </w:r>
      <w:r>
        <w:rPr>
          <w:bCs/>
        </w:rPr>
        <w:t>Ответственность</w:t>
      </w:r>
      <w:r>
        <w:rPr>
          <w:bCs/>
          <w:iCs/>
        </w:rPr>
        <w:t xml:space="preserve"> за строительство, выведение на рынок и передачу жилья бенефициарам, получившим субсидии, была возложена на строительные организации и агентства недвижимости.  За счет этой системы удалось построить порядка 10 000 жилищ.  Система потерпела провал по разным причинам, среди которых был и кризис финансовой системы Парагвая, приведший к краху ряда банков и обществ жилищного накопления и кредитования.  Согласно законодательству, средства и имущество посреднических организаций перешли к КОНАВИ, а долги были рефинансированы по твердым ставкам и процентам.  В период с 2000 по 2003 годы бюджетные ассигнования, выделенные КОНАВИ, не позволили осуществить сколько-нибудь значительные проекты, и финансирование долгосрочного жилищного строительства в Парагвае практически прекратилось.  В настоящее время, после прихода в 2003 году в правительство страны и КОНАВИ нового руководства, данное учреждение приступило к выполнению двух крупных программ по строительству социального жилья:</w:t>
      </w:r>
    </w:p>
    <w:p w:rsidR="00000000" w:rsidRDefault="00000000">
      <w:pPr>
        <w:tabs>
          <w:tab w:val="left" w:pos="540"/>
        </w:tabs>
        <w:rPr>
          <w:bCs/>
          <w:iCs/>
        </w:rPr>
      </w:pPr>
    </w:p>
    <w:p w:rsidR="00000000" w:rsidRDefault="00000000">
      <w:pPr>
        <w:rPr>
          <w:b/>
          <w:bCs/>
          <w:iCs/>
        </w:rPr>
      </w:pPr>
      <w:r>
        <w:rPr>
          <w:b/>
          <w:bCs/>
          <w:iCs/>
        </w:rPr>
        <w:tab/>
        <w:t>3.1</w:t>
      </w:r>
      <w:r>
        <w:rPr>
          <w:b/>
          <w:bCs/>
          <w:iCs/>
        </w:rPr>
        <w:tab/>
        <w:t>Программа улучшения жилищного фонда в общинах</w:t>
      </w:r>
    </w:p>
    <w:p w:rsidR="00000000" w:rsidRDefault="00000000">
      <w:pPr>
        <w:tabs>
          <w:tab w:val="left" w:pos="540"/>
        </w:tabs>
        <w:rPr>
          <w:bCs/>
          <w:iCs/>
        </w:rPr>
      </w:pPr>
    </w:p>
    <w:p w:rsidR="00000000" w:rsidRDefault="00000000">
      <w:r>
        <w:t>422.</w:t>
      </w:r>
      <w:r>
        <w:tab/>
        <w:t xml:space="preserve">Программа выполняется за счет средств, безвозмездно переданных Китайской Республикой (Тайвань).  Она ориентирована на семьи, проживающие в условиях крайней бедноты и нищеты, и </w:t>
      </w:r>
      <w:r>
        <w:rPr>
          <w:bCs/>
        </w:rPr>
        <w:t>субсидируется</w:t>
      </w:r>
      <w:r>
        <w:t xml:space="preserve"> практически полностью.  Строятся новые дома и благоустраиваются районы проживания населения-бенефициара.  За два года построено 1 500 домов.  Программа носит некоммерческий характер.</w:t>
      </w:r>
    </w:p>
    <w:p w:rsidR="00000000" w:rsidRDefault="00000000">
      <w:pPr>
        <w:tabs>
          <w:tab w:val="left" w:pos="540"/>
        </w:tabs>
      </w:pPr>
    </w:p>
    <w:p w:rsidR="00000000" w:rsidRDefault="00000000">
      <w:r>
        <w:t>423.</w:t>
      </w:r>
      <w:r>
        <w:tab/>
      </w:r>
      <w:r>
        <w:rPr>
          <w:bCs/>
        </w:rPr>
        <w:t>Аналогичную</w:t>
      </w:r>
      <w:r>
        <w:t xml:space="preserve"> программу на основе того же источника финансирования и с таким же объемом строительства проводит в жизнь Секретариат социального действия (САС).</w:t>
      </w:r>
    </w:p>
    <w:p w:rsidR="00000000" w:rsidRDefault="00000000">
      <w:pPr>
        <w:tabs>
          <w:tab w:val="left" w:pos="540"/>
        </w:tabs>
      </w:pPr>
    </w:p>
    <w:p w:rsidR="00000000" w:rsidRDefault="00000000">
      <w:pPr>
        <w:rPr>
          <w:b/>
        </w:rPr>
      </w:pPr>
      <w:r>
        <w:rPr>
          <w:b/>
        </w:rPr>
        <w:tab/>
        <w:t>3.2</w:t>
      </w:r>
      <w:r>
        <w:rPr>
          <w:b/>
        </w:rPr>
        <w:tab/>
        <w:t>Программа ипотечного кредитования</w:t>
      </w:r>
    </w:p>
    <w:p w:rsidR="00000000" w:rsidRDefault="00000000">
      <w:pPr>
        <w:tabs>
          <w:tab w:val="left" w:pos="540"/>
        </w:tabs>
      </w:pPr>
    </w:p>
    <w:p w:rsidR="00000000" w:rsidRDefault="00000000">
      <w:r>
        <w:t>424.</w:t>
      </w:r>
      <w:r>
        <w:tab/>
        <w:t xml:space="preserve">Осуществляется за счет собственных средств КОНАВИ и ориентирована на представителей среднего класса.  Кредиты выдаются посредническими финансовыми организациями, в частности кооперативами, по ставке 17% годовых, без перерасчетов, с погашением равными долями, на 15-летний срок.  Проценты по этим кредитам погашаются за счет ипотечной гарантии КОНАВИ в течение того же срока по ставке 11% годовых.  В </w:t>
      </w:r>
      <w:r>
        <w:rPr>
          <w:bCs/>
        </w:rPr>
        <w:t>настоящее</w:t>
      </w:r>
      <w:r>
        <w:t xml:space="preserve"> время средств для данной программы явно недостаточно.  Тем не менее уже построено 300 жилищ.</w:t>
      </w:r>
    </w:p>
    <w:p w:rsidR="00000000" w:rsidRDefault="00000000">
      <w:pPr>
        <w:tabs>
          <w:tab w:val="left" w:pos="540"/>
        </w:tabs>
      </w:pPr>
    </w:p>
    <w:p w:rsidR="00000000" w:rsidRDefault="00000000">
      <w:r>
        <w:t>425.</w:t>
      </w:r>
      <w:r>
        <w:tab/>
        <w:t>Для населения, проживающего в нищенских условиях, реализуется экспериментальный проект на основе жилищных кооперативов, построенных по принципу кассы взаимопомощи.  Объединению кооперативов выдается ипотечный беспроцентный кредит, погашаемый на основе системы, привязанной к МРОТ.  В рамках проекта намечено построить 300 жилищ;  на сегодняшний день сдано 135 объектов.</w:t>
      </w:r>
    </w:p>
    <w:p w:rsidR="00000000" w:rsidRDefault="00000000">
      <w:pPr>
        <w:tabs>
          <w:tab w:val="left" w:pos="540"/>
        </w:tabs>
      </w:pPr>
    </w:p>
    <w:p w:rsidR="00000000" w:rsidRDefault="00000000">
      <w:pPr>
        <w:tabs>
          <w:tab w:val="left" w:pos="540"/>
        </w:tabs>
        <w:rPr>
          <w:bCs/>
          <w:iCs/>
        </w:rPr>
      </w:pPr>
      <w:r>
        <w:t>426.</w:t>
      </w:r>
      <w:r>
        <w:tab/>
        <w:t xml:space="preserve">Кроме того, предусмотрена новая программа, рассчитанная на трудящихся со средним и низким социально-экономическим уровнем жизни.  </w:t>
      </w:r>
      <w:r>
        <w:rPr>
          <w:bCs/>
          <w:iCs/>
        </w:rPr>
        <w:t xml:space="preserve">Она также базируется на трех составляющих:  прямая субсидия, накопления и кредит.  Программа будет проводиться в жизнь преимущественно через кооперативы.  Еще одна </w:t>
      </w:r>
      <w:r>
        <w:rPr>
          <w:bCs/>
        </w:rPr>
        <w:t>инициатива</w:t>
      </w:r>
      <w:r>
        <w:rPr>
          <w:bCs/>
          <w:iCs/>
        </w:rPr>
        <w:t xml:space="preserve"> в этой области связана с недавним официальным учреждением Финансового агентства развития (АФД).  Оно будет действовать в качестве банка второго уровня, стимулируя выдачу кредитов через посреднические финансовые организации первого уровня на следующие цели:</w:t>
      </w:r>
    </w:p>
    <w:p w:rsidR="00000000" w:rsidRDefault="00000000">
      <w:pPr>
        <w:tabs>
          <w:tab w:val="left" w:pos="540"/>
        </w:tabs>
        <w:spacing w:line="240" w:lineRule="auto"/>
        <w:rPr>
          <w:bCs/>
          <w:iCs/>
        </w:rPr>
      </w:pPr>
    </w:p>
    <w:p w:rsidR="00000000" w:rsidRDefault="00000000">
      <w:pPr>
        <w:spacing w:line="240" w:lineRule="auto"/>
        <w:rPr>
          <w:bCs/>
          <w:iCs/>
        </w:rPr>
      </w:pPr>
      <w:r>
        <w:rPr>
          <w:bCs/>
          <w:iCs/>
        </w:rPr>
        <w:tab/>
        <w:t>-</w:t>
      </w:r>
      <w:r>
        <w:rPr>
          <w:bCs/>
          <w:iCs/>
        </w:rPr>
        <w:tab/>
        <w:t>развитие сельских районов;</w:t>
      </w:r>
    </w:p>
    <w:p w:rsidR="00000000" w:rsidRDefault="00000000">
      <w:pPr>
        <w:spacing w:line="240" w:lineRule="auto"/>
        <w:rPr>
          <w:bCs/>
          <w:iCs/>
        </w:rPr>
      </w:pPr>
    </w:p>
    <w:p w:rsidR="00000000" w:rsidRDefault="00000000">
      <w:pPr>
        <w:spacing w:line="240" w:lineRule="auto"/>
        <w:rPr>
          <w:bCs/>
          <w:iCs/>
        </w:rPr>
      </w:pPr>
      <w:r>
        <w:rPr>
          <w:bCs/>
          <w:iCs/>
        </w:rPr>
        <w:tab/>
        <w:t>-</w:t>
      </w:r>
      <w:r>
        <w:rPr>
          <w:bCs/>
          <w:iCs/>
        </w:rPr>
        <w:tab/>
      </w:r>
      <w:r>
        <w:rPr>
          <w:bCs/>
        </w:rPr>
        <w:t>кредитование</w:t>
      </w:r>
      <w:r>
        <w:rPr>
          <w:bCs/>
          <w:iCs/>
        </w:rPr>
        <w:t xml:space="preserve"> малых и средних предприятий (МСП);</w:t>
      </w:r>
    </w:p>
    <w:p w:rsidR="00000000" w:rsidRDefault="00000000">
      <w:pPr>
        <w:spacing w:line="240" w:lineRule="auto"/>
        <w:rPr>
          <w:bCs/>
          <w:iCs/>
        </w:rPr>
      </w:pPr>
    </w:p>
    <w:p w:rsidR="00000000" w:rsidRDefault="00000000">
      <w:pPr>
        <w:spacing w:line="240" w:lineRule="auto"/>
        <w:rPr>
          <w:bCs/>
          <w:iCs/>
        </w:rPr>
      </w:pPr>
      <w:r>
        <w:rPr>
          <w:bCs/>
          <w:iCs/>
        </w:rPr>
        <w:tab/>
        <w:t>-</w:t>
      </w:r>
      <w:r>
        <w:rPr>
          <w:bCs/>
          <w:iCs/>
        </w:rPr>
        <w:tab/>
      </w:r>
      <w:r>
        <w:rPr>
          <w:bCs/>
        </w:rPr>
        <w:t>развитие</w:t>
      </w:r>
      <w:r>
        <w:rPr>
          <w:bCs/>
          <w:iCs/>
        </w:rPr>
        <w:t xml:space="preserve"> предпринимательства;</w:t>
      </w:r>
    </w:p>
    <w:p w:rsidR="00000000" w:rsidRDefault="00000000">
      <w:pPr>
        <w:spacing w:line="240" w:lineRule="auto"/>
        <w:rPr>
          <w:bCs/>
          <w:iCs/>
        </w:rPr>
      </w:pPr>
    </w:p>
    <w:p w:rsidR="00000000" w:rsidRDefault="00000000">
      <w:pPr>
        <w:spacing w:line="240" w:lineRule="auto"/>
        <w:ind w:left="1134" w:hanging="1134"/>
        <w:rPr>
          <w:bCs/>
          <w:iCs/>
        </w:rPr>
      </w:pPr>
      <w:r>
        <w:rPr>
          <w:bCs/>
          <w:iCs/>
        </w:rPr>
        <w:tab/>
        <w:t>-</w:t>
      </w:r>
      <w:r>
        <w:rPr>
          <w:bCs/>
          <w:iCs/>
        </w:rPr>
        <w:tab/>
      </w:r>
      <w:r>
        <w:rPr>
          <w:bCs/>
        </w:rPr>
        <w:t>экспорт</w:t>
      </w:r>
      <w:r>
        <w:rPr>
          <w:bCs/>
          <w:iCs/>
        </w:rPr>
        <w:t xml:space="preserve"> товаров и услуг, а также импорт капитальных товаров для МСП;</w:t>
      </w:r>
    </w:p>
    <w:p w:rsidR="00000000" w:rsidRDefault="00000000">
      <w:pPr>
        <w:spacing w:line="240" w:lineRule="auto"/>
        <w:ind w:left="1134" w:hanging="1134"/>
        <w:rPr>
          <w:bCs/>
          <w:iCs/>
        </w:rPr>
      </w:pPr>
    </w:p>
    <w:p w:rsidR="00000000" w:rsidRDefault="00000000">
      <w:pPr>
        <w:spacing w:line="240" w:lineRule="auto"/>
        <w:rPr>
          <w:bCs/>
          <w:iCs/>
        </w:rPr>
      </w:pPr>
      <w:r>
        <w:rPr>
          <w:bCs/>
          <w:iCs/>
        </w:rPr>
        <w:tab/>
        <w:t>-</w:t>
      </w:r>
      <w:r>
        <w:rPr>
          <w:bCs/>
          <w:iCs/>
        </w:rPr>
        <w:tab/>
      </w:r>
      <w:r>
        <w:rPr>
          <w:bCs/>
        </w:rPr>
        <w:t>реализация</w:t>
      </w:r>
      <w:r>
        <w:rPr>
          <w:bCs/>
          <w:iCs/>
        </w:rPr>
        <w:t xml:space="preserve"> проектов в области туризма;</w:t>
      </w:r>
    </w:p>
    <w:p w:rsidR="00000000" w:rsidRDefault="00000000">
      <w:pPr>
        <w:spacing w:line="240" w:lineRule="auto"/>
        <w:rPr>
          <w:bCs/>
          <w:iCs/>
        </w:rPr>
      </w:pPr>
    </w:p>
    <w:p w:rsidR="00000000" w:rsidRDefault="00000000">
      <w:pPr>
        <w:spacing w:line="240" w:lineRule="auto"/>
        <w:rPr>
          <w:bCs/>
          <w:iCs/>
        </w:rPr>
      </w:pPr>
      <w:r>
        <w:rPr>
          <w:bCs/>
          <w:iCs/>
        </w:rPr>
        <w:tab/>
        <w:t>-</w:t>
      </w:r>
      <w:r>
        <w:rPr>
          <w:bCs/>
          <w:iCs/>
        </w:rPr>
        <w:tab/>
      </w:r>
      <w:r>
        <w:rPr>
          <w:bCs/>
        </w:rPr>
        <w:t>реализация</w:t>
      </w:r>
      <w:r>
        <w:rPr>
          <w:bCs/>
          <w:iCs/>
        </w:rPr>
        <w:t xml:space="preserve"> проектов по капиталовложениям в базовую инфраструктуру;</w:t>
      </w:r>
    </w:p>
    <w:p w:rsidR="00000000" w:rsidRDefault="00000000">
      <w:pPr>
        <w:spacing w:line="240" w:lineRule="auto"/>
        <w:rPr>
          <w:bCs/>
          <w:iCs/>
        </w:rPr>
      </w:pPr>
    </w:p>
    <w:p w:rsidR="00000000" w:rsidRDefault="00000000">
      <w:pPr>
        <w:spacing w:line="240" w:lineRule="auto"/>
        <w:rPr>
          <w:bCs/>
          <w:iCs/>
        </w:rPr>
      </w:pPr>
      <w:r>
        <w:rPr>
          <w:bCs/>
          <w:iCs/>
        </w:rPr>
        <w:tab/>
        <w:t>-</w:t>
      </w:r>
      <w:r>
        <w:rPr>
          <w:bCs/>
          <w:iCs/>
        </w:rPr>
        <w:tab/>
      </w:r>
      <w:r>
        <w:rPr>
          <w:bCs/>
        </w:rPr>
        <w:t>развитие</w:t>
      </w:r>
      <w:r>
        <w:rPr>
          <w:bCs/>
          <w:iCs/>
        </w:rPr>
        <w:t xml:space="preserve"> программ в области жилищного и городского строительства.</w:t>
      </w:r>
    </w:p>
    <w:p w:rsidR="00000000" w:rsidRDefault="00000000">
      <w:pPr>
        <w:tabs>
          <w:tab w:val="left" w:pos="540"/>
        </w:tabs>
        <w:rPr>
          <w:bCs/>
          <w:iCs/>
        </w:rPr>
      </w:pPr>
    </w:p>
    <w:p w:rsidR="00000000" w:rsidRDefault="00000000">
      <w:pPr>
        <w:rPr>
          <w:bCs/>
          <w:iCs/>
        </w:rPr>
      </w:pPr>
      <w:r>
        <w:rPr>
          <w:bCs/>
          <w:iCs/>
        </w:rPr>
        <w:t>427.</w:t>
      </w:r>
      <w:r>
        <w:rPr>
          <w:bCs/>
          <w:iCs/>
        </w:rPr>
        <w:tab/>
        <w:t>С появлением Финансового агентства развития были упразднены другие государственные банки второго уровня, в том числе Национальный жилищный банк;  в</w:t>
      </w:r>
      <w:r>
        <w:rPr>
          <w:bCs/>
          <w:iCs/>
          <w:lang w:val="en-US"/>
        </w:rPr>
        <w:t> </w:t>
      </w:r>
      <w:r>
        <w:rPr>
          <w:bCs/>
          <w:iCs/>
        </w:rPr>
        <w:t>результате не осталось ни одной кредитной организации, специализирующейся в сфере жилищного строительства.  Несмотря на это, предусмотрено финансирование проектов жилищного и городского строительства;  усилия Финансового агентства развития и жилищно-строительного сектора координируются в рамках совместно разработанных программ (</w:t>
      </w:r>
      <w:r>
        <w:rPr>
          <w:bCs/>
        </w:rPr>
        <w:t>например</w:t>
      </w:r>
      <w:r>
        <w:rPr>
          <w:bCs/>
          <w:iCs/>
        </w:rPr>
        <w:t>, с прямыми субсидиями, выделяемыми государством) таким образом, чтобы кредиты, выдаваемые на жилье, были действительно доступны населению, которое в нем нуждается.</w:t>
      </w:r>
    </w:p>
    <w:p w:rsidR="00000000" w:rsidRDefault="00000000">
      <w:pPr>
        <w:tabs>
          <w:tab w:val="left" w:pos="540"/>
        </w:tabs>
        <w:rPr>
          <w:bCs/>
          <w:iCs/>
        </w:rPr>
      </w:pPr>
    </w:p>
    <w:p w:rsidR="00000000" w:rsidRDefault="00000000">
      <w:pPr>
        <w:keepLines/>
        <w:rPr>
          <w:iCs/>
        </w:rPr>
      </w:pPr>
      <w:r>
        <w:t>428.</w:t>
      </w:r>
      <w:r>
        <w:tab/>
        <w:t xml:space="preserve">Одновременно рассматривается возможность жилищного ипотечного кредитования по линии </w:t>
      </w:r>
      <w:r>
        <w:rPr>
          <w:bCs/>
        </w:rPr>
        <w:t>Института</w:t>
      </w:r>
      <w:r>
        <w:rPr>
          <w:bCs/>
          <w:iCs/>
        </w:rPr>
        <w:t xml:space="preserve"> социального обеспечения (ИСО)</w:t>
      </w:r>
      <w:r>
        <w:rPr>
          <w:iCs/>
        </w:rPr>
        <w:t>, независимого и экономически самостоятельного учреждения, в ведении которого находятся вопросы медицинского страхования и пенсионного обеспечения наемных работников частного сектора Парагвая.  Также приняты законы, касающиеся классификации и страхования рисков, что в будущем позволит активизировать вторичный ипотечный рынок (эти законы пока не обеспечены необходимой нормативной базой по их применению).  В то же время прорабатывается вопрос об учреждении секретариата или министерства по жилищным вопросам, чтобы придать данному сектору более высокую значимость.</w:t>
      </w:r>
    </w:p>
    <w:p w:rsidR="00000000" w:rsidRDefault="00000000">
      <w:pPr>
        <w:tabs>
          <w:tab w:val="left" w:pos="540"/>
        </w:tabs>
        <w:rPr>
          <w:iCs/>
        </w:rPr>
      </w:pPr>
    </w:p>
    <w:p w:rsidR="00000000" w:rsidRDefault="00000000">
      <w:pPr>
        <w:rPr>
          <w:b/>
          <w:bCs/>
          <w:iCs/>
        </w:rPr>
      </w:pPr>
      <w:r>
        <w:rPr>
          <w:b/>
          <w:iCs/>
        </w:rPr>
        <w:tab/>
        <w:t>3.3</w:t>
      </w:r>
      <w:r>
        <w:rPr>
          <w:b/>
          <w:iCs/>
        </w:rPr>
        <w:tab/>
        <w:t xml:space="preserve">Вызовы </w:t>
      </w:r>
      <w:r>
        <w:rPr>
          <w:b/>
          <w:bCs/>
          <w:iCs/>
        </w:rPr>
        <w:t>в сфере жилищного сектора</w:t>
      </w:r>
    </w:p>
    <w:p w:rsidR="00000000" w:rsidRDefault="00000000">
      <w:pPr>
        <w:tabs>
          <w:tab w:val="left" w:pos="540"/>
        </w:tabs>
        <w:rPr>
          <w:bCs/>
          <w:iCs/>
        </w:rPr>
      </w:pPr>
    </w:p>
    <w:p w:rsidR="00000000" w:rsidRDefault="00000000">
      <w:r>
        <w:t>429.</w:t>
      </w:r>
      <w:r>
        <w:tab/>
        <w:t>В настоящее время долгосрочного финансирования частным сектором жилищного строительства в Парагвае не существует.  Опыт в области строительства социального жилья относительно скромен, а политика и ресурсное обеспечение в данной сфере с каждым новым правительством ухудшались.  В этой связи требуется еще бóльшая координация усилий всех вовлеченных ведомств, чтобы выработать стратегии и программы, осуществление которых не ограничивалось бы сроком пребывания правительства у власти.</w:t>
      </w:r>
    </w:p>
    <w:p w:rsidR="00000000" w:rsidRDefault="00000000">
      <w:pPr>
        <w:tabs>
          <w:tab w:val="left" w:pos="540"/>
        </w:tabs>
      </w:pPr>
    </w:p>
    <w:p w:rsidR="00000000" w:rsidRDefault="00000000">
      <w:pPr>
        <w:rPr>
          <w:bCs/>
        </w:rPr>
      </w:pPr>
      <w:r>
        <w:t>430.</w:t>
      </w:r>
      <w:r>
        <w:tab/>
        <w:t>Что касается количества людей, внесенных в списки КОНАВИ</w:t>
      </w:r>
      <w:r>
        <w:rPr>
          <w:bCs/>
        </w:rPr>
        <w:t xml:space="preserve"> и ожидающих своей очереди на жилье, то число претендентов, в индивидуальной форме представляющих свои заявления в КОНАВИ, ежегодно составляет около 1 000.  С другой стороны, в КОНАВИ зарегистрированы заявления примерно 11 500 семей, которые входят в состав организованных групп по всей стране.  Относительно срока удовлетворения заявлений следует сказать, что он зависит исключительно от наличия у этой организации бюджетных средств.</w:t>
      </w:r>
    </w:p>
    <w:p w:rsidR="00000000" w:rsidRDefault="00000000">
      <w:pPr>
        <w:tabs>
          <w:tab w:val="left" w:pos="540"/>
        </w:tabs>
        <w:rPr>
          <w:bCs/>
        </w:rPr>
      </w:pPr>
    </w:p>
    <w:p w:rsidR="00000000" w:rsidRDefault="00000000">
      <w:r>
        <w:rPr>
          <w:bCs/>
        </w:rPr>
        <w:t>431.</w:t>
      </w:r>
      <w:r>
        <w:rPr>
          <w:bCs/>
        </w:rPr>
        <w:tab/>
        <w:t>В то же время в плане производительности КОНАВИ надо заметить, что число жилищ, предоставленных им с момента образования в 1990 году и до сего дня, достигает примерно 35 000 единиц.  Положение дел с владением жильем и арендой жилья представлено в таблицах и на графиках ниже.  Уместно отметить, что не только семьи, проживающие в условиях бедности и крайней нищеты, не имеют собственного жилья.  Большой процент представителей среднего класса с низкими доходами также находится в подобном положении, и главную причину этого можно усмотреть в отсутствии адекватного долгосрочного финансирования, которое позволило бы семьям получить собственное жилище.</w:t>
      </w:r>
    </w:p>
    <w:p w:rsidR="00000000" w:rsidRDefault="00000000"/>
    <w:p w:rsidR="00000000" w:rsidRDefault="00000000">
      <w:r>
        <w:t>432.</w:t>
      </w:r>
      <w:r>
        <w:tab/>
        <w:t xml:space="preserve">Ниже </w:t>
      </w:r>
      <w:r>
        <w:rPr>
          <w:bCs/>
        </w:rPr>
        <w:t>приводятся некоторые статистические данные о положении с жильем в Парагвае</w:t>
      </w:r>
      <w:r>
        <w:t xml:space="preserve">. </w:t>
      </w:r>
    </w:p>
    <w:p w:rsidR="00000000" w:rsidRDefault="00000000">
      <w:pPr>
        <w:rPr>
          <w:lang w:val="es-ES"/>
        </w:rPr>
      </w:pPr>
    </w:p>
    <w:p w:rsidR="00000000" w:rsidRDefault="00000000">
      <w:pPr>
        <w:jc w:val="center"/>
        <w:rPr>
          <w:b/>
          <w:bCs/>
        </w:rPr>
      </w:pPr>
      <w:r>
        <w:rPr>
          <w:b/>
          <w:bCs/>
        </w:rPr>
        <w:t>Владение жильем</w:t>
      </w:r>
    </w:p>
    <w:p w:rsidR="00000000" w:rsidRDefault="00000000">
      <w:pPr>
        <w:rPr>
          <w:b/>
          <w:bCs/>
          <w:lang w:val="es-ES"/>
        </w:rPr>
      </w:pPr>
    </w:p>
    <w:tbl>
      <w:tblPr>
        <w:tblW w:w="9494"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firstRow="0" w:lastRow="0" w:firstColumn="0" w:lastColumn="0" w:noHBand="0" w:noVBand="0"/>
      </w:tblPr>
      <w:tblGrid>
        <w:gridCol w:w="3319"/>
        <w:gridCol w:w="1176"/>
        <w:gridCol w:w="1315"/>
        <w:gridCol w:w="1568"/>
        <w:gridCol w:w="1120"/>
        <w:gridCol w:w="996"/>
      </w:tblGrid>
      <w:tr w:rsidR="00000000">
        <w:tc>
          <w:tcPr>
            <w:tcW w:w="9494" w:type="dxa"/>
            <w:gridSpan w:val="6"/>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lang w:val="es-ES"/>
              </w:rPr>
            </w:pPr>
            <w:r>
              <w:rPr>
                <w:b/>
                <w:bCs/>
                <w:sz w:val="20"/>
                <w:szCs w:val="22"/>
              </w:rPr>
              <w:t>Общее положение дел</w:t>
            </w:r>
          </w:p>
        </w:tc>
      </w:tr>
      <w:tr w:rsidR="00000000">
        <w:trPr>
          <w:cantSplit/>
        </w:trPr>
        <w:tc>
          <w:tcPr>
            <w:tcW w:w="331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4"/>
              </w:rPr>
            </w:pPr>
            <w:r>
              <w:rPr>
                <w:b/>
                <w:bCs/>
                <w:sz w:val="20"/>
              </w:rPr>
              <w:t>Семейный бюджет</w:t>
            </w:r>
          </w:p>
        </w:tc>
        <w:tc>
          <w:tcPr>
            <w:tcW w:w="117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4"/>
                <w:lang w:val="es-ES"/>
              </w:rPr>
            </w:pPr>
            <w:r>
              <w:rPr>
                <w:b/>
                <w:bCs/>
                <w:sz w:val="20"/>
              </w:rPr>
              <w:t>Всего семей</w:t>
            </w:r>
          </w:p>
        </w:tc>
        <w:tc>
          <w:tcPr>
            <w:tcW w:w="288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4"/>
                <w:lang w:val="es-ES"/>
              </w:rPr>
            </w:pPr>
            <w:r>
              <w:rPr>
                <w:b/>
                <w:bCs/>
                <w:sz w:val="20"/>
              </w:rPr>
              <w:t>Владение жильем</w:t>
            </w:r>
          </w:p>
        </w:tc>
        <w:tc>
          <w:tcPr>
            <w:tcW w:w="112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Доля</w:t>
            </w:r>
          </w:p>
          <w:p w:rsidR="00000000" w:rsidRDefault="00000000">
            <w:pPr>
              <w:jc w:val="center"/>
              <w:rPr>
                <w:b/>
                <w:bCs/>
                <w:sz w:val="20"/>
                <w:szCs w:val="24"/>
                <w:vertAlign w:val="superscript"/>
                <w:lang w:val="es-ES"/>
              </w:rPr>
            </w:pPr>
            <w:r>
              <w:rPr>
                <w:b/>
                <w:bCs/>
                <w:sz w:val="20"/>
              </w:rPr>
              <w:t>(в %)</w:t>
            </w:r>
            <w:r>
              <w:rPr>
                <w:b/>
                <w:bCs/>
                <w:sz w:val="20"/>
                <w:vertAlign w:val="superscript"/>
              </w:rPr>
              <w:t>*</w:t>
            </w:r>
          </w:p>
        </w:tc>
        <w:tc>
          <w:tcPr>
            <w:tcW w:w="99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Доля</w:t>
            </w:r>
          </w:p>
          <w:p w:rsidR="00000000" w:rsidRDefault="00000000">
            <w:pPr>
              <w:jc w:val="center"/>
              <w:rPr>
                <w:b/>
                <w:bCs/>
                <w:sz w:val="20"/>
                <w:szCs w:val="24"/>
                <w:vertAlign w:val="superscript"/>
                <w:lang w:val="es-ES"/>
              </w:rPr>
            </w:pPr>
            <w:r>
              <w:rPr>
                <w:b/>
                <w:bCs/>
                <w:sz w:val="20"/>
              </w:rPr>
              <w:t>(в %)</w:t>
            </w:r>
            <w:r>
              <w:rPr>
                <w:b/>
                <w:bCs/>
                <w:sz w:val="20"/>
                <w:vertAlign w:val="superscript"/>
              </w:rPr>
              <w:t>**</w:t>
            </w:r>
          </w:p>
        </w:tc>
      </w:tr>
      <w:tr w:rsidR="00000000">
        <w:trPr>
          <w:cantSplit/>
        </w:trPr>
        <w:tc>
          <w:tcPr>
            <w:tcW w:w="3319"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0"/>
                <w:szCs w:val="24"/>
                <w:lang w:val="es-ES"/>
              </w:rPr>
            </w:pPr>
          </w:p>
        </w:tc>
        <w:tc>
          <w:tcPr>
            <w:tcW w:w="117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0"/>
                <w:szCs w:val="24"/>
                <w:lang w:val="es-ES"/>
              </w:rPr>
            </w:pPr>
          </w:p>
        </w:tc>
        <w:tc>
          <w:tcPr>
            <w:tcW w:w="131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4"/>
              </w:rPr>
            </w:pPr>
            <w:r>
              <w:rPr>
                <w:b/>
                <w:bCs/>
                <w:sz w:val="20"/>
              </w:rPr>
              <w:t>Собственное</w:t>
            </w:r>
          </w:p>
        </w:tc>
        <w:tc>
          <w:tcPr>
            <w:tcW w:w="156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4"/>
                <w:lang w:val="es-ES"/>
              </w:rPr>
            </w:pPr>
            <w:r>
              <w:rPr>
                <w:b/>
                <w:bCs/>
                <w:sz w:val="20"/>
              </w:rPr>
              <w:t>Несобственное</w:t>
            </w:r>
          </w:p>
        </w:tc>
        <w:tc>
          <w:tcPr>
            <w:tcW w:w="1120"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4"/>
                <w:vertAlign w:val="superscript"/>
                <w:lang w:val="es-ES"/>
              </w:rPr>
            </w:pPr>
          </w:p>
        </w:tc>
        <w:tc>
          <w:tcPr>
            <w:tcW w:w="99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0"/>
                <w:szCs w:val="24"/>
                <w:vertAlign w:val="superscript"/>
                <w:lang w:val="es-ES"/>
              </w:rPr>
            </w:pPr>
          </w:p>
        </w:tc>
      </w:tr>
      <w:tr w:rsidR="00000000">
        <w:tc>
          <w:tcPr>
            <w:tcW w:w="3319" w:type="dxa"/>
            <w:tcBorders>
              <w:top w:val="single" w:sz="4" w:space="0" w:color="auto"/>
              <w:left w:val="single" w:sz="4" w:space="0" w:color="auto"/>
              <w:bottom w:val="single" w:sz="4" w:space="0" w:color="auto"/>
              <w:right w:val="single" w:sz="4" w:space="0" w:color="auto"/>
            </w:tcBorders>
            <w:vAlign w:val="center"/>
          </w:tcPr>
          <w:p w:rsidR="00000000" w:rsidRDefault="00000000">
            <w:pPr>
              <w:rPr>
                <w:rFonts w:eastAsia="Arial Unicode MS"/>
                <w:sz w:val="20"/>
                <w:szCs w:val="18"/>
                <w:lang w:val="es-ES"/>
              </w:rPr>
            </w:pPr>
            <w:r>
              <w:rPr>
                <w:sz w:val="20"/>
                <w:szCs w:val="18"/>
              </w:rPr>
              <w:t>До 1 МРОТ (малоимущие)</w:t>
            </w:r>
          </w:p>
        </w:tc>
        <w:tc>
          <w:tcPr>
            <w:tcW w:w="117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242"/>
              <w:jc w:val="right"/>
              <w:rPr>
                <w:rFonts w:eastAsia="Arial Unicode MS"/>
                <w:sz w:val="20"/>
                <w:szCs w:val="18"/>
                <w:lang w:val="es-ES"/>
              </w:rPr>
            </w:pPr>
            <w:r>
              <w:rPr>
                <w:sz w:val="20"/>
                <w:szCs w:val="18"/>
              </w:rPr>
              <w:t>494 999</w:t>
            </w:r>
          </w:p>
        </w:tc>
        <w:tc>
          <w:tcPr>
            <w:tcW w:w="13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242"/>
              <w:jc w:val="right"/>
              <w:rPr>
                <w:rFonts w:eastAsia="Arial Unicode MS"/>
                <w:sz w:val="20"/>
                <w:szCs w:val="18"/>
                <w:lang w:val="es-ES"/>
              </w:rPr>
            </w:pPr>
            <w:r>
              <w:rPr>
                <w:sz w:val="20"/>
                <w:szCs w:val="18"/>
              </w:rPr>
              <w:t>369 456</w:t>
            </w:r>
          </w:p>
        </w:tc>
        <w:tc>
          <w:tcPr>
            <w:tcW w:w="156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460"/>
              <w:jc w:val="right"/>
              <w:rPr>
                <w:rFonts w:eastAsia="Arial Unicode MS"/>
                <w:sz w:val="20"/>
                <w:szCs w:val="18"/>
                <w:lang w:val="es-ES"/>
              </w:rPr>
            </w:pPr>
            <w:r>
              <w:rPr>
                <w:sz w:val="20"/>
                <w:szCs w:val="18"/>
              </w:rPr>
              <w:t>125 543</w:t>
            </w:r>
          </w:p>
        </w:tc>
        <w:tc>
          <w:tcPr>
            <w:tcW w:w="11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162"/>
              <w:jc w:val="right"/>
              <w:rPr>
                <w:rFonts w:eastAsia="Arial Unicode MS"/>
                <w:sz w:val="20"/>
                <w:szCs w:val="18"/>
                <w:lang w:val="es-ES"/>
              </w:rPr>
            </w:pPr>
            <w:r>
              <w:rPr>
                <w:sz w:val="20"/>
                <w:szCs w:val="18"/>
              </w:rPr>
              <w:t>25</w:t>
            </w:r>
          </w:p>
        </w:tc>
        <w:tc>
          <w:tcPr>
            <w:tcW w:w="99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162"/>
              <w:jc w:val="right"/>
              <w:rPr>
                <w:rFonts w:eastAsia="Arial Unicode MS"/>
                <w:sz w:val="20"/>
                <w:szCs w:val="18"/>
                <w:lang w:val="es-ES"/>
              </w:rPr>
            </w:pPr>
            <w:r>
              <w:rPr>
                <w:sz w:val="20"/>
                <w:szCs w:val="18"/>
              </w:rPr>
              <w:t>41</w:t>
            </w:r>
          </w:p>
        </w:tc>
      </w:tr>
      <w:tr w:rsidR="00000000">
        <w:tc>
          <w:tcPr>
            <w:tcW w:w="3319" w:type="dxa"/>
            <w:tcBorders>
              <w:top w:val="single" w:sz="4" w:space="0" w:color="auto"/>
              <w:left w:val="single" w:sz="4" w:space="0" w:color="auto"/>
              <w:bottom w:val="single" w:sz="4" w:space="0" w:color="auto"/>
              <w:right w:val="single" w:sz="4" w:space="0" w:color="auto"/>
            </w:tcBorders>
            <w:vAlign w:val="center"/>
          </w:tcPr>
          <w:p w:rsidR="00000000" w:rsidRDefault="00000000">
            <w:pPr>
              <w:rPr>
                <w:rFonts w:eastAsia="Arial Unicode MS"/>
                <w:sz w:val="20"/>
                <w:szCs w:val="18"/>
                <w:lang w:val="es-ES"/>
              </w:rPr>
            </w:pPr>
            <w:r>
              <w:rPr>
                <w:sz w:val="20"/>
                <w:szCs w:val="18"/>
              </w:rPr>
              <w:t>1-5 МРОТ (средний класс с низким доходом)</w:t>
            </w:r>
          </w:p>
        </w:tc>
        <w:tc>
          <w:tcPr>
            <w:tcW w:w="117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242"/>
              <w:jc w:val="right"/>
              <w:rPr>
                <w:rFonts w:eastAsia="Arial Unicode MS"/>
                <w:sz w:val="20"/>
                <w:szCs w:val="18"/>
                <w:lang w:val="es-ES"/>
              </w:rPr>
            </w:pPr>
            <w:r>
              <w:rPr>
                <w:sz w:val="20"/>
                <w:szCs w:val="18"/>
              </w:rPr>
              <w:t>659 119</w:t>
            </w:r>
          </w:p>
        </w:tc>
        <w:tc>
          <w:tcPr>
            <w:tcW w:w="13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242"/>
              <w:jc w:val="right"/>
              <w:rPr>
                <w:rFonts w:eastAsia="Arial Unicode MS"/>
                <w:sz w:val="20"/>
                <w:szCs w:val="18"/>
                <w:lang w:val="es-ES"/>
              </w:rPr>
            </w:pPr>
            <w:r>
              <w:rPr>
                <w:sz w:val="20"/>
                <w:szCs w:val="18"/>
              </w:rPr>
              <w:t>498 121</w:t>
            </w:r>
          </w:p>
        </w:tc>
        <w:tc>
          <w:tcPr>
            <w:tcW w:w="156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460"/>
              <w:jc w:val="right"/>
              <w:rPr>
                <w:rFonts w:eastAsia="Arial Unicode MS"/>
                <w:sz w:val="20"/>
                <w:szCs w:val="18"/>
                <w:lang w:val="es-ES"/>
              </w:rPr>
            </w:pPr>
            <w:r>
              <w:rPr>
                <w:sz w:val="20"/>
                <w:szCs w:val="18"/>
              </w:rPr>
              <w:t>160 998</w:t>
            </w:r>
          </w:p>
        </w:tc>
        <w:tc>
          <w:tcPr>
            <w:tcW w:w="11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162"/>
              <w:jc w:val="right"/>
              <w:rPr>
                <w:rFonts w:eastAsia="Arial Unicode MS"/>
                <w:sz w:val="20"/>
                <w:szCs w:val="18"/>
                <w:lang w:val="es-ES"/>
              </w:rPr>
            </w:pPr>
            <w:r>
              <w:rPr>
                <w:sz w:val="20"/>
                <w:szCs w:val="18"/>
              </w:rPr>
              <w:t>24</w:t>
            </w:r>
          </w:p>
        </w:tc>
        <w:tc>
          <w:tcPr>
            <w:tcW w:w="99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162"/>
              <w:jc w:val="right"/>
              <w:rPr>
                <w:rFonts w:eastAsia="Arial Unicode MS"/>
                <w:sz w:val="20"/>
                <w:szCs w:val="18"/>
                <w:lang w:val="es-ES"/>
              </w:rPr>
            </w:pPr>
            <w:r>
              <w:rPr>
                <w:sz w:val="20"/>
                <w:szCs w:val="18"/>
              </w:rPr>
              <w:t>53</w:t>
            </w:r>
          </w:p>
        </w:tc>
      </w:tr>
      <w:tr w:rsidR="00000000">
        <w:tc>
          <w:tcPr>
            <w:tcW w:w="3319" w:type="dxa"/>
            <w:tcBorders>
              <w:top w:val="single" w:sz="4" w:space="0" w:color="auto"/>
              <w:left w:val="single" w:sz="4" w:space="0" w:color="auto"/>
              <w:bottom w:val="single" w:sz="4" w:space="0" w:color="auto"/>
              <w:right w:val="single" w:sz="4" w:space="0" w:color="auto"/>
            </w:tcBorders>
            <w:vAlign w:val="bottom"/>
          </w:tcPr>
          <w:p w:rsidR="00000000" w:rsidRDefault="00000000">
            <w:pPr>
              <w:rPr>
                <w:rFonts w:eastAsia="Arial Unicode MS"/>
                <w:sz w:val="20"/>
                <w:szCs w:val="18"/>
              </w:rPr>
            </w:pPr>
            <w:r>
              <w:rPr>
                <w:sz w:val="20"/>
                <w:szCs w:val="18"/>
              </w:rPr>
              <w:t>5-10 МРОТ (средний класс с хорошим доходом)</w:t>
            </w:r>
          </w:p>
        </w:tc>
        <w:tc>
          <w:tcPr>
            <w:tcW w:w="117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242"/>
              <w:jc w:val="right"/>
              <w:rPr>
                <w:rFonts w:eastAsia="Arial Unicode MS"/>
                <w:sz w:val="20"/>
                <w:szCs w:val="18"/>
                <w:lang w:val="es-ES"/>
              </w:rPr>
            </w:pPr>
            <w:r>
              <w:rPr>
                <w:sz w:val="20"/>
                <w:szCs w:val="18"/>
              </w:rPr>
              <w:t>66 283</w:t>
            </w:r>
          </w:p>
        </w:tc>
        <w:tc>
          <w:tcPr>
            <w:tcW w:w="13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242"/>
              <w:jc w:val="right"/>
              <w:rPr>
                <w:rFonts w:eastAsia="Arial Unicode MS"/>
                <w:sz w:val="20"/>
                <w:szCs w:val="18"/>
                <w:lang w:val="es-ES"/>
              </w:rPr>
            </w:pPr>
            <w:r>
              <w:rPr>
                <w:sz w:val="20"/>
                <w:szCs w:val="18"/>
              </w:rPr>
              <w:t>54 448</w:t>
            </w:r>
          </w:p>
        </w:tc>
        <w:tc>
          <w:tcPr>
            <w:tcW w:w="156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460"/>
              <w:jc w:val="right"/>
              <w:rPr>
                <w:rFonts w:eastAsia="Arial Unicode MS"/>
                <w:sz w:val="20"/>
                <w:szCs w:val="18"/>
                <w:lang w:val="es-ES"/>
              </w:rPr>
            </w:pPr>
            <w:r>
              <w:rPr>
                <w:sz w:val="20"/>
                <w:szCs w:val="18"/>
              </w:rPr>
              <w:t>11 835</w:t>
            </w:r>
          </w:p>
        </w:tc>
        <w:tc>
          <w:tcPr>
            <w:tcW w:w="11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162"/>
              <w:jc w:val="right"/>
              <w:rPr>
                <w:rFonts w:eastAsia="Arial Unicode MS"/>
                <w:sz w:val="20"/>
                <w:szCs w:val="18"/>
                <w:lang w:val="es-ES"/>
              </w:rPr>
            </w:pPr>
            <w:r>
              <w:rPr>
                <w:sz w:val="20"/>
                <w:szCs w:val="18"/>
              </w:rPr>
              <w:t>18</w:t>
            </w:r>
          </w:p>
        </w:tc>
        <w:tc>
          <w:tcPr>
            <w:tcW w:w="99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162"/>
              <w:jc w:val="right"/>
              <w:rPr>
                <w:rFonts w:eastAsia="Arial Unicode MS"/>
                <w:sz w:val="20"/>
                <w:szCs w:val="18"/>
                <w:lang w:val="es-ES"/>
              </w:rPr>
            </w:pPr>
            <w:r>
              <w:rPr>
                <w:sz w:val="20"/>
                <w:szCs w:val="18"/>
              </w:rPr>
              <w:t>4</w:t>
            </w:r>
          </w:p>
        </w:tc>
      </w:tr>
      <w:tr w:rsidR="00000000">
        <w:tc>
          <w:tcPr>
            <w:tcW w:w="3319" w:type="dxa"/>
            <w:tcBorders>
              <w:top w:val="single" w:sz="4" w:space="0" w:color="auto"/>
              <w:left w:val="single" w:sz="4" w:space="0" w:color="auto"/>
              <w:bottom w:val="single" w:sz="4" w:space="0" w:color="auto"/>
              <w:right w:val="single" w:sz="4" w:space="0" w:color="auto"/>
            </w:tcBorders>
            <w:vAlign w:val="center"/>
          </w:tcPr>
          <w:p w:rsidR="00000000" w:rsidRDefault="00000000">
            <w:pPr>
              <w:rPr>
                <w:rFonts w:eastAsia="Arial Unicode MS"/>
                <w:sz w:val="20"/>
                <w:szCs w:val="18"/>
                <w:lang w:val="es-ES"/>
              </w:rPr>
            </w:pPr>
            <w:r>
              <w:rPr>
                <w:sz w:val="20"/>
                <w:szCs w:val="18"/>
              </w:rPr>
              <w:t>Более 10 МРОТ (с высоким доходом)</w:t>
            </w:r>
          </w:p>
        </w:tc>
        <w:tc>
          <w:tcPr>
            <w:tcW w:w="117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242"/>
              <w:jc w:val="right"/>
              <w:rPr>
                <w:rFonts w:eastAsia="Arial Unicode MS"/>
                <w:sz w:val="20"/>
                <w:szCs w:val="18"/>
                <w:lang w:val="es-ES"/>
              </w:rPr>
            </w:pPr>
            <w:r>
              <w:rPr>
                <w:sz w:val="20"/>
                <w:szCs w:val="18"/>
              </w:rPr>
              <w:t>27 251</w:t>
            </w:r>
          </w:p>
        </w:tc>
        <w:tc>
          <w:tcPr>
            <w:tcW w:w="13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242"/>
              <w:jc w:val="right"/>
              <w:rPr>
                <w:rFonts w:eastAsia="Arial Unicode MS"/>
                <w:sz w:val="20"/>
                <w:szCs w:val="18"/>
                <w:lang w:val="es-ES"/>
              </w:rPr>
            </w:pPr>
            <w:r>
              <w:rPr>
                <w:sz w:val="20"/>
                <w:szCs w:val="18"/>
              </w:rPr>
              <w:t>21 804</w:t>
            </w:r>
          </w:p>
        </w:tc>
        <w:tc>
          <w:tcPr>
            <w:tcW w:w="156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460"/>
              <w:jc w:val="right"/>
              <w:rPr>
                <w:rFonts w:eastAsia="Arial Unicode MS"/>
                <w:sz w:val="20"/>
                <w:szCs w:val="18"/>
                <w:lang w:val="es-ES"/>
              </w:rPr>
            </w:pPr>
            <w:r>
              <w:rPr>
                <w:sz w:val="20"/>
                <w:szCs w:val="18"/>
              </w:rPr>
              <w:t>5 447</w:t>
            </w:r>
          </w:p>
        </w:tc>
        <w:tc>
          <w:tcPr>
            <w:tcW w:w="11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162"/>
              <w:jc w:val="right"/>
              <w:rPr>
                <w:rFonts w:eastAsia="Arial Unicode MS"/>
                <w:sz w:val="20"/>
                <w:szCs w:val="18"/>
                <w:lang w:val="es-ES"/>
              </w:rPr>
            </w:pPr>
            <w:r>
              <w:rPr>
                <w:sz w:val="20"/>
                <w:szCs w:val="18"/>
              </w:rPr>
              <w:t>20</w:t>
            </w:r>
          </w:p>
        </w:tc>
        <w:tc>
          <w:tcPr>
            <w:tcW w:w="99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162"/>
              <w:jc w:val="right"/>
              <w:rPr>
                <w:rFonts w:eastAsia="Arial Unicode MS"/>
                <w:sz w:val="20"/>
                <w:szCs w:val="18"/>
                <w:lang w:val="es-ES"/>
              </w:rPr>
            </w:pPr>
            <w:r>
              <w:rPr>
                <w:sz w:val="20"/>
                <w:szCs w:val="18"/>
              </w:rPr>
              <w:t>2</w:t>
            </w:r>
          </w:p>
        </w:tc>
      </w:tr>
      <w:tr w:rsidR="00000000">
        <w:tc>
          <w:tcPr>
            <w:tcW w:w="3319" w:type="dxa"/>
            <w:tcBorders>
              <w:top w:val="single" w:sz="4" w:space="0" w:color="auto"/>
              <w:left w:val="single" w:sz="4" w:space="0" w:color="auto"/>
              <w:bottom w:val="single" w:sz="4" w:space="0" w:color="auto"/>
              <w:right w:val="single" w:sz="4" w:space="0" w:color="auto"/>
            </w:tcBorders>
            <w:vAlign w:val="bottom"/>
          </w:tcPr>
          <w:p w:rsidR="00000000" w:rsidRDefault="00000000">
            <w:pPr>
              <w:rPr>
                <w:rFonts w:eastAsia="Arial Unicode MS"/>
                <w:b/>
                <w:bCs/>
                <w:sz w:val="20"/>
                <w:szCs w:val="18"/>
              </w:rPr>
            </w:pPr>
            <w:r>
              <w:rPr>
                <w:b/>
                <w:bCs/>
                <w:sz w:val="20"/>
                <w:szCs w:val="18"/>
              </w:rPr>
              <w:tab/>
              <w:t>Всего</w:t>
            </w:r>
          </w:p>
        </w:tc>
        <w:tc>
          <w:tcPr>
            <w:tcW w:w="117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242"/>
              <w:jc w:val="right"/>
              <w:rPr>
                <w:rFonts w:eastAsia="Arial Unicode MS"/>
                <w:b/>
                <w:bCs/>
                <w:sz w:val="20"/>
                <w:szCs w:val="18"/>
                <w:lang w:val="es-ES"/>
              </w:rPr>
            </w:pPr>
            <w:r>
              <w:rPr>
                <w:b/>
                <w:bCs/>
                <w:sz w:val="20"/>
                <w:szCs w:val="18"/>
              </w:rPr>
              <w:t>1 247 652</w:t>
            </w:r>
          </w:p>
        </w:tc>
        <w:tc>
          <w:tcPr>
            <w:tcW w:w="13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242"/>
              <w:jc w:val="right"/>
              <w:rPr>
                <w:rFonts w:eastAsia="Arial Unicode MS"/>
                <w:b/>
                <w:bCs/>
                <w:sz w:val="20"/>
                <w:szCs w:val="18"/>
                <w:lang w:val="es-ES"/>
              </w:rPr>
            </w:pPr>
            <w:r>
              <w:rPr>
                <w:b/>
                <w:bCs/>
                <w:sz w:val="20"/>
                <w:szCs w:val="18"/>
              </w:rPr>
              <w:t>943 829</w:t>
            </w:r>
          </w:p>
        </w:tc>
        <w:tc>
          <w:tcPr>
            <w:tcW w:w="156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460"/>
              <w:jc w:val="right"/>
              <w:rPr>
                <w:rFonts w:eastAsia="Arial Unicode MS"/>
                <w:b/>
                <w:bCs/>
                <w:sz w:val="20"/>
                <w:szCs w:val="18"/>
                <w:lang w:val="es-ES"/>
              </w:rPr>
            </w:pPr>
            <w:r>
              <w:rPr>
                <w:b/>
                <w:bCs/>
                <w:sz w:val="20"/>
                <w:szCs w:val="18"/>
              </w:rPr>
              <w:t>303 823</w:t>
            </w:r>
          </w:p>
        </w:tc>
        <w:tc>
          <w:tcPr>
            <w:tcW w:w="11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162"/>
              <w:jc w:val="right"/>
              <w:rPr>
                <w:rFonts w:eastAsia="Arial Unicode MS"/>
                <w:b/>
                <w:bCs/>
                <w:sz w:val="20"/>
                <w:szCs w:val="18"/>
                <w:lang w:val="es-ES"/>
              </w:rPr>
            </w:pPr>
            <w:r>
              <w:rPr>
                <w:b/>
                <w:bCs/>
                <w:sz w:val="20"/>
                <w:szCs w:val="18"/>
              </w:rPr>
              <w:t>24</w:t>
            </w:r>
          </w:p>
        </w:tc>
        <w:tc>
          <w:tcPr>
            <w:tcW w:w="99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s>
              <w:ind w:right="162"/>
              <w:jc w:val="right"/>
              <w:rPr>
                <w:rFonts w:eastAsia="Arial Unicode MS"/>
                <w:b/>
                <w:bCs/>
                <w:sz w:val="20"/>
                <w:szCs w:val="18"/>
                <w:lang w:val="es-ES"/>
              </w:rPr>
            </w:pPr>
            <w:r>
              <w:rPr>
                <w:b/>
                <w:bCs/>
                <w:sz w:val="20"/>
                <w:szCs w:val="18"/>
              </w:rPr>
              <w:t>100</w:t>
            </w:r>
          </w:p>
        </w:tc>
      </w:tr>
    </w:tbl>
    <w:p w:rsidR="00000000" w:rsidRDefault="00000000">
      <w:pPr>
        <w:spacing w:line="216" w:lineRule="auto"/>
        <w:rPr>
          <w:i/>
          <w:iCs/>
          <w:szCs w:val="14"/>
        </w:rPr>
      </w:pPr>
    </w:p>
    <w:p w:rsidR="00000000" w:rsidRDefault="00000000">
      <w:pPr>
        <w:rPr>
          <w:szCs w:val="14"/>
        </w:rPr>
      </w:pPr>
      <w:r>
        <w:rPr>
          <w:i/>
          <w:iCs/>
          <w:szCs w:val="14"/>
        </w:rPr>
        <w:t>Источник:</w:t>
      </w:r>
      <w:r>
        <w:rPr>
          <w:szCs w:val="14"/>
        </w:rPr>
        <w:t xml:space="preserve">  Постоянное обследование домохозяйств 2003 года - ГУСОП.</w:t>
      </w:r>
    </w:p>
    <w:p w:rsidR="00000000" w:rsidRDefault="00000000">
      <w:pPr>
        <w:spacing w:line="216" w:lineRule="auto"/>
      </w:pPr>
    </w:p>
    <w:p w:rsidR="00000000" w:rsidRDefault="00000000">
      <w:pPr>
        <w:rPr>
          <w:szCs w:val="14"/>
        </w:rPr>
      </w:pPr>
      <w:r>
        <w:rPr>
          <w:szCs w:val="14"/>
        </w:rPr>
        <w:t>МРОТ = минимальный размер оплаты труда = 950</w:t>
      </w:r>
      <w:r>
        <w:rPr>
          <w:szCs w:val="14"/>
          <w:lang w:val="en-US"/>
        </w:rPr>
        <w:t> </w:t>
      </w:r>
      <w:r>
        <w:rPr>
          <w:szCs w:val="14"/>
        </w:rPr>
        <w:t>000 гуарани (2003 год).</w:t>
      </w:r>
    </w:p>
    <w:p w:rsidR="00000000" w:rsidRDefault="00000000">
      <w:pPr>
        <w:spacing w:line="216" w:lineRule="auto"/>
      </w:pPr>
    </w:p>
    <w:p w:rsidR="00000000" w:rsidRDefault="00000000">
      <w:pPr>
        <w:rPr>
          <w:szCs w:val="14"/>
        </w:rPr>
      </w:pPr>
      <w:r>
        <w:rPr>
          <w:szCs w:val="14"/>
        </w:rPr>
        <w:t>Без учета семей, не имеющих источника доходов.</w:t>
      </w:r>
    </w:p>
    <w:p w:rsidR="00000000" w:rsidRDefault="00000000">
      <w:pPr>
        <w:spacing w:line="216" w:lineRule="auto"/>
      </w:pPr>
    </w:p>
    <w:p w:rsidR="00000000" w:rsidRDefault="00000000">
      <w:pPr>
        <w:rPr>
          <w:szCs w:val="14"/>
        </w:rPr>
      </w:pPr>
      <w:r>
        <w:rPr>
          <w:b/>
          <w:bCs/>
          <w:szCs w:val="14"/>
          <w:vertAlign w:val="superscript"/>
        </w:rPr>
        <w:t>*</w:t>
      </w:r>
      <w:r>
        <w:rPr>
          <w:szCs w:val="14"/>
        </w:rPr>
        <w:tab/>
        <w:t>Доля семей, не имеющих собственного жилья, по отношению к общему числу семей.</w:t>
      </w:r>
    </w:p>
    <w:p w:rsidR="00000000" w:rsidRDefault="00000000">
      <w:pPr>
        <w:spacing w:line="216" w:lineRule="auto"/>
      </w:pPr>
    </w:p>
    <w:p w:rsidR="00000000" w:rsidRDefault="00000000">
      <w:pPr>
        <w:ind w:left="567" w:hanging="567"/>
        <w:rPr>
          <w:szCs w:val="14"/>
          <w:lang w:val="es-ES"/>
        </w:rPr>
      </w:pPr>
      <w:r>
        <w:rPr>
          <w:b/>
          <w:bCs/>
          <w:szCs w:val="14"/>
          <w:vertAlign w:val="superscript"/>
          <w:lang w:val="es-ES"/>
        </w:rPr>
        <w:t>**</w:t>
      </w:r>
      <w:r>
        <w:rPr>
          <w:szCs w:val="14"/>
          <w:lang w:val="es-ES"/>
        </w:rPr>
        <w:tab/>
      </w:r>
      <w:r>
        <w:rPr>
          <w:szCs w:val="14"/>
        </w:rPr>
        <w:t>Доля</w:t>
      </w:r>
      <w:r>
        <w:rPr>
          <w:szCs w:val="14"/>
          <w:lang w:val="es-ES"/>
        </w:rPr>
        <w:t xml:space="preserve"> </w:t>
      </w:r>
      <w:r>
        <w:rPr>
          <w:szCs w:val="14"/>
        </w:rPr>
        <w:t>семей</w:t>
      </w:r>
      <w:r>
        <w:rPr>
          <w:szCs w:val="14"/>
          <w:lang w:val="es-ES"/>
        </w:rPr>
        <w:t xml:space="preserve">, </w:t>
      </w:r>
      <w:r>
        <w:rPr>
          <w:szCs w:val="14"/>
        </w:rPr>
        <w:t>не</w:t>
      </w:r>
      <w:r>
        <w:rPr>
          <w:szCs w:val="14"/>
          <w:lang w:val="es-ES"/>
        </w:rPr>
        <w:t xml:space="preserve"> </w:t>
      </w:r>
      <w:r>
        <w:rPr>
          <w:szCs w:val="14"/>
        </w:rPr>
        <w:t>имеющих</w:t>
      </w:r>
      <w:r>
        <w:rPr>
          <w:szCs w:val="14"/>
          <w:lang w:val="es-ES"/>
        </w:rPr>
        <w:t xml:space="preserve"> </w:t>
      </w:r>
      <w:r>
        <w:rPr>
          <w:szCs w:val="14"/>
        </w:rPr>
        <w:t>собственного</w:t>
      </w:r>
      <w:r>
        <w:rPr>
          <w:szCs w:val="14"/>
          <w:lang w:val="es-ES"/>
        </w:rPr>
        <w:t xml:space="preserve"> </w:t>
      </w:r>
      <w:r>
        <w:rPr>
          <w:szCs w:val="14"/>
        </w:rPr>
        <w:t>жилья</w:t>
      </w:r>
      <w:r>
        <w:rPr>
          <w:szCs w:val="14"/>
          <w:lang w:val="es-ES"/>
        </w:rPr>
        <w:t xml:space="preserve">, </w:t>
      </w:r>
      <w:r>
        <w:rPr>
          <w:szCs w:val="14"/>
        </w:rPr>
        <w:t>уровень</w:t>
      </w:r>
      <w:r>
        <w:rPr>
          <w:szCs w:val="14"/>
          <w:lang w:val="es-ES"/>
        </w:rPr>
        <w:t xml:space="preserve"> </w:t>
      </w:r>
      <w:r>
        <w:rPr>
          <w:szCs w:val="14"/>
        </w:rPr>
        <w:t>дохода</w:t>
      </w:r>
      <w:r>
        <w:rPr>
          <w:szCs w:val="14"/>
          <w:lang w:val="es-ES"/>
        </w:rPr>
        <w:t xml:space="preserve"> </w:t>
      </w:r>
      <w:r>
        <w:rPr>
          <w:szCs w:val="14"/>
        </w:rPr>
        <w:t>которых</w:t>
      </w:r>
      <w:r>
        <w:rPr>
          <w:szCs w:val="14"/>
          <w:lang w:val="es-ES"/>
        </w:rPr>
        <w:t xml:space="preserve"> </w:t>
      </w:r>
      <w:r>
        <w:rPr>
          <w:szCs w:val="14"/>
        </w:rPr>
        <w:t>соответствует</w:t>
      </w:r>
      <w:r>
        <w:rPr>
          <w:szCs w:val="14"/>
          <w:lang w:val="es-ES"/>
        </w:rPr>
        <w:t xml:space="preserve"> </w:t>
      </w:r>
      <w:r>
        <w:rPr>
          <w:szCs w:val="14"/>
        </w:rPr>
        <w:t>данному</w:t>
      </w:r>
      <w:r>
        <w:rPr>
          <w:szCs w:val="14"/>
          <w:lang w:val="es-ES"/>
        </w:rPr>
        <w:t xml:space="preserve"> </w:t>
      </w:r>
      <w:r>
        <w:rPr>
          <w:szCs w:val="14"/>
        </w:rPr>
        <w:t>бюджету</w:t>
      </w:r>
      <w:r>
        <w:rPr>
          <w:szCs w:val="14"/>
          <w:lang w:val="es-ES"/>
        </w:rPr>
        <w:t>.</w:t>
      </w:r>
    </w:p>
    <w:p w:rsidR="00000000" w:rsidRDefault="00000000">
      <w:pPr>
        <w:ind w:left="567" w:hanging="567"/>
        <w:rPr>
          <w:szCs w:val="14"/>
          <w:lang w:val="es-ES"/>
        </w:rPr>
      </w:pPr>
    </w:p>
    <w:tbl>
      <w:tblPr>
        <w:tblpPr w:leftFromText="180" w:rightFromText="180" w:vertAnchor="text" w:horzAnchor="margin" w:tblpXSpec="center" w:tblpY="35"/>
        <w:tblW w:w="48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1"/>
      </w:tblGrid>
      <w:tr w:rsidR="00000000">
        <w:tblPrEx>
          <w:tblCellMar>
            <w:top w:w="0" w:type="dxa"/>
            <w:bottom w:w="0" w:type="dxa"/>
          </w:tblCellMar>
        </w:tblPrEx>
        <w:tc>
          <w:tcPr>
            <w:tcW w:w="5000" w:type="pct"/>
          </w:tcPr>
          <w:p w:rsidR="00000000" w:rsidRDefault="00000000">
            <w:r>
              <w:rPr>
                <w:szCs w:val="22"/>
              </w:rPr>
              <w:tab/>
              <w:t>24% семей в Парагвае не имеют собственного жилья (303 823 семьи).  Из них 53% (160 998 семей) принадлежат</w:t>
            </w:r>
            <w:r>
              <w:rPr>
                <w:bCs/>
                <w:szCs w:val="22"/>
              </w:rPr>
              <w:t xml:space="preserve"> к среднему классу с низкими доходами - их семейный бюджет соответствует 1-5 МРОТ.</w:t>
            </w:r>
          </w:p>
        </w:tc>
      </w:tr>
    </w:tbl>
    <w:p w:rsidR="00000000" w:rsidRDefault="00000000">
      <w:pPr>
        <w:ind w:left="567" w:hanging="567"/>
        <w:jc w:val="right"/>
        <w:rPr>
          <w:szCs w:val="14"/>
          <w:lang w:val="es-ES"/>
        </w:rPr>
      </w:pPr>
    </w:p>
    <w:p w:rsidR="00000000" w:rsidRDefault="00000000">
      <w:pPr>
        <w:ind w:left="567" w:hanging="567"/>
        <w:rPr>
          <w:szCs w:val="14"/>
          <w:lang w:val="en-US"/>
        </w:rPr>
      </w:pPr>
      <w:r>
        <w:object w:dxaOrig="11594" w:dyaOrig="3586">
          <v:shape id="_x0000_i1044" type="#_x0000_t75" style="width:467.25pt;height:144.75pt" o:ole="">
            <v:imagedata r:id="rId83" o:title=""/>
          </v:shape>
          <o:OLEObject Type="Embed" ProgID="PBrush" ShapeID="_x0000_i1044" DrawAspect="Content" ObjectID="_1394904867" r:id="rId84"/>
        </w:object>
      </w:r>
    </w:p>
    <w:p w:rsidR="00000000" w:rsidRDefault="00000000">
      <w:pPr>
        <w:ind w:left="567" w:hanging="567"/>
        <w:rPr>
          <w:szCs w:val="14"/>
          <w:lang w:val="en-US"/>
        </w:rPr>
      </w:pPr>
    </w:p>
    <w:p w:rsidR="00000000" w:rsidRDefault="00000000">
      <w:pPr>
        <w:ind w:left="567" w:hanging="567"/>
        <w:rPr>
          <w:szCs w:val="14"/>
          <w:lang w:val="en-US"/>
        </w:rPr>
      </w:pPr>
      <w:r>
        <w:object w:dxaOrig="11594" w:dyaOrig="4229">
          <v:shape id="_x0000_i1045" type="#_x0000_t75" style="width:467.25pt;height:170.25pt" o:ole="">
            <v:imagedata r:id="rId85" o:title=""/>
          </v:shape>
          <o:OLEObject Type="Embed" ProgID="PBrush" ShapeID="_x0000_i1045" DrawAspect="Content" ObjectID="_1394904868" r:id="rId86"/>
        </w:object>
      </w:r>
    </w:p>
    <w:p w:rsidR="00000000" w:rsidRDefault="00000000">
      <w:pPr>
        <w:ind w:left="567" w:hanging="567"/>
        <w:rPr>
          <w:szCs w:val="14"/>
          <w:lang w:val="en-US"/>
        </w:rPr>
      </w:pPr>
    </w:p>
    <w:p w:rsidR="00000000" w:rsidRDefault="00000000">
      <w:r>
        <w:t>Подготовлено:  Управление планирования КОНАВИ.</w:t>
      </w:r>
    </w:p>
    <w:p w:rsidR="00000000" w:rsidRDefault="00000000"/>
    <w:p w:rsidR="00000000" w:rsidRDefault="00000000">
      <w:pPr>
        <w:jc w:val="center"/>
        <w:rPr>
          <w:b/>
          <w:bCs/>
        </w:rPr>
      </w:pPr>
      <w:r>
        <w:rPr>
          <w:b/>
          <w:bCs/>
        </w:rPr>
        <w:t>Владение жильем</w:t>
      </w:r>
    </w:p>
    <w:p w:rsidR="00000000" w:rsidRDefault="00000000">
      <w:pPr>
        <w:rPr>
          <w:b/>
          <w:bCs/>
          <w:lang w:val="es-ES"/>
        </w:rPr>
      </w:pPr>
    </w:p>
    <w:tbl>
      <w:tblPr>
        <w:tblW w:w="0" w:type="auto"/>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4074"/>
        <w:gridCol w:w="1176"/>
        <w:gridCol w:w="1427"/>
        <w:gridCol w:w="1484"/>
        <w:gridCol w:w="1250"/>
      </w:tblGrid>
      <w:tr w:rsidR="00000000">
        <w:trPr>
          <w:cantSplit/>
        </w:trPr>
        <w:tc>
          <w:tcPr>
            <w:tcW w:w="9411" w:type="dxa"/>
            <w:gridSpan w:val="5"/>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jc w:val="center"/>
              <w:rPr>
                <w:szCs w:val="24"/>
                <w:lang w:val="es-ES"/>
              </w:rPr>
            </w:pPr>
            <w:r>
              <w:rPr>
                <w:b/>
                <w:bCs/>
                <w:szCs w:val="22"/>
              </w:rPr>
              <w:t>Положение дел с арендой жилья</w:t>
            </w:r>
          </w:p>
        </w:tc>
      </w:tr>
      <w:tr w:rsidR="00000000">
        <w:trPr>
          <w:cantSplit/>
        </w:trPr>
        <w:tc>
          <w:tcPr>
            <w:tcW w:w="4074"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line="240" w:lineRule="auto"/>
              <w:jc w:val="center"/>
              <w:rPr>
                <w:b/>
                <w:bCs/>
                <w:szCs w:val="24"/>
                <w:lang w:val="es-ES"/>
              </w:rPr>
            </w:pPr>
            <w:r>
              <w:rPr>
                <w:b/>
                <w:bCs/>
              </w:rPr>
              <w:t>Семейный бюджет</w:t>
            </w:r>
          </w:p>
        </w:tc>
        <w:tc>
          <w:tcPr>
            <w:tcW w:w="5337"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line="240" w:lineRule="auto"/>
              <w:jc w:val="center"/>
              <w:rPr>
                <w:b/>
                <w:bCs/>
                <w:szCs w:val="24"/>
              </w:rPr>
            </w:pPr>
            <w:r>
              <w:rPr>
                <w:b/>
                <w:bCs/>
              </w:rPr>
              <w:t>Семьи, не имеющие жилья</w:t>
            </w:r>
          </w:p>
        </w:tc>
      </w:tr>
      <w:tr w:rsidR="00000000">
        <w:trPr>
          <w:cantSplit/>
        </w:trPr>
        <w:tc>
          <w:tcPr>
            <w:tcW w:w="4074"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line="240" w:lineRule="auto"/>
              <w:jc w:val="center"/>
              <w:rPr>
                <w:b/>
                <w:bCs/>
                <w:szCs w:val="24"/>
                <w:lang w:val="es-ES"/>
              </w:rPr>
            </w:pP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line="240" w:lineRule="auto"/>
              <w:jc w:val="center"/>
              <w:rPr>
                <w:b/>
                <w:bCs/>
                <w:szCs w:val="24"/>
              </w:rPr>
            </w:pPr>
            <w:r>
              <w:rPr>
                <w:b/>
                <w:bCs/>
              </w:rPr>
              <w:t>Всего</w:t>
            </w:r>
          </w:p>
        </w:tc>
        <w:tc>
          <w:tcPr>
            <w:tcW w:w="142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line="240" w:lineRule="auto"/>
              <w:jc w:val="center"/>
              <w:rPr>
                <w:b/>
                <w:bCs/>
                <w:szCs w:val="24"/>
              </w:rPr>
            </w:pPr>
            <w:r>
              <w:rPr>
                <w:b/>
                <w:bCs/>
              </w:rPr>
              <w:t>Арендуют</w:t>
            </w:r>
          </w:p>
        </w:tc>
        <w:tc>
          <w:tcPr>
            <w:tcW w:w="148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line="240" w:lineRule="auto"/>
              <w:jc w:val="center"/>
              <w:rPr>
                <w:b/>
                <w:bCs/>
                <w:szCs w:val="24"/>
                <w:vertAlign w:val="superscript"/>
                <w:lang w:val="es-ES"/>
              </w:rPr>
            </w:pPr>
            <w:r>
              <w:rPr>
                <w:b/>
                <w:bCs/>
              </w:rPr>
              <w:t>Доля</w:t>
            </w:r>
            <w:r>
              <w:rPr>
                <w:b/>
                <w:bCs/>
                <w:lang w:val="en-US"/>
              </w:rPr>
              <w:t> </w:t>
            </w:r>
            <w:r>
              <w:rPr>
                <w:b/>
                <w:bCs/>
              </w:rPr>
              <w:t>(в %)</w:t>
            </w:r>
            <w:r>
              <w:rPr>
                <w:b/>
                <w:bCs/>
                <w:vertAlign w:val="superscript"/>
              </w:rPr>
              <w:t>**</w:t>
            </w:r>
          </w:p>
        </w:tc>
        <w:tc>
          <w:tcPr>
            <w:tcW w:w="125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line="240" w:lineRule="auto"/>
              <w:jc w:val="center"/>
              <w:rPr>
                <w:b/>
                <w:bCs/>
                <w:szCs w:val="24"/>
                <w:lang w:val="es-ES"/>
              </w:rPr>
            </w:pPr>
            <w:r>
              <w:rPr>
                <w:b/>
                <w:bCs/>
              </w:rPr>
              <w:t>Прочее</w:t>
            </w:r>
            <w:r>
              <w:rPr>
                <w:b/>
                <w:bCs/>
                <w:vertAlign w:val="superscript"/>
              </w:rPr>
              <w:t>*</w:t>
            </w:r>
          </w:p>
        </w:tc>
      </w:tr>
      <w:tr w:rsidR="00000000">
        <w:trPr>
          <w:cantSplit/>
        </w:trPr>
        <w:tc>
          <w:tcPr>
            <w:tcW w:w="407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line="240" w:lineRule="auto"/>
              <w:ind w:left="57"/>
              <w:rPr>
                <w:rFonts w:eastAsia="Arial Unicode MS"/>
                <w:szCs w:val="18"/>
                <w:lang w:val="es-ES"/>
              </w:rPr>
            </w:pPr>
            <w:r>
              <w:rPr>
                <w:szCs w:val="18"/>
              </w:rPr>
              <w:t>До 1 МРОТ (малоимущие)</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ind w:right="170"/>
              <w:jc w:val="right"/>
              <w:rPr>
                <w:rFonts w:eastAsia="Arial Unicode MS"/>
                <w:szCs w:val="18"/>
                <w:lang w:val="es-ES"/>
              </w:rPr>
            </w:pPr>
            <w:r>
              <w:rPr>
                <w:szCs w:val="18"/>
              </w:rPr>
              <w:t>125 543</w:t>
            </w:r>
          </w:p>
        </w:tc>
        <w:tc>
          <w:tcPr>
            <w:tcW w:w="1427"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ind w:right="284"/>
              <w:jc w:val="right"/>
              <w:rPr>
                <w:rFonts w:eastAsia="Arial Unicode MS"/>
                <w:szCs w:val="18"/>
                <w:lang w:val="es-ES"/>
              </w:rPr>
            </w:pPr>
            <w:r>
              <w:rPr>
                <w:szCs w:val="18"/>
              </w:rPr>
              <w:t>37 713</w:t>
            </w:r>
          </w:p>
        </w:tc>
        <w:tc>
          <w:tcPr>
            <w:tcW w:w="1484"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ind w:right="567"/>
              <w:jc w:val="right"/>
              <w:rPr>
                <w:rFonts w:eastAsia="Arial Unicode MS"/>
                <w:szCs w:val="18"/>
                <w:lang w:val="es-ES"/>
              </w:rPr>
            </w:pPr>
            <w:r>
              <w:rPr>
                <w:szCs w:val="18"/>
              </w:rPr>
              <w:t>31</w:t>
            </w:r>
          </w:p>
        </w:tc>
        <w:tc>
          <w:tcPr>
            <w:tcW w:w="1250"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ind w:right="284"/>
              <w:jc w:val="right"/>
              <w:rPr>
                <w:rFonts w:eastAsia="Arial Unicode MS"/>
                <w:szCs w:val="18"/>
                <w:lang w:val="es-ES"/>
              </w:rPr>
            </w:pPr>
            <w:r>
              <w:rPr>
                <w:szCs w:val="18"/>
              </w:rPr>
              <w:t>87 830</w:t>
            </w:r>
          </w:p>
        </w:tc>
      </w:tr>
      <w:tr w:rsidR="00000000">
        <w:trPr>
          <w:cantSplit/>
        </w:trPr>
        <w:tc>
          <w:tcPr>
            <w:tcW w:w="407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line="240" w:lineRule="auto"/>
              <w:ind w:left="57"/>
              <w:rPr>
                <w:rFonts w:eastAsia="Arial Unicode MS"/>
                <w:szCs w:val="18"/>
                <w:lang w:val="es-ES"/>
              </w:rPr>
            </w:pPr>
            <w:r>
              <w:rPr>
                <w:szCs w:val="18"/>
              </w:rPr>
              <w:t>1-5 МРОТ (средний класс с низким доходом)</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ind w:right="170"/>
              <w:jc w:val="right"/>
              <w:rPr>
                <w:rFonts w:eastAsia="Arial Unicode MS"/>
                <w:szCs w:val="18"/>
                <w:lang w:val="es-ES"/>
              </w:rPr>
            </w:pPr>
            <w:r>
              <w:rPr>
                <w:szCs w:val="18"/>
              </w:rPr>
              <w:t>160 998</w:t>
            </w:r>
          </w:p>
        </w:tc>
        <w:tc>
          <w:tcPr>
            <w:tcW w:w="1427"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ind w:right="284"/>
              <w:jc w:val="right"/>
              <w:rPr>
                <w:rFonts w:eastAsia="Arial Unicode MS"/>
                <w:szCs w:val="18"/>
                <w:lang w:val="es-ES"/>
              </w:rPr>
            </w:pPr>
            <w:r>
              <w:rPr>
                <w:szCs w:val="18"/>
              </w:rPr>
              <w:t>71 872</w:t>
            </w:r>
          </w:p>
        </w:tc>
        <w:tc>
          <w:tcPr>
            <w:tcW w:w="1484"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ind w:right="567"/>
              <w:jc w:val="right"/>
              <w:rPr>
                <w:rFonts w:eastAsia="Arial Unicode MS"/>
                <w:szCs w:val="18"/>
                <w:lang w:val="es-ES"/>
              </w:rPr>
            </w:pPr>
            <w:r>
              <w:rPr>
                <w:szCs w:val="18"/>
              </w:rPr>
              <w:t>59</w:t>
            </w:r>
          </w:p>
        </w:tc>
        <w:tc>
          <w:tcPr>
            <w:tcW w:w="1250"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ind w:right="284"/>
              <w:jc w:val="right"/>
              <w:rPr>
                <w:rFonts w:eastAsia="Arial Unicode MS"/>
                <w:szCs w:val="18"/>
                <w:lang w:val="es-ES"/>
              </w:rPr>
            </w:pPr>
            <w:r>
              <w:rPr>
                <w:szCs w:val="18"/>
              </w:rPr>
              <w:t>89 126</w:t>
            </w:r>
          </w:p>
        </w:tc>
      </w:tr>
      <w:tr w:rsidR="00000000">
        <w:trPr>
          <w:cantSplit/>
        </w:trPr>
        <w:tc>
          <w:tcPr>
            <w:tcW w:w="4074"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ind w:left="57"/>
              <w:rPr>
                <w:rFonts w:eastAsia="Arial Unicode MS"/>
                <w:szCs w:val="18"/>
              </w:rPr>
            </w:pPr>
            <w:r>
              <w:rPr>
                <w:szCs w:val="18"/>
              </w:rPr>
              <w:t>5-10 МРОТ (средний класс с хорошим доходом)</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ind w:right="170"/>
              <w:jc w:val="right"/>
              <w:rPr>
                <w:rFonts w:eastAsia="Arial Unicode MS"/>
                <w:szCs w:val="18"/>
                <w:lang w:val="es-ES"/>
              </w:rPr>
            </w:pPr>
            <w:r>
              <w:rPr>
                <w:szCs w:val="18"/>
              </w:rPr>
              <w:t>11 835</w:t>
            </w:r>
          </w:p>
        </w:tc>
        <w:tc>
          <w:tcPr>
            <w:tcW w:w="1427"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ind w:right="284"/>
              <w:jc w:val="right"/>
              <w:rPr>
                <w:rFonts w:eastAsia="Arial Unicode MS"/>
                <w:szCs w:val="18"/>
                <w:lang w:val="es-ES"/>
              </w:rPr>
            </w:pPr>
            <w:r>
              <w:rPr>
                <w:szCs w:val="18"/>
              </w:rPr>
              <w:t>7 602</w:t>
            </w:r>
          </w:p>
        </w:tc>
        <w:tc>
          <w:tcPr>
            <w:tcW w:w="1484"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ind w:right="567"/>
              <w:jc w:val="right"/>
              <w:rPr>
                <w:rFonts w:eastAsia="Arial Unicode MS"/>
                <w:szCs w:val="18"/>
                <w:lang w:val="es-ES"/>
              </w:rPr>
            </w:pPr>
            <w:r>
              <w:rPr>
                <w:szCs w:val="18"/>
              </w:rPr>
              <w:t>6</w:t>
            </w:r>
          </w:p>
        </w:tc>
        <w:tc>
          <w:tcPr>
            <w:tcW w:w="1250"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ind w:right="284"/>
              <w:jc w:val="right"/>
              <w:rPr>
                <w:rFonts w:eastAsia="Arial Unicode MS"/>
                <w:szCs w:val="18"/>
                <w:lang w:val="es-ES"/>
              </w:rPr>
            </w:pPr>
            <w:r>
              <w:rPr>
                <w:szCs w:val="18"/>
              </w:rPr>
              <w:t>4 233</w:t>
            </w:r>
          </w:p>
        </w:tc>
      </w:tr>
      <w:tr w:rsidR="00000000">
        <w:trPr>
          <w:cantSplit/>
        </w:trPr>
        <w:tc>
          <w:tcPr>
            <w:tcW w:w="407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line="240" w:lineRule="auto"/>
              <w:ind w:left="57"/>
              <w:rPr>
                <w:rFonts w:eastAsia="Arial Unicode MS"/>
                <w:szCs w:val="18"/>
                <w:lang w:val="es-ES"/>
              </w:rPr>
            </w:pPr>
            <w:r>
              <w:rPr>
                <w:szCs w:val="18"/>
              </w:rPr>
              <w:t>Более 10 МРОТ (с высоким доходом)</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ind w:right="170"/>
              <w:jc w:val="right"/>
              <w:rPr>
                <w:rFonts w:eastAsia="Arial Unicode MS"/>
                <w:szCs w:val="18"/>
                <w:lang w:val="es-ES"/>
              </w:rPr>
            </w:pPr>
            <w:r>
              <w:rPr>
                <w:szCs w:val="18"/>
              </w:rPr>
              <w:t>5 447</w:t>
            </w:r>
          </w:p>
        </w:tc>
        <w:tc>
          <w:tcPr>
            <w:tcW w:w="1427"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ind w:right="284"/>
              <w:jc w:val="right"/>
              <w:rPr>
                <w:rFonts w:eastAsia="Arial Unicode MS"/>
                <w:szCs w:val="18"/>
                <w:lang w:val="es-ES"/>
              </w:rPr>
            </w:pPr>
            <w:r>
              <w:rPr>
                <w:szCs w:val="18"/>
              </w:rPr>
              <w:t>4 089</w:t>
            </w:r>
          </w:p>
        </w:tc>
        <w:tc>
          <w:tcPr>
            <w:tcW w:w="1484"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ind w:right="567"/>
              <w:jc w:val="right"/>
              <w:rPr>
                <w:rFonts w:eastAsia="Arial Unicode MS"/>
                <w:szCs w:val="18"/>
                <w:lang w:val="es-ES"/>
              </w:rPr>
            </w:pPr>
            <w:r>
              <w:rPr>
                <w:szCs w:val="18"/>
              </w:rPr>
              <w:t>4</w:t>
            </w:r>
          </w:p>
        </w:tc>
        <w:tc>
          <w:tcPr>
            <w:tcW w:w="1250"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ind w:right="284"/>
              <w:jc w:val="right"/>
              <w:rPr>
                <w:rFonts w:eastAsia="Arial Unicode MS"/>
                <w:szCs w:val="18"/>
                <w:lang w:val="es-ES"/>
              </w:rPr>
            </w:pPr>
            <w:r>
              <w:rPr>
                <w:szCs w:val="18"/>
              </w:rPr>
              <w:t>1 358</w:t>
            </w:r>
          </w:p>
        </w:tc>
      </w:tr>
      <w:tr w:rsidR="00000000">
        <w:trPr>
          <w:cantSplit/>
        </w:trPr>
        <w:tc>
          <w:tcPr>
            <w:tcW w:w="4074"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line="240" w:lineRule="auto"/>
              <w:rPr>
                <w:rFonts w:eastAsia="Arial Unicode MS"/>
                <w:b/>
                <w:bCs/>
                <w:szCs w:val="18"/>
              </w:rPr>
            </w:pPr>
            <w:r>
              <w:rPr>
                <w:b/>
                <w:bCs/>
                <w:szCs w:val="18"/>
              </w:rPr>
              <w:tab/>
              <w:t>Всего</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ind w:right="170"/>
              <w:jc w:val="right"/>
              <w:rPr>
                <w:rFonts w:eastAsia="Arial Unicode MS"/>
                <w:b/>
                <w:bCs/>
                <w:szCs w:val="18"/>
                <w:lang w:val="es-ES"/>
              </w:rPr>
            </w:pPr>
            <w:r>
              <w:rPr>
                <w:b/>
                <w:bCs/>
                <w:szCs w:val="18"/>
              </w:rPr>
              <w:t>303 823</w:t>
            </w:r>
          </w:p>
        </w:tc>
        <w:tc>
          <w:tcPr>
            <w:tcW w:w="1427"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ind w:right="284"/>
              <w:jc w:val="right"/>
              <w:rPr>
                <w:rFonts w:eastAsia="Arial Unicode MS"/>
                <w:b/>
                <w:bCs/>
                <w:szCs w:val="18"/>
                <w:lang w:val="es-ES"/>
              </w:rPr>
            </w:pPr>
            <w:r>
              <w:rPr>
                <w:b/>
                <w:bCs/>
                <w:szCs w:val="18"/>
              </w:rPr>
              <w:t>121 276</w:t>
            </w:r>
          </w:p>
        </w:tc>
        <w:tc>
          <w:tcPr>
            <w:tcW w:w="1484"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ind w:right="567"/>
              <w:jc w:val="right"/>
              <w:rPr>
                <w:rFonts w:eastAsia="Arial Unicode MS"/>
                <w:b/>
                <w:bCs/>
                <w:szCs w:val="18"/>
                <w:lang w:val="es-ES"/>
              </w:rPr>
            </w:pPr>
            <w:r>
              <w:rPr>
                <w:b/>
                <w:bCs/>
                <w:szCs w:val="18"/>
              </w:rPr>
              <w:t>100</w:t>
            </w:r>
          </w:p>
        </w:tc>
        <w:tc>
          <w:tcPr>
            <w:tcW w:w="1250" w:type="dxa"/>
            <w:tcBorders>
              <w:top w:val="single" w:sz="4" w:space="0" w:color="auto"/>
              <w:left w:val="single" w:sz="4" w:space="0" w:color="auto"/>
              <w:bottom w:val="single" w:sz="4" w:space="0" w:color="auto"/>
              <w:right w:val="single" w:sz="4" w:space="0" w:color="auto"/>
            </w:tcBorders>
          </w:tcPr>
          <w:p w:rsidR="00000000" w:rsidRDefault="00000000">
            <w:pPr>
              <w:spacing w:before="60" w:after="60" w:line="240" w:lineRule="auto"/>
              <w:ind w:right="284"/>
              <w:jc w:val="right"/>
              <w:rPr>
                <w:rFonts w:eastAsia="Arial Unicode MS"/>
                <w:b/>
                <w:bCs/>
                <w:szCs w:val="18"/>
                <w:lang w:val="es-ES"/>
              </w:rPr>
            </w:pPr>
            <w:r>
              <w:rPr>
                <w:b/>
                <w:bCs/>
                <w:szCs w:val="18"/>
              </w:rPr>
              <w:t>182 547</w:t>
            </w:r>
          </w:p>
        </w:tc>
      </w:tr>
    </w:tbl>
    <w:p w:rsidR="00000000" w:rsidRDefault="00000000">
      <w:pPr>
        <w:rPr>
          <w:i/>
          <w:iCs/>
          <w:szCs w:val="14"/>
        </w:rPr>
      </w:pPr>
    </w:p>
    <w:p w:rsidR="00000000" w:rsidRDefault="00000000">
      <w:pPr>
        <w:rPr>
          <w:szCs w:val="14"/>
        </w:rPr>
      </w:pPr>
      <w:r>
        <w:rPr>
          <w:i/>
          <w:iCs/>
          <w:szCs w:val="14"/>
        </w:rPr>
        <w:t>Источник:</w:t>
      </w:r>
      <w:r>
        <w:rPr>
          <w:szCs w:val="14"/>
        </w:rPr>
        <w:t xml:space="preserve">  Постоянное обследование домохозяйств 2003 года - ГУСОП.</w:t>
      </w:r>
    </w:p>
    <w:p w:rsidR="00000000" w:rsidRDefault="00000000">
      <w:pPr>
        <w:spacing w:line="216" w:lineRule="auto"/>
      </w:pPr>
    </w:p>
    <w:p w:rsidR="00000000" w:rsidRDefault="00000000">
      <w:pPr>
        <w:rPr>
          <w:szCs w:val="14"/>
        </w:rPr>
      </w:pPr>
      <w:r>
        <w:rPr>
          <w:szCs w:val="18"/>
        </w:rPr>
        <w:t>МРОТ</w:t>
      </w:r>
      <w:r>
        <w:rPr>
          <w:szCs w:val="14"/>
        </w:rPr>
        <w:t xml:space="preserve"> = минимальный размер оплаты труда = 950 000 гоарани (2003 год).</w:t>
      </w:r>
    </w:p>
    <w:p w:rsidR="00000000" w:rsidRDefault="00000000">
      <w:pPr>
        <w:spacing w:line="216" w:lineRule="auto"/>
      </w:pPr>
    </w:p>
    <w:p w:rsidR="00000000" w:rsidRDefault="00000000">
      <w:pPr>
        <w:rPr>
          <w:szCs w:val="14"/>
        </w:rPr>
      </w:pPr>
      <w:r>
        <w:rPr>
          <w:szCs w:val="14"/>
        </w:rPr>
        <w:t>Без учета семей, не имеющих источника доходов.</w:t>
      </w:r>
    </w:p>
    <w:p w:rsidR="00000000" w:rsidRDefault="00000000">
      <w:pPr>
        <w:spacing w:line="216" w:lineRule="auto"/>
      </w:pPr>
    </w:p>
    <w:p w:rsidR="00000000" w:rsidRDefault="00000000">
      <w:pPr>
        <w:ind w:left="567" w:hanging="567"/>
        <w:rPr>
          <w:szCs w:val="14"/>
        </w:rPr>
      </w:pPr>
      <w:r>
        <w:rPr>
          <w:b/>
          <w:bCs/>
          <w:szCs w:val="14"/>
          <w:vertAlign w:val="superscript"/>
          <w:lang w:val="es-ES"/>
        </w:rPr>
        <w:t>*</w:t>
      </w:r>
      <w:r>
        <w:rPr>
          <w:szCs w:val="14"/>
          <w:lang w:val="es-ES"/>
        </w:rPr>
        <w:t xml:space="preserve"> </w:t>
      </w:r>
      <w:r>
        <w:rPr>
          <w:szCs w:val="14"/>
          <w:lang w:val="es-ES"/>
        </w:rPr>
        <w:tab/>
      </w:r>
      <w:r>
        <w:rPr>
          <w:szCs w:val="14"/>
        </w:rPr>
        <w:t>Прочее</w:t>
      </w:r>
      <w:r>
        <w:rPr>
          <w:szCs w:val="14"/>
          <w:lang w:val="es-ES"/>
        </w:rPr>
        <w:t xml:space="preserve">:  </w:t>
      </w:r>
      <w:r>
        <w:rPr>
          <w:szCs w:val="14"/>
        </w:rPr>
        <w:t>подсъем</w:t>
      </w:r>
      <w:r>
        <w:rPr>
          <w:szCs w:val="14"/>
          <w:lang w:val="es-ES"/>
        </w:rPr>
        <w:t xml:space="preserve">, </w:t>
      </w:r>
      <w:r>
        <w:rPr>
          <w:szCs w:val="14"/>
        </w:rPr>
        <w:t>проживание по факту, проживание</w:t>
      </w:r>
      <w:r>
        <w:rPr>
          <w:szCs w:val="14"/>
          <w:lang w:val="es-ES"/>
        </w:rPr>
        <w:t xml:space="preserve"> </w:t>
      </w:r>
      <w:r>
        <w:rPr>
          <w:szCs w:val="14"/>
        </w:rPr>
        <w:t>в</w:t>
      </w:r>
      <w:r>
        <w:rPr>
          <w:szCs w:val="14"/>
          <w:lang w:val="es-ES"/>
        </w:rPr>
        <w:t xml:space="preserve"> </w:t>
      </w:r>
      <w:r>
        <w:rPr>
          <w:szCs w:val="14"/>
        </w:rPr>
        <w:t>домах</w:t>
      </w:r>
      <w:r>
        <w:rPr>
          <w:szCs w:val="14"/>
          <w:lang w:val="es-ES"/>
        </w:rPr>
        <w:t xml:space="preserve"> </w:t>
      </w:r>
      <w:r>
        <w:rPr>
          <w:szCs w:val="14"/>
        </w:rPr>
        <w:t>совместного</w:t>
      </w:r>
      <w:r>
        <w:rPr>
          <w:szCs w:val="14"/>
          <w:lang w:val="es-ES"/>
        </w:rPr>
        <w:t xml:space="preserve"> </w:t>
      </w:r>
      <w:r>
        <w:rPr>
          <w:szCs w:val="14"/>
        </w:rPr>
        <w:t>пользования</w:t>
      </w:r>
      <w:r>
        <w:rPr>
          <w:szCs w:val="14"/>
          <w:lang w:val="es-ES"/>
        </w:rPr>
        <w:t xml:space="preserve"> (</w:t>
      </w:r>
      <w:r>
        <w:rPr>
          <w:szCs w:val="14"/>
        </w:rPr>
        <w:t>типа</w:t>
      </w:r>
      <w:r>
        <w:rPr>
          <w:szCs w:val="14"/>
          <w:lang w:val="es-ES"/>
        </w:rPr>
        <w:t xml:space="preserve"> </w:t>
      </w:r>
      <w:r>
        <w:rPr>
          <w:szCs w:val="14"/>
        </w:rPr>
        <w:t>кондоминиумов</w:t>
      </w:r>
      <w:r>
        <w:rPr>
          <w:szCs w:val="14"/>
          <w:lang w:val="es-ES"/>
        </w:rPr>
        <w:t xml:space="preserve">), </w:t>
      </w:r>
      <w:r>
        <w:rPr>
          <w:szCs w:val="14"/>
        </w:rPr>
        <w:t>отплата в рассрочку</w:t>
      </w:r>
      <w:r>
        <w:rPr>
          <w:szCs w:val="14"/>
          <w:lang w:val="es-ES"/>
        </w:rPr>
        <w:t>.</w:t>
      </w:r>
    </w:p>
    <w:p w:rsidR="00000000" w:rsidRDefault="00000000">
      <w:pPr>
        <w:spacing w:line="216" w:lineRule="auto"/>
        <w:ind w:left="567" w:hanging="567"/>
      </w:pPr>
    </w:p>
    <w:p w:rsidR="00000000" w:rsidRDefault="00000000">
      <w:pPr>
        <w:ind w:left="567" w:hanging="567"/>
        <w:rPr>
          <w:szCs w:val="14"/>
        </w:rPr>
      </w:pPr>
      <w:r>
        <w:rPr>
          <w:b/>
          <w:bCs/>
          <w:szCs w:val="14"/>
          <w:vertAlign w:val="superscript"/>
          <w:lang w:val="es-ES"/>
        </w:rPr>
        <w:t>**</w:t>
      </w:r>
      <w:r>
        <w:rPr>
          <w:szCs w:val="14"/>
          <w:lang w:val="es-ES"/>
        </w:rPr>
        <w:t xml:space="preserve"> </w:t>
      </w:r>
      <w:r>
        <w:rPr>
          <w:szCs w:val="14"/>
          <w:lang w:val="es-ES"/>
        </w:rPr>
        <w:tab/>
      </w:r>
      <w:r>
        <w:rPr>
          <w:szCs w:val="14"/>
        </w:rPr>
        <w:t>Доля</w:t>
      </w:r>
      <w:r>
        <w:rPr>
          <w:szCs w:val="14"/>
          <w:lang w:val="es-ES"/>
        </w:rPr>
        <w:t xml:space="preserve"> </w:t>
      </w:r>
      <w:r>
        <w:rPr>
          <w:szCs w:val="14"/>
        </w:rPr>
        <w:t>семей</w:t>
      </w:r>
      <w:r>
        <w:rPr>
          <w:szCs w:val="14"/>
          <w:lang w:val="es-ES"/>
        </w:rPr>
        <w:t xml:space="preserve">, </w:t>
      </w:r>
      <w:r>
        <w:rPr>
          <w:szCs w:val="14"/>
        </w:rPr>
        <w:t>живущих</w:t>
      </w:r>
      <w:r>
        <w:rPr>
          <w:szCs w:val="14"/>
          <w:lang w:val="es-ES"/>
        </w:rPr>
        <w:t xml:space="preserve"> </w:t>
      </w:r>
      <w:r>
        <w:rPr>
          <w:szCs w:val="14"/>
        </w:rPr>
        <w:t>в</w:t>
      </w:r>
      <w:r>
        <w:rPr>
          <w:szCs w:val="14"/>
          <w:lang w:val="es-ES"/>
        </w:rPr>
        <w:t xml:space="preserve"> </w:t>
      </w:r>
      <w:r>
        <w:rPr>
          <w:szCs w:val="14"/>
        </w:rPr>
        <w:t>съемном</w:t>
      </w:r>
      <w:r>
        <w:rPr>
          <w:szCs w:val="14"/>
          <w:lang w:val="es-ES"/>
        </w:rPr>
        <w:t xml:space="preserve"> </w:t>
      </w:r>
      <w:r>
        <w:rPr>
          <w:szCs w:val="14"/>
        </w:rPr>
        <w:t>помещении</w:t>
      </w:r>
      <w:r>
        <w:rPr>
          <w:szCs w:val="14"/>
          <w:lang w:val="es-ES"/>
        </w:rPr>
        <w:t xml:space="preserve">, </w:t>
      </w:r>
      <w:r>
        <w:rPr>
          <w:szCs w:val="14"/>
        </w:rPr>
        <w:t>уровень</w:t>
      </w:r>
      <w:r>
        <w:rPr>
          <w:szCs w:val="14"/>
          <w:lang w:val="es-ES"/>
        </w:rPr>
        <w:t xml:space="preserve"> </w:t>
      </w:r>
      <w:r>
        <w:rPr>
          <w:szCs w:val="14"/>
        </w:rPr>
        <w:t>дохода</w:t>
      </w:r>
      <w:r>
        <w:rPr>
          <w:szCs w:val="14"/>
          <w:lang w:val="es-ES"/>
        </w:rPr>
        <w:t xml:space="preserve"> </w:t>
      </w:r>
      <w:r>
        <w:rPr>
          <w:szCs w:val="14"/>
        </w:rPr>
        <w:t>которых</w:t>
      </w:r>
      <w:r>
        <w:rPr>
          <w:szCs w:val="14"/>
          <w:lang w:val="es-ES"/>
        </w:rPr>
        <w:t xml:space="preserve"> </w:t>
      </w:r>
      <w:r>
        <w:rPr>
          <w:szCs w:val="14"/>
        </w:rPr>
        <w:t>соответствует</w:t>
      </w:r>
      <w:r>
        <w:rPr>
          <w:szCs w:val="14"/>
          <w:lang w:val="es-ES"/>
        </w:rPr>
        <w:t xml:space="preserve"> </w:t>
      </w:r>
      <w:r>
        <w:rPr>
          <w:szCs w:val="14"/>
        </w:rPr>
        <w:t>данному</w:t>
      </w:r>
      <w:r>
        <w:rPr>
          <w:szCs w:val="14"/>
          <w:lang w:val="es-ES"/>
        </w:rPr>
        <w:t xml:space="preserve"> </w:t>
      </w:r>
      <w:r>
        <w:rPr>
          <w:szCs w:val="14"/>
        </w:rPr>
        <w:t>бюджету</w:t>
      </w:r>
      <w:r>
        <w:rPr>
          <w:rFonts w:ascii="Arial" w:hAnsi="Arial" w:cs="Arial"/>
          <w:sz w:val="14"/>
          <w:szCs w:val="14"/>
          <w:lang w:val="es-ES"/>
        </w:rPr>
        <w:t>.</w:t>
      </w:r>
    </w:p>
    <w:p w:rsidR="00000000" w:rsidRDefault="00000000">
      <w:pPr>
        <w:ind w:left="567" w:hanging="567"/>
        <w:rPr>
          <w:szCs w:val="14"/>
        </w:rPr>
      </w:pPr>
    </w:p>
    <w:tbl>
      <w:tblPr>
        <w:tblW w:w="0" w:type="auto"/>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819"/>
      </w:tblGrid>
      <w:tr w:rsidR="00000000">
        <w:tblPrEx>
          <w:tblCellMar>
            <w:top w:w="0" w:type="dxa"/>
            <w:bottom w:w="0" w:type="dxa"/>
          </w:tblCellMar>
        </w:tblPrEx>
        <w:trPr>
          <w:cantSplit/>
        </w:trPr>
        <w:tc>
          <w:tcPr>
            <w:tcW w:w="8819" w:type="dxa"/>
          </w:tcPr>
          <w:p w:rsidR="00000000" w:rsidRDefault="00000000">
            <w:pPr>
              <w:spacing w:before="60" w:after="60"/>
              <w:ind w:left="113"/>
              <w:rPr>
                <w:szCs w:val="14"/>
              </w:rPr>
            </w:pPr>
            <w:r>
              <w:rPr>
                <w:szCs w:val="22"/>
              </w:rPr>
              <w:tab/>
              <w:t>Из 303 823 семей, не имеющих собственного жилья, 40% (121 276 семей) снимают </w:t>
            </w:r>
            <w:r>
              <w:rPr>
                <w:szCs w:val="14"/>
              </w:rPr>
              <w:t>квартиры</w:t>
            </w:r>
            <w:r>
              <w:rPr>
                <w:szCs w:val="22"/>
              </w:rPr>
              <w:t>.  Из них 59% принадлежат</w:t>
            </w:r>
            <w:r>
              <w:rPr>
                <w:bCs/>
                <w:szCs w:val="22"/>
              </w:rPr>
              <w:t xml:space="preserve"> к среднему классу с низкими семейными доходами </w:t>
            </w:r>
            <w:r>
              <w:rPr>
                <w:bCs/>
                <w:szCs w:val="22"/>
              </w:rPr>
              <w:noBreakHyphen/>
              <w:t xml:space="preserve"> 1-5 </w:t>
            </w:r>
            <w:r>
              <w:rPr>
                <w:szCs w:val="18"/>
              </w:rPr>
              <w:t>МРОТ</w:t>
            </w:r>
            <w:r>
              <w:rPr>
                <w:bCs/>
                <w:szCs w:val="22"/>
              </w:rPr>
              <w:t>.</w:t>
            </w:r>
          </w:p>
        </w:tc>
      </w:tr>
    </w:tbl>
    <w:p w:rsidR="00000000" w:rsidRDefault="00000000">
      <w:pPr>
        <w:spacing w:before="60" w:after="60"/>
        <w:ind w:left="567" w:hanging="567"/>
        <w:rPr>
          <w:szCs w:val="14"/>
        </w:rPr>
      </w:pPr>
    </w:p>
    <w:bookmarkStart w:id="110" w:name="_MON_1246265083"/>
    <w:bookmarkStart w:id="111" w:name="_MON_1246266665"/>
    <w:bookmarkEnd w:id="110"/>
    <w:bookmarkEnd w:id="111"/>
    <w:p w:rsidR="00000000" w:rsidRDefault="00000000">
      <w:pPr>
        <w:spacing w:before="60" w:after="60"/>
        <w:ind w:left="567" w:hanging="567"/>
        <w:jc w:val="center"/>
        <w:rPr>
          <w:szCs w:val="14"/>
          <w:lang w:val="en-US"/>
        </w:rPr>
      </w:pPr>
      <w:r>
        <w:object w:dxaOrig="8446" w:dyaOrig="3811">
          <v:shape id="_x0000_i1046" type="#_x0000_t75" style="width:426pt;height:192.75pt" o:ole="" filled="t" fillcolor="window">
            <v:fill color2="black"/>
            <v:imagedata r:id="rId87" o:title=""/>
            <w10:borderbottom type="single" width="4"/>
          </v:shape>
          <o:OLEObject Type="Embed" ProgID="Word.Picture.8" ShapeID="_x0000_i1046" DrawAspect="Content" ObjectID="_1394904869" r:id="rId88"/>
        </w:object>
      </w:r>
    </w:p>
    <w:p w:rsidR="00000000" w:rsidRDefault="00000000">
      <w:pPr>
        <w:spacing w:before="60" w:after="60"/>
        <w:ind w:left="567" w:hanging="567"/>
        <w:rPr>
          <w:szCs w:val="14"/>
          <w:lang w:val="en-US"/>
        </w:rPr>
      </w:pPr>
    </w:p>
    <w:bookmarkStart w:id="112" w:name="_MON_1246265696"/>
    <w:bookmarkStart w:id="113" w:name="_MON_1246265856"/>
    <w:bookmarkStart w:id="114" w:name="_MON_1246265884"/>
    <w:bookmarkStart w:id="115" w:name="_MON_1246266208"/>
    <w:bookmarkStart w:id="116" w:name="_MON_1246266246"/>
    <w:bookmarkStart w:id="117" w:name="_MON_1246266280"/>
    <w:bookmarkStart w:id="118" w:name="_MON_1246266710"/>
    <w:bookmarkStart w:id="119" w:name="_MON_1246267060"/>
    <w:bookmarkStart w:id="120" w:name="_MON_1246267205"/>
    <w:bookmarkEnd w:id="112"/>
    <w:bookmarkEnd w:id="113"/>
    <w:bookmarkEnd w:id="114"/>
    <w:bookmarkEnd w:id="115"/>
    <w:bookmarkEnd w:id="116"/>
    <w:bookmarkEnd w:id="117"/>
    <w:bookmarkEnd w:id="118"/>
    <w:bookmarkEnd w:id="119"/>
    <w:bookmarkEnd w:id="120"/>
    <w:p w:rsidR="00000000" w:rsidRDefault="00000000">
      <w:pPr>
        <w:spacing w:before="60" w:after="60"/>
        <w:ind w:left="567" w:hanging="567"/>
        <w:jc w:val="center"/>
        <w:rPr>
          <w:szCs w:val="14"/>
          <w:lang w:val="en-US"/>
        </w:rPr>
      </w:pPr>
      <w:r>
        <w:object w:dxaOrig="8440" w:dyaOrig="4070">
          <v:shape id="_x0000_i1047" type="#_x0000_t75" style="width:422.25pt;height:198.75pt" o:ole="" filled="t" fillcolor="window">
            <v:fill color2="black"/>
            <v:imagedata r:id="rId89" o:title=""/>
            <w10:bordertop type="single" width="4"/>
            <w10:borderleft type="single" width="4"/>
          </v:shape>
          <o:OLEObject Type="Embed" ProgID="Word.Picture.8" ShapeID="_x0000_i1047" DrawAspect="Content" ObjectID="_1394904870" r:id="rId90"/>
        </w:object>
      </w:r>
    </w:p>
    <w:p w:rsidR="00000000" w:rsidRDefault="00000000">
      <w:pPr>
        <w:spacing w:before="60" w:after="60"/>
        <w:ind w:left="567" w:hanging="567"/>
        <w:rPr>
          <w:szCs w:val="14"/>
          <w:lang w:val="en-US"/>
        </w:rPr>
      </w:pPr>
    </w:p>
    <w:p w:rsidR="00000000" w:rsidRDefault="00000000">
      <w:pPr>
        <w:sectPr w:rsidR="00000000">
          <w:headerReference w:type="even" r:id="rId91"/>
          <w:headerReference w:type="default" r:id="rId92"/>
          <w:footerReference w:type="default" r:id="rId93"/>
          <w:type w:val="oddPage"/>
          <w:pgSz w:w="11907" w:h="16840" w:code="9"/>
          <w:pgMar w:top="1701" w:right="851" w:bottom="1985" w:left="1701" w:header="851" w:footer="567" w:gutter="0"/>
          <w:cols w:space="720"/>
        </w:sectPr>
      </w:pPr>
    </w:p>
    <w:p w:rsidR="00000000" w:rsidRDefault="00000000">
      <w:pPr>
        <w:jc w:val="center"/>
        <w:rPr>
          <w:b/>
        </w:rPr>
      </w:pPr>
      <w:r>
        <w:rPr>
          <w:b/>
        </w:rPr>
        <w:t>Динамика</w:t>
      </w:r>
      <w:r>
        <w:rPr>
          <w:b/>
          <w:lang w:val="es-ES"/>
        </w:rPr>
        <w:t xml:space="preserve"> </w:t>
      </w:r>
      <w:r>
        <w:rPr>
          <w:b/>
        </w:rPr>
        <w:t>изменения</w:t>
      </w:r>
      <w:r>
        <w:rPr>
          <w:b/>
          <w:lang w:val="es-ES"/>
        </w:rPr>
        <w:t xml:space="preserve"> </w:t>
      </w:r>
      <w:r>
        <w:rPr>
          <w:b/>
        </w:rPr>
        <w:t>показателей</w:t>
      </w:r>
      <w:r>
        <w:rPr>
          <w:b/>
          <w:lang w:val="es-ES"/>
        </w:rPr>
        <w:t xml:space="preserve"> </w:t>
      </w:r>
      <w:r>
        <w:rPr>
          <w:b/>
        </w:rPr>
        <w:t>владения</w:t>
      </w:r>
      <w:r>
        <w:rPr>
          <w:b/>
          <w:lang w:val="es-ES"/>
        </w:rPr>
        <w:t xml:space="preserve"> </w:t>
      </w:r>
      <w:r>
        <w:rPr>
          <w:b/>
        </w:rPr>
        <w:t>жильем</w:t>
      </w:r>
      <w:r>
        <w:rPr>
          <w:b/>
          <w:lang w:val="es-ES"/>
        </w:rPr>
        <w:t xml:space="preserve"> </w:t>
      </w:r>
      <w:r>
        <w:rPr>
          <w:b/>
        </w:rPr>
        <w:t>в</w:t>
      </w:r>
      <w:r>
        <w:rPr>
          <w:b/>
          <w:lang w:val="es-ES"/>
        </w:rPr>
        <w:t xml:space="preserve"> </w:t>
      </w:r>
      <w:r>
        <w:rPr>
          <w:b/>
        </w:rPr>
        <w:t>разбивке</w:t>
      </w:r>
      <w:r>
        <w:rPr>
          <w:b/>
          <w:lang w:val="es-ES"/>
        </w:rPr>
        <w:t xml:space="preserve"> </w:t>
      </w:r>
      <w:r>
        <w:rPr>
          <w:b/>
        </w:rPr>
        <w:t>по</w:t>
      </w:r>
      <w:r>
        <w:rPr>
          <w:b/>
          <w:lang w:val="es-ES"/>
        </w:rPr>
        <w:t xml:space="preserve"> </w:t>
      </w:r>
      <w:r>
        <w:rPr>
          <w:b/>
        </w:rPr>
        <w:t>зонам</w:t>
      </w:r>
      <w:r>
        <w:rPr>
          <w:b/>
          <w:lang w:val="es-ES"/>
        </w:rPr>
        <w:t xml:space="preserve"> </w:t>
      </w:r>
      <w:r>
        <w:rPr>
          <w:b/>
        </w:rPr>
        <w:t>проживания</w:t>
      </w:r>
      <w:r>
        <w:rPr>
          <w:b/>
          <w:lang w:val="es-ES"/>
        </w:rPr>
        <w:t xml:space="preserve"> (</w:t>
      </w:r>
      <w:r>
        <w:rPr>
          <w:b/>
        </w:rPr>
        <w:t>город</w:t>
      </w:r>
      <w:r>
        <w:rPr>
          <w:b/>
          <w:lang w:val="es-ES"/>
        </w:rPr>
        <w:t xml:space="preserve"> </w:t>
      </w:r>
      <w:r>
        <w:rPr>
          <w:b/>
        </w:rPr>
        <w:t>или</w:t>
      </w:r>
      <w:r>
        <w:rPr>
          <w:b/>
          <w:lang w:val="es-ES"/>
        </w:rPr>
        <w:t xml:space="preserve"> </w:t>
      </w:r>
      <w:r>
        <w:rPr>
          <w:b/>
        </w:rPr>
        <w:t>село</w:t>
      </w:r>
      <w:r>
        <w:rPr>
          <w:b/>
          <w:lang w:val="es-ES"/>
        </w:rPr>
        <w:t>)</w:t>
      </w:r>
    </w:p>
    <w:p w:rsidR="00000000" w:rsidRDefault="00000000">
      <w:pPr>
        <w:jc w:val="center"/>
        <w:rPr>
          <w:bCs/>
        </w:rPr>
      </w:pPr>
      <w:r>
        <w:rPr>
          <w:bCs/>
        </w:rPr>
        <w:t>(в масштабах страны)</w:t>
      </w:r>
    </w:p>
    <w:p w:rsidR="00000000" w:rsidRDefault="00000000">
      <w:pPr>
        <w:rPr>
          <w:bCs/>
          <w:sz w:val="20"/>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154"/>
        <w:gridCol w:w="1056"/>
        <w:gridCol w:w="888"/>
        <w:gridCol w:w="882"/>
        <w:gridCol w:w="1057"/>
        <w:gridCol w:w="889"/>
        <w:gridCol w:w="880"/>
        <w:gridCol w:w="1057"/>
        <w:gridCol w:w="889"/>
        <w:gridCol w:w="1057"/>
        <w:gridCol w:w="889"/>
        <w:gridCol w:w="880"/>
      </w:tblGrid>
      <w:tr w:rsidR="00000000">
        <w:trPr>
          <w:cantSplit/>
          <w:trHeight w:val="240"/>
        </w:trPr>
        <w:tc>
          <w:tcPr>
            <w:tcW w:w="954"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r>
              <w:rPr>
                <w:b/>
                <w:bCs/>
                <w:sz w:val="22"/>
              </w:rPr>
              <w:t>Владение жильем</w:t>
            </w:r>
          </w:p>
        </w:tc>
        <w:tc>
          <w:tcPr>
            <w:tcW w:w="1098"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lang w:val="es-ES"/>
              </w:rPr>
            </w:pPr>
            <w:r>
              <w:rPr>
                <w:b/>
                <w:bCs/>
                <w:sz w:val="22"/>
              </w:rPr>
              <w:t>1995 год</w:t>
            </w:r>
            <w:r>
              <w:rPr>
                <w:b/>
                <w:bCs/>
                <w:sz w:val="22"/>
                <w:vertAlign w:val="superscript"/>
              </w:rPr>
              <w:t>*</w:t>
            </w:r>
          </w:p>
        </w:tc>
        <w:tc>
          <w:tcPr>
            <w:tcW w:w="1097"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lang w:val="es-ES"/>
              </w:rPr>
            </w:pPr>
            <w:r>
              <w:rPr>
                <w:b/>
                <w:bCs/>
                <w:sz w:val="22"/>
              </w:rPr>
              <w:t>1999 год</w:t>
            </w:r>
            <w:r>
              <w:rPr>
                <w:b/>
                <w:bCs/>
                <w:sz w:val="22"/>
                <w:vertAlign w:val="superscript"/>
              </w:rPr>
              <w:t>*</w:t>
            </w:r>
          </w:p>
        </w:tc>
        <w:tc>
          <w:tcPr>
            <w:tcW w:w="1851" w:type="pct"/>
            <w:gridSpan w:val="5"/>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r>
              <w:rPr>
                <w:b/>
                <w:bCs/>
                <w:sz w:val="22"/>
              </w:rPr>
              <w:t>2005 год</w:t>
            </w:r>
          </w:p>
        </w:tc>
      </w:tr>
      <w:tr w:rsidR="00000000">
        <w:trPr>
          <w:cantSplit/>
          <w:trHeight w:val="270"/>
        </w:trPr>
        <w:tc>
          <w:tcPr>
            <w:tcW w:w="954" w:type="pct"/>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lang w:val="es-ES"/>
              </w:rPr>
            </w:pPr>
          </w:p>
        </w:tc>
        <w:tc>
          <w:tcPr>
            <w:tcW w:w="408"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r>
              <w:rPr>
                <w:b/>
                <w:bCs/>
                <w:sz w:val="22"/>
              </w:rPr>
              <w:t>Всего</w:t>
            </w:r>
          </w:p>
        </w:tc>
        <w:tc>
          <w:tcPr>
            <w:tcW w:w="690"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lang w:val="es-ES"/>
              </w:rPr>
            </w:pPr>
            <w:r>
              <w:rPr>
                <w:b/>
                <w:bCs/>
                <w:sz w:val="22"/>
              </w:rPr>
              <w:t>Зона проживания</w:t>
            </w:r>
          </w:p>
        </w:tc>
        <w:tc>
          <w:tcPr>
            <w:tcW w:w="408"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lang w:val="es-ES"/>
              </w:rPr>
            </w:pPr>
            <w:r>
              <w:rPr>
                <w:b/>
                <w:bCs/>
                <w:sz w:val="22"/>
              </w:rPr>
              <w:t>Всего</w:t>
            </w:r>
          </w:p>
        </w:tc>
        <w:tc>
          <w:tcPr>
            <w:tcW w:w="689"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lang w:val="es-ES"/>
              </w:rPr>
            </w:pPr>
            <w:r>
              <w:rPr>
                <w:b/>
                <w:bCs/>
                <w:sz w:val="22"/>
              </w:rPr>
              <w:t>Зона проживания</w:t>
            </w:r>
          </w:p>
        </w:tc>
        <w:tc>
          <w:tcPr>
            <w:tcW w:w="408"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lang w:val="es-ES"/>
              </w:rPr>
            </w:pPr>
            <w:r>
              <w:rPr>
                <w:b/>
                <w:bCs/>
                <w:sz w:val="22"/>
              </w:rPr>
              <w:t>Всего</w:t>
            </w:r>
          </w:p>
        </w:tc>
        <w:tc>
          <w:tcPr>
            <w:tcW w:w="346"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lang w:val="es-ES"/>
              </w:rPr>
            </w:pPr>
            <w:r>
              <w:rPr>
                <w:b/>
                <w:bCs/>
                <w:sz w:val="22"/>
              </w:rPr>
              <w:t>Всего</w:t>
            </w:r>
          </w:p>
        </w:tc>
        <w:tc>
          <w:tcPr>
            <w:tcW w:w="408"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lang w:val="es-ES"/>
              </w:rPr>
            </w:pPr>
          </w:p>
        </w:tc>
        <w:tc>
          <w:tcPr>
            <w:tcW w:w="689"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lang w:val="es-ES"/>
              </w:rPr>
            </w:pPr>
            <w:r>
              <w:rPr>
                <w:b/>
                <w:bCs/>
                <w:sz w:val="22"/>
              </w:rPr>
              <w:t>Зона проживания</w:t>
            </w:r>
          </w:p>
        </w:tc>
      </w:tr>
      <w:tr w:rsidR="00000000">
        <w:trPr>
          <w:cantSplit/>
          <w:trHeight w:val="210"/>
        </w:trPr>
        <w:tc>
          <w:tcPr>
            <w:tcW w:w="954" w:type="pct"/>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lang w:val="es-ES"/>
              </w:rPr>
            </w:pPr>
          </w:p>
        </w:tc>
        <w:tc>
          <w:tcPr>
            <w:tcW w:w="408" w:type="pct"/>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lang w:val="es-ES"/>
              </w:rPr>
            </w:pPr>
          </w:p>
        </w:tc>
        <w:tc>
          <w:tcPr>
            <w:tcW w:w="346"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r>
              <w:rPr>
                <w:b/>
                <w:bCs/>
                <w:sz w:val="22"/>
              </w:rPr>
              <w:t>Город</w:t>
            </w:r>
          </w:p>
        </w:tc>
        <w:tc>
          <w:tcPr>
            <w:tcW w:w="344"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r>
              <w:rPr>
                <w:b/>
                <w:bCs/>
                <w:sz w:val="22"/>
              </w:rPr>
              <w:t>Село</w:t>
            </w:r>
          </w:p>
        </w:tc>
        <w:tc>
          <w:tcPr>
            <w:tcW w:w="408" w:type="pct"/>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lang w:val="es-ES"/>
              </w:rPr>
            </w:pPr>
          </w:p>
        </w:tc>
        <w:tc>
          <w:tcPr>
            <w:tcW w:w="346"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r>
              <w:rPr>
                <w:b/>
                <w:bCs/>
                <w:sz w:val="22"/>
              </w:rPr>
              <w:t>Город</w:t>
            </w:r>
          </w:p>
        </w:tc>
        <w:tc>
          <w:tcPr>
            <w:tcW w:w="343"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r>
              <w:rPr>
                <w:b/>
                <w:bCs/>
                <w:sz w:val="22"/>
              </w:rPr>
              <w:t>Село</w:t>
            </w:r>
          </w:p>
        </w:tc>
        <w:tc>
          <w:tcPr>
            <w:tcW w:w="408" w:type="pct"/>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lang w:val="es-ES"/>
              </w:rPr>
            </w:pPr>
          </w:p>
        </w:tc>
        <w:tc>
          <w:tcPr>
            <w:tcW w:w="346"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r>
              <w:rPr>
                <w:b/>
                <w:bCs/>
                <w:sz w:val="22"/>
              </w:rPr>
              <w:t>Город</w:t>
            </w:r>
          </w:p>
        </w:tc>
        <w:tc>
          <w:tcPr>
            <w:tcW w:w="408" w:type="pct"/>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lang w:val="es-ES"/>
              </w:rPr>
            </w:pPr>
          </w:p>
        </w:tc>
        <w:tc>
          <w:tcPr>
            <w:tcW w:w="346"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r>
              <w:rPr>
                <w:b/>
                <w:bCs/>
                <w:sz w:val="22"/>
              </w:rPr>
              <w:t>Город</w:t>
            </w:r>
          </w:p>
        </w:tc>
        <w:tc>
          <w:tcPr>
            <w:tcW w:w="343"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22"/>
              </w:rPr>
            </w:pPr>
            <w:r>
              <w:rPr>
                <w:b/>
                <w:bCs/>
                <w:sz w:val="22"/>
              </w:rPr>
              <w:t>Село</w:t>
            </w:r>
          </w:p>
        </w:tc>
      </w:tr>
      <w:tr w:rsidR="00000000">
        <w:trPr>
          <w:trHeight w:val="255"/>
        </w:trPr>
        <w:tc>
          <w:tcPr>
            <w:tcW w:w="954" w:type="pct"/>
            <w:tcBorders>
              <w:top w:val="single" w:sz="4" w:space="0" w:color="auto"/>
              <w:left w:val="single" w:sz="4" w:space="0" w:color="auto"/>
              <w:bottom w:val="single" w:sz="4" w:space="0" w:color="auto"/>
              <w:right w:val="single" w:sz="4" w:space="0" w:color="auto"/>
            </w:tcBorders>
            <w:noWrap/>
            <w:vAlign w:val="bottom"/>
          </w:tcPr>
          <w:p w:rsidR="00000000" w:rsidRDefault="00000000">
            <w:pPr>
              <w:rPr>
                <w:sz w:val="22"/>
              </w:rPr>
            </w:pPr>
            <w:r>
              <w:rPr>
                <w:sz w:val="22"/>
              </w:rPr>
              <w:t>Собственное жилье</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74,2</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67,5</w:t>
            </w:r>
          </w:p>
        </w:tc>
        <w:tc>
          <w:tcPr>
            <w:tcW w:w="344"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82,2</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79,6</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74,5</w:t>
            </w:r>
          </w:p>
        </w:tc>
        <w:tc>
          <w:tcPr>
            <w:tcW w:w="343"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86,3</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75,4</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69,6</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77,0</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73,2</w:t>
            </w:r>
          </w:p>
        </w:tc>
        <w:tc>
          <w:tcPr>
            <w:tcW w:w="343"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83,0</w:t>
            </w:r>
          </w:p>
        </w:tc>
      </w:tr>
      <w:tr w:rsidR="00000000">
        <w:trPr>
          <w:trHeight w:val="255"/>
        </w:trPr>
        <w:tc>
          <w:tcPr>
            <w:tcW w:w="954" w:type="pct"/>
            <w:tcBorders>
              <w:top w:val="single" w:sz="4" w:space="0" w:color="auto"/>
              <w:left w:val="single" w:sz="4" w:space="0" w:color="auto"/>
              <w:bottom w:val="single" w:sz="4" w:space="0" w:color="auto"/>
              <w:right w:val="single" w:sz="4" w:space="0" w:color="auto"/>
            </w:tcBorders>
            <w:noWrap/>
            <w:vAlign w:val="bottom"/>
          </w:tcPr>
          <w:p w:rsidR="00000000" w:rsidRDefault="00000000">
            <w:pPr>
              <w:rPr>
                <w:sz w:val="22"/>
                <w:lang w:val="es-ES"/>
              </w:rPr>
            </w:pPr>
            <w:r>
              <w:rPr>
                <w:sz w:val="22"/>
                <w:szCs w:val="14"/>
              </w:rPr>
              <w:t>Отплата в рассрочку</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2,6</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2,8</w:t>
            </w:r>
          </w:p>
        </w:tc>
        <w:tc>
          <w:tcPr>
            <w:tcW w:w="344"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2,3</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1,0</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0,6</w:t>
            </w:r>
          </w:p>
        </w:tc>
        <w:tc>
          <w:tcPr>
            <w:tcW w:w="343"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1,4</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1,0</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1,1</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0,7</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0,6</w:t>
            </w:r>
          </w:p>
        </w:tc>
        <w:tc>
          <w:tcPr>
            <w:tcW w:w="343"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0,8</w:t>
            </w:r>
          </w:p>
        </w:tc>
      </w:tr>
      <w:tr w:rsidR="00000000">
        <w:trPr>
          <w:trHeight w:val="255"/>
        </w:trPr>
        <w:tc>
          <w:tcPr>
            <w:tcW w:w="954" w:type="pct"/>
            <w:tcBorders>
              <w:top w:val="single" w:sz="4" w:space="0" w:color="auto"/>
              <w:left w:val="single" w:sz="4" w:space="0" w:color="auto"/>
              <w:bottom w:val="single" w:sz="4" w:space="0" w:color="auto"/>
              <w:right w:val="single" w:sz="4" w:space="0" w:color="auto"/>
            </w:tcBorders>
            <w:noWrap/>
            <w:vAlign w:val="bottom"/>
          </w:tcPr>
          <w:p w:rsidR="00000000" w:rsidRDefault="00000000">
            <w:pPr>
              <w:rPr>
                <w:sz w:val="22"/>
                <w:lang w:val="es-ES"/>
              </w:rPr>
            </w:pPr>
            <w:r>
              <w:rPr>
                <w:sz w:val="22"/>
              </w:rPr>
              <w:t>Собственность в кондоминиуме</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0,4</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0,6</w:t>
            </w:r>
          </w:p>
        </w:tc>
        <w:tc>
          <w:tcPr>
            <w:tcW w:w="344"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0,2</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0,7</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1,0</w:t>
            </w:r>
          </w:p>
        </w:tc>
        <w:tc>
          <w:tcPr>
            <w:tcW w:w="343"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0,2</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0,4</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0,4</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0,4</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0,6</w:t>
            </w:r>
          </w:p>
        </w:tc>
        <w:tc>
          <w:tcPr>
            <w:tcW w:w="343"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0,2</w:t>
            </w:r>
          </w:p>
        </w:tc>
      </w:tr>
      <w:tr w:rsidR="00000000">
        <w:trPr>
          <w:trHeight w:val="255"/>
        </w:trPr>
        <w:tc>
          <w:tcPr>
            <w:tcW w:w="954" w:type="pct"/>
            <w:tcBorders>
              <w:top w:val="single" w:sz="4" w:space="0" w:color="auto"/>
              <w:left w:val="single" w:sz="4" w:space="0" w:color="auto"/>
              <w:bottom w:val="single" w:sz="4" w:space="0" w:color="auto"/>
              <w:right w:val="single" w:sz="4" w:space="0" w:color="auto"/>
            </w:tcBorders>
            <w:noWrap/>
            <w:vAlign w:val="bottom"/>
          </w:tcPr>
          <w:p w:rsidR="00000000" w:rsidRDefault="00000000">
            <w:pPr>
              <w:rPr>
                <w:sz w:val="22"/>
              </w:rPr>
            </w:pPr>
            <w:r>
              <w:rPr>
                <w:sz w:val="22"/>
              </w:rPr>
              <w:t>Съемное или арендуемое жилье</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9,7</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16,9</w:t>
            </w:r>
          </w:p>
        </w:tc>
        <w:tc>
          <w:tcPr>
            <w:tcW w:w="344"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1,2</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8,8</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14,2</w:t>
            </w:r>
          </w:p>
        </w:tc>
        <w:tc>
          <w:tcPr>
            <w:tcW w:w="343"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1,7</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9,9</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15,9</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10,1</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15,6</w:t>
            </w:r>
          </w:p>
        </w:tc>
        <w:tc>
          <w:tcPr>
            <w:tcW w:w="343"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1,6</w:t>
            </w:r>
          </w:p>
        </w:tc>
      </w:tr>
      <w:tr w:rsidR="00000000">
        <w:trPr>
          <w:trHeight w:val="255"/>
        </w:trPr>
        <w:tc>
          <w:tcPr>
            <w:tcW w:w="954" w:type="pct"/>
            <w:tcBorders>
              <w:top w:val="single" w:sz="4" w:space="0" w:color="auto"/>
              <w:left w:val="single" w:sz="4" w:space="0" w:color="auto"/>
              <w:bottom w:val="single" w:sz="4" w:space="0" w:color="auto"/>
              <w:right w:val="single" w:sz="4" w:space="0" w:color="auto"/>
            </w:tcBorders>
            <w:noWrap/>
            <w:vAlign w:val="bottom"/>
          </w:tcPr>
          <w:p w:rsidR="00000000" w:rsidRDefault="00000000">
            <w:pPr>
              <w:rPr>
                <w:sz w:val="22"/>
                <w:lang w:val="es-ES"/>
              </w:rPr>
            </w:pPr>
            <w:r>
              <w:rPr>
                <w:sz w:val="22"/>
                <w:szCs w:val="14"/>
              </w:rPr>
              <w:t>Проживание по факту</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1,4</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2,2</w:t>
            </w:r>
          </w:p>
        </w:tc>
        <w:tc>
          <w:tcPr>
            <w:tcW w:w="344"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0,4</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0,4</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0,4</w:t>
            </w:r>
          </w:p>
        </w:tc>
        <w:tc>
          <w:tcPr>
            <w:tcW w:w="343"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0,2</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0,7</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0,6</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0,3</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0,1</w:t>
            </w:r>
          </w:p>
        </w:tc>
        <w:tc>
          <w:tcPr>
            <w:tcW w:w="343"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0,7</w:t>
            </w:r>
          </w:p>
        </w:tc>
      </w:tr>
      <w:tr w:rsidR="00000000">
        <w:trPr>
          <w:trHeight w:val="255"/>
        </w:trPr>
        <w:tc>
          <w:tcPr>
            <w:tcW w:w="954" w:type="pct"/>
            <w:tcBorders>
              <w:top w:val="single" w:sz="4" w:space="0" w:color="auto"/>
              <w:left w:val="single" w:sz="4" w:space="0" w:color="auto"/>
              <w:bottom w:val="single" w:sz="4" w:space="0" w:color="auto"/>
              <w:right w:val="single" w:sz="4" w:space="0" w:color="auto"/>
            </w:tcBorders>
            <w:noWrap/>
            <w:vAlign w:val="bottom"/>
          </w:tcPr>
          <w:p w:rsidR="00000000" w:rsidRDefault="00000000">
            <w:pPr>
              <w:rPr>
                <w:sz w:val="22"/>
                <w:lang w:val="es-ES"/>
              </w:rPr>
            </w:pPr>
            <w:r>
              <w:rPr>
                <w:sz w:val="22"/>
                <w:szCs w:val="14"/>
              </w:rPr>
              <w:t>Подсъем</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8,3</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7,6</w:t>
            </w:r>
          </w:p>
        </w:tc>
        <w:tc>
          <w:tcPr>
            <w:tcW w:w="344"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9,0</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9,6</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9,3</w:t>
            </w:r>
          </w:p>
        </w:tc>
        <w:tc>
          <w:tcPr>
            <w:tcW w:w="343"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10,1</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12,6</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12,3</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11,4</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9,9</w:t>
            </w:r>
          </w:p>
        </w:tc>
        <w:tc>
          <w:tcPr>
            <w:tcW w:w="343"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13,7</w:t>
            </w:r>
          </w:p>
        </w:tc>
      </w:tr>
      <w:tr w:rsidR="00000000">
        <w:trPr>
          <w:trHeight w:val="270"/>
        </w:trPr>
        <w:tc>
          <w:tcPr>
            <w:tcW w:w="954" w:type="pct"/>
            <w:tcBorders>
              <w:top w:val="single" w:sz="4" w:space="0" w:color="auto"/>
              <w:left w:val="single" w:sz="4" w:space="0" w:color="auto"/>
              <w:bottom w:val="single" w:sz="4" w:space="0" w:color="auto"/>
              <w:right w:val="single" w:sz="4" w:space="0" w:color="auto"/>
            </w:tcBorders>
            <w:noWrap/>
            <w:vAlign w:val="bottom"/>
          </w:tcPr>
          <w:p w:rsidR="00000000" w:rsidRDefault="00000000">
            <w:pPr>
              <w:rPr>
                <w:sz w:val="22"/>
              </w:rPr>
            </w:pPr>
            <w:r>
              <w:rPr>
                <w:sz w:val="22"/>
              </w:rPr>
              <w:t>Прочее</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3,5</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2,5</w:t>
            </w:r>
          </w:p>
        </w:tc>
        <w:tc>
          <w:tcPr>
            <w:tcW w:w="344"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4,7</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w:t>
            </w:r>
          </w:p>
        </w:tc>
        <w:tc>
          <w:tcPr>
            <w:tcW w:w="343"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w:t>
            </w:r>
          </w:p>
        </w:tc>
        <w:tc>
          <w:tcPr>
            <w:tcW w:w="343" w:type="pct"/>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sz w:val="22"/>
                <w:lang w:val="es-ES"/>
              </w:rPr>
            </w:pPr>
            <w:r>
              <w:rPr>
                <w:sz w:val="22"/>
              </w:rPr>
              <w:t>-</w:t>
            </w:r>
          </w:p>
        </w:tc>
      </w:tr>
      <w:tr w:rsidR="00000000">
        <w:trPr>
          <w:trHeight w:val="270"/>
        </w:trPr>
        <w:tc>
          <w:tcPr>
            <w:tcW w:w="954" w:type="pct"/>
            <w:tcBorders>
              <w:top w:val="single" w:sz="4" w:space="0" w:color="auto"/>
              <w:left w:val="single" w:sz="4" w:space="0" w:color="auto"/>
              <w:bottom w:val="single" w:sz="4" w:space="0" w:color="auto"/>
              <w:right w:val="single" w:sz="4" w:space="0" w:color="auto"/>
            </w:tcBorders>
            <w:noWrap/>
            <w:vAlign w:val="bottom"/>
          </w:tcPr>
          <w:p w:rsidR="00000000" w:rsidRDefault="00000000">
            <w:pPr>
              <w:rPr>
                <w:b/>
                <w:bCs/>
                <w:sz w:val="22"/>
              </w:rPr>
            </w:pPr>
            <w:r>
              <w:rPr>
                <w:b/>
                <w:bCs/>
                <w:sz w:val="22"/>
              </w:rPr>
              <w:tab/>
              <w:t>Всего</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rPr>
                <w:b/>
                <w:bCs/>
                <w:sz w:val="22"/>
                <w:lang w:val="es-ES"/>
              </w:rPr>
            </w:pPr>
            <w:r>
              <w:rPr>
                <w:b/>
                <w:bCs/>
                <w:sz w:val="22"/>
              </w:rPr>
              <w:t>1 000 404</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rPr>
                <w:b/>
                <w:bCs/>
                <w:sz w:val="22"/>
                <w:lang w:val="es-ES"/>
              </w:rPr>
            </w:pPr>
            <w:r>
              <w:rPr>
                <w:b/>
                <w:bCs/>
                <w:sz w:val="22"/>
              </w:rPr>
              <w:t>541 050</w:t>
            </w:r>
          </w:p>
        </w:tc>
        <w:tc>
          <w:tcPr>
            <w:tcW w:w="344" w:type="pct"/>
            <w:tcBorders>
              <w:top w:val="single" w:sz="4" w:space="0" w:color="auto"/>
              <w:left w:val="single" w:sz="4" w:space="0" w:color="auto"/>
              <w:bottom w:val="single" w:sz="4" w:space="0" w:color="auto"/>
              <w:right w:val="single" w:sz="4" w:space="0" w:color="auto"/>
            </w:tcBorders>
            <w:noWrap/>
            <w:vAlign w:val="bottom"/>
          </w:tcPr>
          <w:p w:rsidR="00000000" w:rsidRDefault="00000000">
            <w:pPr>
              <w:rPr>
                <w:b/>
                <w:bCs/>
                <w:sz w:val="22"/>
                <w:lang w:val="es-ES"/>
              </w:rPr>
            </w:pPr>
            <w:r>
              <w:rPr>
                <w:b/>
                <w:bCs/>
                <w:sz w:val="22"/>
              </w:rPr>
              <w:t>459 354</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rPr>
                <w:b/>
                <w:bCs/>
                <w:sz w:val="22"/>
                <w:lang w:val="es-ES"/>
              </w:rPr>
            </w:pPr>
            <w:r>
              <w:rPr>
                <w:b/>
                <w:bCs/>
                <w:sz w:val="22"/>
              </w:rPr>
              <w:t>1 107 486</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rPr>
                <w:b/>
                <w:bCs/>
                <w:sz w:val="22"/>
                <w:lang w:val="es-ES"/>
              </w:rPr>
            </w:pPr>
            <w:r>
              <w:rPr>
                <w:b/>
                <w:bCs/>
                <w:sz w:val="22"/>
              </w:rPr>
              <w:t>630 864</w:t>
            </w:r>
          </w:p>
        </w:tc>
        <w:tc>
          <w:tcPr>
            <w:tcW w:w="343" w:type="pct"/>
            <w:tcBorders>
              <w:top w:val="single" w:sz="4" w:space="0" w:color="auto"/>
              <w:left w:val="single" w:sz="4" w:space="0" w:color="auto"/>
              <w:bottom w:val="single" w:sz="4" w:space="0" w:color="auto"/>
              <w:right w:val="single" w:sz="4" w:space="0" w:color="auto"/>
            </w:tcBorders>
            <w:noWrap/>
            <w:vAlign w:val="bottom"/>
          </w:tcPr>
          <w:p w:rsidR="00000000" w:rsidRDefault="00000000">
            <w:pPr>
              <w:rPr>
                <w:b/>
                <w:bCs/>
                <w:sz w:val="22"/>
                <w:lang w:val="es-ES"/>
              </w:rPr>
            </w:pPr>
            <w:r>
              <w:rPr>
                <w:b/>
                <w:bCs/>
                <w:sz w:val="22"/>
              </w:rPr>
              <w:t>476 622</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rPr>
                <w:b/>
                <w:bCs/>
                <w:sz w:val="22"/>
                <w:lang w:val="es-ES"/>
              </w:rPr>
            </w:pPr>
            <w:r>
              <w:rPr>
                <w:b/>
                <w:bCs/>
                <w:sz w:val="22"/>
              </w:rPr>
              <w:t>1 288 717</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rPr>
                <w:b/>
                <w:bCs/>
                <w:sz w:val="22"/>
                <w:lang w:val="es-ES"/>
              </w:rPr>
            </w:pPr>
            <w:r>
              <w:rPr>
                <w:b/>
                <w:bCs/>
                <w:sz w:val="22"/>
              </w:rPr>
              <w:t>765 308</w:t>
            </w:r>
          </w:p>
        </w:tc>
        <w:tc>
          <w:tcPr>
            <w:tcW w:w="408" w:type="pct"/>
            <w:tcBorders>
              <w:top w:val="single" w:sz="4" w:space="0" w:color="auto"/>
              <w:left w:val="single" w:sz="4" w:space="0" w:color="auto"/>
              <w:bottom w:val="single" w:sz="4" w:space="0" w:color="auto"/>
              <w:right w:val="single" w:sz="4" w:space="0" w:color="auto"/>
            </w:tcBorders>
            <w:noWrap/>
            <w:vAlign w:val="bottom"/>
          </w:tcPr>
          <w:p w:rsidR="00000000" w:rsidRDefault="00000000">
            <w:pPr>
              <w:rPr>
                <w:b/>
                <w:bCs/>
                <w:sz w:val="22"/>
                <w:lang w:val="es-ES"/>
              </w:rPr>
            </w:pPr>
            <w:r>
              <w:rPr>
                <w:b/>
                <w:bCs/>
                <w:sz w:val="22"/>
              </w:rPr>
              <w:t>1 343 713</w:t>
            </w:r>
          </w:p>
        </w:tc>
        <w:tc>
          <w:tcPr>
            <w:tcW w:w="346" w:type="pct"/>
            <w:tcBorders>
              <w:top w:val="single" w:sz="4" w:space="0" w:color="auto"/>
              <w:left w:val="single" w:sz="4" w:space="0" w:color="auto"/>
              <w:bottom w:val="single" w:sz="4" w:space="0" w:color="auto"/>
              <w:right w:val="single" w:sz="4" w:space="0" w:color="auto"/>
            </w:tcBorders>
            <w:noWrap/>
            <w:vAlign w:val="bottom"/>
          </w:tcPr>
          <w:p w:rsidR="00000000" w:rsidRDefault="00000000">
            <w:pPr>
              <w:rPr>
                <w:b/>
                <w:bCs/>
                <w:sz w:val="22"/>
                <w:lang w:val="es-ES"/>
              </w:rPr>
            </w:pPr>
            <w:r>
              <w:rPr>
                <w:b/>
                <w:bCs/>
                <w:sz w:val="22"/>
              </w:rPr>
              <w:t>813 606</w:t>
            </w:r>
          </w:p>
        </w:tc>
        <w:tc>
          <w:tcPr>
            <w:tcW w:w="343" w:type="pct"/>
            <w:tcBorders>
              <w:top w:val="single" w:sz="4" w:space="0" w:color="auto"/>
              <w:left w:val="single" w:sz="4" w:space="0" w:color="auto"/>
              <w:bottom w:val="single" w:sz="4" w:space="0" w:color="auto"/>
              <w:right w:val="single" w:sz="4" w:space="0" w:color="auto"/>
            </w:tcBorders>
            <w:noWrap/>
            <w:vAlign w:val="bottom"/>
          </w:tcPr>
          <w:p w:rsidR="00000000" w:rsidRDefault="00000000">
            <w:pPr>
              <w:rPr>
                <w:b/>
                <w:bCs/>
                <w:sz w:val="22"/>
                <w:lang w:val="es-ES"/>
              </w:rPr>
            </w:pPr>
            <w:r>
              <w:rPr>
                <w:b/>
                <w:bCs/>
                <w:sz w:val="22"/>
              </w:rPr>
              <w:t>530 107</w:t>
            </w:r>
          </w:p>
        </w:tc>
      </w:tr>
    </w:tbl>
    <w:p w:rsidR="00000000" w:rsidRDefault="00000000">
      <w:pPr>
        <w:rPr>
          <w:i/>
          <w:iCs/>
          <w:sz w:val="20"/>
          <w:szCs w:val="16"/>
        </w:rPr>
      </w:pPr>
    </w:p>
    <w:p w:rsidR="00000000" w:rsidRDefault="00000000">
      <w:pPr>
        <w:rPr>
          <w:szCs w:val="16"/>
        </w:rPr>
      </w:pPr>
      <w:r>
        <w:rPr>
          <w:i/>
          <w:iCs/>
          <w:szCs w:val="16"/>
        </w:rPr>
        <w:t>Источник:</w:t>
      </w:r>
      <w:r>
        <w:rPr>
          <w:szCs w:val="16"/>
        </w:rPr>
        <w:t xml:space="preserve">  ТСП/</w:t>
      </w:r>
      <w:r>
        <w:rPr>
          <w:szCs w:val="14"/>
        </w:rPr>
        <w:t>ГУСОП</w:t>
      </w:r>
      <w:r>
        <w:rPr>
          <w:szCs w:val="16"/>
        </w:rPr>
        <w:t>.  Постоянное обследование домохозяйств 1995, 1999, 2004, 2005 годов.</w:t>
      </w:r>
    </w:p>
    <w:p w:rsidR="00000000" w:rsidRDefault="00000000">
      <w:pPr>
        <w:rPr>
          <w:szCs w:val="16"/>
        </w:rPr>
      </w:pPr>
    </w:p>
    <w:p w:rsidR="00000000" w:rsidRDefault="00000000">
      <w:pPr>
        <w:rPr>
          <w:szCs w:val="16"/>
        </w:rPr>
      </w:pPr>
      <w:r>
        <w:rPr>
          <w:szCs w:val="16"/>
        </w:rPr>
        <w:t>*</w:t>
      </w:r>
      <w:r>
        <w:rPr>
          <w:szCs w:val="16"/>
        </w:rPr>
        <w:tab/>
        <w:t>Применительно к постоянному обследованию домохозяйств 1995-1999 годов данные скорректированы с учетом результатов переписи 2002 года.</w:t>
      </w:r>
    </w:p>
    <w:p w:rsidR="00000000" w:rsidRDefault="00000000"/>
    <w:p w:rsidR="00000000" w:rsidRDefault="00000000">
      <w:pPr>
        <w:sectPr w:rsidR="00000000">
          <w:headerReference w:type="even" r:id="rId94"/>
          <w:headerReference w:type="default" r:id="rId95"/>
          <w:footerReference w:type="default" r:id="rId96"/>
          <w:pgSz w:w="16840" w:h="11907" w:orient="landscape" w:code="9"/>
          <w:pgMar w:top="1701" w:right="1701" w:bottom="1701" w:left="1701" w:header="851" w:footer="851" w:gutter="0"/>
          <w:cols w:space="720"/>
          <w:docGrid w:linePitch="326"/>
        </w:sectPr>
      </w:pPr>
    </w:p>
    <w:p w:rsidR="00000000" w:rsidRDefault="00000000">
      <w:r>
        <w:rPr>
          <w:b/>
          <w:bCs/>
        </w:rPr>
        <w:tab/>
        <w:t>3.4</w:t>
      </w:r>
      <w:r>
        <w:tab/>
      </w:r>
      <w:r>
        <w:rPr>
          <w:b/>
        </w:rPr>
        <w:t>Перечень законов, регулирующих право на жилье</w:t>
      </w:r>
    </w:p>
    <w:p w:rsidR="00000000" w:rsidRDefault="00000000"/>
    <w:p w:rsidR="00000000" w:rsidRDefault="00000000">
      <w:r>
        <w:t>433.</w:t>
      </w:r>
      <w:r>
        <w:tab/>
        <w:t>В первую очередь это</w:t>
      </w:r>
      <w:r>
        <w:rPr>
          <w:lang w:val="en-US"/>
        </w:rPr>
        <w:t> </w:t>
      </w:r>
      <w:r>
        <w:noBreakHyphen/>
        <w:t xml:space="preserve"> статья 100 Конституции Парагвая (1992 года), которая гласит:  "Все граждане Республики имеют право на достойное жилище.  Государство создает условия для реализации этого права и разрабатывает планы строительства коммунального жилья, предназначенного прежде всего для семей с низким достатком, путем их адекватного финансирования".</w:t>
      </w:r>
    </w:p>
    <w:p w:rsidR="00000000" w:rsidRDefault="00000000">
      <w:pPr>
        <w:tabs>
          <w:tab w:val="left" w:pos="540"/>
        </w:tabs>
        <w:jc w:val="center"/>
        <w:rPr>
          <w:szCs w:val="22"/>
        </w:rPr>
      </w:pPr>
    </w:p>
    <w:tbl>
      <w:tblPr>
        <w:tblW w:w="9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78"/>
        <w:gridCol w:w="4871"/>
        <w:gridCol w:w="2063"/>
      </w:tblGrid>
      <w:tr w:rsidR="00000000">
        <w:tblPrEx>
          <w:tblCellMar>
            <w:top w:w="0" w:type="dxa"/>
            <w:bottom w:w="0" w:type="dxa"/>
          </w:tblCellMar>
        </w:tblPrEx>
        <w:trPr>
          <w:cantSplit/>
          <w:tblHeader/>
        </w:trPr>
        <w:tc>
          <w:tcPr>
            <w:tcW w:w="2478" w:type="dxa"/>
            <w:tcMar>
              <w:top w:w="28" w:type="dxa"/>
              <w:bottom w:w="28" w:type="dxa"/>
              <w:right w:w="0" w:type="dxa"/>
            </w:tcMar>
          </w:tcPr>
          <w:p w:rsidR="00000000" w:rsidRDefault="00000000">
            <w:pPr>
              <w:tabs>
                <w:tab w:val="left" w:pos="540"/>
              </w:tabs>
              <w:spacing w:line="240" w:lineRule="auto"/>
              <w:jc w:val="center"/>
              <w:rPr>
                <w:b/>
                <w:sz w:val="22"/>
                <w:szCs w:val="22"/>
              </w:rPr>
            </w:pPr>
            <w:r>
              <w:rPr>
                <w:b/>
                <w:sz w:val="22"/>
                <w:szCs w:val="22"/>
              </w:rPr>
              <w:t>Декрет или закон</w:t>
            </w:r>
          </w:p>
        </w:tc>
        <w:tc>
          <w:tcPr>
            <w:tcW w:w="4871" w:type="dxa"/>
            <w:tcMar>
              <w:top w:w="28" w:type="dxa"/>
              <w:bottom w:w="28" w:type="dxa"/>
            </w:tcMar>
          </w:tcPr>
          <w:p w:rsidR="00000000" w:rsidRDefault="00000000">
            <w:pPr>
              <w:tabs>
                <w:tab w:val="left" w:pos="540"/>
              </w:tabs>
              <w:spacing w:line="240" w:lineRule="auto"/>
              <w:jc w:val="center"/>
              <w:rPr>
                <w:b/>
                <w:sz w:val="22"/>
                <w:szCs w:val="22"/>
              </w:rPr>
            </w:pPr>
            <w:r>
              <w:rPr>
                <w:b/>
                <w:sz w:val="22"/>
                <w:szCs w:val="22"/>
              </w:rPr>
              <w:t>Содержание</w:t>
            </w:r>
          </w:p>
        </w:tc>
        <w:tc>
          <w:tcPr>
            <w:tcW w:w="2063" w:type="dxa"/>
            <w:tcMar>
              <w:top w:w="28" w:type="dxa"/>
              <w:left w:w="0" w:type="dxa"/>
              <w:bottom w:w="28" w:type="dxa"/>
              <w:right w:w="0" w:type="dxa"/>
            </w:tcMar>
          </w:tcPr>
          <w:p w:rsidR="00000000" w:rsidRDefault="00000000">
            <w:pPr>
              <w:tabs>
                <w:tab w:val="left" w:pos="540"/>
              </w:tabs>
              <w:spacing w:line="240" w:lineRule="auto"/>
              <w:jc w:val="center"/>
              <w:rPr>
                <w:b/>
                <w:sz w:val="22"/>
                <w:szCs w:val="22"/>
              </w:rPr>
            </w:pPr>
            <w:r>
              <w:rPr>
                <w:b/>
                <w:sz w:val="22"/>
                <w:szCs w:val="22"/>
              </w:rPr>
              <w:t>Дата обнародования</w:t>
            </w:r>
          </w:p>
        </w:tc>
      </w:tr>
      <w:tr w:rsidR="00000000">
        <w:tblPrEx>
          <w:tblCellMar>
            <w:top w:w="0" w:type="dxa"/>
            <w:bottom w:w="0" w:type="dxa"/>
          </w:tblCellMar>
        </w:tblPrEx>
        <w:trPr>
          <w:cantSplit/>
        </w:trPr>
        <w:tc>
          <w:tcPr>
            <w:tcW w:w="2478" w:type="dxa"/>
            <w:tcMar>
              <w:right w:w="0" w:type="dxa"/>
            </w:tcMar>
          </w:tcPr>
          <w:p w:rsidR="00000000" w:rsidRDefault="00000000">
            <w:pPr>
              <w:tabs>
                <w:tab w:val="left" w:pos="540"/>
              </w:tabs>
              <w:spacing w:line="240" w:lineRule="auto"/>
              <w:rPr>
                <w:sz w:val="22"/>
                <w:szCs w:val="22"/>
              </w:rPr>
            </w:pPr>
            <w:r>
              <w:rPr>
                <w:sz w:val="22"/>
                <w:szCs w:val="22"/>
              </w:rPr>
              <w:t>Закон № 970/64</w:t>
            </w:r>
          </w:p>
        </w:tc>
        <w:tc>
          <w:tcPr>
            <w:tcW w:w="4871" w:type="dxa"/>
          </w:tcPr>
          <w:p w:rsidR="00000000" w:rsidRDefault="00000000">
            <w:pPr>
              <w:tabs>
                <w:tab w:val="left" w:pos="540"/>
              </w:tabs>
              <w:spacing w:line="240" w:lineRule="auto"/>
              <w:rPr>
                <w:sz w:val="22"/>
                <w:szCs w:val="22"/>
              </w:rPr>
            </w:pPr>
            <w:r>
              <w:rPr>
                <w:sz w:val="22"/>
                <w:szCs w:val="22"/>
              </w:rPr>
              <w:t>Об образовании Парагвайского института жилищного и городского строительства (ИПВУ)</w:t>
            </w:r>
          </w:p>
        </w:tc>
        <w:tc>
          <w:tcPr>
            <w:tcW w:w="2063" w:type="dxa"/>
            <w:tcMar>
              <w:right w:w="0" w:type="dxa"/>
            </w:tcMar>
          </w:tcPr>
          <w:p w:rsidR="00000000" w:rsidRDefault="00000000">
            <w:pPr>
              <w:rPr>
                <w:iCs/>
                <w:sz w:val="22"/>
              </w:rPr>
            </w:pPr>
            <w:r>
              <w:rPr>
                <w:iCs/>
                <w:sz w:val="22"/>
              </w:rPr>
              <w:t>14 августа 1964 года</w:t>
            </w:r>
          </w:p>
        </w:tc>
      </w:tr>
      <w:tr w:rsidR="00000000">
        <w:tblPrEx>
          <w:tblCellMar>
            <w:top w:w="0" w:type="dxa"/>
            <w:bottom w:w="0" w:type="dxa"/>
          </w:tblCellMar>
        </w:tblPrEx>
        <w:trPr>
          <w:cantSplit/>
        </w:trPr>
        <w:tc>
          <w:tcPr>
            <w:tcW w:w="2478" w:type="dxa"/>
            <w:tcMar>
              <w:right w:w="0" w:type="dxa"/>
            </w:tcMar>
          </w:tcPr>
          <w:p w:rsidR="00000000" w:rsidRDefault="00000000">
            <w:pPr>
              <w:tabs>
                <w:tab w:val="left" w:pos="540"/>
              </w:tabs>
              <w:spacing w:line="240" w:lineRule="auto"/>
              <w:rPr>
                <w:sz w:val="22"/>
                <w:szCs w:val="22"/>
              </w:rPr>
            </w:pPr>
            <w:r>
              <w:rPr>
                <w:sz w:val="22"/>
                <w:szCs w:val="22"/>
              </w:rPr>
              <w:t>Закон № 325/71</w:t>
            </w:r>
          </w:p>
        </w:tc>
        <w:tc>
          <w:tcPr>
            <w:tcW w:w="4871" w:type="dxa"/>
          </w:tcPr>
          <w:p w:rsidR="00000000" w:rsidRDefault="00000000">
            <w:pPr>
              <w:tabs>
                <w:tab w:val="left" w:pos="540"/>
              </w:tabs>
              <w:spacing w:line="240" w:lineRule="auto"/>
              <w:rPr>
                <w:sz w:val="22"/>
                <w:szCs w:val="22"/>
              </w:rPr>
            </w:pPr>
            <w:r>
              <w:rPr>
                <w:sz w:val="22"/>
                <w:szCs w:val="22"/>
              </w:rPr>
              <w:t>Об учреждении Национального жилищного банка (БНВ) и создании Национальной системы накопления и кредитования</w:t>
            </w:r>
          </w:p>
        </w:tc>
        <w:tc>
          <w:tcPr>
            <w:tcW w:w="2063" w:type="dxa"/>
            <w:tcMar>
              <w:right w:w="0" w:type="dxa"/>
            </w:tcMar>
          </w:tcPr>
          <w:p w:rsidR="00000000" w:rsidRDefault="00000000">
            <w:pPr>
              <w:rPr>
                <w:iCs/>
                <w:sz w:val="22"/>
              </w:rPr>
            </w:pPr>
            <w:r>
              <w:rPr>
                <w:iCs/>
                <w:sz w:val="22"/>
              </w:rPr>
              <w:t>10 декабря 1971 года</w:t>
            </w:r>
          </w:p>
        </w:tc>
      </w:tr>
      <w:tr w:rsidR="00000000">
        <w:tblPrEx>
          <w:tblCellMar>
            <w:top w:w="0" w:type="dxa"/>
            <w:bottom w:w="0" w:type="dxa"/>
          </w:tblCellMar>
        </w:tblPrEx>
        <w:trPr>
          <w:cantSplit/>
        </w:trPr>
        <w:tc>
          <w:tcPr>
            <w:tcW w:w="2478" w:type="dxa"/>
            <w:tcMar>
              <w:right w:w="0" w:type="dxa"/>
            </w:tcMar>
          </w:tcPr>
          <w:p w:rsidR="00000000" w:rsidRDefault="00000000">
            <w:pPr>
              <w:spacing w:line="240" w:lineRule="auto"/>
              <w:rPr>
                <w:sz w:val="22"/>
              </w:rPr>
            </w:pPr>
            <w:r>
              <w:rPr>
                <w:sz w:val="22"/>
              </w:rPr>
              <w:t>Декрет-закон № 29721/72</w:t>
            </w:r>
          </w:p>
        </w:tc>
        <w:tc>
          <w:tcPr>
            <w:tcW w:w="4871" w:type="dxa"/>
          </w:tcPr>
          <w:p w:rsidR="00000000" w:rsidRDefault="00000000">
            <w:pPr>
              <w:spacing w:line="240" w:lineRule="auto"/>
              <w:rPr>
                <w:sz w:val="22"/>
              </w:rPr>
            </w:pPr>
            <w:r>
              <w:rPr>
                <w:sz w:val="22"/>
              </w:rPr>
              <w:t>Регламент к Закону № 325 от 10 декабря 1971</w:t>
            </w:r>
            <w:r>
              <w:rPr>
                <w:sz w:val="22"/>
                <w:lang w:val="en-US"/>
              </w:rPr>
              <w:t> </w:t>
            </w:r>
            <w:r>
              <w:rPr>
                <w:sz w:val="22"/>
              </w:rPr>
              <w:t>года об учреждении БНВ</w:t>
            </w:r>
          </w:p>
        </w:tc>
        <w:tc>
          <w:tcPr>
            <w:tcW w:w="2063" w:type="dxa"/>
            <w:tcMar>
              <w:right w:w="0" w:type="dxa"/>
            </w:tcMar>
          </w:tcPr>
          <w:p w:rsidR="00000000" w:rsidRDefault="00000000">
            <w:pPr>
              <w:rPr>
                <w:iCs/>
                <w:sz w:val="22"/>
              </w:rPr>
            </w:pPr>
            <w:r>
              <w:rPr>
                <w:iCs/>
                <w:sz w:val="22"/>
              </w:rPr>
              <w:t>15 декабря 1972 года</w:t>
            </w:r>
          </w:p>
        </w:tc>
      </w:tr>
      <w:tr w:rsidR="00000000">
        <w:tblPrEx>
          <w:tblCellMar>
            <w:top w:w="0" w:type="dxa"/>
            <w:bottom w:w="0" w:type="dxa"/>
          </w:tblCellMar>
        </w:tblPrEx>
        <w:trPr>
          <w:cantSplit/>
        </w:trPr>
        <w:tc>
          <w:tcPr>
            <w:tcW w:w="2478" w:type="dxa"/>
            <w:tcMar>
              <w:right w:w="0" w:type="dxa"/>
            </w:tcMar>
          </w:tcPr>
          <w:p w:rsidR="00000000" w:rsidRDefault="00000000">
            <w:pPr>
              <w:tabs>
                <w:tab w:val="left" w:pos="540"/>
              </w:tabs>
              <w:spacing w:line="240" w:lineRule="auto"/>
              <w:rPr>
                <w:sz w:val="22"/>
                <w:szCs w:val="22"/>
              </w:rPr>
            </w:pPr>
            <w:r>
              <w:rPr>
                <w:sz w:val="22"/>
                <w:szCs w:val="22"/>
              </w:rPr>
              <w:t>Закон № 1378/88</w:t>
            </w:r>
          </w:p>
        </w:tc>
        <w:tc>
          <w:tcPr>
            <w:tcW w:w="4871" w:type="dxa"/>
          </w:tcPr>
          <w:p w:rsidR="00000000" w:rsidRDefault="00000000">
            <w:pPr>
              <w:tabs>
                <w:tab w:val="left" w:pos="540"/>
              </w:tabs>
              <w:spacing w:line="240" w:lineRule="auto"/>
              <w:rPr>
                <w:sz w:val="22"/>
                <w:szCs w:val="22"/>
              </w:rPr>
            </w:pPr>
            <w:r>
              <w:rPr>
                <w:sz w:val="22"/>
                <w:szCs w:val="22"/>
              </w:rPr>
              <w:t>О внесении дополнений и изменений в Закон</w:t>
            </w:r>
            <w:r>
              <w:rPr>
                <w:sz w:val="22"/>
                <w:szCs w:val="22"/>
                <w:lang w:val="en-US"/>
              </w:rPr>
              <w:t> </w:t>
            </w:r>
            <w:r>
              <w:rPr>
                <w:sz w:val="22"/>
                <w:szCs w:val="22"/>
              </w:rPr>
              <w:t>№</w:t>
            </w:r>
            <w:r>
              <w:rPr>
                <w:sz w:val="22"/>
                <w:szCs w:val="22"/>
                <w:lang w:val="en-US"/>
              </w:rPr>
              <w:t> </w:t>
            </w:r>
            <w:r>
              <w:rPr>
                <w:sz w:val="22"/>
                <w:szCs w:val="22"/>
              </w:rPr>
              <w:t>325/71</w:t>
            </w:r>
            <w:r>
              <w:rPr>
                <w:sz w:val="22"/>
              </w:rPr>
              <w:t xml:space="preserve"> об учреждении БНВ</w:t>
            </w:r>
          </w:p>
        </w:tc>
        <w:tc>
          <w:tcPr>
            <w:tcW w:w="2063" w:type="dxa"/>
            <w:tcMar>
              <w:right w:w="0" w:type="dxa"/>
            </w:tcMar>
          </w:tcPr>
          <w:p w:rsidR="00000000" w:rsidRDefault="00000000">
            <w:pPr>
              <w:rPr>
                <w:iCs/>
                <w:sz w:val="22"/>
              </w:rPr>
            </w:pPr>
            <w:r>
              <w:rPr>
                <w:iCs/>
                <w:sz w:val="22"/>
              </w:rPr>
              <w:t>20 декабря 1988 года</w:t>
            </w:r>
          </w:p>
        </w:tc>
      </w:tr>
      <w:tr w:rsidR="00000000">
        <w:tblPrEx>
          <w:tblCellMar>
            <w:top w:w="0" w:type="dxa"/>
            <w:bottom w:w="0" w:type="dxa"/>
          </w:tblCellMar>
        </w:tblPrEx>
        <w:trPr>
          <w:cantSplit/>
        </w:trPr>
        <w:tc>
          <w:tcPr>
            <w:tcW w:w="2478" w:type="dxa"/>
            <w:tcMar>
              <w:right w:w="0" w:type="dxa"/>
            </w:tcMar>
          </w:tcPr>
          <w:p w:rsidR="00000000" w:rsidRDefault="00000000">
            <w:pPr>
              <w:tabs>
                <w:tab w:val="left" w:pos="540"/>
              </w:tabs>
              <w:spacing w:line="240" w:lineRule="auto"/>
              <w:rPr>
                <w:sz w:val="22"/>
                <w:szCs w:val="22"/>
              </w:rPr>
            </w:pPr>
            <w:r>
              <w:rPr>
                <w:sz w:val="22"/>
                <w:szCs w:val="22"/>
              </w:rPr>
              <w:t>Декрет-закон № 25/89</w:t>
            </w:r>
          </w:p>
        </w:tc>
        <w:tc>
          <w:tcPr>
            <w:tcW w:w="4871" w:type="dxa"/>
          </w:tcPr>
          <w:p w:rsidR="00000000" w:rsidRDefault="00000000">
            <w:pPr>
              <w:tabs>
                <w:tab w:val="left" w:pos="540"/>
              </w:tabs>
              <w:spacing w:line="240" w:lineRule="auto"/>
              <w:rPr>
                <w:sz w:val="22"/>
                <w:szCs w:val="22"/>
              </w:rPr>
            </w:pPr>
            <w:r>
              <w:rPr>
                <w:sz w:val="22"/>
                <w:szCs w:val="22"/>
              </w:rPr>
              <w:t xml:space="preserve">О разрешении </w:t>
            </w:r>
            <w:r>
              <w:rPr>
                <w:sz w:val="22"/>
              </w:rPr>
              <w:t>БНВ</w:t>
            </w:r>
            <w:r>
              <w:rPr>
                <w:sz w:val="22"/>
                <w:szCs w:val="22"/>
              </w:rPr>
              <w:t xml:space="preserve"> сформировать Национальный совет по жилищному строительству, а также о внесении дополнений и изменений в Закон</w:t>
            </w:r>
            <w:r>
              <w:rPr>
                <w:sz w:val="22"/>
                <w:szCs w:val="22"/>
                <w:lang w:val="en-US"/>
              </w:rPr>
              <w:t> </w:t>
            </w:r>
            <w:r>
              <w:rPr>
                <w:sz w:val="22"/>
                <w:szCs w:val="22"/>
              </w:rPr>
              <w:t>№</w:t>
            </w:r>
            <w:r>
              <w:rPr>
                <w:sz w:val="22"/>
                <w:szCs w:val="22"/>
                <w:lang w:val="en-US"/>
              </w:rPr>
              <w:t> </w:t>
            </w:r>
            <w:r>
              <w:rPr>
                <w:sz w:val="22"/>
                <w:szCs w:val="22"/>
              </w:rPr>
              <w:t>1378 от 22 декабря 1988 года</w:t>
            </w:r>
          </w:p>
        </w:tc>
        <w:tc>
          <w:tcPr>
            <w:tcW w:w="2063" w:type="dxa"/>
            <w:tcMar>
              <w:right w:w="0" w:type="dxa"/>
            </w:tcMar>
          </w:tcPr>
          <w:p w:rsidR="00000000" w:rsidRDefault="00000000">
            <w:pPr>
              <w:rPr>
                <w:iCs/>
                <w:sz w:val="22"/>
              </w:rPr>
            </w:pPr>
            <w:r>
              <w:rPr>
                <w:iCs/>
                <w:sz w:val="22"/>
              </w:rPr>
              <w:t>6 мая 1989 года</w:t>
            </w:r>
          </w:p>
        </w:tc>
      </w:tr>
      <w:tr w:rsidR="00000000">
        <w:tblPrEx>
          <w:tblCellMar>
            <w:top w:w="0" w:type="dxa"/>
            <w:bottom w:w="0" w:type="dxa"/>
          </w:tblCellMar>
        </w:tblPrEx>
        <w:trPr>
          <w:cantSplit/>
        </w:trPr>
        <w:tc>
          <w:tcPr>
            <w:tcW w:w="2478" w:type="dxa"/>
            <w:tcMar>
              <w:right w:w="0" w:type="dxa"/>
            </w:tcMar>
          </w:tcPr>
          <w:p w:rsidR="00000000" w:rsidRDefault="00000000">
            <w:pPr>
              <w:tabs>
                <w:tab w:val="left" w:pos="540"/>
              </w:tabs>
              <w:spacing w:line="240" w:lineRule="auto"/>
              <w:rPr>
                <w:sz w:val="22"/>
                <w:szCs w:val="22"/>
              </w:rPr>
            </w:pPr>
            <w:r>
              <w:rPr>
                <w:sz w:val="22"/>
                <w:szCs w:val="22"/>
              </w:rPr>
              <w:t>Закон № 42/89</w:t>
            </w:r>
          </w:p>
        </w:tc>
        <w:tc>
          <w:tcPr>
            <w:tcW w:w="4871" w:type="dxa"/>
          </w:tcPr>
          <w:p w:rsidR="00000000" w:rsidRDefault="00000000">
            <w:pPr>
              <w:tabs>
                <w:tab w:val="left" w:pos="540"/>
              </w:tabs>
              <w:spacing w:line="240" w:lineRule="auto"/>
              <w:rPr>
                <w:sz w:val="22"/>
                <w:szCs w:val="22"/>
              </w:rPr>
            </w:pPr>
            <w:r>
              <w:rPr>
                <w:sz w:val="22"/>
                <w:szCs w:val="22"/>
              </w:rPr>
              <w:t>О введении в действие, с некоторыми изменениями, Декрета-закона № 25 от 6 мая 1989</w:t>
            </w:r>
            <w:r>
              <w:rPr>
                <w:sz w:val="22"/>
                <w:szCs w:val="22"/>
                <w:lang w:val="en-US"/>
              </w:rPr>
              <w:t> </w:t>
            </w:r>
            <w:r>
              <w:rPr>
                <w:sz w:val="22"/>
                <w:szCs w:val="22"/>
              </w:rPr>
              <w:t>года о формировании Национального совета по жилищному строительству (КОНАВИ), а также о внесении дополнений и изменений в Закон</w:t>
            </w:r>
            <w:r>
              <w:rPr>
                <w:sz w:val="22"/>
                <w:szCs w:val="22"/>
                <w:lang w:val="en-US"/>
              </w:rPr>
              <w:t> </w:t>
            </w:r>
            <w:r>
              <w:rPr>
                <w:sz w:val="22"/>
                <w:szCs w:val="22"/>
              </w:rPr>
              <w:t>№</w:t>
            </w:r>
            <w:r>
              <w:rPr>
                <w:sz w:val="22"/>
                <w:szCs w:val="22"/>
                <w:lang w:val="en-US"/>
              </w:rPr>
              <w:t> </w:t>
            </w:r>
            <w:r>
              <w:rPr>
                <w:sz w:val="22"/>
                <w:szCs w:val="22"/>
              </w:rPr>
              <w:t>1378 от 22 декабря 1988 года</w:t>
            </w:r>
          </w:p>
        </w:tc>
        <w:tc>
          <w:tcPr>
            <w:tcW w:w="2063" w:type="dxa"/>
            <w:tcMar>
              <w:right w:w="0" w:type="dxa"/>
            </w:tcMar>
          </w:tcPr>
          <w:p w:rsidR="00000000" w:rsidRDefault="00000000">
            <w:pPr>
              <w:rPr>
                <w:iCs/>
                <w:sz w:val="22"/>
              </w:rPr>
            </w:pPr>
            <w:r>
              <w:rPr>
                <w:iCs/>
                <w:sz w:val="22"/>
              </w:rPr>
              <w:t>2 ноября 1989 года</w:t>
            </w:r>
          </w:p>
        </w:tc>
      </w:tr>
      <w:tr w:rsidR="00000000">
        <w:tblPrEx>
          <w:tblCellMar>
            <w:top w:w="0" w:type="dxa"/>
            <w:bottom w:w="0" w:type="dxa"/>
          </w:tblCellMar>
        </w:tblPrEx>
        <w:trPr>
          <w:cantSplit/>
        </w:trPr>
        <w:tc>
          <w:tcPr>
            <w:tcW w:w="2478" w:type="dxa"/>
            <w:tcMar>
              <w:right w:w="0" w:type="dxa"/>
            </w:tcMar>
          </w:tcPr>
          <w:p w:rsidR="00000000" w:rsidRDefault="00000000">
            <w:pPr>
              <w:tabs>
                <w:tab w:val="left" w:pos="540"/>
              </w:tabs>
              <w:spacing w:line="240" w:lineRule="auto"/>
              <w:rPr>
                <w:sz w:val="22"/>
                <w:szCs w:val="22"/>
              </w:rPr>
            </w:pPr>
            <w:r>
              <w:rPr>
                <w:sz w:val="22"/>
                <w:szCs w:val="22"/>
              </w:rPr>
              <w:t>Закон № 118/90</w:t>
            </w:r>
          </w:p>
        </w:tc>
        <w:tc>
          <w:tcPr>
            <w:tcW w:w="4871" w:type="dxa"/>
          </w:tcPr>
          <w:p w:rsidR="00000000" w:rsidRDefault="00000000">
            <w:pPr>
              <w:tabs>
                <w:tab w:val="left" w:pos="540"/>
              </w:tabs>
              <w:spacing w:line="240" w:lineRule="auto"/>
              <w:rPr>
                <w:sz w:val="22"/>
                <w:szCs w:val="22"/>
              </w:rPr>
            </w:pPr>
            <w:r>
              <w:rPr>
                <w:sz w:val="22"/>
                <w:szCs w:val="22"/>
              </w:rPr>
              <w:t>Об образовании самостоятельного учреждения - Национального совета по жилищному строительству (КОНАВИ), и утверждении его Устава</w:t>
            </w:r>
          </w:p>
        </w:tc>
        <w:tc>
          <w:tcPr>
            <w:tcW w:w="2063" w:type="dxa"/>
            <w:tcMar>
              <w:right w:w="0" w:type="dxa"/>
            </w:tcMar>
          </w:tcPr>
          <w:p w:rsidR="00000000" w:rsidRDefault="00000000">
            <w:pPr>
              <w:rPr>
                <w:iCs/>
                <w:sz w:val="22"/>
              </w:rPr>
            </w:pPr>
            <w:r>
              <w:rPr>
                <w:iCs/>
                <w:sz w:val="22"/>
              </w:rPr>
              <w:t>14 декабря 1990 года</w:t>
            </w:r>
          </w:p>
        </w:tc>
      </w:tr>
      <w:tr w:rsidR="00000000">
        <w:tblPrEx>
          <w:tblCellMar>
            <w:top w:w="0" w:type="dxa"/>
            <w:bottom w:w="0" w:type="dxa"/>
          </w:tblCellMar>
        </w:tblPrEx>
        <w:trPr>
          <w:cantSplit/>
        </w:trPr>
        <w:tc>
          <w:tcPr>
            <w:tcW w:w="2478" w:type="dxa"/>
            <w:tcMar>
              <w:right w:w="0" w:type="dxa"/>
            </w:tcMar>
          </w:tcPr>
          <w:p w:rsidR="00000000" w:rsidRDefault="00000000">
            <w:pPr>
              <w:tabs>
                <w:tab w:val="left" w:pos="540"/>
              </w:tabs>
              <w:spacing w:line="240" w:lineRule="auto"/>
              <w:rPr>
                <w:sz w:val="22"/>
                <w:szCs w:val="22"/>
              </w:rPr>
            </w:pPr>
            <w:r>
              <w:rPr>
                <w:sz w:val="22"/>
                <w:szCs w:val="22"/>
              </w:rPr>
              <w:t>Декрет-закон № 27/92</w:t>
            </w:r>
          </w:p>
        </w:tc>
        <w:tc>
          <w:tcPr>
            <w:tcW w:w="4871" w:type="dxa"/>
          </w:tcPr>
          <w:p w:rsidR="00000000" w:rsidRDefault="00000000">
            <w:pPr>
              <w:tabs>
                <w:tab w:val="left" w:pos="540"/>
              </w:tabs>
              <w:spacing w:line="240" w:lineRule="auto"/>
              <w:rPr>
                <w:sz w:val="22"/>
                <w:szCs w:val="22"/>
              </w:rPr>
            </w:pPr>
            <w:r>
              <w:rPr>
                <w:sz w:val="22"/>
                <w:szCs w:val="22"/>
              </w:rPr>
              <w:t>Об упразднении ИПВУ, а также об изменении, отмене и расширении некоторых положений Законов № 325/71 и 118/90</w:t>
            </w:r>
          </w:p>
        </w:tc>
        <w:tc>
          <w:tcPr>
            <w:tcW w:w="2063" w:type="dxa"/>
            <w:tcMar>
              <w:right w:w="0" w:type="dxa"/>
            </w:tcMar>
          </w:tcPr>
          <w:p w:rsidR="00000000" w:rsidRDefault="00000000">
            <w:pPr>
              <w:rPr>
                <w:iCs/>
                <w:sz w:val="22"/>
              </w:rPr>
            </w:pPr>
            <w:r>
              <w:rPr>
                <w:iCs/>
                <w:sz w:val="22"/>
              </w:rPr>
              <w:t>24 марта 1992 года</w:t>
            </w:r>
          </w:p>
        </w:tc>
      </w:tr>
      <w:tr w:rsidR="00000000">
        <w:tblPrEx>
          <w:tblCellMar>
            <w:top w:w="0" w:type="dxa"/>
            <w:bottom w:w="0" w:type="dxa"/>
          </w:tblCellMar>
        </w:tblPrEx>
        <w:trPr>
          <w:cantSplit/>
        </w:trPr>
        <w:tc>
          <w:tcPr>
            <w:tcW w:w="2478" w:type="dxa"/>
            <w:tcMar>
              <w:right w:w="0" w:type="dxa"/>
            </w:tcMar>
          </w:tcPr>
          <w:p w:rsidR="00000000" w:rsidRDefault="00000000">
            <w:pPr>
              <w:tabs>
                <w:tab w:val="left" w:pos="540"/>
              </w:tabs>
              <w:spacing w:line="240" w:lineRule="auto"/>
              <w:rPr>
                <w:sz w:val="22"/>
                <w:szCs w:val="22"/>
              </w:rPr>
            </w:pPr>
            <w:r>
              <w:rPr>
                <w:sz w:val="22"/>
                <w:szCs w:val="22"/>
              </w:rPr>
              <w:t>Закон № 79/92</w:t>
            </w:r>
          </w:p>
        </w:tc>
        <w:tc>
          <w:tcPr>
            <w:tcW w:w="4871" w:type="dxa"/>
          </w:tcPr>
          <w:p w:rsidR="00000000" w:rsidRDefault="00000000">
            <w:pPr>
              <w:tabs>
                <w:tab w:val="left" w:pos="540"/>
              </w:tabs>
              <w:spacing w:line="240" w:lineRule="auto"/>
              <w:rPr>
                <w:sz w:val="22"/>
                <w:szCs w:val="22"/>
              </w:rPr>
            </w:pPr>
            <w:r>
              <w:rPr>
                <w:sz w:val="22"/>
                <w:szCs w:val="22"/>
              </w:rPr>
              <w:t>О введении в действие, с некоторыми изменениями, Декрета-закона № 27 от 24 марта 1992 года об упразднении ИПВУ, а также об изменении, отмене и расширении некоторых положений Законов № 325/71 и 118/90</w:t>
            </w:r>
          </w:p>
        </w:tc>
        <w:tc>
          <w:tcPr>
            <w:tcW w:w="2063" w:type="dxa"/>
            <w:tcMar>
              <w:right w:w="0" w:type="dxa"/>
            </w:tcMar>
          </w:tcPr>
          <w:p w:rsidR="00000000" w:rsidRDefault="00000000">
            <w:pPr>
              <w:rPr>
                <w:iCs/>
                <w:sz w:val="22"/>
              </w:rPr>
            </w:pPr>
            <w:r>
              <w:rPr>
                <w:iCs/>
                <w:sz w:val="22"/>
              </w:rPr>
              <w:t>3 сентября 1992 года</w:t>
            </w:r>
          </w:p>
        </w:tc>
      </w:tr>
      <w:tr w:rsidR="00000000">
        <w:tblPrEx>
          <w:tblCellMar>
            <w:top w:w="0" w:type="dxa"/>
            <w:bottom w:w="0" w:type="dxa"/>
          </w:tblCellMar>
        </w:tblPrEx>
        <w:trPr>
          <w:cantSplit/>
        </w:trPr>
        <w:tc>
          <w:tcPr>
            <w:tcW w:w="2478" w:type="dxa"/>
            <w:tcMar>
              <w:right w:w="0" w:type="dxa"/>
            </w:tcMar>
          </w:tcPr>
          <w:p w:rsidR="00000000" w:rsidRDefault="00000000">
            <w:pPr>
              <w:tabs>
                <w:tab w:val="left" w:pos="540"/>
              </w:tabs>
              <w:spacing w:line="240" w:lineRule="auto"/>
              <w:rPr>
                <w:sz w:val="22"/>
                <w:szCs w:val="22"/>
              </w:rPr>
            </w:pPr>
            <w:r>
              <w:rPr>
                <w:sz w:val="22"/>
                <w:szCs w:val="22"/>
              </w:rPr>
              <w:t>Закон № 771/95</w:t>
            </w:r>
          </w:p>
        </w:tc>
        <w:tc>
          <w:tcPr>
            <w:tcW w:w="4871" w:type="dxa"/>
          </w:tcPr>
          <w:p w:rsidR="00000000" w:rsidRDefault="00000000">
            <w:pPr>
              <w:tabs>
                <w:tab w:val="left" w:pos="540"/>
              </w:tabs>
              <w:spacing w:line="240" w:lineRule="auto"/>
              <w:rPr>
                <w:sz w:val="22"/>
                <w:szCs w:val="22"/>
              </w:rPr>
            </w:pPr>
            <w:r>
              <w:rPr>
                <w:sz w:val="22"/>
                <w:szCs w:val="22"/>
              </w:rPr>
              <w:t>Об изменении Закона № 125/92 и освобождении от налогообложения коммунальных жилищ экономического класса, а также социальных займов, выдаваемых Национальным банком трудящихся</w:t>
            </w:r>
          </w:p>
        </w:tc>
        <w:tc>
          <w:tcPr>
            <w:tcW w:w="2063" w:type="dxa"/>
            <w:tcMar>
              <w:right w:w="0" w:type="dxa"/>
            </w:tcMar>
          </w:tcPr>
          <w:p w:rsidR="00000000" w:rsidRDefault="00000000">
            <w:pPr>
              <w:rPr>
                <w:iCs/>
                <w:sz w:val="22"/>
              </w:rPr>
            </w:pPr>
            <w:r>
              <w:rPr>
                <w:iCs/>
                <w:sz w:val="22"/>
              </w:rPr>
              <w:t>16 ноября 1995 года</w:t>
            </w:r>
          </w:p>
        </w:tc>
      </w:tr>
      <w:tr w:rsidR="00000000">
        <w:tblPrEx>
          <w:tblCellMar>
            <w:top w:w="0" w:type="dxa"/>
            <w:bottom w:w="0" w:type="dxa"/>
          </w:tblCellMar>
        </w:tblPrEx>
        <w:trPr>
          <w:cantSplit/>
        </w:trPr>
        <w:tc>
          <w:tcPr>
            <w:tcW w:w="2478" w:type="dxa"/>
            <w:tcMar>
              <w:right w:w="0" w:type="dxa"/>
            </w:tcMar>
          </w:tcPr>
          <w:p w:rsidR="00000000" w:rsidRDefault="00000000">
            <w:pPr>
              <w:tabs>
                <w:tab w:val="left" w:pos="540"/>
              </w:tabs>
              <w:spacing w:line="240" w:lineRule="auto"/>
              <w:rPr>
                <w:sz w:val="22"/>
                <w:szCs w:val="22"/>
              </w:rPr>
            </w:pPr>
            <w:r>
              <w:rPr>
                <w:sz w:val="22"/>
                <w:szCs w:val="22"/>
              </w:rPr>
              <w:t>Закон № 815/95</w:t>
            </w:r>
          </w:p>
        </w:tc>
        <w:tc>
          <w:tcPr>
            <w:tcW w:w="4871" w:type="dxa"/>
          </w:tcPr>
          <w:p w:rsidR="00000000" w:rsidRDefault="00000000">
            <w:pPr>
              <w:tabs>
                <w:tab w:val="left" w:pos="540"/>
              </w:tabs>
              <w:spacing w:line="240" w:lineRule="auto"/>
              <w:rPr>
                <w:sz w:val="22"/>
                <w:szCs w:val="22"/>
              </w:rPr>
            </w:pPr>
            <w:r>
              <w:rPr>
                <w:sz w:val="22"/>
                <w:szCs w:val="22"/>
              </w:rPr>
              <w:t>Об изменении Закона № 118/90;  о нормативных распоряжениях, связанных с Национальной накопительно-заемной системой для жилищного строительства;  о регулировании системы прямого жилищного субсидирования на цели приобретения, строительства, расширения или улучшения жилого фонда коммунального и экономического класса</w:t>
            </w:r>
          </w:p>
        </w:tc>
        <w:tc>
          <w:tcPr>
            <w:tcW w:w="2063" w:type="dxa"/>
            <w:tcMar>
              <w:right w:w="0" w:type="dxa"/>
            </w:tcMar>
          </w:tcPr>
          <w:p w:rsidR="00000000" w:rsidRDefault="00000000">
            <w:pPr>
              <w:rPr>
                <w:iCs/>
                <w:sz w:val="22"/>
              </w:rPr>
            </w:pPr>
            <w:r>
              <w:rPr>
                <w:iCs/>
                <w:sz w:val="22"/>
              </w:rPr>
              <w:t>14 декабря 1995 года</w:t>
            </w:r>
          </w:p>
        </w:tc>
      </w:tr>
      <w:tr w:rsidR="00000000">
        <w:tblPrEx>
          <w:tblCellMar>
            <w:top w:w="0" w:type="dxa"/>
            <w:bottom w:w="0" w:type="dxa"/>
          </w:tblCellMar>
        </w:tblPrEx>
        <w:trPr>
          <w:cantSplit/>
        </w:trPr>
        <w:tc>
          <w:tcPr>
            <w:tcW w:w="2478" w:type="dxa"/>
            <w:tcMar>
              <w:right w:w="0" w:type="dxa"/>
            </w:tcMar>
          </w:tcPr>
          <w:p w:rsidR="00000000" w:rsidRDefault="00000000">
            <w:pPr>
              <w:tabs>
                <w:tab w:val="left" w:pos="540"/>
              </w:tabs>
              <w:spacing w:line="240" w:lineRule="auto"/>
              <w:rPr>
                <w:sz w:val="22"/>
                <w:szCs w:val="22"/>
              </w:rPr>
            </w:pPr>
            <w:r>
              <w:rPr>
                <w:sz w:val="22"/>
                <w:szCs w:val="22"/>
              </w:rPr>
              <w:t>Закон № 1555/00</w:t>
            </w:r>
          </w:p>
        </w:tc>
        <w:tc>
          <w:tcPr>
            <w:tcW w:w="4871" w:type="dxa"/>
          </w:tcPr>
          <w:p w:rsidR="00000000" w:rsidRDefault="00000000">
            <w:pPr>
              <w:tabs>
                <w:tab w:val="left" w:pos="540"/>
              </w:tabs>
              <w:spacing w:line="240" w:lineRule="auto"/>
              <w:rPr>
                <w:sz w:val="22"/>
                <w:szCs w:val="22"/>
              </w:rPr>
            </w:pPr>
            <w:r>
              <w:rPr>
                <w:sz w:val="22"/>
                <w:szCs w:val="22"/>
              </w:rPr>
              <w:t>Об установлении нормативов по определению текущей цены на жилые помещения и о неприменении статьи 27 Закона № 118/90</w:t>
            </w:r>
          </w:p>
        </w:tc>
        <w:tc>
          <w:tcPr>
            <w:tcW w:w="2063" w:type="dxa"/>
            <w:tcMar>
              <w:right w:w="0" w:type="dxa"/>
            </w:tcMar>
          </w:tcPr>
          <w:p w:rsidR="00000000" w:rsidRDefault="00000000">
            <w:pPr>
              <w:rPr>
                <w:iCs/>
                <w:sz w:val="22"/>
              </w:rPr>
            </w:pPr>
            <w:r>
              <w:rPr>
                <w:iCs/>
                <w:sz w:val="22"/>
              </w:rPr>
              <w:t>4 мая 2000 года</w:t>
            </w:r>
          </w:p>
        </w:tc>
      </w:tr>
      <w:tr w:rsidR="00000000">
        <w:tblPrEx>
          <w:tblCellMar>
            <w:top w:w="0" w:type="dxa"/>
            <w:bottom w:w="0" w:type="dxa"/>
          </w:tblCellMar>
        </w:tblPrEx>
        <w:trPr>
          <w:cantSplit/>
        </w:trPr>
        <w:tc>
          <w:tcPr>
            <w:tcW w:w="2478" w:type="dxa"/>
            <w:tcMar>
              <w:right w:w="0" w:type="dxa"/>
            </w:tcMar>
          </w:tcPr>
          <w:p w:rsidR="00000000" w:rsidRDefault="00000000">
            <w:pPr>
              <w:tabs>
                <w:tab w:val="left" w:pos="540"/>
              </w:tabs>
              <w:spacing w:line="240" w:lineRule="auto"/>
              <w:rPr>
                <w:sz w:val="22"/>
                <w:szCs w:val="22"/>
              </w:rPr>
            </w:pPr>
            <w:r>
              <w:rPr>
                <w:sz w:val="22"/>
                <w:szCs w:val="22"/>
              </w:rPr>
              <w:t>Закон № 1741/01</w:t>
            </w:r>
          </w:p>
        </w:tc>
        <w:tc>
          <w:tcPr>
            <w:tcW w:w="4871" w:type="dxa"/>
          </w:tcPr>
          <w:p w:rsidR="00000000" w:rsidRDefault="00000000">
            <w:pPr>
              <w:tabs>
                <w:tab w:val="left" w:pos="540"/>
              </w:tabs>
              <w:spacing w:line="240" w:lineRule="auto"/>
              <w:rPr>
                <w:sz w:val="22"/>
                <w:szCs w:val="22"/>
              </w:rPr>
            </w:pPr>
            <w:r>
              <w:rPr>
                <w:sz w:val="22"/>
                <w:szCs w:val="22"/>
              </w:rPr>
              <w:t>О реструктуризации долга, образовавшегося у заемщиков в рамках Национальной жилищной системы</w:t>
            </w:r>
          </w:p>
        </w:tc>
        <w:tc>
          <w:tcPr>
            <w:tcW w:w="2063" w:type="dxa"/>
            <w:tcMar>
              <w:right w:w="0" w:type="dxa"/>
            </w:tcMar>
          </w:tcPr>
          <w:p w:rsidR="00000000" w:rsidRDefault="00000000">
            <w:pPr>
              <w:rPr>
                <w:iCs/>
                <w:sz w:val="22"/>
              </w:rPr>
            </w:pPr>
            <w:r>
              <w:rPr>
                <w:iCs/>
                <w:sz w:val="22"/>
              </w:rPr>
              <w:t>10 июля 2001 года</w:t>
            </w:r>
          </w:p>
        </w:tc>
      </w:tr>
      <w:tr w:rsidR="00000000">
        <w:tblPrEx>
          <w:tblCellMar>
            <w:top w:w="0" w:type="dxa"/>
            <w:bottom w:w="0" w:type="dxa"/>
          </w:tblCellMar>
        </w:tblPrEx>
        <w:trPr>
          <w:cantSplit/>
        </w:trPr>
        <w:tc>
          <w:tcPr>
            <w:tcW w:w="2478" w:type="dxa"/>
            <w:tcMar>
              <w:right w:w="0" w:type="dxa"/>
            </w:tcMar>
          </w:tcPr>
          <w:p w:rsidR="00000000" w:rsidRDefault="00000000">
            <w:pPr>
              <w:tabs>
                <w:tab w:val="left" w:pos="540"/>
              </w:tabs>
              <w:spacing w:line="240" w:lineRule="auto"/>
              <w:rPr>
                <w:sz w:val="22"/>
                <w:szCs w:val="22"/>
              </w:rPr>
            </w:pPr>
            <w:r>
              <w:rPr>
                <w:sz w:val="22"/>
                <w:szCs w:val="22"/>
              </w:rPr>
              <w:t>Закон № 1920/02</w:t>
            </w:r>
          </w:p>
        </w:tc>
        <w:tc>
          <w:tcPr>
            <w:tcW w:w="4871" w:type="dxa"/>
          </w:tcPr>
          <w:p w:rsidR="00000000" w:rsidRDefault="00000000">
            <w:pPr>
              <w:tabs>
                <w:tab w:val="left" w:pos="540"/>
              </w:tabs>
              <w:spacing w:line="240" w:lineRule="auto"/>
              <w:rPr>
                <w:sz w:val="22"/>
                <w:szCs w:val="22"/>
              </w:rPr>
            </w:pPr>
            <w:r>
              <w:rPr>
                <w:sz w:val="22"/>
                <w:szCs w:val="22"/>
              </w:rPr>
              <w:t>О расширении Закона № 1555/00 об установлении нормативов по определению текущей цены на жилые помещения и о неприменении статьи 27 Закона № 118/90</w:t>
            </w:r>
          </w:p>
        </w:tc>
        <w:tc>
          <w:tcPr>
            <w:tcW w:w="2063" w:type="dxa"/>
            <w:tcMar>
              <w:right w:w="0" w:type="dxa"/>
            </w:tcMar>
          </w:tcPr>
          <w:p w:rsidR="00000000" w:rsidRDefault="00000000">
            <w:pPr>
              <w:rPr>
                <w:iCs/>
                <w:sz w:val="22"/>
              </w:rPr>
            </w:pPr>
            <w:r>
              <w:rPr>
                <w:iCs/>
                <w:sz w:val="22"/>
              </w:rPr>
              <w:t>23 мая 2002 года</w:t>
            </w:r>
          </w:p>
        </w:tc>
      </w:tr>
      <w:tr w:rsidR="00000000">
        <w:tblPrEx>
          <w:tblCellMar>
            <w:top w:w="0" w:type="dxa"/>
            <w:bottom w:w="0" w:type="dxa"/>
          </w:tblCellMar>
        </w:tblPrEx>
        <w:trPr>
          <w:cantSplit/>
        </w:trPr>
        <w:tc>
          <w:tcPr>
            <w:tcW w:w="2478" w:type="dxa"/>
            <w:tcMar>
              <w:right w:w="0" w:type="dxa"/>
            </w:tcMar>
          </w:tcPr>
          <w:p w:rsidR="00000000" w:rsidRDefault="00000000">
            <w:pPr>
              <w:tabs>
                <w:tab w:val="left" w:pos="540"/>
              </w:tabs>
              <w:spacing w:line="240" w:lineRule="auto"/>
              <w:rPr>
                <w:sz w:val="22"/>
                <w:szCs w:val="22"/>
              </w:rPr>
            </w:pPr>
            <w:r>
              <w:rPr>
                <w:sz w:val="22"/>
                <w:szCs w:val="22"/>
              </w:rPr>
              <w:t>Закон № 1896/02</w:t>
            </w:r>
          </w:p>
        </w:tc>
        <w:tc>
          <w:tcPr>
            <w:tcW w:w="4871" w:type="dxa"/>
          </w:tcPr>
          <w:p w:rsidR="00000000" w:rsidRDefault="00000000">
            <w:pPr>
              <w:tabs>
                <w:tab w:val="left" w:pos="540"/>
              </w:tabs>
              <w:spacing w:line="240" w:lineRule="auto"/>
              <w:rPr>
                <w:sz w:val="22"/>
                <w:szCs w:val="22"/>
              </w:rPr>
            </w:pPr>
            <w:r>
              <w:rPr>
                <w:sz w:val="22"/>
                <w:szCs w:val="22"/>
              </w:rPr>
              <w:t xml:space="preserve">О расширении функций </w:t>
            </w:r>
            <w:r>
              <w:rPr>
                <w:bCs/>
                <w:iCs/>
                <w:sz w:val="22"/>
                <w:szCs w:val="22"/>
              </w:rPr>
              <w:t xml:space="preserve">Обществ жилищного накопления и кредитования;  об изменении и упразднении ряда статей </w:t>
            </w:r>
            <w:r>
              <w:rPr>
                <w:sz w:val="22"/>
                <w:szCs w:val="22"/>
              </w:rPr>
              <w:t>Закона № 325/71 об учреждении БНВ и создании Национальной системы накопления и кредитования, а также других сопутствующих законов</w:t>
            </w:r>
          </w:p>
        </w:tc>
        <w:tc>
          <w:tcPr>
            <w:tcW w:w="2063" w:type="dxa"/>
            <w:tcMar>
              <w:right w:w="0" w:type="dxa"/>
            </w:tcMar>
          </w:tcPr>
          <w:p w:rsidR="00000000" w:rsidRDefault="00000000">
            <w:pPr>
              <w:rPr>
                <w:iCs/>
                <w:sz w:val="22"/>
              </w:rPr>
            </w:pPr>
            <w:r>
              <w:rPr>
                <w:iCs/>
                <w:sz w:val="22"/>
              </w:rPr>
              <w:t>22 мая 2002 года</w:t>
            </w:r>
          </w:p>
        </w:tc>
      </w:tr>
      <w:tr w:rsidR="00000000">
        <w:tblPrEx>
          <w:tblCellMar>
            <w:top w:w="0" w:type="dxa"/>
            <w:bottom w:w="0" w:type="dxa"/>
          </w:tblCellMar>
        </w:tblPrEx>
        <w:trPr>
          <w:cantSplit/>
        </w:trPr>
        <w:tc>
          <w:tcPr>
            <w:tcW w:w="2478" w:type="dxa"/>
            <w:tcMar>
              <w:right w:w="0" w:type="dxa"/>
            </w:tcMar>
          </w:tcPr>
          <w:p w:rsidR="00000000" w:rsidRDefault="00000000">
            <w:pPr>
              <w:tabs>
                <w:tab w:val="left" w:pos="540"/>
              </w:tabs>
              <w:spacing w:line="240" w:lineRule="auto"/>
              <w:rPr>
                <w:sz w:val="22"/>
                <w:szCs w:val="22"/>
              </w:rPr>
            </w:pPr>
            <w:r>
              <w:rPr>
                <w:sz w:val="22"/>
                <w:szCs w:val="22"/>
              </w:rPr>
              <w:t>Закон № 2026/02</w:t>
            </w:r>
          </w:p>
        </w:tc>
        <w:tc>
          <w:tcPr>
            <w:tcW w:w="4871" w:type="dxa"/>
          </w:tcPr>
          <w:p w:rsidR="00000000" w:rsidRDefault="00000000">
            <w:pPr>
              <w:tabs>
                <w:tab w:val="left" w:pos="540"/>
              </w:tabs>
              <w:spacing w:line="240" w:lineRule="auto"/>
              <w:rPr>
                <w:sz w:val="22"/>
                <w:szCs w:val="22"/>
              </w:rPr>
            </w:pPr>
            <w:r>
              <w:rPr>
                <w:sz w:val="22"/>
                <w:szCs w:val="22"/>
              </w:rPr>
              <w:t>О введении дополнительных нормативов, расширяющих Закон № 1741/01 о реструктуризации долга, образовавшегося у заемщиков в рамках Национальной жилищной системы</w:t>
            </w:r>
          </w:p>
        </w:tc>
        <w:tc>
          <w:tcPr>
            <w:tcW w:w="2063" w:type="dxa"/>
            <w:tcMar>
              <w:right w:w="0" w:type="dxa"/>
            </w:tcMar>
          </w:tcPr>
          <w:p w:rsidR="00000000" w:rsidRDefault="00000000">
            <w:pPr>
              <w:keepNext/>
              <w:keepLines/>
              <w:rPr>
                <w:iCs/>
                <w:sz w:val="22"/>
              </w:rPr>
            </w:pPr>
            <w:r>
              <w:rPr>
                <w:iCs/>
                <w:sz w:val="22"/>
              </w:rPr>
              <w:t>21 ноября 2002 года</w:t>
            </w:r>
          </w:p>
        </w:tc>
      </w:tr>
      <w:tr w:rsidR="00000000">
        <w:tblPrEx>
          <w:tblCellMar>
            <w:top w:w="0" w:type="dxa"/>
            <w:bottom w:w="0" w:type="dxa"/>
          </w:tblCellMar>
        </w:tblPrEx>
        <w:trPr>
          <w:cantSplit/>
        </w:trPr>
        <w:tc>
          <w:tcPr>
            <w:tcW w:w="2478" w:type="dxa"/>
            <w:tcMar>
              <w:right w:w="0" w:type="dxa"/>
            </w:tcMar>
          </w:tcPr>
          <w:p w:rsidR="00000000" w:rsidRDefault="00000000">
            <w:pPr>
              <w:tabs>
                <w:tab w:val="left" w:pos="540"/>
              </w:tabs>
              <w:spacing w:line="240" w:lineRule="auto"/>
              <w:rPr>
                <w:sz w:val="22"/>
                <w:szCs w:val="22"/>
              </w:rPr>
            </w:pPr>
            <w:r>
              <w:rPr>
                <w:sz w:val="22"/>
                <w:szCs w:val="22"/>
              </w:rPr>
              <w:t>Закон № 2199/03</w:t>
            </w:r>
          </w:p>
        </w:tc>
        <w:tc>
          <w:tcPr>
            <w:tcW w:w="4871" w:type="dxa"/>
          </w:tcPr>
          <w:p w:rsidR="00000000" w:rsidRDefault="00000000">
            <w:pPr>
              <w:tabs>
                <w:tab w:val="left" w:pos="540"/>
              </w:tabs>
              <w:spacing w:line="240" w:lineRule="auto"/>
              <w:rPr>
                <w:sz w:val="22"/>
                <w:szCs w:val="22"/>
              </w:rPr>
            </w:pPr>
            <w:r>
              <w:rPr>
                <w:sz w:val="22"/>
                <w:szCs w:val="22"/>
              </w:rPr>
              <w:t>О реорганизации коллегиальных органов, ответственных за руководство предприятиями и учреждениями парагвайского государства</w:t>
            </w:r>
          </w:p>
        </w:tc>
        <w:tc>
          <w:tcPr>
            <w:tcW w:w="2063" w:type="dxa"/>
            <w:tcMar>
              <w:right w:w="0" w:type="dxa"/>
            </w:tcMar>
          </w:tcPr>
          <w:p w:rsidR="00000000" w:rsidRDefault="00000000">
            <w:pPr>
              <w:rPr>
                <w:iCs/>
                <w:sz w:val="22"/>
                <w:lang w:val="es-ES_tradnl"/>
              </w:rPr>
            </w:pPr>
            <w:r>
              <w:rPr>
                <w:iCs/>
                <w:sz w:val="22"/>
                <w:lang w:val="es-ES_tradnl"/>
              </w:rPr>
              <w:t xml:space="preserve">8 </w:t>
            </w:r>
            <w:r>
              <w:rPr>
                <w:iCs/>
                <w:sz w:val="22"/>
              </w:rPr>
              <w:t>сентября</w:t>
            </w:r>
            <w:r>
              <w:rPr>
                <w:iCs/>
                <w:sz w:val="22"/>
                <w:lang w:val="es-ES_tradnl"/>
              </w:rPr>
              <w:t xml:space="preserve"> 2003</w:t>
            </w:r>
            <w:r>
              <w:rPr>
                <w:iCs/>
                <w:sz w:val="22"/>
              </w:rPr>
              <w:t xml:space="preserve"> года</w:t>
            </w:r>
          </w:p>
        </w:tc>
      </w:tr>
      <w:tr w:rsidR="00000000">
        <w:tblPrEx>
          <w:tblCellMar>
            <w:top w:w="0" w:type="dxa"/>
            <w:bottom w:w="0" w:type="dxa"/>
          </w:tblCellMar>
        </w:tblPrEx>
        <w:trPr>
          <w:cantSplit/>
        </w:trPr>
        <w:tc>
          <w:tcPr>
            <w:tcW w:w="2478" w:type="dxa"/>
            <w:tcMar>
              <w:right w:w="0" w:type="dxa"/>
            </w:tcMar>
          </w:tcPr>
          <w:p w:rsidR="00000000" w:rsidRDefault="00000000">
            <w:pPr>
              <w:tabs>
                <w:tab w:val="left" w:pos="540"/>
              </w:tabs>
              <w:spacing w:line="240" w:lineRule="auto"/>
              <w:rPr>
                <w:sz w:val="22"/>
                <w:szCs w:val="22"/>
              </w:rPr>
            </w:pPr>
            <w:r>
              <w:rPr>
                <w:sz w:val="22"/>
                <w:szCs w:val="22"/>
              </w:rPr>
              <w:t>Закон № 2329/03</w:t>
            </w:r>
          </w:p>
        </w:tc>
        <w:tc>
          <w:tcPr>
            <w:tcW w:w="4871" w:type="dxa"/>
          </w:tcPr>
          <w:p w:rsidR="00000000" w:rsidRDefault="00000000">
            <w:pPr>
              <w:tabs>
                <w:tab w:val="left" w:pos="540"/>
              </w:tabs>
              <w:spacing w:line="240" w:lineRule="auto"/>
              <w:rPr>
                <w:sz w:val="22"/>
                <w:szCs w:val="22"/>
              </w:rPr>
            </w:pPr>
            <w:r>
              <w:rPr>
                <w:sz w:val="22"/>
                <w:szCs w:val="22"/>
              </w:rPr>
              <w:t>Об установлении рамок управления жилищными кооперативами и учреждении фонда жилищных кооперативов</w:t>
            </w:r>
          </w:p>
        </w:tc>
        <w:tc>
          <w:tcPr>
            <w:tcW w:w="2063" w:type="dxa"/>
            <w:tcMar>
              <w:right w:w="0" w:type="dxa"/>
            </w:tcMar>
          </w:tcPr>
          <w:p w:rsidR="00000000" w:rsidRDefault="00000000">
            <w:pPr>
              <w:rPr>
                <w:iCs/>
                <w:sz w:val="22"/>
              </w:rPr>
            </w:pPr>
            <w:r>
              <w:rPr>
                <w:iCs/>
                <w:sz w:val="22"/>
              </w:rPr>
              <w:t>19 августа 2003 года</w:t>
            </w:r>
          </w:p>
        </w:tc>
      </w:tr>
      <w:tr w:rsidR="00000000">
        <w:tblPrEx>
          <w:tblCellMar>
            <w:top w:w="0" w:type="dxa"/>
            <w:bottom w:w="0" w:type="dxa"/>
          </w:tblCellMar>
        </w:tblPrEx>
        <w:trPr>
          <w:cantSplit/>
        </w:trPr>
        <w:tc>
          <w:tcPr>
            <w:tcW w:w="2478" w:type="dxa"/>
            <w:tcMar>
              <w:right w:w="0" w:type="dxa"/>
            </w:tcMar>
          </w:tcPr>
          <w:p w:rsidR="00000000" w:rsidRDefault="00000000">
            <w:pPr>
              <w:tabs>
                <w:tab w:val="left" w:pos="540"/>
              </w:tabs>
              <w:spacing w:line="240" w:lineRule="auto"/>
              <w:rPr>
                <w:sz w:val="22"/>
                <w:szCs w:val="22"/>
              </w:rPr>
            </w:pPr>
            <w:r>
              <w:rPr>
                <w:sz w:val="22"/>
                <w:szCs w:val="22"/>
              </w:rPr>
              <w:t>Закон № 2253/03</w:t>
            </w:r>
          </w:p>
        </w:tc>
        <w:tc>
          <w:tcPr>
            <w:tcW w:w="4871" w:type="dxa"/>
          </w:tcPr>
          <w:p w:rsidR="00000000" w:rsidRDefault="00000000">
            <w:pPr>
              <w:tabs>
                <w:tab w:val="left" w:pos="540"/>
              </w:tabs>
              <w:spacing w:line="240" w:lineRule="auto"/>
              <w:rPr>
                <w:sz w:val="22"/>
                <w:szCs w:val="22"/>
              </w:rPr>
            </w:pPr>
            <w:r>
              <w:rPr>
                <w:sz w:val="22"/>
                <w:szCs w:val="22"/>
              </w:rPr>
              <w:t>О расширении срока, предусмотренного в статье 1 Закона № 2084/03 для применения и исполнения Закона № 1555/00</w:t>
            </w:r>
          </w:p>
        </w:tc>
        <w:tc>
          <w:tcPr>
            <w:tcW w:w="2063" w:type="dxa"/>
            <w:tcMar>
              <w:right w:w="0" w:type="dxa"/>
            </w:tcMar>
          </w:tcPr>
          <w:p w:rsidR="00000000" w:rsidRDefault="00000000">
            <w:pPr>
              <w:rPr>
                <w:iCs/>
                <w:sz w:val="22"/>
                <w:lang w:val="es-ES_tradnl"/>
              </w:rPr>
            </w:pPr>
            <w:r>
              <w:rPr>
                <w:iCs/>
                <w:sz w:val="22"/>
                <w:lang w:val="es-ES_tradnl"/>
              </w:rPr>
              <w:t xml:space="preserve">13 </w:t>
            </w:r>
            <w:r>
              <w:rPr>
                <w:iCs/>
                <w:sz w:val="22"/>
              </w:rPr>
              <w:t>октября</w:t>
            </w:r>
            <w:r>
              <w:rPr>
                <w:iCs/>
                <w:sz w:val="22"/>
                <w:lang w:val="es-ES_tradnl"/>
              </w:rPr>
              <w:t xml:space="preserve"> 2003</w:t>
            </w:r>
            <w:r>
              <w:rPr>
                <w:iCs/>
                <w:sz w:val="22"/>
              </w:rPr>
              <w:t xml:space="preserve"> года</w:t>
            </w:r>
          </w:p>
        </w:tc>
      </w:tr>
      <w:tr w:rsidR="00000000">
        <w:tblPrEx>
          <w:tblCellMar>
            <w:top w:w="0" w:type="dxa"/>
            <w:bottom w:w="0" w:type="dxa"/>
          </w:tblCellMar>
        </w:tblPrEx>
        <w:trPr>
          <w:cantSplit/>
        </w:trPr>
        <w:tc>
          <w:tcPr>
            <w:tcW w:w="2478" w:type="dxa"/>
            <w:tcMar>
              <w:right w:w="0" w:type="dxa"/>
            </w:tcMar>
          </w:tcPr>
          <w:p w:rsidR="00000000" w:rsidRDefault="00000000">
            <w:pPr>
              <w:tabs>
                <w:tab w:val="left" w:pos="540"/>
              </w:tabs>
              <w:spacing w:line="240" w:lineRule="auto"/>
              <w:rPr>
                <w:sz w:val="22"/>
                <w:szCs w:val="22"/>
              </w:rPr>
            </w:pPr>
            <w:r>
              <w:rPr>
                <w:sz w:val="22"/>
                <w:szCs w:val="22"/>
              </w:rPr>
              <w:t>Закон № 2637/05</w:t>
            </w:r>
          </w:p>
        </w:tc>
        <w:tc>
          <w:tcPr>
            <w:tcW w:w="4871" w:type="dxa"/>
          </w:tcPr>
          <w:p w:rsidR="00000000" w:rsidRDefault="00000000">
            <w:pPr>
              <w:tabs>
                <w:tab w:val="left" w:pos="540"/>
              </w:tabs>
              <w:spacing w:line="240" w:lineRule="auto"/>
              <w:rPr>
                <w:sz w:val="22"/>
                <w:szCs w:val="22"/>
              </w:rPr>
            </w:pPr>
            <w:r>
              <w:rPr>
                <w:sz w:val="22"/>
                <w:szCs w:val="22"/>
              </w:rPr>
              <w:t>О разрешении КОНАВИ/БНВ ввести в действие систему социальной помощи и применить новый режим реструктуризации ипотечных кредитов, предусмотренных в Законах № 1741/01 и 2026/02</w:t>
            </w:r>
          </w:p>
        </w:tc>
        <w:tc>
          <w:tcPr>
            <w:tcW w:w="2063" w:type="dxa"/>
            <w:tcMar>
              <w:right w:w="0" w:type="dxa"/>
            </w:tcMar>
          </w:tcPr>
          <w:p w:rsidR="00000000" w:rsidRDefault="00000000">
            <w:pPr>
              <w:rPr>
                <w:iCs/>
                <w:sz w:val="22"/>
              </w:rPr>
            </w:pPr>
            <w:r>
              <w:rPr>
                <w:iCs/>
                <w:sz w:val="22"/>
              </w:rPr>
              <w:t>7 июля 2005 года</w:t>
            </w:r>
          </w:p>
        </w:tc>
      </w:tr>
      <w:tr w:rsidR="00000000">
        <w:tblPrEx>
          <w:tblCellMar>
            <w:top w:w="0" w:type="dxa"/>
            <w:bottom w:w="0" w:type="dxa"/>
          </w:tblCellMar>
        </w:tblPrEx>
        <w:trPr>
          <w:cantSplit/>
        </w:trPr>
        <w:tc>
          <w:tcPr>
            <w:tcW w:w="2478" w:type="dxa"/>
            <w:tcMar>
              <w:right w:w="0" w:type="dxa"/>
            </w:tcMar>
          </w:tcPr>
          <w:p w:rsidR="00000000" w:rsidRDefault="00000000">
            <w:pPr>
              <w:tabs>
                <w:tab w:val="left" w:pos="540"/>
              </w:tabs>
              <w:spacing w:line="240" w:lineRule="auto"/>
              <w:rPr>
                <w:sz w:val="22"/>
                <w:szCs w:val="22"/>
              </w:rPr>
            </w:pPr>
            <w:r>
              <w:rPr>
                <w:sz w:val="22"/>
                <w:szCs w:val="22"/>
              </w:rPr>
              <w:t>Закон № 2640/05</w:t>
            </w:r>
          </w:p>
        </w:tc>
        <w:tc>
          <w:tcPr>
            <w:tcW w:w="4871" w:type="dxa"/>
          </w:tcPr>
          <w:p w:rsidR="00000000" w:rsidRDefault="00000000">
            <w:pPr>
              <w:tabs>
                <w:tab w:val="left" w:pos="540"/>
              </w:tabs>
              <w:spacing w:line="240" w:lineRule="auto"/>
              <w:rPr>
                <w:sz w:val="22"/>
                <w:szCs w:val="22"/>
              </w:rPr>
            </w:pPr>
            <w:r>
              <w:rPr>
                <w:sz w:val="22"/>
                <w:szCs w:val="22"/>
              </w:rPr>
              <w:t xml:space="preserve">О создании </w:t>
            </w:r>
            <w:r>
              <w:rPr>
                <w:bCs/>
                <w:iCs/>
                <w:sz w:val="22"/>
                <w:szCs w:val="22"/>
              </w:rPr>
              <w:t xml:space="preserve">Финансового агентства развития (статья 22 раздела II данного Закона упраздняет </w:t>
            </w:r>
            <w:r>
              <w:rPr>
                <w:sz w:val="22"/>
                <w:szCs w:val="22"/>
              </w:rPr>
              <w:t>Национальный жилищный банк)</w:t>
            </w:r>
          </w:p>
        </w:tc>
        <w:tc>
          <w:tcPr>
            <w:tcW w:w="2063" w:type="dxa"/>
            <w:tcMar>
              <w:right w:w="0" w:type="dxa"/>
            </w:tcMar>
          </w:tcPr>
          <w:p w:rsidR="00000000" w:rsidRDefault="00000000">
            <w:pPr>
              <w:rPr>
                <w:iCs/>
                <w:sz w:val="22"/>
              </w:rPr>
            </w:pPr>
            <w:r>
              <w:rPr>
                <w:iCs/>
                <w:sz w:val="22"/>
              </w:rPr>
              <w:t>21 июля 2005 года</w:t>
            </w:r>
          </w:p>
        </w:tc>
      </w:tr>
    </w:tbl>
    <w:p w:rsidR="00000000" w:rsidRDefault="00000000">
      <w:pPr>
        <w:tabs>
          <w:tab w:val="left" w:pos="540"/>
        </w:tabs>
      </w:pPr>
    </w:p>
    <w:p w:rsidR="00000000" w:rsidRDefault="00000000">
      <w:r>
        <w:t>434.</w:t>
      </w:r>
      <w:r>
        <w:tab/>
        <w:t>Ни один из готовящихся к принятию в Парагвае нормативно-законодательных актов не препятствует полной реализации права на жилище.</w:t>
      </w:r>
    </w:p>
    <w:p w:rsidR="00000000" w:rsidRDefault="00000000">
      <w:pPr>
        <w:tabs>
          <w:tab w:val="left" w:pos="540"/>
        </w:tabs>
      </w:pPr>
    </w:p>
    <w:p w:rsidR="00000000" w:rsidRDefault="00000000">
      <w:pPr>
        <w:rPr>
          <w:b/>
        </w:rPr>
      </w:pPr>
      <w:r>
        <w:rPr>
          <w:b/>
        </w:rPr>
        <w:tab/>
        <w:t>3.5</w:t>
      </w:r>
      <w:r>
        <w:rPr>
          <w:b/>
        </w:rPr>
        <w:tab/>
        <w:t>Законодательство в отношении владения жильем и собственностью</w:t>
      </w:r>
    </w:p>
    <w:p w:rsidR="00000000" w:rsidRDefault="00000000">
      <w:pPr>
        <w:tabs>
          <w:tab w:val="left" w:pos="540"/>
        </w:tabs>
      </w:pPr>
    </w:p>
    <w:p w:rsidR="00000000" w:rsidRDefault="00000000">
      <w:r>
        <w:t>435.</w:t>
      </w:r>
      <w:r>
        <w:tab/>
        <w:t xml:space="preserve">Гражданский кодекс Парагвая предусматривает понятие "семейное имущество", которое определяется как совокупность недвижимого и движимого имущества, необходимого для жизни семьи и не подлежащего отчуждению.  Данное понятие распространяется на супругов, на сожителей (мужчину и женщину), на биологических или приемных несовершеннолетних детей, на недееспособных взрослых, на родителей и других родственников старше 60 лет, на несовершеннолетних или недееспособных братьев и сестер. </w:t>
      </w:r>
    </w:p>
    <w:p w:rsidR="00000000" w:rsidRDefault="00000000">
      <w:pPr>
        <w:tabs>
          <w:tab w:val="left" w:pos="540"/>
        </w:tabs>
      </w:pPr>
    </w:p>
    <w:p w:rsidR="00000000" w:rsidRDefault="00000000">
      <w:pPr>
        <w:rPr>
          <w:b/>
        </w:rPr>
      </w:pPr>
      <w:r>
        <w:rPr>
          <w:b/>
        </w:rPr>
        <w:tab/>
        <w:t>3.6</w:t>
      </w:r>
      <w:r>
        <w:rPr>
          <w:b/>
        </w:rPr>
        <w:tab/>
        <w:t>Регулирование вопросов незаконно занятого жилья</w:t>
      </w:r>
    </w:p>
    <w:p w:rsidR="00000000" w:rsidRDefault="00000000">
      <w:pPr>
        <w:tabs>
          <w:tab w:val="left" w:pos="540"/>
        </w:tabs>
      </w:pPr>
    </w:p>
    <w:p w:rsidR="00000000" w:rsidRDefault="00000000">
      <w:r>
        <w:t>436.</w:t>
      </w:r>
      <w:r>
        <w:tab/>
        <w:t>С 1995 года в департаменте Сентраль страны действует Программа по регулированию муниципального жилья (ПРАМ), которая была инициирована постановлением министерства внутренних дел № 11177 от 1995 года на основании обращения бездомных семей, входящих в Национальное объединение народных организаций (КОНОП).  В 2000 году Декретом № 8497/00 упомянутое постановление было отменено, а реализация программы была возложена на КОНАВИ.  Цель программы заключается в том, чтобы выделить земельный участок каждой бедной семье, постоянно проживающей в существующих муниципальных образованиях.  Большинство глав семей, ставших бенефициарами данной программы, - это работники неформального сектора, без постоянных доходов.  Программа предусматривает покупку государством свободных земель для их последующей продажи по низким ценам, в рассрочку, с долгосрочным погашением доступными долями, чтобы таким образом избежать новых захватов земель, находящихся в частной собственности.</w:t>
      </w:r>
    </w:p>
    <w:p w:rsidR="00000000" w:rsidRDefault="00000000">
      <w:pPr>
        <w:tabs>
          <w:tab w:val="left" w:pos="540"/>
        </w:tabs>
      </w:pPr>
    </w:p>
    <w:p w:rsidR="00000000" w:rsidRDefault="00000000">
      <w:r>
        <w:t>437.</w:t>
      </w:r>
      <w:r>
        <w:tab/>
        <w:t>Кроме того, 26 ноября 2003 года исполнительная власть президентским указом № 1038 отменила предыдущий указ, возлагавший реализацию Программы ПРАМ на КОНАВИ, и поручила дальнейшее развитие этой программы Секретариату социального действия (САС).  За то время, что осуществление Программы ПРАМ входило в компетенцию КОНАВИ, примерно 1 500 семей смогли решить свои жилищные проблемы.</w:t>
      </w:r>
    </w:p>
    <w:p w:rsidR="00000000" w:rsidRDefault="00000000">
      <w:pPr>
        <w:tabs>
          <w:tab w:val="left" w:pos="540"/>
        </w:tabs>
      </w:pPr>
    </w:p>
    <w:p w:rsidR="00000000" w:rsidRDefault="00000000">
      <w:pPr>
        <w:rPr>
          <w:b/>
        </w:rPr>
      </w:pPr>
      <w:r>
        <w:rPr>
          <w:b/>
        </w:rPr>
        <w:t>4.</w:t>
      </w:r>
      <w:r>
        <w:rPr>
          <w:b/>
        </w:rPr>
        <w:tab/>
        <w:t>Здоровая окружающая среда</w:t>
      </w:r>
    </w:p>
    <w:p w:rsidR="00000000" w:rsidRDefault="00000000">
      <w:pPr>
        <w:tabs>
          <w:tab w:val="left" w:pos="540"/>
        </w:tabs>
      </w:pPr>
    </w:p>
    <w:p w:rsidR="00000000" w:rsidRDefault="00000000">
      <w:r>
        <w:t>438.</w:t>
      </w:r>
      <w:r>
        <w:tab/>
        <w:t>Секретариат по вопросам окружающей среды, образованный согласно Закону № 1561/00, приобретает характер главного органа по применению законодательных актов в этой сфере.  Среди них Закон № 294/93 "Об оценке воздействия на окружающую среду", а также изменения и дополнения к нему (Закон № 345/94), и указ о введении закона в действие.</w:t>
      </w:r>
    </w:p>
    <w:p w:rsidR="00000000" w:rsidRDefault="00000000">
      <w:pPr>
        <w:tabs>
          <w:tab w:val="left" w:pos="540"/>
        </w:tabs>
      </w:pPr>
    </w:p>
    <w:p w:rsidR="00000000" w:rsidRDefault="00000000">
      <w:r>
        <w:t>439.</w:t>
      </w:r>
      <w:r>
        <w:tab/>
        <w:t>Важно отметить, что право на здоровую окружающую среду носит конституционный характер, т.е. предусмотрено в статье 7 Основного закона.  Кроме того, в статье 8 названного документа изложены базовые направления по защите окружающей среды.  В статье 38 Конституции Парагвая также предусмотрено право на защиту интересов общего характера, а именно:  "каждый человек имеет право индивидуально либо коллективно требовать от государственной власти принятия мер по защите окружающей среды, целостности природного ландшафта, общественного здоровья, национального культурного достояния, интересов потребителя и других, которые - по своему правовому статусу - относятся к обществу и имеют связь с качеством жизни и коллективным достоянием".</w:t>
      </w:r>
    </w:p>
    <w:p w:rsidR="00000000" w:rsidRDefault="00000000">
      <w:pPr>
        <w:tabs>
          <w:tab w:val="left" w:pos="540"/>
        </w:tabs>
      </w:pPr>
    </w:p>
    <w:p w:rsidR="00000000" w:rsidRDefault="00000000">
      <w:r>
        <w:t>440.</w:t>
      </w:r>
      <w:r>
        <w:tab/>
        <w:t>В соответствии с Законом № 294/93 воздействие на окружающую среду определяется как любое изменение окружающей среды, вызванное хозяйственной и иной деятельностью человека, которая прямо или косвенно повлекла за собой позитивные либо негативные последствия, отразившиеся на жизни в целом, биологическом разнообразии, качестве или количестве природных ресурсов и их использовании, на благосостоянии, здоровье, безопасности людей, их быте и обычаях, на культурном достоянии или на законных средствах для жизни.  В статьях 1 и 2 Закона оговариваются вопросы научного исследования, позволяющего выявить, предусмотреть и оценить влияние на окружающую среду любого хозяйственного или иного воздействия человека - как уже осуществленного, так и планируемого.</w:t>
      </w:r>
    </w:p>
    <w:p w:rsidR="00000000" w:rsidRDefault="00000000">
      <w:pPr>
        <w:tabs>
          <w:tab w:val="left" w:pos="540"/>
        </w:tabs>
      </w:pPr>
    </w:p>
    <w:p w:rsidR="00000000" w:rsidRDefault="00000000">
      <w:r>
        <w:t>441.</w:t>
      </w:r>
      <w:r>
        <w:tab/>
        <w:t>Закон № 352/94 посвящен защите природных заповедников.  Он принят с целью установить общие нормы, которые бы регулировали вопросы использования национальной системы диких заповедных зон страны и управления ею.  Для этого разработан соответствующий стратегический план.</w:t>
      </w:r>
    </w:p>
    <w:p w:rsidR="00000000" w:rsidRDefault="00000000">
      <w:pPr>
        <w:tabs>
          <w:tab w:val="left" w:pos="540"/>
        </w:tabs>
      </w:pPr>
    </w:p>
    <w:p w:rsidR="00000000" w:rsidRDefault="00000000">
      <w:r>
        <w:t>442.</w:t>
      </w:r>
      <w:r>
        <w:tab/>
        <w:t>Декларируется, что национальная система диких заповедных зон - это важный народно-хозяйственный и социально-значимый элемент, который подлежит регулированию настоящим законом и сопутствующими нормативными положениями.  Все граждане, частные организации и государственные учреждения обязаны охранять заповедники дикой природы страны.</w:t>
      </w:r>
    </w:p>
    <w:p w:rsidR="00000000" w:rsidRDefault="00000000">
      <w:pPr>
        <w:tabs>
          <w:tab w:val="left" w:pos="540"/>
        </w:tabs>
      </w:pPr>
    </w:p>
    <w:p w:rsidR="00000000" w:rsidRDefault="00000000">
      <w:r>
        <w:t>443.</w:t>
      </w:r>
      <w:r>
        <w:tab/>
        <w:t xml:space="preserve">Законом № 352/94 вводится понятие "охранная зона", под которой подразумевается полоса местности, прилегающая к периметру заповедника дикой природы.  Ее размер и протяженность могут быть различными, что определяется планом использования конкретного заповедника.  Именно в этой полосе пересекаются общие интересы, взаимная выгода и совместная ответственность администрации природного заповедника и общин, отдельных людей, частных и правительственных организаций, в том что касается использования и сохранения заповедника дикой природы, а также устойчивого социально-экономического развития региона.  Поскольку природоохранная зона имеет большое правовое и народно-хозяйственное значение, администрация природного заповедника по мере своих технических и финансовых возможностей стремится участвовать в устойчивом развитии зоны, ограничиваясь в основном общественно-просветительской работой (экологического толка) на ее территории. </w:t>
      </w:r>
    </w:p>
    <w:p w:rsidR="00000000" w:rsidRDefault="00000000">
      <w:pPr>
        <w:tabs>
          <w:tab w:val="left" w:pos="540"/>
        </w:tabs>
      </w:pPr>
    </w:p>
    <w:p w:rsidR="00000000" w:rsidRDefault="00000000">
      <w:r>
        <w:t>444.</w:t>
      </w:r>
      <w:r>
        <w:tab/>
        <w:t>Закон № 2425/24 запрещает в восточном регионе страны деятельность, связанную с трансформацией и преобразованием территорий, занятых лесами.  Цель данного Закона - обеспечить защиту, воспроизводство и улучшение породного состава естественных лесов данного региона, поскольку, с точки зрения устойчивого развития, лес выполняет функции как социально-экономические, так и природно-оздоровительные, способствуя улучшению качества жизни населения страны.</w:t>
      </w:r>
    </w:p>
    <w:p w:rsidR="00000000" w:rsidRDefault="00000000">
      <w:pPr>
        <w:tabs>
          <w:tab w:val="left" w:pos="540"/>
        </w:tabs>
      </w:pPr>
    </w:p>
    <w:p w:rsidR="00000000" w:rsidRDefault="00000000">
      <w:r>
        <w:t>445.</w:t>
      </w:r>
      <w:r>
        <w:tab/>
        <w:t>Согласно статье 15 Закона № 1561/00, Секретариат по вопросам окружающей среды выполняет руководящую роль в отношении вопросов, входящих в его компетенцию, а также во взаимодействии с остальными компетентными органами выполняет ряд задач, поставленных в некоторых других законах, например в Законе № 836/80 "О Санитарном кодексе".</w:t>
      </w:r>
    </w:p>
    <w:p w:rsidR="00000000" w:rsidRDefault="00000000">
      <w:pPr>
        <w:tabs>
          <w:tab w:val="left" w:pos="540"/>
        </w:tabs>
      </w:pPr>
    </w:p>
    <w:p w:rsidR="00000000" w:rsidRDefault="00000000">
      <w:r>
        <w:t>446.</w:t>
      </w:r>
      <w:r>
        <w:tab/>
        <w:t>Санитарный кодекс регулирует функции государства в области комплексной охраны здоровья населения, а также определяет права и обязанности должностных лиц.  Сектор здравоохранения включает все частные и государственные учреждения, прямо или косвенно связанные со здоровьем населения.  М</w:t>
      </w:r>
      <w:r>
        <w:rPr>
          <w:bCs/>
        </w:rPr>
        <w:t xml:space="preserve">инистерство здравоохранения и социального обеспечения - это высший государственный орган, наиболее компетентный в сфере здравоохранения и основных вопросах социального обеспечения.  Его функции, задачи и ответственность также определены в </w:t>
      </w:r>
      <w:r>
        <w:t xml:space="preserve">Санитарном кодексе и положениях по его применению, </w:t>
      </w:r>
      <w:r>
        <w:rPr>
          <w:bCs/>
        </w:rPr>
        <w:t xml:space="preserve">согласно статьям 1, 2, 3 и 4 </w:t>
      </w:r>
      <w:r>
        <w:t>Закона № 836/80.</w:t>
      </w:r>
    </w:p>
    <w:p w:rsidR="00000000" w:rsidRDefault="00000000">
      <w:pPr>
        <w:tabs>
          <w:tab w:val="left" w:pos="540"/>
        </w:tabs>
      </w:pPr>
    </w:p>
    <w:p w:rsidR="00000000" w:rsidRDefault="00000000">
      <w:pPr>
        <w:rPr>
          <w:b/>
        </w:rPr>
      </w:pPr>
      <w:r>
        <w:rPr>
          <w:b/>
        </w:rPr>
        <w:tab/>
        <w:t>4.1</w:t>
      </w:r>
      <w:r>
        <w:rPr>
          <w:b/>
        </w:rPr>
        <w:tab/>
        <w:t>Меры, реализованные в период 1994-2000 годов</w:t>
      </w:r>
    </w:p>
    <w:p w:rsidR="00000000" w:rsidRDefault="00000000">
      <w:pPr>
        <w:tabs>
          <w:tab w:val="left" w:pos="540"/>
        </w:tabs>
      </w:pPr>
    </w:p>
    <w:p w:rsidR="00000000" w:rsidRDefault="00000000">
      <w:pPr>
        <w:rPr>
          <w:bCs/>
        </w:rPr>
      </w:pPr>
      <w:r>
        <w:t>447.</w:t>
      </w:r>
      <w:r>
        <w:tab/>
        <w:t>В этот период не существовало какой-либо единой правительственной организации в ранге министерства, которая бы занималась вопросами окружающей среды.  Данная функция была возложена на два ведомства:  м</w:t>
      </w:r>
      <w:r>
        <w:rPr>
          <w:bCs/>
        </w:rPr>
        <w:t xml:space="preserve">инистерство здравоохранения и социального обеспечения в лице его </w:t>
      </w:r>
      <w:r>
        <w:t>Национальной</w:t>
      </w:r>
      <w:r>
        <w:rPr>
          <w:bCs/>
        </w:rPr>
        <w:t xml:space="preserve"> службы по </w:t>
      </w:r>
      <w:r>
        <w:t xml:space="preserve">оздоровлению окружающей среды и министерство сельского хозяйства и животноводства в лице </w:t>
      </w:r>
      <w:r>
        <w:rPr>
          <w:kern w:val="2"/>
        </w:rPr>
        <w:t>Государственного агентства по природным ресурсам и окружающей среде</w:t>
      </w:r>
      <w:r>
        <w:t>.  М</w:t>
      </w:r>
      <w:r>
        <w:rPr>
          <w:bCs/>
        </w:rPr>
        <w:t>инистерство здравоохранения и социального обеспечения сформировало несколько подразделений по защите окружающей среды и гигиене труда.  Кроме того, были созданы и начали действовать комиссии по вопросам окружающей среды при органах центральной законодательной и местной власти.</w:t>
      </w:r>
    </w:p>
    <w:p w:rsidR="00000000" w:rsidRDefault="00000000">
      <w:pPr>
        <w:tabs>
          <w:tab w:val="left" w:pos="540"/>
        </w:tabs>
        <w:rPr>
          <w:bCs/>
        </w:rPr>
      </w:pPr>
    </w:p>
    <w:p w:rsidR="00000000" w:rsidRDefault="00000000">
      <w:r>
        <w:rPr>
          <w:bCs/>
        </w:rPr>
        <w:t>448.</w:t>
      </w:r>
      <w:r>
        <w:rPr>
          <w:bCs/>
        </w:rPr>
        <w:tab/>
        <w:t xml:space="preserve">Главное управление </w:t>
      </w:r>
      <w:r>
        <w:t>СЕНАСА, созданное в соответствии с Законом № 369/72, является техническим органом, наделенным - согласно Санитарному кодексу - также административной властью, и выполняет функции по исполнению и надзору за выполнением программ по оздоровлению окружающей среды, в том что касается снабжения питьевой водой, размещения твердых бытовых отходов, контроля продуктов питания, трудовой гигиены и безопасности на производстве, устройства канализации и водостоков в сельских и городских районах, где проживает до 4 000 человек.</w:t>
      </w:r>
    </w:p>
    <w:p w:rsidR="00000000" w:rsidRDefault="00000000">
      <w:pPr>
        <w:tabs>
          <w:tab w:val="left" w:pos="540"/>
        </w:tabs>
      </w:pPr>
    </w:p>
    <w:p w:rsidR="00000000" w:rsidRDefault="00000000">
      <w:pPr>
        <w:rPr>
          <w:b/>
        </w:rPr>
      </w:pPr>
      <w:r>
        <w:rPr>
          <w:b/>
        </w:rPr>
        <w:tab/>
        <w:t>4.2</w:t>
      </w:r>
      <w:r>
        <w:rPr>
          <w:b/>
        </w:rPr>
        <w:tab/>
        <w:t>Национальная система охраны окружающей среды</w:t>
      </w:r>
    </w:p>
    <w:p w:rsidR="00000000" w:rsidRDefault="00000000"/>
    <w:p w:rsidR="00000000" w:rsidRDefault="00000000">
      <w:r>
        <w:t>449.</w:t>
      </w:r>
      <w:r>
        <w:tab/>
        <w:t>В области законодательства, связанного с охраной окружающей среды, был сделан шаг вперед, что выразилось в принятии за последние пять лет целого ряда соответствующих законов.  Наиболее характерной проблемой являлось отсутствие некоторых законов, а также регламентирования исполнения других, которые уже были введены в действие ранее.  Отдельные коллизии и трудности в интерпретации исполнения законов были связаны в основном с тем, что не были однозначно отменены предшествующие нормативные положения и было неясно, какое распоряжение применять в каждом конкретном случае.  Именно это и вызывало главные сложности в применении нормативов в области охраны окружающей среды, поскольку новые законы не отменяли однозначно предыдущие законоположения.</w:t>
      </w:r>
    </w:p>
    <w:p w:rsidR="00000000" w:rsidRDefault="00000000">
      <w:pPr>
        <w:tabs>
          <w:tab w:val="left" w:pos="540"/>
        </w:tabs>
      </w:pPr>
    </w:p>
    <w:p w:rsidR="00000000" w:rsidRDefault="00000000">
      <w:r>
        <w:t>450.</w:t>
      </w:r>
      <w:r>
        <w:tab/>
        <w:t>С тем чтобы исправить эти недостатки, 29 мая 2000 года был принят Закон № 1561/00, вводивший Национальную систему охраны окружающей среды и учреждавший Национальный совет по окружающей среде и Секретариат по вопросам окружающей среды.  Цель этого закона - создать и регламентировать деятельность органов, ответственных за разработку, нормализацию, координацию, надзор и реализацию национальной экологической политики.  Национальная система охраны окружающей среды (СИСНАМ) представляет собой совокупность государственных органов и правительственных организаций национального, департаментального и муниципального уровней, на которые возложены вопросы окружающей среды, а также частных учреждений, созданных для этих целей.  Ее предназначение - обеспечить совместные, гармоничные и согласованные действия вышеназванных организаций в поиске ответов и решений по проблематике окружающей среды, не допуская межведомственных конфликтов, нормативного вакуума или наложения компетенций, эффективно и продуктивно реализуя политику в области охраны окружающей среды.</w:t>
      </w:r>
    </w:p>
    <w:p w:rsidR="00000000" w:rsidRDefault="00000000">
      <w:pPr>
        <w:tabs>
          <w:tab w:val="left" w:pos="540"/>
        </w:tabs>
      </w:pPr>
    </w:p>
    <w:p w:rsidR="00000000" w:rsidRDefault="00000000">
      <w:r>
        <w:t>451.</w:t>
      </w:r>
      <w:r>
        <w:tab/>
        <w:t>Национальный совет по окружающей среде (КОНАМ) - это межведомственный коллегиальный орган, действующий как совещательная и консультативная инстанция, определяющая национальную политику в области охраны окружающей среды.  В его состав входят:  исполнительный секретарь Секретариата по вопросам окружающей среды, исполняющий обязанности Председателя Совета;  представители органов охраны окружающей среды министерств, секретариатов и отраслевых государственных учреждений;  представители секретариатов и управлений по защите окружающей среды департаментальных и муниципальных правительств;  представители профсоюзных организаций, частных предприятий и природозащитных некоммерческих неправительственных организаций.</w:t>
      </w:r>
    </w:p>
    <w:p w:rsidR="00000000" w:rsidRDefault="00000000">
      <w:pPr>
        <w:tabs>
          <w:tab w:val="left" w:pos="540"/>
        </w:tabs>
      </w:pPr>
    </w:p>
    <w:p w:rsidR="00000000" w:rsidRDefault="00000000">
      <w:r>
        <w:t>452.</w:t>
      </w:r>
      <w:r>
        <w:tab/>
        <w:t>Секретариат по вопросам окружающей среды (СЕАМ) - это автономное, экономически независимое учреждение, имеющее статус юридического лица в области публичного права, с собственным имуществом и неограниченным сроком действия.  Подчиняется президенту Республики.  Деятельность СЕАМ регламентируется положениями вышеназванного Закона и специально принимаемыми декретами.  Секретариат предназначен для формулирования, координации, надзора и исполнения политики в области охраны окружающей среды.</w:t>
      </w:r>
    </w:p>
    <w:p w:rsidR="00000000" w:rsidRDefault="00000000">
      <w:pPr>
        <w:tabs>
          <w:tab w:val="left" w:pos="540"/>
        </w:tabs>
      </w:pPr>
    </w:p>
    <w:p w:rsidR="00000000" w:rsidRDefault="00000000">
      <w:r>
        <w:t>453.</w:t>
      </w:r>
      <w:r>
        <w:tab/>
        <w:t xml:space="preserve">Наконец, следует указать, что в стране действует новая Национальная политика в области охраны окружающей среды, утвержденная Постановлением № 04/05 от 31 мая 2005 года.  Она включает комплекс целей, принципов, критериев и общих направлений по защите среды обитания людей, чтобы обеспечить устойчивое развитие окружающей среды в интересах нынешних и будущих поколений, а также устанавливает взаимопересекающиеся критерии, на которые будут ориентироваться отраслевые политики. </w:t>
      </w:r>
    </w:p>
    <w:p w:rsidR="00000000" w:rsidRDefault="00000000">
      <w:pPr>
        <w:tabs>
          <w:tab w:val="left" w:pos="540"/>
        </w:tabs>
      </w:pPr>
    </w:p>
    <w:p w:rsidR="00000000" w:rsidRDefault="00000000">
      <w:r>
        <w:t>454.</w:t>
      </w:r>
      <w:r>
        <w:tab/>
        <w:t>Что касается конкретных мер и специфических мероприятий, проведенных Секретариатом по вопросам окружающей среды и имеющих отношение к настоящей статье, то см. приложение VI "Годовые отчеты Секретариата по вопросам окружающей среды за период 2001-2005 годов".</w:t>
      </w:r>
    </w:p>
    <w:p w:rsidR="00000000" w:rsidRDefault="00000000">
      <w:pPr>
        <w:tabs>
          <w:tab w:val="left" w:pos="540"/>
        </w:tabs>
      </w:pPr>
    </w:p>
    <w:p w:rsidR="00000000" w:rsidRDefault="00000000">
      <w:pPr>
        <w:keepNext/>
        <w:tabs>
          <w:tab w:val="left" w:pos="540"/>
        </w:tabs>
        <w:rPr>
          <w:b/>
        </w:rPr>
      </w:pPr>
      <w:r>
        <w:rPr>
          <w:b/>
        </w:rPr>
        <w:t>Статья 12</w:t>
      </w:r>
    </w:p>
    <w:p w:rsidR="00000000" w:rsidRDefault="00000000">
      <w:pPr>
        <w:keepNext/>
        <w:tabs>
          <w:tab w:val="left" w:pos="540"/>
        </w:tabs>
      </w:pPr>
    </w:p>
    <w:p w:rsidR="00000000" w:rsidRDefault="00000000">
      <w:pPr>
        <w:keepNext/>
        <w:jc w:val="center"/>
        <w:rPr>
          <w:b/>
        </w:rPr>
      </w:pPr>
      <w:r>
        <w:rPr>
          <w:b/>
        </w:rPr>
        <w:t>А.</w:t>
      </w:r>
      <w:r>
        <w:rPr>
          <w:b/>
        </w:rPr>
        <w:tab/>
        <w:t>Общее состояние здравоохранения</w:t>
      </w:r>
    </w:p>
    <w:p w:rsidR="00000000" w:rsidRDefault="00000000">
      <w:pPr>
        <w:keepNext/>
        <w:tabs>
          <w:tab w:val="left" w:pos="540"/>
        </w:tabs>
      </w:pPr>
    </w:p>
    <w:p w:rsidR="00000000" w:rsidRDefault="00000000">
      <w:pPr>
        <w:keepNext/>
      </w:pPr>
      <w:r>
        <w:t>455.</w:t>
      </w:r>
      <w:r>
        <w:tab/>
        <w:t>Первые пять по распространенности в Парагвае заболеваний, обусловленные экологическими факторами и условиями жизни населения, это:  острые респираторные инфекции (ОРИ), желудочно-кишечные расстройства (диарея), кишечные паразитозы и анемия.  Случаи диареи у детей в возрасте до 1 года продолжают оставаться одним из самых частых заболеваний, за ним следуют болезни дыхательного аппарата и дистрофия.  У детей в возрасте до 5 лет основные болезни связаны с перинатальным периодом - это кишечные расстройства и ОРИ.  Столь высокий процент заболеваний, которые вполне можно предотвратить, объясняется слабым развитием сети водоснабжения и канализации.</w:t>
      </w:r>
    </w:p>
    <w:p w:rsidR="00000000" w:rsidRDefault="00000000"/>
    <w:p w:rsidR="00000000" w:rsidRDefault="00000000">
      <w:pPr>
        <w:jc w:val="center"/>
        <w:rPr>
          <w:b/>
          <w:bCs/>
          <w:kern w:val="2"/>
        </w:rPr>
      </w:pPr>
      <w:r>
        <w:rPr>
          <w:b/>
          <w:bCs/>
        </w:rPr>
        <w:t>Основные</w:t>
      </w:r>
      <w:r>
        <w:rPr>
          <w:b/>
          <w:bCs/>
          <w:lang w:val="es-ES"/>
        </w:rPr>
        <w:t xml:space="preserve"> </w:t>
      </w:r>
      <w:r>
        <w:rPr>
          <w:b/>
          <w:bCs/>
        </w:rPr>
        <w:t>заболевания</w:t>
      </w:r>
      <w:r>
        <w:rPr>
          <w:b/>
          <w:bCs/>
          <w:lang w:val="es-ES"/>
        </w:rPr>
        <w:t xml:space="preserve">, </w:t>
      </w:r>
      <w:r>
        <w:rPr>
          <w:b/>
          <w:bCs/>
        </w:rPr>
        <w:t>зарегистрированные</w:t>
      </w:r>
      <w:r>
        <w:rPr>
          <w:b/>
          <w:bCs/>
          <w:lang w:val="es-ES"/>
        </w:rPr>
        <w:t xml:space="preserve"> </w:t>
      </w:r>
      <w:r>
        <w:rPr>
          <w:b/>
          <w:bCs/>
        </w:rPr>
        <w:t>по</w:t>
      </w:r>
      <w:r>
        <w:rPr>
          <w:b/>
          <w:bCs/>
          <w:lang w:val="es-ES"/>
        </w:rPr>
        <w:t xml:space="preserve"> </w:t>
      </w:r>
      <w:r>
        <w:rPr>
          <w:b/>
          <w:bCs/>
        </w:rPr>
        <w:t>линии</w:t>
      </w:r>
      <w:r>
        <w:rPr>
          <w:b/>
          <w:bCs/>
          <w:lang w:val="es-ES"/>
        </w:rPr>
        <w:t xml:space="preserve"> </w:t>
      </w:r>
      <w:r>
        <w:rPr>
          <w:b/>
          <w:bCs/>
        </w:rPr>
        <w:t>служб</w:t>
      </w:r>
      <w:r>
        <w:rPr>
          <w:b/>
          <w:bCs/>
          <w:lang w:val="es-ES"/>
        </w:rPr>
        <w:t xml:space="preserve"> </w:t>
      </w:r>
      <w:r>
        <w:rPr>
          <w:b/>
          <w:bCs/>
          <w:kern w:val="2"/>
        </w:rPr>
        <w:t>министерства здравоохранения и социального обеспечения</w:t>
      </w:r>
    </w:p>
    <w:p w:rsidR="00000000" w:rsidRDefault="00000000">
      <w:pPr>
        <w:spacing w:line="216" w:lineRule="auto"/>
        <w:jc w:val="center"/>
        <w:rPr>
          <w:b/>
          <w:bCs/>
          <w:lang w:val="es-ES"/>
        </w:rPr>
      </w:pPr>
    </w:p>
    <w:p w:rsidR="00000000" w:rsidRDefault="00000000">
      <w:pPr>
        <w:jc w:val="center"/>
        <w:rPr>
          <w:b/>
          <w:bCs/>
          <w:sz w:val="15"/>
        </w:rPr>
      </w:pPr>
      <w:r>
        <w:rPr>
          <w:b/>
          <w:bCs/>
        </w:rPr>
        <w:t>Заболеваемость</w:t>
      </w:r>
      <w:r>
        <w:rPr>
          <w:b/>
          <w:bCs/>
          <w:lang w:val="es-ES"/>
        </w:rPr>
        <w:t xml:space="preserve"> </w:t>
      </w:r>
      <w:r>
        <w:rPr>
          <w:b/>
          <w:bCs/>
        </w:rPr>
        <w:t>в</w:t>
      </w:r>
      <w:r>
        <w:rPr>
          <w:b/>
          <w:bCs/>
          <w:lang w:val="es-ES"/>
        </w:rPr>
        <w:t xml:space="preserve"> </w:t>
      </w:r>
      <w:r>
        <w:rPr>
          <w:b/>
          <w:bCs/>
        </w:rPr>
        <w:t>разбивке</w:t>
      </w:r>
      <w:r>
        <w:rPr>
          <w:b/>
          <w:bCs/>
          <w:lang w:val="es-ES"/>
        </w:rPr>
        <w:t xml:space="preserve"> </w:t>
      </w:r>
      <w:r>
        <w:rPr>
          <w:b/>
          <w:bCs/>
        </w:rPr>
        <w:t>по</w:t>
      </w:r>
      <w:r>
        <w:rPr>
          <w:b/>
          <w:bCs/>
          <w:lang w:val="es-ES"/>
        </w:rPr>
        <w:t xml:space="preserve"> </w:t>
      </w:r>
      <w:r>
        <w:rPr>
          <w:b/>
          <w:bCs/>
        </w:rPr>
        <w:t>различным</w:t>
      </w:r>
      <w:r>
        <w:rPr>
          <w:b/>
          <w:bCs/>
          <w:lang w:val="es-ES"/>
        </w:rPr>
        <w:t xml:space="preserve"> </w:t>
      </w:r>
      <w:r>
        <w:rPr>
          <w:b/>
          <w:bCs/>
        </w:rPr>
        <w:t>болезням</w:t>
      </w:r>
      <w:r>
        <w:rPr>
          <w:b/>
          <w:bCs/>
          <w:lang w:val="es-ES"/>
        </w:rPr>
        <w:t>, 1995-2005</w:t>
      </w:r>
      <w:r>
        <w:rPr>
          <w:b/>
          <w:bCs/>
        </w:rPr>
        <w:t xml:space="preserve"> годы</w:t>
      </w:r>
    </w:p>
    <w:p w:rsidR="00000000" w:rsidRDefault="00000000">
      <w:pPr>
        <w:rPr>
          <w:lang w:val="es-ES"/>
        </w:rPr>
      </w:pPr>
    </w:p>
    <w:tbl>
      <w:tblPr>
        <w:tblW w:w="0" w:type="auto"/>
        <w:tblLayout w:type="fixed"/>
        <w:tblCellMar>
          <w:left w:w="28" w:type="dxa"/>
          <w:right w:w="28" w:type="dxa"/>
        </w:tblCellMar>
        <w:tblLook w:val="0000" w:firstRow="0" w:lastRow="0" w:firstColumn="0" w:lastColumn="0" w:noHBand="0" w:noVBand="0"/>
      </w:tblPr>
      <w:tblGrid>
        <w:gridCol w:w="2327"/>
        <w:gridCol w:w="650"/>
        <w:gridCol w:w="650"/>
        <w:gridCol w:w="650"/>
        <w:gridCol w:w="650"/>
        <w:gridCol w:w="650"/>
        <w:gridCol w:w="650"/>
        <w:gridCol w:w="650"/>
        <w:gridCol w:w="650"/>
        <w:gridCol w:w="650"/>
        <w:gridCol w:w="650"/>
        <w:gridCol w:w="650"/>
      </w:tblGrid>
      <w:tr w:rsidR="00000000">
        <w:trPr>
          <w:cantSplit/>
        </w:trPr>
        <w:tc>
          <w:tcPr>
            <w:tcW w:w="2327"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b/>
                <w:bCs/>
                <w:color w:val="000000"/>
                <w:sz w:val="16"/>
                <w:szCs w:val="22"/>
              </w:rPr>
            </w:pPr>
            <w:r>
              <w:rPr>
                <w:b/>
                <w:bCs/>
                <w:color w:val="000000"/>
                <w:sz w:val="16"/>
                <w:szCs w:val="22"/>
              </w:rPr>
              <w:t>Заболевания</w:t>
            </w:r>
          </w:p>
        </w:tc>
        <w:tc>
          <w:tcPr>
            <w:tcW w:w="65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b/>
                <w:bCs/>
                <w:color w:val="000000"/>
                <w:sz w:val="16"/>
                <w:szCs w:val="24"/>
              </w:rPr>
            </w:pPr>
            <w:r>
              <w:rPr>
                <w:b/>
                <w:bCs/>
                <w:color w:val="000000"/>
                <w:sz w:val="16"/>
              </w:rPr>
              <w:t>1995 год</w:t>
            </w:r>
          </w:p>
        </w:tc>
        <w:tc>
          <w:tcPr>
            <w:tcW w:w="65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b/>
                <w:bCs/>
                <w:color w:val="000000"/>
                <w:sz w:val="16"/>
                <w:szCs w:val="24"/>
                <w:lang w:val="es-ES"/>
              </w:rPr>
            </w:pPr>
            <w:r>
              <w:rPr>
                <w:b/>
                <w:bCs/>
                <w:color w:val="000000"/>
                <w:sz w:val="16"/>
              </w:rPr>
              <w:t>1996 год</w:t>
            </w:r>
          </w:p>
        </w:tc>
        <w:tc>
          <w:tcPr>
            <w:tcW w:w="65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b/>
                <w:bCs/>
                <w:color w:val="000000"/>
                <w:sz w:val="16"/>
                <w:szCs w:val="24"/>
                <w:lang w:val="es-ES"/>
              </w:rPr>
            </w:pPr>
            <w:r>
              <w:rPr>
                <w:b/>
                <w:bCs/>
                <w:color w:val="000000"/>
                <w:sz w:val="16"/>
              </w:rPr>
              <w:t>1997 год</w:t>
            </w:r>
          </w:p>
        </w:tc>
        <w:tc>
          <w:tcPr>
            <w:tcW w:w="65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b/>
                <w:bCs/>
                <w:color w:val="000000"/>
                <w:sz w:val="16"/>
                <w:szCs w:val="24"/>
                <w:lang w:val="es-ES"/>
              </w:rPr>
            </w:pPr>
            <w:r>
              <w:rPr>
                <w:b/>
                <w:bCs/>
                <w:color w:val="000000"/>
                <w:sz w:val="16"/>
              </w:rPr>
              <w:t>1998 год</w:t>
            </w:r>
          </w:p>
        </w:tc>
        <w:tc>
          <w:tcPr>
            <w:tcW w:w="65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b/>
                <w:bCs/>
                <w:color w:val="000000"/>
                <w:sz w:val="16"/>
                <w:szCs w:val="24"/>
                <w:lang w:val="es-ES"/>
              </w:rPr>
            </w:pPr>
            <w:r>
              <w:rPr>
                <w:b/>
                <w:bCs/>
                <w:color w:val="000000"/>
                <w:sz w:val="16"/>
              </w:rPr>
              <w:t>1999 год</w:t>
            </w:r>
          </w:p>
        </w:tc>
        <w:tc>
          <w:tcPr>
            <w:tcW w:w="65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b/>
                <w:bCs/>
                <w:color w:val="000000"/>
                <w:sz w:val="16"/>
                <w:szCs w:val="24"/>
                <w:lang w:val="es-ES"/>
              </w:rPr>
            </w:pPr>
            <w:r>
              <w:rPr>
                <w:b/>
                <w:bCs/>
                <w:color w:val="000000"/>
                <w:sz w:val="16"/>
              </w:rPr>
              <w:t>2000 год</w:t>
            </w:r>
          </w:p>
        </w:tc>
        <w:tc>
          <w:tcPr>
            <w:tcW w:w="65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b/>
                <w:bCs/>
                <w:color w:val="000000"/>
                <w:sz w:val="16"/>
                <w:szCs w:val="24"/>
                <w:lang w:val="es-ES"/>
              </w:rPr>
            </w:pPr>
            <w:r>
              <w:rPr>
                <w:b/>
                <w:bCs/>
                <w:color w:val="000000"/>
                <w:sz w:val="16"/>
              </w:rPr>
              <w:t>2001 год</w:t>
            </w:r>
          </w:p>
        </w:tc>
        <w:tc>
          <w:tcPr>
            <w:tcW w:w="65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b/>
                <w:bCs/>
                <w:color w:val="000000"/>
                <w:sz w:val="16"/>
                <w:szCs w:val="24"/>
                <w:lang w:val="es-ES"/>
              </w:rPr>
            </w:pPr>
            <w:r>
              <w:rPr>
                <w:b/>
                <w:bCs/>
                <w:color w:val="000000"/>
                <w:sz w:val="16"/>
              </w:rPr>
              <w:t>2002 год</w:t>
            </w:r>
          </w:p>
        </w:tc>
        <w:tc>
          <w:tcPr>
            <w:tcW w:w="65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b/>
                <w:bCs/>
                <w:color w:val="000000"/>
                <w:sz w:val="16"/>
                <w:szCs w:val="24"/>
                <w:lang w:val="es-ES"/>
              </w:rPr>
            </w:pPr>
            <w:r>
              <w:rPr>
                <w:b/>
                <w:bCs/>
                <w:color w:val="000000"/>
                <w:sz w:val="16"/>
              </w:rPr>
              <w:t>2003 год</w:t>
            </w:r>
          </w:p>
        </w:tc>
        <w:tc>
          <w:tcPr>
            <w:tcW w:w="65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b/>
                <w:bCs/>
                <w:color w:val="000000"/>
                <w:sz w:val="16"/>
                <w:szCs w:val="24"/>
                <w:lang w:val="es-ES"/>
              </w:rPr>
            </w:pPr>
            <w:r>
              <w:rPr>
                <w:b/>
                <w:bCs/>
                <w:color w:val="000000"/>
                <w:sz w:val="16"/>
              </w:rPr>
              <w:t>2004 год</w:t>
            </w:r>
          </w:p>
        </w:tc>
        <w:tc>
          <w:tcPr>
            <w:tcW w:w="65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center"/>
              <w:rPr>
                <w:b/>
                <w:bCs/>
                <w:color w:val="000000"/>
                <w:sz w:val="16"/>
                <w:szCs w:val="24"/>
                <w:lang w:val="es-ES"/>
              </w:rPr>
            </w:pPr>
            <w:r>
              <w:rPr>
                <w:b/>
                <w:bCs/>
                <w:color w:val="000000"/>
                <w:sz w:val="16"/>
              </w:rPr>
              <w:t>2005 год</w:t>
            </w:r>
          </w:p>
        </w:tc>
      </w:tr>
      <w:tr w:rsidR="00000000">
        <w:trPr>
          <w:cantSplit/>
        </w:trPr>
        <w:tc>
          <w:tcPr>
            <w:tcW w:w="2327"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left" w:pos="167"/>
              </w:tabs>
              <w:rPr>
                <w:color w:val="000000"/>
                <w:sz w:val="16"/>
              </w:rPr>
            </w:pPr>
            <w:r>
              <w:rPr>
                <w:color w:val="000000"/>
                <w:sz w:val="16"/>
              </w:rPr>
              <w:t>1.</w:t>
            </w:r>
            <w:r>
              <w:rPr>
                <w:color w:val="000000"/>
                <w:sz w:val="16"/>
              </w:rPr>
              <w:tab/>
              <w:t>Паразитарная инфекция,</w:t>
            </w:r>
          </w:p>
          <w:p w:rsidR="00000000" w:rsidRDefault="00000000">
            <w:pPr>
              <w:tabs>
                <w:tab w:val="left" w:pos="167"/>
              </w:tabs>
              <w:rPr>
                <w:color w:val="000000"/>
                <w:sz w:val="16"/>
                <w:lang w:val="es-ES"/>
              </w:rPr>
            </w:pPr>
            <w:r>
              <w:rPr>
                <w:color w:val="000000"/>
                <w:sz w:val="16"/>
              </w:rPr>
              <w:tab/>
              <w:t>пневм., острая пневм.</w:t>
            </w:r>
          </w:p>
        </w:tc>
        <w:tc>
          <w:tcPr>
            <w:tcW w:w="650" w:type="dxa"/>
            <w:tcBorders>
              <w:top w:val="single" w:sz="4" w:space="0" w:color="auto"/>
              <w:left w:val="nil"/>
              <w:bottom w:val="single" w:sz="4" w:space="0" w:color="auto"/>
              <w:right w:val="single" w:sz="4" w:space="0" w:color="auto"/>
            </w:tcBorders>
            <w:noWrap/>
            <w:vAlign w:val="bottom"/>
          </w:tcPr>
          <w:p w:rsidR="00000000" w:rsidRDefault="00000000">
            <w:pPr>
              <w:rPr>
                <w:color w:val="000000"/>
                <w:sz w:val="16"/>
                <w:lang w:val="es-ES"/>
              </w:rPr>
            </w:pPr>
            <w:r>
              <w:rPr>
                <w:color w:val="000000"/>
                <w:sz w:val="16"/>
              </w:rPr>
              <w:t>225 311</w:t>
            </w:r>
          </w:p>
        </w:tc>
        <w:tc>
          <w:tcPr>
            <w:tcW w:w="650" w:type="dxa"/>
            <w:tcBorders>
              <w:top w:val="single" w:sz="4" w:space="0" w:color="auto"/>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236 125</w:t>
            </w:r>
          </w:p>
        </w:tc>
        <w:tc>
          <w:tcPr>
            <w:tcW w:w="650" w:type="dxa"/>
            <w:tcBorders>
              <w:top w:val="single" w:sz="4" w:space="0" w:color="auto"/>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238 316</w:t>
            </w:r>
          </w:p>
        </w:tc>
        <w:tc>
          <w:tcPr>
            <w:tcW w:w="650" w:type="dxa"/>
            <w:tcBorders>
              <w:top w:val="single" w:sz="4" w:space="0" w:color="auto"/>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251 110</w:t>
            </w:r>
          </w:p>
        </w:tc>
        <w:tc>
          <w:tcPr>
            <w:tcW w:w="650" w:type="dxa"/>
            <w:tcBorders>
              <w:top w:val="single" w:sz="4" w:space="0" w:color="auto"/>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256 241</w:t>
            </w:r>
          </w:p>
        </w:tc>
        <w:tc>
          <w:tcPr>
            <w:tcW w:w="650" w:type="dxa"/>
            <w:tcBorders>
              <w:top w:val="single" w:sz="4" w:space="0" w:color="auto"/>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207 711</w:t>
            </w:r>
          </w:p>
        </w:tc>
        <w:tc>
          <w:tcPr>
            <w:tcW w:w="650" w:type="dxa"/>
            <w:tcBorders>
              <w:top w:val="single" w:sz="4" w:space="0" w:color="auto"/>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243 503</w:t>
            </w:r>
          </w:p>
        </w:tc>
        <w:tc>
          <w:tcPr>
            <w:tcW w:w="650" w:type="dxa"/>
            <w:tcBorders>
              <w:top w:val="single" w:sz="4" w:space="0" w:color="auto"/>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243 458</w:t>
            </w:r>
          </w:p>
        </w:tc>
        <w:tc>
          <w:tcPr>
            <w:tcW w:w="650" w:type="dxa"/>
            <w:tcBorders>
              <w:top w:val="single" w:sz="4" w:space="0" w:color="auto"/>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274 579</w:t>
            </w:r>
          </w:p>
        </w:tc>
        <w:tc>
          <w:tcPr>
            <w:tcW w:w="650" w:type="dxa"/>
            <w:tcBorders>
              <w:top w:val="single" w:sz="4" w:space="0" w:color="auto"/>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327 317</w:t>
            </w:r>
          </w:p>
        </w:tc>
        <w:tc>
          <w:tcPr>
            <w:tcW w:w="650" w:type="dxa"/>
            <w:tcBorders>
              <w:top w:val="single" w:sz="4" w:space="0" w:color="auto"/>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350 859</w:t>
            </w:r>
          </w:p>
        </w:tc>
      </w:tr>
      <w:tr w:rsidR="00000000">
        <w:trPr>
          <w:cantSplit/>
        </w:trPr>
        <w:tc>
          <w:tcPr>
            <w:tcW w:w="2327" w:type="dxa"/>
            <w:tcBorders>
              <w:top w:val="nil"/>
              <w:left w:val="single" w:sz="4" w:space="0" w:color="auto"/>
              <w:bottom w:val="single" w:sz="4" w:space="0" w:color="auto"/>
              <w:right w:val="single" w:sz="4" w:space="0" w:color="auto"/>
            </w:tcBorders>
            <w:noWrap/>
            <w:vAlign w:val="bottom"/>
          </w:tcPr>
          <w:p w:rsidR="00000000" w:rsidRDefault="00000000">
            <w:pPr>
              <w:tabs>
                <w:tab w:val="left" w:pos="167"/>
              </w:tabs>
              <w:rPr>
                <w:color w:val="000000"/>
                <w:sz w:val="16"/>
              </w:rPr>
            </w:pPr>
            <w:r>
              <w:rPr>
                <w:color w:val="000000"/>
                <w:sz w:val="16"/>
              </w:rPr>
              <w:t>2.</w:t>
            </w:r>
            <w:r>
              <w:rPr>
                <w:color w:val="000000"/>
                <w:sz w:val="16"/>
              </w:rPr>
              <w:tab/>
              <w:t>Кишечный паразитизм</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lang w:val="es-ES"/>
              </w:rPr>
            </w:pPr>
            <w:r>
              <w:rPr>
                <w:color w:val="000000"/>
                <w:sz w:val="16"/>
              </w:rPr>
              <w:t>64 755</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54 589</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59 583</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58 011</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67 102</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50 320</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49 485</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44 620</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45 166</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57 135</w:t>
            </w:r>
          </w:p>
        </w:tc>
      </w:tr>
      <w:tr w:rsidR="00000000">
        <w:trPr>
          <w:cantSplit/>
        </w:trPr>
        <w:tc>
          <w:tcPr>
            <w:tcW w:w="2327" w:type="dxa"/>
            <w:tcBorders>
              <w:top w:val="nil"/>
              <w:left w:val="single" w:sz="4" w:space="0" w:color="auto"/>
              <w:bottom w:val="single" w:sz="4" w:space="0" w:color="auto"/>
              <w:right w:val="single" w:sz="4" w:space="0" w:color="auto"/>
            </w:tcBorders>
            <w:shd w:val="clear" w:color="auto" w:fill="FFFFFF"/>
            <w:noWrap/>
            <w:vAlign w:val="bottom"/>
          </w:tcPr>
          <w:p w:rsidR="00000000" w:rsidRDefault="00000000">
            <w:pPr>
              <w:tabs>
                <w:tab w:val="left" w:pos="167"/>
              </w:tabs>
              <w:rPr>
                <w:color w:val="000000"/>
                <w:sz w:val="16"/>
              </w:rPr>
            </w:pPr>
            <w:r>
              <w:rPr>
                <w:color w:val="000000"/>
                <w:sz w:val="16"/>
              </w:rPr>
              <w:t>3.</w:t>
            </w:r>
            <w:r>
              <w:rPr>
                <w:color w:val="000000"/>
                <w:sz w:val="16"/>
              </w:rPr>
              <w:tab/>
              <w:t>Диарея (с обезвоживанием/</w:t>
            </w:r>
          </w:p>
          <w:p w:rsidR="00000000" w:rsidRDefault="00000000">
            <w:pPr>
              <w:tabs>
                <w:tab w:val="left" w:pos="167"/>
              </w:tabs>
              <w:rPr>
                <w:color w:val="000000"/>
                <w:sz w:val="16"/>
                <w:lang w:val="es-ES"/>
              </w:rPr>
            </w:pPr>
            <w:r>
              <w:rPr>
                <w:color w:val="000000"/>
                <w:sz w:val="16"/>
              </w:rPr>
              <w:tab/>
              <w:t>без обезвоживания)</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lang w:val="es-ES"/>
              </w:rPr>
            </w:pPr>
            <w:r>
              <w:rPr>
                <w:color w:val="000000"/>
                <w:sz w:val="16"/>
              </w:rPr>
              <w:t>42 880</w:t>
            </w:r>
          </w:p>
        </w:tc>
        <w:tc>
          <w:tcPr>
            <w:tcW w:w="650" w:type="dxa"/>
            <w:tcBorders>
              <w:top w:val="nil"/>
              <w:left w:val="nil"/>
              <w:bottom w:val="single" w:sz="4" w:space="0" w:color="auto"/>
              <w:right w:val="single" w:sz="4" w:space="0" w:color="auto"/>
            </w:tcBorders>
            <w:shd w:val="clear" w:color="auto" w:fill="FFFFFF"/>
            <w:noWrap/>
            <w:vAlign w:val="bottom"/>
          </w:tcPr>
          <w:p w:rsidR="00000000" w:rsidRDefault="00000000">
            <w:pPr>
              <w:rPr>
                <w:color w:val="000000"/>
                <w:sz w:val="16"/>
                <w:szCs w:val="16"/>
                <w:lang w:val="es-ES"/>
              </w:rPr>
            </w:pPr>
            <w:r>
              <w:rPr>
                <w:color w:val="000000"/>
                <w:sz w:val="16"/>
                <w:szCs w:val="16"/>
              </w:rPr>
              <w:t>43 240</w:t>
            </w:r>
          </w:p>
        </w:tc>
        <w:tc>
          <w:tcPr>
            <w:tcW w:w="650" w:type="dxa"/>
            <w:tcBorders>
              <w:top w:val="nil"/>
              <w:left w:val="nil"/>
              <w:bottom w:val="single" w:sz="4" w:space="0" w:color="auto"/>
              <w:right w:val="single" w:sz="4" w:space="0" w:color="auto"/>
            </w:tcBorders>
            <w:shd w:val="clear" w:color="auto" w:fill="FFFFFF"/>
            <w:noWrap/>
            <w:vAlign w:val="bottom"/>
          </w:tcPr>
          <w:p w:rsidR="00000000" w:rsidRDefault="00000000">
            <w:pPr>
              <w:rPr>
                <w:color w:val="000000"/>
                <w:sz w:val="16"/>
                <w:szCs w:val="16"/>
                <w:lang w:val="es-ES"/>
              </w:rPr>
            </w:pPr>
            <w:r>
              <w:rPr>
                <w:color w:val="000000"/>
                <w:sz w:val="16"/>
                <w:szCs w:val="16"/>
              </w:rPr>
              <w:t>41 798</w:t>
            </w:r>
          </w:p>
        </w:tc>
        <w:tc>
          <w:tcPr>
            <w:tcW w:w="650" w:type="dxa"/>
            <w:tcBorders>
              <w:top w:val="nil"/>
              <w:left w:val="nil"/>
              <w:bottom w:val="single" w:sz="4" w:space="0" w:color="auto"/>
              <w:right w:val="single" w:sz="4" w:space="0" w:color="auto"/>
            </w:tcBorders>
            <w:shd w:val="clear" w:color="auto" w:fill="FFFFFF"/>
            <w:noWrap/>
            <w:vAlign w:val="bottom"/>
          </w:tcPr>
          <w:p w:rsidR="00000000" w:rsidRDefault="00000000">
            <w:pPr>
              <w:rPr>
                <w:color w:val="000000"/>
                <w:sz w:val="16"/>
                <w:szCs w:val="16"/>
                <w:lang w:val="es-ES"/>
              </w:rPr>
            </w:pPr>
            <w:r>
              <w:rPr>
                <w:color w:val="000000"/>
                <w:sz w:val="16"/>
                <w:szCs w:val="16"/>
              </w:rPr>
              <w:t>40 861</w:t>
            </w:r>
          </w:p>
        </w:tc>
        <w:tc>
          <w:tcPr>
            <w:tcW w:w="650" w:type="dxa"/>
            <w:tcBorders>
              <w:top w:val="nil"/>
              <w:left w:val="nil"/>
              <w:bottom w:val="single" w:sz="4" w:space="0" w:color="auto"/>
              <w:right w:val="single" w:sz="4" w:space="0" w:color="auto"/>
            </w:tcBorders>
            <w:shd w:val="clear" w:color="auto" w:fill="FFFFFF"/>
            <w:noWrap/>
            <w:vAlign w:val="bottom"/>
          </w:tcPr>
          <w:p w:rsidR="00000000" w:rsidRDefault="00000000">
            <w:pPr>
              <w:rPr>
                <w:color w:val="000000"/>
                <w:sz w:val="16"/>
                <w:szCs w:val="16"/>
                <w:lang w:val="es-ES"/>
              </w:rPr>
            </w:pPr>
            <w:r>
              <w:rPr>
                <w:color w:val="000000"/>
                <w:sz w:val="16"/>
                <w:szCs w:val="16"/>
              </w:rPr>
              <w:t>41 450</w:t>
            </w:r>
          </w:p>
        </w:tc>
        <w:tc>
          <w:tcPr>
            <w:tcW w:w="650" w:type="dxa"/>
            <w:tcBorders>
              <w:top w:val="nil"/>
              <w:left w:val="nil"/>
              <w:bottom w:val="single" w:sz="4" w:space="0" w:color="auto"/>
              <w:right w:val="single" w:sz="4" w:space="0" w:color="auto"/>
            </w:tcBorders>
            <w:shd w:val="clear" w:color="auto" w:fill="FFFFFF"/>
            <w:noWrap/>
            <w:vAlign w:val="bottom"/>
          </w:tcPr>
          <w:p w:rsidR="00000000" w:rsidRDefault="00000000">
            <w:pPr>
              <w:rPr>
                <w:color w:val="000000"/>
                <w:sz w:val="16"/>
                <w:szCs w:val="16"/>
                <w:lang w:val="es-ES"/>
              </w:rPr>
            </w:pPr>
            <w:r>
              <w:rPr>
                <w:color w:val="000000"/>
                <w:sz w:val="16"/>
                <w:szCs w:val="16"/>
              </w:rPr>
              <w:t>45 006</w:t>
            </w:r>
          </w:p>
        </w:tc>
        <w:tc>
          <w:tcPr>
            <w:tcW w:w="650" w:type="dxa"/>
            <w:tcBorders>
              <w:top w:val="nil"/>
              <w:left w:val="nil"/>
              <w:bottom w:val="single" w:sz="4" w:space="0" w:color="auto"/>
              <w:right w:val="single" w:sz="4" w:space="0" w:color="auto"/>
            </w:tcBorders>
            <w:shd w:val="clear" w:color="auto" w:fill="FFFFFF"/>
            <w:noWrap/>
            <w:vAlign w:val="bottom"/>
          </w:tcPr>
          <w:p w:rsidR="00000000" w:rsidRDefault="00000000">
            <w:pPr>
              <w:rPr>
                <w:color w:val="000000"/>
                <w:sz w:val="16"/>
                <w:szCs w:val="16"/>
                <w:lang w:val="es-ES"/>
              </w:rPr>
            </w:pPr>
            <w:r>
              <w:rPr>
                <w:color w:val="000000"/>
                <w:sz w:val="16"/>
                <w:szCs w:val="16"/>
              </w:rPr>
              <w:t>41 504</w:t>
            </w:r>
          </w:p>
        </w:tc>
        <w:tc>
          <w:tcPr>
            <w:tcW w:w="650" w:type="dxa"/>
            <w:tcBorders>
              <w:top w:val="nil"/>
              <w:left w:val="nil"/>
              <w:bottom w:val="single" w:sz="4" w:space="0" w:color="auto"/>
              <w:right w:val="single" w:sz="4" w:space="0" w:color="auto"/>
            </w:tcBorders>
            <w:shd w:val="clear" w:color="auto" w:fill="FFFFFF"/>
            <w:noWrap/>
            <w:vAlign w:val="bottom"/>
          </w:tcPr>
          <w:p w:rsidR="00000000" w:rsidRDefault="00000000">
            <w:pPr>
              <w:rPr>
                <w:color w:val="000000"/>
                <w:sz w:val="16"/>
                <w:szCs w:val="16"/>
                <w:lang w:val="es-ES"/>
              </w:rPr>
            </w:pPr>
            <w:r>
              <w:rPr>
                <w:color w:val="000000"/>
                <w:sz w:val="16"/>
                <w:szCs w:val="16"/>
              </w:rPr>
              <w:t>50 303</w:t>
            </w:r>
          </w:p>
        </w:tc>
        <w:tc>
          <w:tcPr>
            <w:tcW w:w="650" w:type="dxa"/>
            <w:tcBorders>
              <w:top w:val="nil"/>
              <w:left w:val="nil"/>
              <w:bottom w:val="single" w:sz="4" w:space="0" w:color="auto"/>
              <w:right w:val="single" w:sz="4" w:space="0" w:color="auto"/>
            </w:tcBorders>
            <w:shd w:val="clear" w:color="auto" w:fill="FFFFFF"/>
            <w:noWrap/>
            <w:vAlign w:val="bottom"/>
          </w:tcPr>
          <w:p w:rsidR="00000000" w:rsidRDefault="00000000">
            <w:pPr>
              <w:rPr>
                <w:color w:val="000000"/>
                <w:sz w:val="16"/>
                <w:szCs w:val="16"/>
                <w:lang w:val="es-ES"/>
              </w:rPr>
            </w:pPr>
            <w:r>
              <w:rPr>
                <w:color w:val="000000"/>
                <w:sz w:val="16"/>
                <w:szCs w:val="16"/>
              </w:rPr>
              <w:t>54 538</w:t>
            </w:r>
          </w:p>
        </w:tc>
        <w:tc>
          <w:tcPr>
            <w:tcW w:w="650" w:type="dxa"/>
            <w:tcBorders>
              <w:top w:val="nil"/>
              <w:left w:val="nil"/>
              <w:bottom w:val="single" w:sz="4" w:space="0" w:color="auto"/>
              <w:right w:val="single" w:sz="4" w:space="0" w:color="auto"/>
            </w:tcBorders>
            <w:shd w:val="clear" w:color="auto" w:fill="FFFFFF"/>
            <w:noWrap/>
            <w:vAlign w:val="bottom"/>
          </w:tcPr>
          <w:p w:rsidR="00000000" w:rsidRDefault="00000000">
            <w:pPr>
              <w:rPr>
                <w:color w:val="000000"/>
                <w:sz w:val="16"/>
                <w:szCs w:val="16"/>
                <w:lang w:val="es-ES"/>
              </w:rPr>
            </w:pPr>
            <w:r>
              <w:rPr>
                <w:color w:val="000000"/>
                <w:sz w:val="16"/>
                <w:szCs w:val="16"/>
              </w:rPr>
              <w:t>54 455</w:t>
            </w:r>
          </w:p>
        </w:tc>
        <w:tc>
          <w:tcPr>
            <w:tcW w:w="650" w:type="dxa"/>
            <w:tcBorders>
              <w:top w:val="nil"/>
              <w:left w:val="nil"/>
              <w:bottom w:val="single" w:sz="4" w:space="0" w:color="auto"/>
              <w:right w:val="single" w:sz="4" w:space="0" w:color="auto"/>
            </w:tcBorders>
            <w:shd w:val="clear" w:color="auto" w:fill="FFFFFF"/>
            <w:noWrap/>
            <w:vAlign w:val="bottom"/>
          </w:tcPr>
          <w:p w:rsidR="00000000" w:rsidRDefault="00000000">
            <w:pPr>
              <w:rPr>
                <w:color w:val="000000"/>
                <w:sz w:val="16"/>
                <w:szCs w:val="16"/>
                <w:lang w:val="es-ES"/>
              </w:rPr>
            </w:pPr>
            <w:r>
              <w:rPr>
                <w:color w:val="000000"/>
                <w:sz w:val="16"/>
                <w:szCs w:val="16"/>
              </w:rPr>
              <w:t>64 538</w:t>
            </w:r>
          </w:p>
        </w:tc>
      </w:tr>
      <w:tr w:rsidR="00000000">
        <w:trPr>
          <w:cantSplit/>
        </w:trPr>
        <w:tc>
          <w:tcPr>
            <w:tcW w:w="2327" w:type="dxa"/>
            <w:tcBorders>
              <w:top w:val="nil"/>
              <w:left w:val="single" w:sz="4" w:space="0" w:color="auto"/>
              <w:bottom w:val="single" w:sz="4" w:space="0" w:color="auto"/>
              <w:right w:val="single" w:sz="4" w:space="0" w:color="auto"/>
            </w:tcBorders>
            <w:noWrap/>
            <w:vAlign w:val="bottom"/>
          </w:tcPr>
          <w:p w:rsidR="00000000" w:rsidRDefault="00000000">
            <w:pPr>
              <w:tabs>
                <w:tab w:val="left" w:pos="167"/>
              </w:tabs>
              <w:rPr>
                <w:color w:val="000000"/>
                <w:sz w:val="16"/>
                <w:lang w:val="es-ES"/>
              </w:rPr>
            </w:pPr>
            <w:r>
              <w:rPr>
                <w:color w:val="000000"/>
                <w:sz w:val="16"/>
              </w:rPr>
              <w:t>4.</w:t>
            </w:r>
            <w:r>
              <w:rPr>
                <w:color w:val="000000"/>
                <w:sz w:val="16"/>
              </w:rPr>
              <w:tab/>
              <w:t>Анемия (</w:t>
            </w:r>
            <w:r>
              <w:rPr>
                <w:kern w:val="2"/>
                <w:sz w:val="16"/>
              </w:rPr>
              <w:t>других видов</w:t>
            </w:r>
            <w:r>
              <w:rPr>
                <w:color w:val="000000"/>
                <w:sz w:val="16"/>
              </w:rPr>
              <w:t>)</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lang w:val="es-ES"/>
              </w:rPr>
            </w:pPr>
            <w:r>
              <w:rPr>
                <w:color w:val="000000"/>
                <w:sz w:val="16"/>
              </w:rPr>
              <w:t>32 084</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30 512</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32 404</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29 148</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33 648</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28 028</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28 732</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29 214</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27 049</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25 995</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32 444</w:t>
            </w:r>
          </w:p>
        </w:tc>
      </w:tr>
      <w:tr w:rsidR="00000000">
        <w:trPr>
          <w:cantSplit/>
        </w:trPr>
        <w:tc>
          <w:tcPr>
            <w:tcW w:w="2327" w:type="dxa"/>
            <w:tcBorders>
              <w:top w:val="nil"/>
              <w:left w:val="single" w:sz="4" w:space="0" w:color="auto"/>
              <w:bottom w:val="single" w:sz="4" w:space="0" w:color="auto"/>
              <w:right w:val="single" w:sz="4" w:space="0" w:color="auto"/>
            </w:tcBorders>
            <w:noWrap/>
            <w:vAlign w:val="bottom"/>
          </w:tcPr>
          <w:p w:rsidR="00000000" w:rsidRDefault="00000000">
            <w:pPr>
              <w:tabs>
                <w:tab w:val="left" w:pos="167"/>
              </w:tabs>
              <w:rPr>
                <w:color w:val="000000"/>
                <w:sz w:val="16"/>
              </w:rPr>
            </w:pPr>
            <w:r>
              <w:rPr>
                <w:color w:val="000000"/>
                <w:sz w:val="16"/>
              </w:rPr>
              <w:t>5.</w:t>
            </w:r>
            <w:r>
              <w:rPr>
                <w:color w:val="000000"/>
                <w:sz w:val="16"/>
              </w:rPr>
              <w:tab/>
              <w:t>Травмы всех видов</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lang w:val="es-ES"/>
              </w:rPr>
            </w:pPr>
            <w:r>
              <w:rPr>
                <w:color w:val="000000"/>
                <w:sz w:val="16"/>
              </w:rPr>
              <w:t>24 416</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25 179</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22 549</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28 981</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28 222</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26 970</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28 607</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28 588</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23 748</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13 387</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7 736</w:t>
            </w:r>
          </w:p>
        </w:tc>
      </w:tr>
      <w:tr w:rsidR="00000000">
        <w:trPr>
          <w:cantSplit/>
        </w:trPr>
        <w:tc>
          <w:tcPr>
            <w:tcW w:w="2327" w:type="dxa"/>
            <w:tcBorders>
              <w:top w:val="nil"/>
              <w:left w:val="single" w:sz="4" w:space="0" w:color="auto"/>
              <w:bottom w:val="single" w:sz="4" w:space="0" w:color="auto"/>
              <w:right w:val="single" w:sz="4" w:space="0" w:color="auto"/>
            </w:tcBorders>
            <w:noWrap/>
            <w:vAlign w:val="bottom"/>
          </w:tcPr>
          <w:p w:rsidR="00000000" w:rsidRDefault="00000000">
            <w:pPr>
              <w:tabs>
                <w:tab w:val="left" w:pos="167"/>
              </w:tabs>
              <w:rPr>
                <w:color w:val="000000"/>
                <w:sz w:val="16"/>
                <w:lang w:val="es-ES"/>
              </w:rPr>
            </w:pPr>
            <w:r>
              <w:rPr>
                <w:color w:val="000000"/>
                <w:sz w:val="16"/>
              </w:rPr>
              <w:t>6.</w:t>
            </w:r>
            <w:r>
              <w:rPr>
                <w:color w:val="000000"/>
                <w:sz w:val="16"/>
              </w:rPr>
              <w:tab/>
              <w:t>Артериальная гипертензия</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lang w:val="es-ES"/>
              </w:rPr>
            </w:pPr>
            <w:r>
              <w:rPr>
                <w:color w:val="000000"/>
                <w:sz w:val="16"/>
              </w:rPr>
              <w:t>22 004</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21 226</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23 646</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23 376</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26 255</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25 713</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29 948</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30 744</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32 001</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33 551</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34 788</w:t>
            </w:r>
          </w:p>
        </w:tc>
      </w:tr>
      <w:tr w:rsidR="00000000">
        <w:trPr>
          <w:cantSplit/>
        </w:trPr>
        <w:tc>
          <w:tcPr>
            <w:tcW w:w="2327" w:type="dxa"/>
            <w:tcBorders>
              <w:top w:val="nil"/>
              <w:left w:val="single" w:sz="4" w:space="0" w:color="auto"/>
              <w:bottom w:val="single" w:sz="4" w:space="0" w:color="auto"/>
              <w:right w:val="single" w:sz="4" w:space="0" w:color="auto"/>
            </w:tcBorders>
            <w:noWrap/>
            <w:vAlign w:val="bottom"/>
          </w:tcPr>
          <w:p w:rsidR="00000000" w:rsidRDefault="00000000">
            <w:pPr>
              <w:tabs>
                <w:tab w:val="left" w:pos="167"/>
              </w:tabs>
              <w:rPr>
                <w:kern w:val="2"/>
                <w:sz w:val="16"/>
              </w:rPr>
            </w:pPr>
            <w:r>
              <w:rPr>
                <w:color w:val="000000"/>
                <w:sz w:val="16"/>
              </w:rPr>
              <w:t>7.</w:t>
            </w:r>
            <w:r>
              <w:rPr>
                <w:color w:val="000000"/>
                <w:sz w:val="16"/>
              </w:rPr>
              <w:tab/>
            </w:r>
            <w:r>
              <w:rPr>
                <w:kern w:val="2"/>
                <w:sz w:val="16"/>
              </w:rPr>
              <w:t>Паразитарная анемия,</w:t>
            </w:r>
          </w:p>
          <w:p w:rsidR="00000000" w:rsidRDefault="00000000">
            <w:pPr>
              <w:tabs>
                <w:tab w:val="left" w:pos="167"/>
              </w:tabs>
              <w:rPr>
                <w:color w:val="000000"/>
                <w:sz w:val="16"/>
                <w:lang w:val="es-ES"/>
              </w:rPr>
            </w:pPr>
            <w:r>
              <w:rPr>
                <w:kern w:val="2"/>
                <w:sz w:val="16"/>
              </w:rPr>
              <w:tab/>
              <w:t>связанная с питанием</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lang w:val="es-ES"/>
              </w:rPr>
            </w:pPr>
            <w:r>
              <w:rPr>
                <w:color w:val="000000"/>
                <w:sz w:val="16"/>
              </w:rPr>
              <w:t>26 249</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24 903</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21 485</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19 732</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23 978</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17 948</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15 995</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12 862</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12 957</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10 277</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9 318</w:t>
            </w:r>
          </w:p>
        </w:tc>
      </w:tr>
      <w:tr w:rsidR="00000000">
        <w:trPr>
          <w:cantSplit/>
        </w:trPr>
        <w:tc>
          <w:tcPr>
            <w:tcW w:w="2327" w:type="dxa"/>
            <w:tcBorders>
              <w:top w:val="nil"/>
              <w:left w:val="single" w:sz="4" w:space="0" w:color="auto"/>
              <w:bottom w:val="single" w:sz="4" w:space="0" w:color="auto"/>
              <w:right w:val="single" w:sz="4" w:space="0" w:color="auto"/>
            </w:tcBorders>
            <w:noWrap/>
            <w:vAlign w:val="bottom"/>
          </w:tcPr>
          <w:p w:rsidR="00000000" w:rsidRDefault="00000000">
            <w:pPr>
              <w:tabs>
                <w:tab w:val="left" w:pos="167"/>
              </w:tabs>
              <w:rPr>
                <w:color w:val="000000"/>
                <w:sz w:val="16"/>
                <w:lang w:val="es-ES"/>
              </w:rPr>
            </w:pPr>
            <w:r>
              <w:rPr>
                <w:color w:val="000000"/>
                <w:sz w:val="16"/>
              </w:rPr>
              <w:t>8.</w:t>
            </w:r>
            <w:r>
              <w:rPr>
                <w:color w:val="000000"/>
                <w:sz w:val="16"/>
              </w:rPr>
              <w:tab/>
              <w:t xml:space="preserve">Инфекции мочеполовых путей </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lang w:val="es-ES"/>
              </w:rPr>
            </w:pPr>
            <w:r>
              <w:rPr>
                <w:color w:val="000000"/>
                <w:sz w:val="16"/>
              </w:rPr>
              <w:t>10 481</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10 824</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11 831</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11 850</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12 128</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12 986</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12 720</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13 152</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12 470</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12 956</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13 783</w:t>
            </w:r>
          </w:p>
        </w:tc>
      </w:tr>
      <w:tr w:rsidR="00000000">
        <w:trPr>
          <w:cantSplit/>
        </w:trPr>
        <w:tc>
          <w:tcPr>
            <w:tcW w:w="2327" w:type="dxa"/>
            <w:tcBorders>
              <w:top w:val="nil"/>
              <w:left w:val="single" w:sz="4" w:space="0" w:color="auto"/>
              <w:bottom w:val="single" w:sz="4" w:space="0" w:color="auto"/>
              <w:right w:val="single" w:sz="4" w:space="0" w:color="auto"/>
            </w:tcBorders>
            <w:noWrap/>
            <w:vAlign w:val="bottom"/>
          </w:tcPr>
          <w:p w:rsidR="00000000" w:rsidRDefault="00000000">
            <w:pPr>
              <w:tabs>
                <w:tab w:val="left" w:pos="167"/>
              </w:tabs>
              <w:rPr>
                <w:color w:val="000000"/>
                <w:sz w:val="16"/>
              </w:rPr>
            </w:pPr>
            <w:r>
              <w:rPr>
                <w:color w:val="000000"/>
                <w:sz w:val="16"/>
              </w:rPr>
              <w:t>9.</w:t>
            </w:r>
            <w:r>
              <w:rPr>
                <w:color w:val="000000"/>
                <w:sz w:val="16"/>
              </w:rPr>
              <w:tab/>
              <w:t>Нейровегетативная дистония</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lang w:val="es-ES"/>
              </w:rPr>
            </w:pPr>
            <w:r>
              <w:rPr>
                <w:color w:val="000000"/>
                <w:sz w:val="16"/>
              </w:rPr>
              <w:t>12 364</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8 727</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8 607</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8 103</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8 289</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7 870</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7 317</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7 608</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7 285</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6 104</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5 453</w:t>
            </w:r>
          </w:p>
        </w:tc>
      </w:tr>
      <w:tr w:rsidR="00000000">
        <w:trPr>
          <w:cantSplit/>
        </w:trPr>
        <w:tc>
          <w:tcPr>
            <w:tcW w:w="2327" w:type="dxa"/>
            <w:tcBorders>
              <w:top w:val="nil"/>
              <w:left w:val="single" w:sz="4" w:space="0" w:color="auto"/>
              <w:bottom w:val="single" w:sz="4" w:space="0" w:color="auto"/>
              <w:right w:val="single" w:sz="4" w:space="0" w:color="auto"/>
            </w:tcBorders>
            <w:noWrap/>
            <w:vAlign w:val="bottom"/>
          </w:tcPr>
          <w:p w:rsidR="00000000" w:rsidRDefault="00000000">
            <w:pPr>
              <w:tabs>
                <w:tab w:val="left" w:pos="167"/>
              </w:tabs>
              <w:rPr>
                <w:color w:val="000000"/>
                <w:sz w:val="16"/>
              </w:rPr>
            </w:pPr>
            <w:r>
              <w:rPr>
                <w:color w:val="000000"/>
                <w:sz w:val="16"/>
              </w:rPr>
              <w:t xml:space="preserve">10.  Чесотка </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lang w:val="es-ES"/>
              </w:rPr>
            </w:pPr>
            <w:r>
              <w:rPr>
                <w:color w:val="000000"/>
                <w:sz w:val="16"/>
              </w:rPr>
              <w:t>2 840</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8 542</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8 227</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9 220</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10 487</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7 274</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8 942</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10 025</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10 471</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10 980</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11 603</w:t>
            </w:r>
          </w:p>
        </w:tc>
      </w:tr>
      <w:tr w:rsidR="00000000">
        <w:trPr>
          <w:cantSplit/>
        </w:trPr>
        <w:tc>
          <w:tcPr>
            <w:tcW w:w="2327" w:type="dxa"/>
            <w:tcBorders>
              <w:top w:val="nil"/>
              <w:left w:val="single" w:sz="4" w:space="0" w:color="auto"/>
              <w:bottom w:val="single" w:sz="4" w:space="0" w:color="auto"/>
              <w:right w:val="single" w:sz="4" w:space="0" w:color="auto"/>
            </w:tcBorders>
            <w:noWrap/>
            <w:vAlign w:val="bottom"/>
          </w:tcPr>
          <w:p w:rsidR="00000000" w:rsidRDefault="00000000">
            <w:pPr>
              <w:tabs>
                <w:tab w:val="left" w:pos="167"/>
              </w:tabs>
              <w:rPr>
                <w:color w:val="000000"/>
                <w:sz w:val="16"/>
                <w:lang w:val="es-ES"/>
              </w:rPr>
            </w:pPr>
            <w:r>
              <w:rPr>
                <w:color w:val="000000"/>
                <w:sz w:val="16"/>
              </w:rPr>
              <w:t>11.  Осложненная беременность</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lang w:val="es-ES"/>
              </w:rPr>
            </w:pPr>
            <w:r>
              <w:rPr>
                <w:color w:val="000000"/>
                <w:sz w:val="16"/>
              </w:rPr>
              <w:t>9 059</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7 991</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7 947</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7 722</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7 366</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9 868</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13 708</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13 255</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9 894</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10 800</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11 309</w:t>
            </w:r>
          </w:p>
        </w:tc>
      </w:tr>
      <w:tr w:rsidR="00000000">
        <w:trPr>
          <w:cantSplit/>
        </w:trPr>
        <w:tc>
          <w:tcPr>
            <w:tcW w:w="2327" w:type="dxa"/>
            <w:tcBorders>
              <w:top w:val="nil"/>
              <w:left w:val="single" w:sz="4" w:space="0" w:color="auto"/>
              <w:bottom w:val="single" w:sz="4" w:space="0" w:color="auto"/>
              <w:right w:val="single" w:sz="4" w:space="0" w:color="auto"/>
            </w:tcBorders>
            <w:noWrap/>
            <w:vAlign w:val="bottom"/>
          </w:tcPr>
          <w:p w:rsidR="00000000" w:rsidRDefault="00000000">
            <w:pPr>
              <w:tabs>
                <w:tab w:val="left" w:pos="167"/>
              </w:tabs>
              <w:rPr>
                <w:color w:val="000000"/>
                <w:sz w:val="16"/>
              </w:rPr>
            </w:pPr>
            <w:r>
              <w:rPr>
                <w:color w:val="000000"/>
                <w:sz w:val="16"/>
              </w:rPr>
              <w:t>12.  Пиодерматоз</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lang w:val="es-ES"/>
              </w:rPr>
            </w:pPr>
            <w:r>
              <w:rPr>
                <w:color w:val="000000"/>
                <w:sz w:val="16"/>
              </w:rPr>
              <w:t>9 976</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6 921</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8 405</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8 582</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9 004</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6 190</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8 453</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9 589</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9 323</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9 059</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1 074</w:t>
            </w:r>
          </w:p>
        </w:tc>
      </w:tr>
      <w:tr w:rsidR="00000000">
        <w:trPr>
          <w:cantSplit/>
        </w:trPr>
        <w:tc>
          <w:tcPr>
            <w:tcW w:w="2327" w:type="dxa"/>
            <w:tcBorders>
              <w:top w:val="nil"/>
              <w:left w:val="single" w:sz="4" w:space="0" w:color="auto"/>
              <w:bottom w:val="single" w:sz="4" w:space="0" w:color="auto"/>
              <w:right w:val="single" w:sz="4" w:space="0" w:color="auto"/>
            </w:tcBorders>
            <w:noWrap/>
            <w:vAlign w:val="bottom"/>
          </w:tcPr>
          <w:p w:rsidR="00000000" w:rsidRDefault="00000000">
            <w:pPr>
              <w:tabs>
                <w:tab w:val="left" w:pos="167"/>
              </w:tabs>
              <w:rPr>
                <w:color w:val="000000"/>
                <w:sz w:val="16"/>
              </w:rPr>
            </w:pPr>
            <w:r>
              <w:rPr>
                <w:color w:val="000000"/>
                <w:sz w:val="16"/>
              </w:rPr>
              <w:t>13.  Бешенство</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lang w:val="es-ES"/>
              </w:rPr>
            </w:pPr>
            <w:r>
              <w:rPr>
                <w:color w:val="000000"/>
                <w:sz w:val="16"/>
              </w:rPr>
              <w:t>7 215</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5 679</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6 100</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8 369</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7 126</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5 210</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4 297</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5 102</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4 772</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4 810</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4 510</w:t>
            </w:r>
          </w:p>
        </w:tc>
      </w:tr>
      <w:tr w:rsidR="00000000">
        <w:trPr>
          <w:cantSplit/>
        </w:trPr>
        <w:tc>
          <w:tcPr>
            <w:tcW w:w="2327" w:type="dxa"/>
            <w:tcBorders>
              <w:top w:val="nil"/>
              <w:left w:val="single" w:sz="4" w:space="0" w:color="auto"/>
              <w:bottom w:val="single" w:sz="4" w:space="0" w:color="auto"/>
              <w:right w:val="single" w:sz="4" w:space="0" w:color="auto"/>
            </w:tcBorders>
            <w:noWrap/>
            <w:vAlign w:val="bottom"/>
          </w:tcPr>
          <w:p w:rsidR="00000000" w:rsidRDefault="00000000">
            <w:pPr>
              <w:tabs>
                <w:tab w:val="left" w:pos="167"/>
              </w:tabs>
              <w:rPr>
                <w:color w:val="000000"/>
                <w:sz w:val="16"/>
                <w:lang w:val="es-ES"/>
              </w:rPr>
            </w:pPr>
            <w:r>
              <w:rPr>
                <w:color w:val="000000"/>
                <w:sz w:val="16"/>
              </w:rPr>
              <w:t>14.  Недоедание (1,2,3)</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lang w:val="es-ES"/>
              </w:rPr>
            </w:pPr>
            <w:r>
              <w:rPr>
                <w:color w:val="000000"/>
                <w:sz w:val="16"/>
              </w:rPr>
              <w:t>6 222</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4 275</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4 676</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4 000</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4 101</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4 510</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5 244</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5 091</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5 005</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6 649</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14 036</w:t>
            </w:r>
          </w:p>
        </w:tc>
      </w:tr>
      <w:tr w:rsidR="00000000">
        <w:trPr>
          <w:cantSplit/>
        </w:trPr>
        <w:tc>
          <w:tcPr>
            <w:tcW w:w="2327" w:type="dxa"/>
            <w:tcBorders>
              <w:top w:val="nil"/>
              <w:left w:val="single" w:sz="4" w:space="0" w:color="auto"/>
              <w:bottom w:val="single" w:sz="4" w:space="0" w:color="auto"/>
              <w:right w:val="single" w:sz="4" w:space="0" w:color="auto"/>
            </w:tcBorders>
            <w:noWrap/>
            <w:vAlign w:val="bottom"/>
          </w:tcPr>
          <w:p w:rsidR="00000000" w:rsidRDefault="00000000">
            <w:pPr>
              <w:rPr>
                <w:color w:val="000000"/>
                <w:sz w:val="16"/>
              </w:rPr>
            </w:pPr>
            <w:r>
              <w:rPr>
                <w:color w:val="000000"/>
                <w:sz w:val="16"/>
              </w:rPr>
              <w:t>15.  Сахарный диабет</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lang w:val="es-ES"/>
              </w:rPr>
            </w:pPr>
            <w:r>
              <w:rPr>
                <w:color w:val="000000"/>
                <w:sz w:val="16"/>
              </w:rPr>
              <w:t>2 570</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2 250</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2 988</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3 096</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3 902</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3 730</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4 917</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5 616</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5 829</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4 955</w:t>
            </w:r>
          </w:p>
        </w:tc>
        <w:tc>
          <w:tcPr>
            <w:tcW w:w="650" w:type="dxa"/>
            <w:tcBorders>
              <w:top w:val="nil"/>
              <w:left w:val="nil"/>
              <w:bottom w:val="single" w:sz="4" w:space="0" w:color="auto"/>
              <w:right w:val="single" w:sz="4" w:space="0" w:color="auto"/>
            </w:tcBorders>
            <w:noWrap/>
            <w:vAlign w:val="bottom"/>
          </w:tcPr>
          <w:p w:rsidR="00000000" w:rsidRDefault="00000000">
            <w:pPr>
              <w:rPr>
                <w:color w:val="000000"/>
                <w:sz w:val="16"/>
                <w:szCs w:val="16"/>
                <w:lang w:val="es-ES"/>
              </w:rPr>
            </w:pPr>
            <w:r>
              <w:rPr>
                <w:color w:val="000000"/>
                <w:sz w:val="16"/>
                <w:szCs w:val="16"/>
              </w:rPr>
              <w:t>5 310</w:t>
            </w:r>
          </w:p>
        </w:tc>
      </w:tr>
    </w:tbl>
    <w:p w:rsidR="00000000" w:rsidRDefault="00000000">
      <w:pPr>
        <w:rPr>
          <w:i/>
          <w:iCs/>
          <w:sz w:val="15"/>
        </w:rPr>
      </w:pPr>
    </w:p>
    <w:p w:rsidR="00000000" w:rsidRDefault="00000000">
      <w:r>
        <w:rPr>
          <w:i/>
          <w:iCs/>
        </w:rPr>
        <w:t xml:space="preserve">Источник:  </w:t>
      </w:r>
      <w:r>
        <w:t xml:space="preserve">Статистика заболеваемости - </w:t>
      </w:r>
      <w:r>
        <w:rPr>
          <w:kern w:val="2"/>
        </w:rPr>
        <w:t>Департамент биостатистики министерства здравоохранения и социального обеспечения</w:t>
      </w:r>
      <w:r>
        <w:t>.</w:t>
      </w:r>
    </w:p>
    <w:p w:rsidR="00000000" w:rsidRDefault="00000000">
      <w:pPr>
        <w:rPr>
          <w:lang w:val="es-ES"/>
        </w:rPr>
      </w:pPr>
    </w:p>
    <w:p w:rsidR="00000000" w:rsidRDefault="00000000">
      <w:pPr>
        <w:rPr>
          <w:i/>
          <w:iCs/>
          <w:lang w:val="es-ES"/>
        </w:rPr>
      </w:pPr>
      <w:r>
        <w:t>*</w:t>
      </w:r>
      <w:r>
        <w:tab/>
        <w:t>Данных не имеется.</w:t>
      </w:r>
    </w:p>
    <w:p w:rsidR="00000000" w:rsidRDefault="00000000"/>
    <w:p w:rsidR="00000000" w:rsidRDefault="00000000">
      <w:r>
        <w:t>456.</w:t>
      </w:r>
      <w:r>
        <w:tab/>
        <w:t>Проведенные недавно эпидемиологические исследования показывают, что у примерно 20% детей младше двух лет и 45% детей в возрасте от 2 до 5 лет из семей с низким социально-экономическим уровнем жизни отмечаются в той или иной степени признаки задержки психомоторного развития.  Типология насилия в отношении детей включает четыре больших группы:  физическое насилие, эмоциональное или психологическое насилие, преднамеренное оставление без внимания, сексуальное насилие.</w:t>
      </w:r>
    </w:p>
    <w:p w:rsidR="00000000" w:rsidRDefault="00000000">
      <w:pPr>
        <w:tabs>
          <w:tab w:val="left" w:pos="540"/>
        </w:tabs>
      </w:pPr>
    </w:p>
    <w:p w:rsidR="00000000" w:rsidRDefault="00000000">
      <w:r>
        <w:t>457.</w:t>
      </w:r>
      <w:r>
        <w:tab/>
        <w:t>В стране зарегистрировано 495 заявлений о сексуальном насилии, из которых 94% совершено в отношении женщин.  Наибольший процент случаев приходится на девушек в возрасте от 10 до 18 лет (50% в 1997 году и 63% в 1998 году);  девочки в возрасте до 10 лет становились жертвами насилия в 15% случаев (1998 год).  Также зарегистрированы акты насилия в отношении мальчиков в возрасте до 10 лет.  И все это на фоне того, что 3% общего населения страны - это семьи представителей высшего класса с мощными экономическими возможностями;  14% составляют мелкие предприниматели и лица свободной профессии, обладающие относительной экономической независимостью;  18% - наемные рабочие и служащие, многие из которых живут в гражданском браке, а также неполные семьи, где главой является женщина;  65% представлены беднейшими слоями (безработные и частично занятые работники) с серьезными экономическими и социальными проблемами.</w:t>
      </w:r>
    </w:p>
    <w:p w:rsidR="00000000" w:rsidRDefault="00000000">
      <w:pPr>
        <w:tabs>
          <w:tab w:val="left" w:pos="540"/>
        </w:tabs>
      </w:pPr>
    </w:p>
    <w:p w:rsidR="00000000" w:rsidRDefault="00000000">
      <w:r>
        <w:t>458.</w:t>
      </w:r>
      <w:r>
        <w:tab/>
        <w:t>Тяжкие психические расстройства имеют достаточно высокий показатель:  0,4% на единицу каждого психического заболевания.  Это позволяет предположить, что в нашей стране насчитывается 44 000 человек с тем или иным видом психического заболевания.</w:t>
      </w:r>
    </w:p>
    <w:p w:rsidR="00000000" w:rsidRDefault="00000000">
      <w:pPr>
        <w:tabs>
          <w:tab w:val="left" w:pos="540"/>
        </w:tabs>
      </w:pPr>
    </w:p>
    <w:p w:rsidR="00000000" w:rsidRDefault="00000000">
      <w:r>
        <w:t>459.</w:t>
      </w:r>
      <w:r>
        <w:tab/>
        <w:t>Что касается наркотиков, то можно сказать, что среди наркосодержащих веществ наиболее часто употребляемым является алкоголь, который принимают 79,5% населения страны в возрасте 12-45 лет.  На втором месте по потреблению стоит табак, который курят 32,4% жителей.  Картина с запрещенными наркотиками следующая:  вдыхают наркотические вещества - 1,9% населения, курят марихуану - 1,4%.</w:t>
      </w:r>
    </w:p>
    <w:p w:rsidR="00000000" w:rsidRDefault="00000000">
      <w:pPr>
        <w:tabs>
          <w:tab w:val="left" w:pos="540"/>
        </w:tabs>
      </w:pPr>
    </w:p>
    <w:p w:rsidR="00000000" w:rsidRDefault="00000000">
      <w:r>
        <w:t>460.</w:t>
      </w:r>
      <w:r>
        <w:tab/>
        <w:t xml:space="preserve">В плане проблемы насилия, а также его физических и психологических последствий в Парагвае добавим:  более 18% женщин сообщили, что в период своего детства и отрочества они были свидетелями сцен, когда их родители дома физически оскорбляли друг друга, занимаясь рукоприкладством. </w:t>
      </w:r>
    </w:p>
    <w:p w:rsidR="00000000" w:rsidRDefault="00000000">
      <w:pPr>
        <w:tabs>
          <w:tab w:val="left" w:pos="540"/>
        </w:tabs>
      </w:pPr>
    </w:p>
    <w:p w:rsidR="00000000" w:rsidRDefault="00000000">
      <w:r>
        <w:t>461.</w:t>
      </w:r>
      <w:r>
        <w:tab/>
        <w:t>Постепенное принятие мер, направленных на сохранение психического здоровья населения и профилактику вредных привычек, превращается в стратегию первичной медицинской помощи, что стало возможным благодаря подготовке в общемедицинских учебных заведениях врачей - специалистов в этой области, а также вследствие децентрализации обслуживания пациентов с психическими заболеваниями.</w:t>
      </w:r>
    </w:p>
    <w:p w:rsidR="00000000" w:rsidRDefault="00000000">
      <w:pPr>
        <w:tabs>
          <w:tab w:val="left" w:pos="540"/>
        </w:tabs>
      </w:pPr>
    </w:p>
    <w:p w:rsidR="00000000" w:rsidRDefault="00000000">
      <w:pPr>
        <w:keepNext/>
        <w:spacing w:line="216" w:lineRule="auto"/>
        <w:rPr>
          <w:b/>
        </w:rPr>
      </w:pPr>
      <w:r>
        <w:rPr>
          <w:b/>
        </w:rPr>
        <w:t>1.</w:t>
      </w:r>
      <w:r>
        <w:rPr>
          <w:b/>
        </w:rPr>
        <w:tab/>
        <w:t>Национальная политика в области здравоохранения</w:t>
      </w:r>
    </w:p>
    <w:p w:rsidR="00000000" w:rsidRDefault="00000000">
      <w:pPr>
        <w:keepNext/>
        <w:tabs>
          <w:tab w:val="left" w:pos="540"/>
        </w:tabs>
        <w:spacing w:line="216" w:lineRule="auto"/>
        <w:rPr>
          <w:sz w:val="20"/>
        </w:rPr>
      </w:pPr>
    </w:p>
    <w:p w:rsidR="00000000" w:rsidRDefault="00000000">
      <w:pPr>
        <w:keepNext/>
        <w:rPr>
          <w:bCs/>
        </w:rPr>
      </w:pPr>
      <w:r>
        <w:t>462.</w:t>
      </w:r>
      <w:r>
        <w:tab/>
        <w:t>М</w:t>
      </w:r>
      <w:r>
        <w:rPr>
          <w:bCs/>
        </w:rPr>
        <w:t>инистерство здравоохранения и социального обеспечения разработало политику, нацеленную на усиление социальной защищенности населения, и возродило преемственность в деятельности Национальной системы здравоохранения.  Это позволило в институциональном плане определить ее руководящие и организационные функции, подкрепить их собственными ресурсами, а также мобилизовать ресурсы других отраслей и социальных игроков с целью улучшить в перспективе качество жизни людей и увеличить ее продолжительность, чтобы эффективно способствовать развитию страны.  Данная политика встретила широкое одобрение со стороны гражданского общества и способна превратиться в государственную политику.</w:t>
      </w:r>
    </w:p>
    <w:p w:rsidR="00000000" w:rsidRDefault="00000000">
      <w:pPr>
        <w:tabs>
          <w:tab w:val="left" w:pos="540"/>
        </w:tabs>
        <w:rPr>
          <w:sz w:val="20"/>
        </w:rPr>
      </w:pPr>
    </w:p>
    <w:p w:rsidR="00000000" w:rsidRDefault="00000000">
      <w:r>
        <w:t>463.</w:t>
      </w:r>
      <w:r>
        <w:tab/>
        <w:t>В стратегическом плане эта политика преследует цель развивать те возможности, механизмы и направления, которые могут расширить и усилить способности государственных органов и граждан, целенаправленно и устойчиво ориентированные на улучшение здоровья всей нации с соблюдением социальной справедливости, уважением этнических и культурных традиций, с учетом возрастных особенностей и гендерных факторов, при отсутствии какой бы то ни было дискриминации.</w:t>
      </w:r>
    </w:p>
    <w:p w:rsidR="00000000" w:rsidRDefault="00000000">
      <w:pPr>
        <w:tabs>
          <w:tab w:val="left" w:pos="540"/>
        </w:tabs>
        <w:rPr>
          <w:sz w:val="16"/>
        </w:rPr>
      </w:pPr>
    </w:p>
    <w:p w:rsidR="00000000" w:rsidRDefault="00000000">
      <w:r>
        <w:t>464.</w:t>
      </w:r>
      <w:r>
        <w:tab/>
        <w:t xml:space="preserve">Ее основные положения базируются на реформе системы здравоохранения, ее развитии, усилении социальной защиты в области охраны здоровья при солидарном финансировании и стабильном обеспечении.  В центре внимания при этом должно находиться удовлетворение потребностей и предоставление доступа к услугам тем людям и группам, которые отстранены от такой возможности, - самым бедным слоям населения, подвергающимся наибольшим биологическим и социальным рискам.  Также упор делается на оздоровление окружающей среды, для чего разрабатывается комплексная стратегия, в реализации которой участвуют отдельные граждане, государственные ведомства и общественные организации.  Важное место занимает развитие людских ресурсов и совершенствование образования в качестве стратегических направлений, предусматривающих перестройку системы здравоохранения в сторону повышения ее качества и эффективности на основе высокой технической оснащенности и использования высококвалифицированных специалистов на всех уровнях системы. </w:t>
      </w:r>
    </w:p>
    <w:p w:rsidR="00000000" w:rsidRDefault="00000000">
      <w:pPr>
        <w:tabs>
          <w:tab w:val="left" w:pos="540"/>
        </w:tabs>
        <w:rPr>
          <w:sz w:val="20"/>
        </w:rPr>
      </w:pPr>
    </w:p>
    <w:p w:rsidR="00000000" w:rsidRDefault="00000000">
      <w:r>
        <w:t>465.</w:t>
      </w:r>
      <w:r>
        <w:tab/>
        <w:t>Парагвай как член Всемирной организации здравоохранения подписал целый ряд международных договоров и соглашений и считает их исполнение одной из первостепенных задач.  В качестве базовой стратегии в области здравоохранения Парагвай, как это было определено на конференции в Алма-Ате, сделал упор на организацию первичной медико-санитарной помощи, которая считается основной медицинской помощью, оказываемой на базе научно обоснованных и принятых обществом практических методик и технологий и доступной и охватывающей каждого человека, семью и все общество.</w:t>
      </w:r>
    </w:p>
    <w:p w:rsidR="00000000" w:rsidRDefault="00000000">
      <w:pPr>
        <w:tabs>
          <w:tab w:val="left" w:pos="540"/>
        </w:tabs>
        <w:spacing w:line="216" w:lineRule="auto"/>
        <w:rPr>
          <w:sz w:val="16"/>
        </w:rPr>
      </w:pPr>
    </w:p>
    <w:p w:rsidR="00000000" w:rsidRDefault="00000000">
      <w:r>
        <w:t>466.</w:t>
      </w:r>
      <w:r>
        <w:tab/>
        <w:t>Функциональная модель управления и финансирования предусматривает организацию, интеграцию, финансирование и управление ресурсами, имеющимися в Национальной системе здравоохранения и предназначенными для поддержания, сохранения, улучшения и восстановления здоровья людей, с тем чтобы оптимально выполнять программы на каждом уровне организации медицинской помощи с учетом их сложности и эффективно решать приоритетные задачи по охране здоровья населения.</w:t>
      </w:r>
    </w:p>
    <w:p w:rsidR="00000000" w:rsidRDefault="00000000">
      <w:pPr>
        <w:rPr>
          <w:sz w:val="20"/>
        </w:rPr>
      </w:pPr>
    </w:p>
    <w:p w:rsidR="00000000" w:rsidRDefault="00000000">
      <w:r>
        <w:t>467.</w:t>
      </w:r>
      <w:r>
        <w:tab/>
        <w:t>Модель устанавливает, что для организации медицинского обслуживания службы здравоохранения функционально должны образовывать территориальные сети, состоящие из учреждений первого, второго и третьего уровней, а также четвертого уровня сложности на окружном уровне.  Это учреждения комплексного медицинского обслуживания, поскольку они оказывают услуги по поддержанию, сохранению, улучшению и восстановлению здоровья людей в соответствии со своим уровнем ответственности.  С другой стороны, с учетом того, что здравоохранение - это важнейшая часть экономического и социального развития страны, медицинская помощь ориентирована на человека, его семью, общину и среду обитания в рамках общего процесса, который охватывает все составляющие здоровья и наносимый ему вред.</w:t>
      </w:r>
    </w:p>
    <w:p w:rsidR="00000000" w:rsidRDefault="00000000">
      <w:pPr>
        <w:spacing w:line="216" w:lineRule="auto"/>
        <w:rPr>
          <w:sz w:val="20"/>
        </w:rPr>
      </w:pPr>
    </w:p>
    <w:p w:rsidR="00000000" w:rsidRDefault="00000000">
      <w:pPr>
        <w:spacing w:line="216" w:lineRule="auto"/>
        <w:rPr>
          <w:b/>
        </w:rPr>
      </w:pPr>
      <w:r>
        <w:rPr>
          <w:b/>
        </w:rPr>
        <w:t>2.</w:t>
      </w:r>
      <w:r>
        <w:rPr>
          <w:b/>
        </w:rPr>
        <w:tab/>
        <w:t>Динамика изменения бюджета здравоохранения</w:t>
      </w:r>
    </w:p>
    <w:p w:rsidR="00000000" w:rsidRDefault="00000000">
      <w:pPr>
        <w:spacing w:line="216" w:lineRule="auto"/>
        <w:rPr>
          <w:b/>
          <w:sz w:val="16"/>
        </w:rPr>
      </w:pPr>
    </w:p>
    <w:tbl>
      <w:tblPr>
        <w:tblW w:w="5040" w:type="pct"/>
        <w:jc w:val="center"/>
        <w:tblInd w:w="-75" w:type="dxa"/>
        <w:tblBorders>
          <w:top w:val="single" w:sz="4" w:space="0" w:color="auto"/>
          <w:left w:val="single" w:sz="4" w:space="0" w:color="auto"/>
          <w:bottom w:val="single" w:sz="4" w:space="0" w:color="auto"/>
          <w:right w:val="single" w:sz="4" w:space="0" w:color="auto"/>
        </w:tblBorders>
        <w:tblLayout w:type="fixed"/>
        <w:tblCellMar>
          <w:left w:w="45" w:type="dxa"/>
          <w:right w:w="45" w:type="dxa"/>
        </w:tblCellMar>
        <w:tblLook w:val="0000" w:firstRow="0" w:lastRow="0" w:firstColumn="0" w:lastColumn="0" w:noHBand="0" w:noVBand="0"/>
      </w:tblPr>
      <w:tblGrid>
        <w:gridCol w:w="563"/>
        <w:gridCol w:w="870"/>
        <w:gridCol w:w="1383"/>
        <w:gridCol w:w="1371"/>
        <w:gridCol w:w="966"/>
        <w:gridCol w:w="1209"/>
        <w:gridCol w:w="802"/>
        <w:gridCol w:w="1118"/>
        <w:gridCol w:w="1240"/>
      </w:tblGrid>
      <w:tr w:rsidR="00000000">
        <w:trPr>
          <w:cantSplit/>
          <w:tblHeader/>
          <w:jc w:val="center"/>
        </w:trPr>
        <w:tc>
          <w:tcPr>
            <w:tcW w:w="296"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b/>
                <w:bCs/>
                <w:sz w:val="16"/>
                <w:szCs w:val="24"/>
              </w:rPr>
            </w:pPr>
            <w:r>
              <w:rPr>
                <w:b/>
                <w:bCs/>
                <w:sz w:val="16"/>
              </w:rPr>
              <w:t>Годы</w:t>
            </w:r>
          </w:p>
        </w:tc>
        <w:tc>
          <w:tcPr>
            <w:tcW w:w="457"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16"/>
              </w:rPr>
            </w:pPr>
            <w:r>
              <w:rPr>
                <w:b/>
                <w:bCs/>
                <w:sz w:val="16"/>
              </w:rPr>
              <w:t>Общий ВВП</w:t>
            </w:r>
          </w:p>
          <w:p w:rsidR="00000000" w:rsidRDefault="00000000">
            <w:pPr>
              <w:spacing w:line="240" w:lineRule="auto"/>
              <w:jc w:val="center"/>
              <w:rPr>
                <w:b/>
                <w:bCs/>
                <w:sz w:val="16"/>
                <w:szCs w:val="24"/>
              </w:rPr>
            </w:pPr>
            <w:r>
              <w:rPr>
                <w:b/>
                <w:bCs/>
                <w:sz w:val="16"/>
              </w:rPr>
              <w:t>(в млн. гуарани)</w:t>
            </w:r>
          </w:p>
        </w:tc>
        <w:tc>
          <w:tcPr>
            <w:tcW w:w="726"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16"/>
                <w:szCs w:val="24"/>
              </w:rPr>
            </w:pPr>
            <w:r>
              <w:rPr>
                <w:b/>
                <w:bCs/>
                <w:sz w:val="16"/>
              </w:rPr>
              <w:t>Государственный бюджет</w:t>
            </w:r>
            <w:r>
              <w:rPr>
                <w:b/>
                <w:bCs/>
                <w:sz w:val="16"/>
                <w:vertAlign w:val="superscript"/>
              </w:rPr>
              <w:t>1</w:t>
            </w:r>
          </w:p>
        </w:tc>
        <w:tc>
          <w:tcPr>
            <w:tcW w:w="720"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16"/>
                <w:szCs w:val="24"/>
              </w:rPr>
            </w:pPr>
            <w:r>
              <w:rPr>
                <w:b/>
                <w:bCs/>
                <w:sz w:val="16"/>
              </w:rPr>
              <w:t>Расходы на здравоохранение</w:t>
            </w:r>
            <w:r>
              <w:rPr>
                <w:b/>
                <w:bCs/>
                <w:sz w:val="16"/>
                <w:vertAlign w:val="superscript"/>
              </w:rPr>
              <w:t>2</w:t>
            </w:r>
          </w:p>
        </w:tc>
        <w:tc>
          <w:tcPr>
            <w:tcW w:w="507"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16"/>
                <w:szCs w:val="24"/>
              </w:rPr>
            </w:pPr>
            <w:r>
              <w:rPr>
                <w:b/>
                <w:bCs/>
                <w:sz w:val="16"/>
              </w:rPr>
              <w:t>Расходы на здравоохр./ ВВП</w:t>
            </w:r>
          </w:p>
        </w:tc>
        <w:tc>
          <w:tcPr>
            <w:tcW w:w="635"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16"/>
                <w:szCs w:val="24"/>
              </w:rPr>
            </w:pPr>
            <w:r>
              <w:rPr>
                <w:b/>
                <w:bCs/>
                <w:sz w:val="16"/>
              </w:rPr>
              <w:t>Расходы на здравоохр./ бюджет</w:t>
            </w:r>
          </w:p>
        </w:tc>
        <w:tc>
          <w:tcPr>
            <w:tcW w:w="421"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16"/>
                <w:szCs w:val="24"/>
              </w:rPr>
            </w:pPr>
            <w:r>
              <w:rPr>
                <w:b/>
                <w:bCs/>
                <w:sz w:val="16"/>
              </w:rPr>
              <w:t>Базовое медиц. обслуж-е</w:t>
            </w:r>
            <w:r>
              <w:rPr>
                <w:b/>
                <w:bCs/>
                <w:sz w:val="16"/>
                <w:vertAlign w:val="superscript"/>
              </w:rPr>
              <w:t>3</w:t>
            </w:r>
          </w:p>
        </w:tc>
        <w:tc>
          <w:tcPr>
            <w:tcW w:w="587"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16"/>
                <w:szCs w:val="24"/>
              </w:rPr>
            </w:pPr>
            <w:r>
              <w:rPr>
                <w:b/>
                <w:bCs/>
                <w:sz w:val="16"/>
              </w:rPr>
              <w:t xml:space="preserve">Базовое медиц. обслуж-е/ВВП </w:t>
            </w:r>
          </w:p>
        </w:tc>
        <w:tc>
          <w:tcPr>
            <w:tcW w:w="651"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16"/>
              </w:rPr>
            </w:pPr>
            <w:r>
              <w:rPr>
                <w:b/>
                <w:bCs/>
                <w:sz w:val="16"/>
              </w:rPr>
              <w:t>Базовое медиц. обслуж-е/</w:t>
            </w:r>
          </w:p>
          <w:p w:rsidR="00000000" w:rsidRDefault="00000000">
            <w:pPr>
              <w:spacing w:line="240" w:lineRule="auto"/>
              <w:jc w:val="center"/>
              <w:rPr>
                <w:b/>
                <w:bCs/>
                <w:sz w:val="16"/>
                <w:szCs w:val="24"/>
              </w:rPr>
            </w:pPr>
            <w:r>
              <w:rPr>
                <w:b/>
                <w:bCs/>
                <w:sz w:val="16"/>
              </w:rPr>
              <w:t>бюджет</w:t>
            </w:r>
          </w:p>
        </w:tc>
      </w:tr>
      <w:tr w:rsidR="00000000">
        <w:trPr>
          <w:cantSplit/>
          <w:tblHeader/>
          <w:jc w:val="center"/>
        </w:trPr>
        <w:tc>
          <w:tcPr>
            <w:tcW w:w="296" w:type="pct"/>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b/>
                <w:bCs/>
                <w:sz w:val="16"/>
                <w:szCs w:val="24"/>
              </w:rPr>
            </w:pPr>
          </w:p>
        </w:tc>
        <w:tc>
          <w:tcPr>
            <w:tcW w:w="870"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16"/>
                <w:szCs w:val="24"/>
              </w:rPr>
            </w:pPr>
          </w:p>
        </w:tc>
        <w:tc>
          <w:tcPr>
            <w:tcW w:w="1383"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16"/>
                <w:szCs w:val="24"/>
              </w:rPr>
            </w:pPr>
          </w:p>
        </w:tc>
        <w:tc>
          <w:tcPr>
            <w:tcW w:w="1371"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16"/>
                <w:szCs w:val="24"/>
              </w:rPr>
            </w:pPr>
          </w:p>
        </w:tc>
        <w:tc>
          <w:tcPr>
            <w:tcW w:w="1142"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16"/>
                <w:szCs w:val="24"/>
              </w:rPr>
            </w:pPr>
            <w:r>
              <w:rPr>
                <w:b/>
                <w:bCs/>
                <w:sz w:val="16"/>
              </w:rPr>
              <w:t>в %</w:t>
            </w:r>
          </w:p>
        </w:tc>
        <w:tc>
          <w:tcPr>
            <w:tcW w:w="421" w:type="pct"/>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16"/>
                <w:szCs w:val="24"/>
              </w:rPr>
            </w:pP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 w:val="16"/>
                <w:szCs w:val="24"/>
              </w:rPr>
            </w:pPr>
            <w:r>
              <w:rPr>
                <w:b/>
                <w:bCs/>
                <w:sz w:val="16"/>
              </w:rPr>
              <w:t>в %</w:t>
            </w:r>
          </w:p>
        </w:tc>
      </w:tr>
      <w:tr w:rsidR="00000000">
        <w:trPr>
          <w:jc w:val="center"/>
        </w:trPr>
        <w:tc>
          <w:tcPr>
            <w:tcW w:w="29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1994</w:t>
            </w:r>
          </w:p>
        </w:tc>
        <w:tc>
          <w:tcPr>
            <w:tcW w:w="45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13 220 624</w:t>
            </w:r>
          </w:p>
        </w:tc>
        <w:tc>
          <w:tcPr>
            <w:tcW w:w="72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2 253 329</w:t>
            </w:r>
          </w:p>
        </w:tc>
        <w:tc>
          <w:tcPr>
            <w:tcW w:w="7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160 089</w:t>
            </w:r>
          </w:p>
        </w:tc>
        <w:tc>
          <w:tcPr>
            <w:tcW w:w="50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1,21</w:t>
            </w:r>
          </w:p>
        </w:tc>
        <w:tc>
          <w:tcPr>
            <w:tcW w:w="635"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7,10</w:t>
            </w:r>
          </w:p>
        </w:tc>
        <w:tc>
          <w:tcPr>
            <w:tcW w:w="42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117 812</w:t>
            </w:r>
          </w:p>
        </w:tc>
        <w:tc>
          <w:tcPr>
            <w:tcW w:w="58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0,89</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5,23</w:t>
            </w:r>
          </w:p>
        </w:tc>
      </w:tr>
      <w:tr w:rsidR="00000000">
        <w:trPr>
          <w:jc w:val="center"/>
        </w:trPr>
        <w:tc>
          <w:tcPr>
            <w:tcW w:w="29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1995</w:t>
            </w:r>
          </w:p>
        </w:tc>
        <w:tc>
          <w:tcPr>
            <w:tcW w:w="45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15 833 186</w:t>
            </w:r>
          </w:p>
        </w:tc>
        <w:tc>
          <w:tcPr>
            <w:tcW w:w="72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3 042 601</w:t>
            </w:r>
          </w:p>
        </w:tc>
        <w:tc>
          <w:tcPr>
            <w:tcW w:w="7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190 299</w:t>
            </w:r>
          </w:p>
        </w:tc>
        <w:tc>
          <w:tcPr>
            <w:tcW w:w="50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1,20</w:t>
            </w:r>
          </w:p>
        </w:tc>
        <w:tc>
          <w:tcPr>
            <w:tcW w:w="635"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6,25</w:t>
            </w:r>
          </w:p>
        </w:tc>
        <w:tc>
          <w:tcPr>
            <w:tcW w:w="42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152 744</w:t>
            </w:r>
          </w:p>
        </w:tc>
        <w:tc>
          <w:tcPr>
            <w:tcW w:w="58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0,96</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5,02</w:t>
            </w:r>
          </w:p>
        </w:tc>
      </w:tr>
      <w:tr w:rsidR="00000000">
        <w:trPr>
          <w:jc w:val="center"/>
        </w:trPr>
        <w:tc>
          <w:tcPr>
            <w:tcW w:w="29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1996</w:t>
            </w:r>
          </w:p>
        </w:tc>
        <w:tc>
          <w:tcPr>
            <w:tcW w:w="45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18 004 374</w:t>
            </w:r>
          </w:p>
        </w:tc>
        <w:tc>
          <w:tcPr>
            <w:tcW w:w="72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3 416 260</w:t>
            </w:r>
          </w:p>
        </w:tc>
        <w:tc>
          <w:tcPr>
            <w:tcW w:w="7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241 215</w:t>
            </w:r>
          </w:p>
        </w:tc>
        <w:tc>
          <w:tcPr>
            <w:tcW w:w="50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1,34</w:t>
            </w:r>
          </w:p>
        </w:tc>
        <w:tc>
          <w:tcPr>
            <w:tcW w:w="635"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7,06</w:t>
            </w:r>
          </w:p>
        </w:tc>
        <w:tc>
          <w:tcPr>
            <w:tcW w:w="42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207 548</w:t>
            </w:r>
          </w:p>
        </w:tc>
        <w:tc>
          <w:tcPr>
            <w:tcW w:w="58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1,15</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6,08</w:t>
            </w:r>
          </w:p>
        </w:tc>
      </w:tr>
      <w:tr w:rsidR="00000000">
        <w:trPr>
          <w:jc w:val="center"/>
        </w:trPr>
        <w:tc>
          <w:tcPr>
            <w:tcW w:w="29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1997</w:t>
            </w:r>
          </w:p>
        </w:tc>
        <w:tc>
          <w:tcPr>
            <w:tcW w:w="45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19 322 537</w:t>
            </w:r>
          </w:p>
        </w:tc>
        <w:tc>
          <w:tcPr>
            <w:tcW w:w="72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9 896 024</w:t>
            </w:r>
          </w:p>
        </w:tc>
        <w:tc>
          <w:tcPr>
            <w:tcW w:w="7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382 194</w:t>
            </w:r>
          </w:p>
        </w:tc>
        <w:tc>
          <w:tcPr>
            <w:tcW w:w="50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1,98</w:t>
            </w:r>
          </w:p>
        </w:tc>
        <w:tc>
          <w:tcPr>
            <w:tcW w:w="635"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3,86</w:t>
            </w:r>
          </w:p>
        </w:tc>
        <w:tc>
          <w:tcPr>
            <w:tcW w:w="42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307 110</w:t>
            </w:r>
          </w:p>
        </w:tc>
        <w:tc>
          <w:tcPr>
            <w:tcW w:w="58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1,59</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3,10</w:t>
            </w:r>
          </w:p>
        </w:tc>
      </w:tr>
      <w:tr w:rsidR="00000000">
        <w:trPr>
          <w:jc w:val="center"/>
        </w:trPr>
        <w:tc>
          <w:tcPr>
            <w:tcW w:w="29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1998</w:t>
            </w:r>
          </w:p>
        </w:tc>
        <w:tc>
          <w:tcPr>
            <w:tcW w:w="45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21 580 611</w:t>
            </w:r>
          </w:p>
        </w:tc>
        <w:tc>
          <w:tcPr>
            <w:tcW w:w="72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11 077 222</w:t>
            </w:r>
          </w:p>
        </w:tc>
        <w:tc>
          <w:tcPr>
            <w:tcW w:w="7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439 704</w:t>
            </w:r>
          </w:p>
        </w:tc>
        <w:tc>
          <w:tcPr>
            <w:tcW w:w="50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2,04</w:t>
            </w:r>
          </w:p>
        </w:tc>
        <w:tc>
          <w:tcPr>
            <w:tcW w:w="635"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3,97</w:t>
            </w:r>
          </w:p>
        </w:tc>
        <w:tc>
          <w:tcPr>
            <w:tcW w:w="42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392 650</w:t>
            </w:r>
          </w:p>
        </w:tc>
        <w:tc>
          <w:tcPr>
            <w:tcW w:w="58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1,82</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3,54</w:t>
            </w:r>
          </w:p>
        </w:tc>
      </w:tr>
      <w:tr w:rsidR="00000000">
        <w:trPr>
          <w:jc w:val="center"/>
        </w:trPr>
        <w:tc>
          <w:tcPr>
            <w:tcW w:w="29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1999</w:t>
            </w:r>
          </w:p>
        </w:tc>
        <w:tc>
          <w:tcPr>
            <w:tcW w:w="45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22 771 596</w:t>
            </w:r>
          </w:p>
        </w:tc>
        <w:tc>
          <w:tcPr>
            <w:tcW w:w="72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12 255 602</w:t>
            </w:r>
          </w:p>
        </w:tc>
        <w:tc>
          <w:tcPr>
            <w:tcW w:w="7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577 641</w:t>
            </w:r>
          </w:p>
        </w:tc>
        <w:tc>
          <w:tcPr>
            <w:tcW w:w="50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2,54</w:t>
            </w:r>
          </w:p>
        </w:tc>
        <w:tc>
          <w:tcPr>
            <w:tcW w:w="635"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4,71</w:t>
            </w:r>
          </w:p>
        </w:tc>
        <w:tc>
          <w:tcPr>
            <w:tcW w:w="42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492 152</w:t>
            </w:r>
          </w:p>
        </w:tc>
        <w:tc>
          <w:tcPr>
            <w:tcW w:w="58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2,16</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4,02</w:t>
            </w:r>
          </w:p>
        </w:tc>
      </w:tr>
      <w:tr w:rsidR="00000000">
        <w:trPr>
          <w:jc w:val="center"/>
        </w:trPr>
        <w:tc>
          <w:tcPr>
            <w:tcW w:w="29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2000</w:t>
            </w:r>
          </w:p>
        </w:tc>
        <w:tc>
          <w:tcPr>
            <w:tcW w:w="45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24 736 536</w:t>
            </w:r>
          </w:p>
        </w:tc>
        <w:tc>
          <w:tcPr>
            <w:tcW w:w="72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13 128 124</w:t>
            </w:r>
          </w:p>
        </w:tc>
        <w:tc>
          <w:tcPr>
            <w:tcW w:w="7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620 619</w:t>
            </w:r>
          </w:p>
        </w:tc>
        <w:tc>
          <w:tcPr>
            <w:tcW w:w="50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2,51</w:t>
            </w:r>
          </w:p>
        </w:tc>
        <w:tc>
          <w:tcPr>
            <w:tcW w:w="635"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4,73</w:t>
            </w:r>
          </w:p>
        </w:tc>
        <w:tc>
          <w:tcPr>
            <w:tcW w:w="42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335 896</w:t>
            </w:r>
          </w:p>
        </w:tc>
        <w:tc>
          <w:tcPr>
            <w:tcW w:w="58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1,36</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2,56</w:t>
            </w:r>
          </w:p>
        </w:tc>
      </w:tr>
      <w:tr w:rsidR="00000000">
        <w:trPr>
          <w:jc w:val="center"/>
        </w:trPr>
        <w:tc>
          <w:tcPr>
            <w:tcW w:w="29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2001</w:t>
            </w:r>
          </w:p>
        </w:tc>
        <w:tc>
          <w:tcPr>
            <w:tcW w:w="45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26 465 663</w:t>
            </w:r>
          </w:p>
        </w:tc>
        <w:tc>
          <w:tcPr>
            <w:tcW w:w="72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15 357 915</w:t>
            </w:r>
          </w:p>
        </w:tc>
        <w:tc>
          <w:tcPr>
            <w:tcW w:w="7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636 141</w:t>
            </w:r>
          </w:p>
        </w:tc>
        <w:tc>
          <w:tcPr>
            <w:tcW w:w="50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2,40</w:t>
            </w:r>
          </w:p>
        </w:tc>
        <w:tc>
          <w:tcPr>
            <w:tcW w:w="635"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4,14</w:t>
            </w:r>
          </w:p>
        </w:tc>
        <w:tc>
          <w:tcPr>
            <w:tcW w:w="42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349 103</w:t>
            </w:r>
          </w:p>
        </w:tc>
        <w:tc>
          <w:tcPr>
            <w:tcW w:w="58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1,32</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2,27</w:t>
            </w:r>
          </w:p>
        </w:tc>
      </w:tr>
      <w:tr w:rsidR="00000000">
        <w:trPr>
          <w:jc w:val="center"/>
        </w:trPr>
        <w:tc>
          <w:tcPr>
            <w:tcW w:w="29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2002</w:t>
            </w:r>
          </w:p>
        </w:tc>
        <w:tc>
          <w:tcPr>
            <w:tcW w:w="45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29 104 530</w:t>
            </w:r>
          </w:p>
        </w:tc>
        <w:tc>
          <w:tcPr>
            <w:tcW w:w="72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15 306 971</w:t>
            </w:r>
          </w:p>
        </w:tc>
        <w:tc>
          <w:tcPr>
            <w:tcW w:w="7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1 084 155</w:t>
            </w:r>
          </w:p>
        </w:tc>
        <w:tc>
          <w:tcPr>
            <w:tcW w:w="50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3,73</w:t>
            </w:r>
          </w:p>
        </w:tc>
        <w:tc>
          <w:tcPr>
            <w:tcW w:w="635"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7,08</w:t>
            </w:r>
          </w:p>
        </w:tc>
        <w:tc>
          <w:tcPr>
            <w:tcW w:w="42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329 887</w:t>
            </w:r>
          </w:p>
        </w:tc>
        <w:tc>
          <w:tcPr>
            <w:tcW w:w="58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1,13</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2,16</w:t>
            </w:r>
          </w:p>
        </w:tc>
      </w:tr>
      <w:tr w:rsidR="00000000">
        <w:trPr>
          <w:jc w:val="center"/>
        </w:trPr>
        <w:tc>
          <w:tcPr>
            <w:tcW w:w="29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2003</w:t>
            </w:r>
          </w:p>
        </w:tc>
        <w:tc>
          <w:tcPr>
            <w:tcW w:w="45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35 713 137</w:t>
            </w:r>
          </w:p>
        </w:tc>
        <w:tc>
          <w:tcPr>
            <w:tcW w:w="72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18 246 180</w:t>
            </w:r>
          </w:p>
        </w:tc>
        <w:tc>
          <w:tcPr>
            <w:tcW w:w="7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842 417</w:t>
            </w:r>
          </w:p>
        </w:tc>
        <w:tc>
          <w:tcPr>
            <w:tcW w:w="50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2,36</w:t>
            </w:r>
          </w:p>
        </w:tc>
        <w:tc>
          <w:tcPr>
            <w:tcW w:w="635"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4,62</w:t>
            </w:r>
          </w:p>
        </w:tc>
        <w:tc>
          <w:tcPr>
            <w:tcW w:w="42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724 360</w:t>
            </w:r>
          </w:p>
        </w:tc>
        <w:tc>
          <w:tcPr>
            <w:tcW w:w="58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2,03</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3,97</w:t>
            </w:r>
          </w:p>
        </w:tc>
      </w:tr>
      <w:tr w:rsidR="00000000">
        <w:trPr>
          <w:jc w:val="center"/>
        </w:trPr>
        <w:tc>
          <w:tcPr>
            <w:tcW w:w="29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2004</w:t>
            </w:r>
          </w:p>
        </w:tc>
        <w:tc>
          <w:tcPr>
            <w:tcW w:w="45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41 400 770</w:t>
            </w:r>
          </w:p>
        </w:tc>
        <w:tc>
          <w:tcPr>
            <w:tcW w:w="72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18915 114</w:t>
            </w:r>
          </w:p>
        </w:tc>
        <w:tc>
          <w:tcPr>
            <w:tcW w:w="7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977 132</w:t>
            </w:r>
          </w:p>
        </w:tc>
        <w:tc>
          <w:tcPr>
            <w:tcW w:w="50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2,36</w:t>
            </w:r>
          </w:p>
        </w:tc>
        <w:tc>
          <w:tcPr>
            <w:tcW w:w="635"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5,17</w:t>
            </w:r>
          </w:p>
        </w:tc>
        <w:tc>
          <w:tcPr>
            <w:tcW w:w="42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850 782</w:t>
            </w:r>
          </w:p>
        </w:tc>
        <w:tc>
          <w:tcPr>
            <w:tcW w:w="58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2,05</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4,50</w:t>
            </w:r>
          </w:p>
        </w:tc>
      </w:tr>
      <w:tr w:rsidR="00000000">
        <w:trPr>
          <w:jc w:val="center"/>
        </w:trPr>
        <w:tc>
          <w:tcPr>
            <w:tcW w:w="29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2005</w:t>
            </w:r>
          </w:p>
        </w:tc>
        <w:tc>
          <w:tcPr>
            <w:tcW w:w="45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45 737 176</w:t>
            </w:r>
          </w:p>
        </w:tc>
        <w:tc>
          <w:tcPr>
            <w:tcW w:w="72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21 809 827</w:t>
            </w:r>
          </w:p>
        </w:tc>
        <w:tc>
          <w:tcPr>
            <w:tcW w:w="7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1 473 932</w:t>
            </w:r>
          </w:p>
        </w:tc>
        <w:tc>
          <w:tcPr>
            <w:tcW w:w="50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3,22</w:t>
            </w:r>
          </w:p>
        </w:tc>
        <w:tc>
          <w:tcPr>
            <w:tcW w:w="635"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6,76</w:t>
            </w:r>
          </w:p>
        </w:tc>
        <w:tc>
          <w:tcPr>
            <w:tcW w:w="42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1 068 165</w:t>
            </w:r>
          </w:p>
        </w:tc>
        <w:tc>
          <w:tcPr>
            <w:tcW w:w="58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2,34</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4,90</w:t>
            </w:r>
          </w:p>
        </w:tc>
      </w:tr>
      <w:tr w:rsidR="00000000">
        <w:trPr>
          <w:jc w:val="center"/>
        </w:trPr>
        <w:tc>
          <w:tcPr>
            <w:tcW w:w="29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2006*</w:t>
            </w:r>
          </w:p>
        </w:tc>
        <w:tc>
          <w:tcPr>
            <w:tcW w:w="45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50 585 316</w:t>
            </w:r>
          </w:p>
        </w:tc>
        <w:tc>
          <w:tcPr>
            <w:tcW w:w="726"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21 255 118</w:t>
            </w:r>
          </w:p>
        </w:tc>
        <w:tc>
          <w:tcPr>
            <w:tcW w:w="720"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1 553 273</w:t>
            </w:r>
          </w:p>
        </w:tc>
        <w:tc>
          <w:tcPr>
            <w:tcW w:w="50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3,07</w:t>
            </w:r>
          </w:p>
        </w:tc>
        <w:tc>
          <w:tcPr>
            <w:tcW w:w="635"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7,31</w:t>
            </w:r>
          </w:p>
        </w:tc>
        <w:tc>
          <w:tcPr>
            <w:tcW w:w="42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1 207 965</w:t>
            </w:r>
          </w:p>
        </w:tc>
        <w:tc>
          <w:tcPr>
            <w:tcW w:w="587"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2,39</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24"/>
              </w:rPr>
            </w:pPr>
            <w:r>
              <w:rPr>
                <w:sz w:val="16"/>
              </w:rPr>
              <w:t>5,68</w:t>
            </w:r>
          </w:p>
        </w:tc>
      </w:tr>
    </w:tbl>
    <w:p w:rsidR="00000000" w:rsidRDefault="00000000">
      <w:pPr>
        <w:spacing w:line="216" w:lineRule="auto"/>
        <w:rPr>
          <w:i/>
          <w:iCs/>
          <w:sz w:val="16"/>
        </w:rPr>
      </w:pPr>
    </w:p>
    <w:p w:rsidR="00000000" w:rsidRDefault="00000000">
      <w:pPr>
        <w:spacing w:line="216" w:lineRule="auto"/>
      </w:pPr>
      <w:r>
        <w:rPr>
          <w:i/>
          <w:iCs/>
        </w:rPr>
        <w:t>Источник:</w:t>
      </w:r>
      <w:r>
        <w:t xml:space="preserve">  Система учета (СИКО) (в млн. гуарани).</w:t>
      </w:r>
    </w:p>
    <w:p w:rsidR="00000000" w:rsidRDefault="00000000">
      <w:pPr>
        <w:spacing w:line="216" w:lineRule="auto"/>
        <w:rPr>
          <w:sz w:val="20"/>
        </w:rPr>
      </w:pPr>
    </w:p>
    <w:p w:rsidR="00000000" w:rsidRDefault="00000000">
      <w:pPr>
        <w:spacing w:line="216" w:lineRule="auto"/>
        <w:ind w:left="567" w:hanging="567"/>
      </w:pPr>
      <w:r>
        <w:rPr>
          <w:b/>
          <w:bCs/>
          <w:vertAlign w:val="superscript"/>
        </w:rPr>
        <w:t>1</w:t>
      </w:r>
      <w:r>
        <w:tab/>
        <w:t>Скорректированный бюджет центральных органов управления до 1996 года.  С 1997 года соответствует бюджету ЦОУ и децентрализованных ведомств.</w:t>
      </w:r>
    </w:p>
    <w:p w:rsidR="00000000" w:rsidRDefault="00000000">
      <w:pPr>
        <w:spacing w:line="216" w:lineRule="auto"/>
        <w:rPr>
          <w:sz w:val="20"/>
        </w:rPr>
      </w:pPr>
    </w:p>
    <w:p w:rsidR="00000000" w:rsidRDefault="00000000">
      <w:pPr>
        <w:spacing w:line="216" w:lineRule="auto"/>
      </w:pPr>
      <w:r>
        <w:rPr>
          <w:b/>
          <w:bCs/>
          <w:vertAlign w:val="superscript"/>
        </w:rPr>
        <w:t>2</w:t>
      </w:r>
      <w:r>
        <w:tab/>
        <w:t>Согласно классификации расходных статей бюджета.</w:t>
      </w:r>
    </w:p>
    <w:p w:rsidR="00000000" w:rsidRDefault="00000000">
      <w:pPr>
        <w:spacing w:line="216" w:lineRule="auto"/>
        <w:rPr>
          <w:sz w:val="20"/>
        </w:rPr>
      </w:pPr>
    </w:p>
    <w:p w:rsidR="00000000" w:rsidRDefault="00000000">
      <w:pPr>
        <w:spacing w:line="216" w:lineRule="auto"/>
        <w:ind w:left="567" w:hanging="567"/>
      </w:pPr>
      <w:r>
        <w:rPr>
          <w:b/>
          <w:bCs/>
          <w:vertAlign w:val="superscript"/>
        </w:rPr>
        <w:t>3</w:t>
      </w:r>
      <w:r>
        <w:tab/>
        <w:t>Согласно классификации расходных статей бюджета, рубрика "Медицинское обслуживание".</w:t>
      </w:r>
    </w:p>
    <w:p w:rsidR="00000000" w:rsidRDefault="00000000">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80"/>
        <w:gridCol w:w="818"/>
        <w:gridCol w:w="853"/>
        <w:gridCol w:w="853"/>
        <w:gridCol w:w="853"/>
        <w:gridCol w:w="853"/>
        <w:gridCol w:w="853"/>
        <w:gridCol w:w="853"/>
        <w:gridCol w:w="1096"/>
      </w:tblGrid>
      <w:tr w:rsidR="00000000">
        <w:tblPrEx>
          <w:tblCellMar>
            <w:top w:w="0" w:type="dxa"/>
            <w:bottom w:w="0" w:type="dxa"/>
          </w:tblCellMar>
        </w:tblPrEx>
        <w:trPr>
          <w:cantSplit/>
        </w:trPr>
        <w:tc>
          <w:tcPr>
            <w:tcW w:w="2380" w:type="dxa"/>
          </w:tcPr>
          <w:p w:rsidR="00000000" w:rsidRDefault="00000000">
            <w:pPr>
              <w:rPr>
                <w:b/>
                <w:bCs/>
              </w:rPr>
            </w:pPr>
            <w:r>
              <w:rPr>
                <w:b/>
                <w:bCs/>
                <w:sz w:val="20"/>
              </w:rPr>
              <w:t>Расходы на здравоохранение на душу населения</w:t>
            </w:r>
          </w:p>
        </w:tc>
        <w:tc>
          <w:tcPr>
            <w:tcW w:w="818" w:type="dxa"/>
            <w:vAlign w:val="center"/>
          </w:tcPr>
          <w:p w:rsidR="00000000" w:rsidRDefault="00000000">
            <w:pPr>
              <w:rPr>
                <w:b/>
                <w:sz w:val="20"/>
                <w:szCs w:val="22"/>
              </w:rPr>
            </w:pPr>
            <w:r>
              <w:rPr>
                <w:b/>
                <w:sz w:val="20"/>
                <w:szCs w:val="22"/>
              </w:rPr>
              <w:t>1997 год</w:t>
            </w:r>
          </w:p>
        </w:tc>
        <w:tc>
          <w:tcPr>
            <w:tcW w:w="853" w:type="dxa"/>
            <w:vAlign w:val="center"/>
          </w:tcPr>
          <w:p w:rsidR="00000000" w:rsidRDefault="00000000">
            <w:pPr>
              <w:rPr>
                <w:b/>
                <w:sz w:val="20"/>
                <w:szCs w:val="22"/>
              </w:rPr>
            </w:pPr>
            <w:r>
              <w:rPr>
                <w:b/>
                <w:sz w:val="20"/>
                <w:szCs w:val="22"/>
              </w:rPr>
              <w:t>1998 год</w:t>
            </w:r>
          </w:p>
        </w:tc>
        <w:tc>
          <w:tcPr>
            <w:tcW w:w="853" w:type="dxa"/>
            <w:vAlign w:val="center"/>
          </w:tcPr>
          <w:p w:rsidR="00000000" w:rsidRDefault="00000000">
            <w:pPr>
              <w:rPr>
                <w:b/>
                <w:sz w:val="20"/>
                <w:szCs w:val="22"/>
              </w:rPr>
            </w:pPr>
            <w:r>
              <w:rPr>
                <w:b/>
                <w:sz w:val="20"/>
                <w:szCs w:val="22"/>
              </w:rPr>
              <w:t>1999 год</w:t>
            </w:r>
          </w:p>
        </w:tc>
        <w:tc>
          <w:tcPr>
            <w:tcW w:w="853" w:type="dxa"/>
            <w:vAlign w:val="center"/>
          </w:tcPr>
          <w:p w:rsidR="00000000" w:rsidRDefault="00000000">
            <w:pPr>
              <w:rPr>
                <w:b/>
                <w:sz w:val="20"/>
                <w:szCs w:val="22"/>
              </w:rPr>
            </w:pPr>
            <w:r>
              <w:rPr>
                <w:b/>
                <w:sz w:val="20"/>
                <w:szCs w:val="22"/>
              </w:rPr>
              <w:t>2000 год</w:t>
            </w:r>
          </w:p>
        </w:tc>
        <w:tc>
          <w:tcPr>
            <w:tcW w:w="853" w:type="dxa"/>
            <w:vAlign w:val="center"/>
          </w:tcPr>
          <w:p w:rsidR="00000000" w:rsidRDefault="00000000">
            <w:pPr>
              <w:rPr>
                <w:b/>
                <w:sz w:val="20"/>
                <w:szCs w:val="22"/>
              </w:rPr>
            </w:pPr>
            <w:r>
              <w:rPr>
                <w:b/>
                <w:sz w:val="20"/>
                <w:szCs w:val="22"/>
              </w:rPr>
              <w:t>2001 год</w:t>
            </w:r>
          </w:p>
        </w:tc>
        <w:tc>
          <w:tcPr>
            <w:tcW w:w="853" w:type="dxa"/>
            <w:vAlign w:val="center"/>
          </w:tcPr>
          <w:p w:rsidR="00000000" w:rsidRDefault="00000000">
            <w:pPr>
              <w:rPr>
                <w:b/>
                <w:sz w:val="20"/>
                <w:szCs w:val="22"/>
              </w:rPr>
            </w:pPr>
            <w:r>
              <w:rPr>
                <w:b/>
                <w:sz w:val="20"/>
                <w:szCs w:val="22"/>
              </w:rPr>
              <w:t>2002 год</w:t>
            </w:r>
          </w:p>
        </w:tc>
        <w:tc>
          <w:tcPr>
            <w:tcW w:w="853" w:type="dxa"/>
            <w:vAlign w:val="center"/>
          </w:tcPr>
          <w:p w:rsidR="00000000" w:rsidRDefault="00000000">
            <w:pPr>
              <w:rPr>
                <w:b/>
                <w:sz w:val="20"/>
                <w:szCs w:val="22"/>
              </w:rPr>
            </w:pPr>
            <w:r>
              <w:rPr>
                <w:b/>
                <w:sz w:val="20"/>
                <w:szCs w:val="22"/>
              </w:rPr>
              <w:t>2003 год</w:t>
            </w:r>
          </w:p>
        </w:tc>
        <w:tc>
          <w:tcPr>
            <w:tcW w:w="1096" w:type="dxa"/>
            <w:vAlign w:val="center"/>
          </w:tcPr>
          <w:p w:rsidR="00000000" w:rsidRDefault="00000000">
            <w:pPr>
              <w:rPr>
                <w:b/>
                <w:sz w:val="20"/>
                <w:szCs w:val="22"/>
              </w:rPr>
            </w:pPr>
            <w:r>
              <w:rPr>
                <w:b/>
                <w:sz w:val="20"/>
                <w:szCs w:val="22"/>
              </w:rPr>
              <w:t xml:space="preserve"> 2004 год</w:t>
            </w:r>
          </w:p>
        </w:tc>
      </w:tr>
      <w:tr w:rsidR="00000000">
        <w:tblPrEx>
          <w:tblCellMar>
            <w:top w:w="0" w:type="dxa"/>
            <w:bottom w:w="0" w:type="dxa"/>
          </w:tblCellMar>
        </w:tblPrEx>
        <w:trPr>
          <w:cantSplit/>
        </w:trPr>
        <w:tc>
          <w:tcPr>
            <w:tcW w:w="2380" w:type="dxa"/>
          </w:tcPr>
          <w:p w:rsidR="00000000" w:rsidRDefault="00000000">
            <w:pPr>
              <w:rPr>
                <w:sz w:val="20"/>
              </w:rPr>
            </w:pPr>
            <w:r>
              <w:rPr>
                <w:sz w:val="20"/>
              </w:rPr>
              <w:t>Государственные расходы на здравоохранение (в</w:t>
            </w:r>
            <w:r>
              <w:rPr>
                <w:sz w:val="20"/>
                <w:lang w:val="en-US"/>
              </w:rPr>
              <w:t> </w:t>
            </w:r>
            <w:r>
              <w:rPr>
                <w:sz w:val="20"/>
              </w:rPr>
              <w:t>млн. гуарани)</w:t>
            </w:r>
          </w:p>
        </w:tc>
        <w:tc>
          <w:tcPr>
            <w:tcW w:w="818" w:type="dxa"/>
            <w:vAlign w:val="center"/>
          </w:tcPr>
          <w:p w:rsidR="00000000" w:rsidRDefault="00000000">
            <w:pPr>
              <w:rPr>
                <w:sz w:val="20"/>
                <w:szCs w:val="22"/>
              </w:rPr>
            </w:pPr>
            <w:r>
              <w:rPr>
                <w:sz w:val="20"/>
                <w:szCs w:val="22"/>
              </w:rPr>
              <w:t>526 963</w:t>
            </w:r>
          </w:p>
        </w:tc>
        <w:tc>
          <w:tcPr>
            <w:tcW w:w="853" w:type="dxa"/>
            <w:vAlign w:val="center"/>
          </w:tcPr>
          <w:p w:rsidR="00000000" w:rsidRDefault="00000000">
            <w:pPr>
              <w:rPr>
                <w:sz w:val="20"/>
                <w:szCs w:val="22"/>
              </w:rPr>
            </w:pPr>
            <w:r>
              <w:rPr>
                <w:sz w:val="20"/>
                <w:szCs w:val="22"/>
              </w:rPr>
              <w:t>694 129</w:t>
            </w:r>
          </w:p>
        </w:tc>
        <w:tc>
          <w:tcPr>
            <w:tcW w:w="853" w:type="dxa"/>
            <w:vAlign w:val="center"/>
          </w:tcPr>
          <w:p w:rsidR="00000000" w:rsidRDefault="00000000">
            <w:pPr>
              <w:rPr>
                <w:sz w:val="20"/>
                <w:szCs w:val="22"/>
              </w:rPr>
            </w:pPr>
            <w:r>
              <w:rPr>
                <w:sz w:val="20"/>
                <w:szCs w:val="22"/>
              </w:rPr>
              <w:t>784 316</w:t>
            </w:r>
          </w:p>
        </w:tc>
        <w:tc>
          <w:tcPr>
            <w:tcW w:w="853" w:type="dxa"/>
            <w:vAlign w:val="center"/>
          </w:tcPr>
          <w:p w:rsidR="00000000" w:rsidRDefault="00000000">
            <w:pPr>
              <w:rPr>
                <w:sz w:val="20"/>
                <w:szCs w:val="22"/>
              </w:rPr>
            </w:pPr>
            <w:r>
              <w:rPr>
                <w:sz w:val="20"/>
                <w:szCs w:val="22"/>
              </w:rPr>
              <w:t>913 121</w:t>
            </w:r>
          </w:p>
        </w:tc>
        <w:tc>
          <w:tcPr>
            <w:tcW w:w="853" w:type="dxa"/>
            <w:vAlign w:val="center"/>
          </w:tcPr>
          <w:p w:rsidR="00000000" w:rsidRDefault="00000000">
            <w:pPr>
              <w:rPr>
                <w:sz w:val="20"/>
                <w:szCs w:val="22"/>
              </w:rPr>
            </w:pPr>
            <w:r>
              <w:rPr>
                <w:sz w:val="20"/>
                <w:szCs w:val="22"/>
              </w:rPr>
              <w:t>828 019</w:t>
            </w:r>
          </w:p>
        </w:tc>
        <w:tc>
          <w:tcPr>
            <w:tcW w:w="853" w:type="dxa"/>
            <w:vAlign w:val="center"/>
          </w:tcPr>
          <w:p w:rsidR="00000000" w:rsidRDefault="00000000">
            <w:pPr>
              <w:rPr>
                <w:sz w:val="20"/>
                <w:szCs w:val="22"/>
              </w:rPr>
            </w:pPr>
            <w:r>
              <w:rPr>
                <w:sz w:val="20"/>
                <w:szCs w:val="22"/>
              </w:rPr>
              <w:t>879 870</w:t>
            </w:r>
          </w:p>
        </w:tc>
        <w:tc>
          <w:tcPr>
            <w:tcW w:w="853" w:type="dxa"/>
            <w:vAlign w:val="center"/>
          </w:tcPr>
          <w:p w:rsidR="00000000" w:rsidRDefault="00000000">
            <w:pPr>
              <w:rPr>
                <w:sz w:val="20"/>
                <w:szCs w:val="22"/>
              </w:rPr>
            </w:pPr>
            <w:r>
              <w:rPr>
                <w:sz w:val="20"/>
                <w:szCs w:val="22"/>
              </w:rPr>
              <w:t>887 419</w:t>
            </w:r>
          </w:p>
        </w:tc>
        <w:tc>
          <w:tcPr>
            <w:tcW w:w="1096" w:type="dxa"/>
            <w:vAlign w:val="center"/>
          </w:tcPr>
          <w:p w:rsidR="00000000" w:rsidRDefault="00000000">
            <w:pPr>
              <w:rPr>
                <w:sz w:val="20"/>
                <w:szCs w:val="22"/>
              </w:rPr>
            </w:pPr>
            <w:r>
              <w:rPr>
                <w:sz w:val="20"/>
                <w:szCs w:val="22"/>
              </w:rPr>
              <w:t>1 072 297</w:t>
            </w:r>
          </w:p>
        </w:tc>
      </w:tr>
      <w:tr w:rsidR="00000000">
        <w:tblPrEx>
          <w:tblCellMar>
            <w:top w:w="0" w:type="dxa"/>
            <w:bottom w:w="0" w:type="dxa"/>
          </w:tblCellMar>
        </w:tblPrEx>
        <w:trPr>
          <w:cantSplit/>
        </w:trPr>
        <w:tc>
          <w:tcPr>
            <w:tcW w:w="2380" w:type="dxa"/>
          </w:tcPr>
          <w:p w:rsidR="00000000" w:rsidRDefault="00000000">
            <w:r>
              <w:rPr>
                <w:sz w:val="20"/>
              </w:rPr>
              <w:t>Государственные расходы на здравоохранение на душу населения</w:t>
            </w:r>
          </w:p>
        </w:tc>
        <w:tc>
          <w:tcPr>
            <w:tcW w:w="818" w:type="dxa"/>
            <w:vAlign w:val="center"/>
          </w:tcPr>
          <w:p w:rsidR="00000000" w:rsidRDefault="00000000">
            <w:pPr>
              <w:rPr>
                <w:sz w:val="20"/>
                <w:szCs w:val="22"/>
              </w:rPr>
            </w:pPr>
            <w:r>
              <w:rPr>
                <w:sz w:val="20"/>
                <w:szCs w:val="22"/>
              </w:rPr>
              <w:t>99 113</w:t>
            </w:r>
          </w:p>
        </w:tc>
        <w:tc>
          <w:tcPr>
            <w:tcW w:w="853" w:type="dxa"/>
            <w:vAlign w:val="center"/>
          </w:tcPr>
          <w:p w:rsidR="00000000" w:rsidRDefault="00000000">
            <w:pPr>
              <w:rPr>
                <w:sz w:val="20"/>
                <w:szCs w:val="22"/>
              </w:rPr>
            </w:pPr>
            <w:r>
              <w:rPr>
                <w:sz w:val="20"/>
                <w:szCs w:val="22"/>
              </w:rPr>
              <w:t>127 372</w:t>
            </w:r>
          </w:p>
        </w:tc>
        <w:tc>
          <w:tcPr>
            <w:tcW w:w="853" w:type="dxa"/>
            <w:vAlign w:val="center"/>
          </w:tcPr>
          <w:p w:rsidR="00000000" w:rsidRDefault="00000000">
            <w:pPr>
              <w:rPr>
                <w:sz w:val="20"/>
                <w:szCs w:val="22"/>
              </w:rPr>
            </w:pPr>
            <w:r>
              <w:rPr>
                <w:sz w:val="20"/>
                <w:szCs w:val="22"/>
              </w:rPr>
              <w:t>139 203</w:t>
            </w:r>
          </w:p>
        </w:tc>
        <w:tc>
          <w:tcPr>
            <w:tcW w:w="853" w:type="dxa"/>
            <w:vAlign w:val="center"/>
          </w:tcPr>
          <w:p w:rsidR="00000000" w:rsidRDefault="00000000">
            <w:pPr>
              <w:rPr>
                <w:sz w:val="20"/>
                <w:szCs w:val="22"/>
              </w:rPr>
            </w:pPr>
            <w:r>
              <w:rPr>
                <w:sz w:val="20"/>
                <w:szCs w:val="22"/>
              </w:rPr>
              <w:t>157 907</w:t>
            </w:r>
          </w:p>
        </w:tc>
        <w:tc>
          <w:tcPr>
            <w:tcW w:w="853" w:type="dxa"/>
            <w:vAlign w:val="center"/>
          </w:tcPr>
          <w:p w:rsidR="00000000" w:rsidRDefault="00000000">
            <w:pPr>
              <w:rPr>
                <w:sz w:val="20"/>
                <w:szCs w:val="22"/>
              </w:rPr>
            </w:pPr>
            <w:r>
              <w:rPr>
                <w:sz w:val="20"/>
                <w:szCs w:val="22"/>
              </w:rPr>
              <w:t>141 430</w:t>
            </w:r>
          </w:p>
        </w:tc>
        <w:tc>
          <w:tcPr>
            <w:tcW w:w="853" w:type="dxa"/>
            <w:vAlign w:val="center"/>
          </w:tcPr>
          <w:p w:rsidR="00000000" w:rsidRDefault="00000000">
            <w:pPr>
              <w:rPr>
                <w:sz w:val="20"/>
                <w:szCs w:val="22"/>
              </w:rPr>
            </w:pPr>
            <w:r>
              <w:rPr>
                <w:sz w:val="20"/>
                <w:szCs w:val="22"/>
              </w:rPr>
              <w:t>146 645</w:t>
            </w:r>
          </w:p>
        </w:tc>
        <w:tc>
          <w:tcPr>
            <w:tcW w:w="853" w:type="dxa"/>
            <w:vAlign w:val="center"/>
          </w:tcPr>
          <w:p w:rsidR="00000000" w:rsidRDefault="00000000">
            <w:pPr>
              <w:rPr>
                <w:sz w:val="20"/>
                <w:szCs w:val="22"/>
              </w:rPr>
            </w:pPr>
            <w:r>
              <w:rPr>
                <w:sz w:val="20"/>
                <w:szCs w:val="22"/>
              </w:rPr>
              <w:t>147 903</w:t>
            </w:r>
          </w:p>
        </w:tc>
        <w:tc>
          <w:tcPr>
            <w:tcW w:w="1096" w:type="dxa"/>
            <w:vAlign w:val="center"/>
          </w:tcPr>
          <w:p w:rsidR="00000000" w:rsidRDefault="00000000">
            <w:pPr>
              <w:rPr>
                <w:sz w:val="20"/>
                <w:szCs w:val="22"/>
              </w:rPr>
            </w:pPr>
            <w:r>
              <w:rPr>
                <w:sz w:val="20"/>
                <w:szCs w:val="22"/>
              </w:rPr>
              <w:t>178 716</w:t>
            </w:r>
          </w:p>
        </w:tc>
      </w:tr>
      <w:tr w:rsidR="00000000">
        <w:tblPrEx>
          <w:tblCellMar>
            <w:top w:w="0" w:type="dxa"/>
            <w:bottom w:w="0" w:type="dxa"/>
          </w:tblCellMar>
        </w:tblPrEx>
        <w:trPr>
          <w:cantSplit/>
        </w:trPr>
        <w:tc>
          <w:tcPr>
            <w:tcW w:w="2380" w:type="dxa"/>
          </w:tcPr>
          <w:p w:rsidR="00000000" w:rsidRDefault="00000000">
            <w:r>
              <w:rPr>
                <w:sz w:val="20"/>
              </w:rPr>
              <w:t>Государственные расходы на здравоохранение на душу населения (в долл. США)</w:t>
            </w:r>
          </w:p>
        </w:tc>
        <w:tc>
          <w:tcPr>
            <w:tcW w:w="818" w:type="dxa"/>
            <w:vAlign w:val="center"/>
          </w:tcPr>
          <w:p w:rsidR="00000000" w:rsidRDefault="00000000">
            <w:pPr>
              <w:rPr>
                <w:sz w:val="20"/>
                <w:szCs w:val="22"/>
              </w:rPr>
            </w:pPr>
            <w:r>
              <w:rPr>
                <w:sz w:val="20"/>
                <w:szCs w:val="22"/>
              </w:rPr>
              <w:t>45,22</w:t>
            </w:r>
          </w:p>
        </w:tc>
        <w:tc>
          <w:tcPr>
            <w:tcW w:w="853" w:type="dxa"/>
            <w:vAlign w:val="center"/>
          </w:tcPr>
          <w:p w:rsidR="00000000" w:rsidRDefault="00000000">
            <w:pPr>
              <w:rPr>
                <w:sz w:val="20"/>
                <w:szCs w:val="22"/>
              </w:rPr>
            </w:pPr>
            <w:r>
              <w:rPr>
                <w:sz w:val="20"/>
                <w:szCs w:val="22"/>
              </w:rPr>
              <w:t>46,23</w:t>
            </w:r>
          </w:p>
        </w:tc>
        <w:tc>
          <w:tcPr>
            <w:tcW w:w="853" w:type="dxa"/>
            <w:vAlign w:val="center"/>
          </w:tcPr>
          <w:p w:rsidR="00000000" w:rsidRDefault="00000000">
            <w:pPr>
              <w:rPr>
                <w:sz w:val="20"/>
                <w:szCs w:val="22"/>
              </w:rPr>
            </w:pPr>
            <w:r>
              <w:rPr>
                <w:sz w:val="20"/>
                <w:szCs w:val="22"/>
              </w:rPr>
              <w:t>44,40</w:t>
            </w:r>
          </w:p>
        </w:tc>
        <w:tc>
          <w:tcPr>
            <w:tcW w:w="853" w:type="dxa"/>
            <w:vAlign w:val="center"/>
          </w:tcPr>
          <w:p w:rsidR="00000000" w:rsidRDefault="00000000">
            <w:pPr>
              <w:rPr>
                <w:sz w:val="20"/>
                <w:szCs w:val="22"/>
              </w:rPr>
            </w:pPr>
            <w:r>
              <w:rPr>
                <w:sz w:val="20"/>
                <w:szCs w:val="22"/>
              </w:rPr>
              <w:t>45,09</w:t>
            </w:r>
          </w:p>
        </w:tc>
        <w:tc>
          <w:tcPr>
            <w:tcW w:w="853" w:type="dxa"/>
            <w:vAlign w:val="center"/>
          </w:tcPr>
          <w:p w:rsidR="00000000" w:rsidRDefault="00000000">
            <w:pPr>
              <w:rPr>
                <w:sz w:val="20"/>
                <w:szCs w:val="22"/>
              </w:rPr>
            </w:pPr>
            <w:r>
              <w:rPr>
                <w:sz w:val="20"/>
                <w:szCs w:val="22"/>
              </w:rPr>
              <w:t>34,26</w:t>
            </w:r>
          </w:p>
        </w:tc>
        <w:tc>
          <w:tcPr>
            <w:tcW w:w="853" w:type="dxa"/>
            <w:vAlign w:val="center"/>
          </w:tcPr>
          <w:p w:rsidR="00000000" w:rsidRDefault="00000000">
            <w:pPr>
              <w:rPr>
                <w:sz w:val="20"/>
                <w:szCs w:val="22"/>
              </w:rPr>
            </w:pPr>
            <w:r>
              <w:rPr>
                <w:sz w:val="20"/>
                <w:szCs w:val="22"/>
              </w:rPr>
              <w:t>25,4</w:t>
            </w:r>
          </w:p>
        </w:tc>
        <w:tc>
          <w:tcPr>
            <w:tcW w:w="853" w:type="dxa"/>
            <w:vAlign w:val="center"/>
          </w:tcPr>
          <w:p w:rsidR="00000000" w:rsidRDefault="00000000">
            <w:pPr>
              <w:rPr>
                <w:sz w:val="20"/>
                <w:szCs w:val="22"/>
              </w:rPr>
            </w:pPr>
            <w:r>
              <w:rPr>
                <w:sz w:val="20"/>
                <w:szCs w:val="22"/>
              </w:rPr>
              <w:t>23,1</w:t>
            </w:r>
          </w:p>
        </w:tc>
        <w:tc>
          <w:tcPr>
            <w:tcW w:w="1096" w:type="dxa"/>
            <w:vAlign w:val="center"/>
          </w:tcPr>
          <w:p w:rsidR="00000000" w:rsidRDefault="00000000">
            <w:pPr>
              <w:rPr>
                <w:sz w:val="20"/>
                <w:szCs w:val="22"/>
              </w:rPr>
            </w:pPr>
            <w:r>
              <w:rPr>
                <w:sz w:val="20"/>
                <w:szCs w:val="22"/>
              </w:rPr>
              <w:t>28,6</w:t>
            </w:r>
          </w:p>
        </w:tc>
      </w:tr>
    </w:tbl>
    <w:p w:rsidR="00000000" w:rsidRDefault="00000000"/>
    <w:p w:rsidR="00000000" w:rsidRDefault="00000000">
      <w:r>
        <w:rPr>
          <w:i/>
          <w:iCs/>
        </w:rPr>
        <w:t>Источник:</w:t>
      </w:r>
      <w:r>
        <w:t xml:space="preserve">  Государственный сектор:  </w:t>
      </w:r>
      <w:r>
        <w:rPr>
          <w:kern w:val="2"/>
        </w:rPr>
        <w:t>министерство здравоохранения и социального обеспечения, СИКО,</w:t>
      </w:r>
      <w:r>
        <w:t xml:space="preserve"> министерство финансов, национальные счета по статье "Здравоохранение".</w:t>
      </w:r>
    </w:p>
    <w:p w:rsidR="00000000" w:rsidRDefault="00000000">
      <w:pPr>
        <w:rPr>
          <w:sz w:val="16"/>
        </w:rPr>
      </w:pPr>
    </w:p>
    <w:p w:rsidR="00000000" w:rsidRDefault="00000000">
      <w:pPr>
        <w:rPr>
          <w:b/>
          <w:bCs/>
        </w:rPr>
      </w:pPr>
      <w:r>
        <w:rPr>
          <w:b/>
          <w:bCs/>
        </w:rPr>
        <w:t>3.</w:t>
      </w:r>
      <w:r>
        <w:rPr>
          <w:b/>
          <w:bCs/>
        </w:rPr>
        <w:tab/>
        <w:t>Показатели детской смертности</w:t>
      </w:r>
    </w:p>
    <w:p w:rsidR="00000000" w:rsidRDefault="00000000"/>
    <w:p w:rsidR="00000000" w:rsidRDefault="00000000">
      <w:r>
        <w:t>468.</w:t>
      </w:r>
      <w:r>
        <w:tab/>
        <w:t>Данный раздел дополняет информацию общего характера, изложенную ранее в первой части настоящего доклада.  Статистические данные, которые приводятся ниже, отражают картину детской смертности в разбивке по признаку пола, зоне проживания умершего и санитарным районам.  В частности, из 1 683 детей, умерших в возрасте до одного года, 1 025 (61%) скончались на первом месяце жизни, причем 768 (75%) из них не прожили и недели.</w:t>
      </w:r>
    </w:p>
    <w:p w:rsidR="00000000" w:rsidRDefault="00000000">
      <w:pPr>
        <w:tabs>
          <w:tab w:val="left" w:pos="540"/>
        </w:tabs>
      </w:pPr>
    </w:p>
    <w:p w:rsidR="00000000" w:rsidRDefault="00000000">
      <w:r>
        <w:t>469.</w:t>
      </w:r>
      <w:r>
        <w:tab/>
        <w:t>1 257 детей, умерших в возрасте до одного года (74%), по месту проживания родителей относятся к городским районам.  По признаку пола 923 (55%) - мальчики, 758 (45%) - девочки.  Среди первых пяти основных причин детской смертности фигурируют родовые травмы, послеродовые инфекции, врожденные пороки, недоношенность, воспаление легких и грипп.</w:t>
      </w:r>
    </w:p>
    <w:p w:rsidR="00000000" w:rsidRDefault="00000000">
      <w:pPr>
        <w:tabs>
          <w:tab w:val="left" w:pos="540"/>
        </w:tabs>
      </w:pPr>
    </w:p>
    <w:p w:rsidR="00000000" w:rsidRDefault="00000000">
      <w:r>
        <w:t>470.</w:t>
      </w:r>
      <w:r>
        <w:tab/>
        <w:t>В то же время главной причиной материнской смертности остается аборт, сопровождающийся токсемией и кровотечением.  Относительно распределения по санитарным районам можно заметить, что за три последние года наибольшее количество смертей среди матерей приходится на следующие департаменты:  Сентраль, Сан-Педро, Альто-Парана и Каагуасу.  Ниже приводится развернутая информация о положении дел с доступностью услуг здравоохранения в Парагвае.</w:t>
      </w:r>
    </w:p>
    <w:p w:rsidR="00000000" w:rsidRDefault="00000000"/>
    <w:p w:rsidR="00000000" w:rsidRDefault="00000000">
      <w:pPr>
        <w:keepNext/>
        <w:jc w:val="center"/>
        <w:rPr>
          <w:b/>
          <w:szCs w:val="16"/>
          <w:lang w:eastAsia="es-ES"/>
        </w:rPr>
      </w:pPr>
      <w:r>
        <w:rPr>
          <w:b/>
          <w:szCs w:val="16"/>
          <w:lang w:eastAsia="es-ES"/>
        </w:rPr>
        <w:t>Парагвай, случаи смерти младенцев в возрасте до одного года, не охваченных медицинским обслуживанием, в разбивке по санитарным районам, 2003 год</w:t>
      </w:r>
    </w:p>
    <w:p w:rsidR="00000000" w:rsidRDefault="00000000">
      <w:pPr>
        <w:keepNext/>
        <w:rPr>
          <w:szCs w:val="16"/>
        </w:rPr>
      </w:pPr>
    </w:p>
    <w:tbl>
      <w:tblPr>
        <w:tblW w:w="5000" w:type="pct"/>
        <w:jc w:val="center"/>
        <w:tblCellMar>
          <w:left w:w="70" w:type="dxa"/>
          <w:right w:w="70" w:type="dxa"/>
        </w:tblCellMar>
        <w:tblLook w:val="0000" w:firstRow="0" w:lastRow="0" w:firstColumn="0" w:lastColumn="0" w:noHBand="0" w:noVBand="0"/>
      </w:tblPr>
      <w:tblGrid>
        <w:gridCol w:w="2385"/>
        <w:gridCol w:w="815"/>
        <w:gridCol w:w="686"/>
        <w:gridCol w:w="815"/>
        <w:gridCol w:w="682"/>
        <w:gridCol w:w="815"/>
        <w:gridCol w:w="682"/>
        <w:gridCol w:w="815"/>
        <w:gridCol w:w="817"/>
        <w:gridCol w:w="984"/>
      </w:tblGrid>
      <w:tr w:rsidR="00000000">
        <w:trPr>
          <w:cantSplit/>
          <w:trHeight w:val="20"/>
          <w:tblHeader/>
          <w:jc w:val="center"/>
        </w:trPr>
        <w:tc>
          <w:tcPr>
            <w:tcW w:w="1255" w:type="pct"/>
            <w:vMerge w:val="restart"/>
            <w:tcBorders>
              <w:top w:val="single" w:sz="4" w:space="0" w:color="auto"/>
              <w:left w:val="single" w:sz="4" w:space="0" w:color="auto"/>
              <w:bottom w:val="single" w:sz="4" w:space="0" w:color="000000"/>
              <w:right w:val="single" w:sz="4" w:space="0" w:color="auto"/>
            </w:tcBorders>
            <w:vAlign w:val="center"/>
          </w:tcPr>
          <w:p w:rsidR="00000000" w:rsidRDefault="00000000">
            <w:pPr>
              <w:keepNext/>
              <w:rPr>
                <w:b/>
                <w:bCs/>
                <w:szCs w:val="16"/>
              </w:rPr>
            </w:pPr>
            <w:r>
              <w:rPr>
                <w:b/>
                <w:bCs/>
                <w:szCs w:val="16"/>
              </w:rPr>
              <w:t>Санитарный регион</w:t>
            </w:r>
          </w:p>
        </w:tc>
        <w:tc>
          <w:tcPr>
            <w:tcW w:w="790" w:type="pct"/>
            <w:gridSpan w:val="2"/>
            <w:tcBorders>
              <w:top w:val="single" w:sz="4" w:space="0" w:color="auto"/>
              <w:left w:val="nil"/>
              <w:bottom w:val="single" w:sz="4" w:space="0" w:color="auto"/>
              <w:right w:val="single" w:sz="4" w:space="0" w:color="000000"/>
            </w:tcBorders>
            <w:noWrap/>
            <w:vAlign w:val="bottom"/>
          </w:tcPr>
          <w:p w:rsidR="00000000" w:rsidRDefault="00000000">
            <w:pPr>
              <w:keepNext/>
              <w:jc w:val="center"/>
              <w:rPr>
                <w:b/>
                <w:bCs/>
                <w:szCs w:val="16"/>
              </w:rPr>
            </w:pPr>
            <w:r>
              <w:rPr>
                <w:b/>
                <w:bCs/>
                <w:szCs w:val="16"/>
              </w:rPr>
              <w:t>1 день</w:t>
            </w:r>
          </w:p>
        </w:tc>
        <w:tc>
          <w:tcPr>
            <w:tcW w:w="788" w:type="pct"/>
            <w:gridSpan w:val="2"/>
            <w:tcBorders>
              <w:top w:val="single" w:sz="4" w:space="0" w:color="auto"/>
              <w:left w:val="nil"/>
              <w:bottom w:val="single" w:sz="4" w:space="0" w:color="auto"/>
              <w:right w:val="nil"/>
            </w:tcBorders>
            <w:noWrap/>
            <w:vAlign w:val="bottom"/>
          </w:tcPr>
          <w:p w:rsidR="00000000" w:rsidRDefault="00000000">
            <w:pPr>
              <w:keepNext/>
              <w:jc w:val="center"/>
              <w:rPr>
                <w:b/>
                <w:bCs/>
                <w:szCs w:val="16"/>
              </w:rPr>
            </w:pPr>
            <w:r>
              <w:rPr>
                <w:b/>
                <w:bCs/>
                <w:szCs w:val="16"/>
              </w:rPr>
              <w:t>1-6 дней</w:t>
            </w:r>
          </w:p>
        </w:tc>
        <w:tc>
          <w:tcPr>
            <w:tcW w:w="788" w:type="pct"/>
            <w:gridSpan w:val="2"/>
            <w:tcBorders>
              <w:top w:val="single" w:sz="4" w:space="0" w:color="auto"/>
              <w:left w:val="single" w:sz="4" w:space="0" w:color="auto"/>
              <w:bottom w:val="single" w:sz="4" w:space="0" w:color="auto"/>
              <w:right w:val="nil"/>
            </w:tcBorders>
            <w:noWrap/>
            <w:vAlign w:val="bottom"/>
          </w:tcPr>
          <w:p w:rsidR="00000000" w:rsidRDefault="00000000">
            <w:pPr>
              <w:keepNext/>
              <w:jc w:val="center"/>
              <w:rPr>
                <w:b/>
                <w:bCs/>
                <w:szCs w:val="16"/>
              </w:rPr>
            </w:pPr>
            <w:r>
              <w:rPr>
                <w:b/>
                <w:bCs/>
                <w:szCs w:val="16"/>
              </w:rPr>
              <w:t>7-27 дней</w:t>
            </w:r>
          </w:p>
        </w:tc>
        <w:tc>
          <w:tcPr>
            <w:tcW w:w="859" w:type="pct"/>
            <w:gridSpan w:val="2"/>
            <w:tcBorders>
              <w:top w:val="single" w:sz="4" w:space="0" w:color="auto"/>
              <w:left w:val="single" w:sz="4" w:space="0" w:color="auto"/>
              <w:bottom w:val="single" w:sz="4" w:space="0" w:color="auto"/>
              <w:right w:val="single" w:sz="4" w:space="0" w:color="000000"/>
            </w:tcBorders>
            <w:noWrap/>
            <w:vAlign w:val="bottom"/>
          </w:tcPr>
          <w:p w:rsidR="00000000" w:rsidRDefault="00000000">
            <w:pPr>
              <w:keepNext/>
              <w:jc w:val="center"/>
              <w:rPr>
                <w:b/>
                <w:bCs/>
                <w:szCs w:val="16"/>
              </w:rPr>
            </w:pPr>
            <w:r>
              <w:rPr>
                <w:b/>
                <w:bCs/>
                <w:szCs w:val="16"/>
              </w:rPr>
              <w:t>с 28 дня</w:t>
            </w:r>
          </w:p>
        </w:tc>
        <w:tc>
          <w:tcPr>
            <w:tcW w:w="518" w:type="pct"/>
            <w:vMerge w:val="restart"/>
            <w:tcBorders>
              <w:top w:val="single" w:sz="4" w:space="0" w:color="auto"/>
              <w:left w:val="single" w:sz="4" w:space="0" w:color="auto"/>
              <w:bottom w:val="single" w:sz="4" w:space="0" w:color="000000"/>
              <w:right w:val="single" w:sz="4" w:space="0" w:color="auto"/>
            </w:tcBorders>
            <w:noWrap/>
            <w:vAlign w:val="center"/>
          </w:tcPr>
          <w:p w:rsidR="00000000" w:rsidRDefault="00000000">
            <w:pPr>
              <w:keepNext/>
              <w:jc w:val="center"/>
              <w:rPr>
                <w:b/>
                <w:bCs/>
                <w:szCs w:val="16"/>
              </w:rPr>
            </w:pPr>
            <w:r>
              <w:rPr>
                <w:b/>
                <w:bCs/>
                <w:szCs w:val="16"/>
              </w:rPr>
              <w:t>Всего</w:t>
            </w:r>
          </w:p>
        </w:tc>
      </w:tr>
      <w:tr w:rsidR="00000000">
        <w:trPr>
          <w:cantSplit/>
          <w:trHeight w:val="20"/>
          <w:tblHeader/>
          <w:jc w:val="center"/>
        </w:trPr>
        <w:tc>
          <w:tcPr>
            <w:tcW w:w="0" w:type="auto"/>
            <w:vMerge/>
            <w:tcBorders>
              <w:top w:val="single" w:sz="4" w:space="0" w:color="auto"/>
              <w:left w:val="single" w:sz="4" w:space="0" w:color="auto"/>
              <w:bottom w:val="single" w:sz="4" w:space="0" w:color="000000"/>
              <w:right w:val="single" w:sz="4" w:space="0" w:color="auto"/>
            </w:tcBorders>
            <w:vAlign w:val="center"/>
          </w:tcPr>
          <w:p w:rsidR="00000000" w:rsidRDefault="00000000">
            <w:pPr>
              <w:keepNext/>
              <w:rPr>
                <w:b/>
                <w:bCs/>
                <w:szCs w:val="16"/>
              </w:rPr>
            </w:pPr>
          </w:p>
        </w:tc>
        <w:tc>
          <w:tcPr>
            <w:tcW w:w="429" w:type="pct"/>
            <w:tcBorders>
              <w:top w:val="nil"/>
              <w:left w:val="nil"/>
              <w:bottom w:val="single" w:sz="4" w:space="0" w:color="auto"/>
              <w:right w:val="single" w:sz="4" w:space="0" w:color="auto"/>
            </w:tcBorders>
            <w:noWrap/>
            <w:vAlign w:val="bottom"/>
          </w:tcPr>
          <w:p w:rsidR="00000000" w:rsidRDefault="00000000">
            <w:pPr>
              <w:keepNext/>
              <w:jc w:val="center"/>
              <w:rPr>
                <w:b/>
                <w:bCs/>
                <w:szCs w:val="16"/>
              </w:rPr>
            </w:pPr>
            <w:r>
              <w:rPr>
                <w:b/>
                <w:bCs/>
                <w:szCs w:val="16"/>
              </w:rPr>
              <w:t>ДА</w:t>
            </w:r>
          </w:p>
        </w:tc>
        <w:tc>
          <w:tcPr>
            <w:tcW w:w="361" w:type="pct"/>
            <w:tcBorders>
              <w:top w:val="nil"/>
              <w:left w:val="nil"/>
              <w:bottom w:val="single" w:sz="4" w:space="0" w:color="auto"/>
              <w:right w:val="single" w:sz="4" w:space="0" w:color="auto"/>
            </w:tcBorders>
            <w:noWrap/>
            <w:vAlign w:val="bottom"/>
          </w:tcPr>
          <w:p w:rsidR="00000000" w:rsidRDefault="00000000">
            <w:pPr>
              <w:keepNext/>
              <w:jc w:val="center"/>
              <w:rPr>
                <w:b/>
                <w:bCs/>
                <w:szCs w:val="16"/>
              </w:rPr>
            </w:pPr>
            <w:r>
              <w:rPr>
                <w:b/>
                <w:bCs/>
                <w:szCs w:val="16"/>
              </w:rPr>
              <w:t>НЕТ</w:t>
            </w:r>
          </w:p>
        </w:tc>
        <w:tc>
          <w:tcPr>
            <w:tcW w:w="429" w:type="pct"/>
            <w:tcBorders>
              <w:top w:val="nil"/>
              <w:left w:val="nil"/>
              <w:bottom w:val="single" w:sz="4" w:space="0" w:color="auto"/>
              <w:right w:val="single" w:sz="4" w:space="0" w:color="auto"/>
            </w:tcBorders>
            <w:noWrap/>
            <w:vAlign w:val="bottom"/>
          </w:tcPr>
          <w:p w:rsidR="00000000" w:rsidRDefault="00000000">
            <w:pPr>
              <w:keepNext/>
              <w:jc w:val="center"/>
              <w:rPr>
                <w:b/>
                <w:bCs/>
                <w:szCs w:val="16"/>
              </w:rPr>
            </w:pPr>
            <w:r>
              <w:rPr>
                <w:b/>
                <w:bCs/>
                <w:szCs w:val="16"/>
              </w:rPr>
              <w:t>ДА</w:t>
            </w:r>
          </w:p>
        </w:tc>
        <w:tc>
          <w:tcPr>
            <w:tcW w:w="359" w:type="pct"/>
            <w:tcBorders>
              <w:top w:val="nil"/>
              <w:left w:val="nil"/>
              <w:bottom w:val="single" w:sz="4" w:space="0" w:color="auto"/>
              <w:right w:val="single" w:sz="4" w:space="0" w:color="auto"/>
            </w:tcBorders>
            <w:noWrap/>
            <w:vAlign w:val="bottom"/>
          </w:tcPr>
          <w:p w:rsidR="00000000" w:rsidRDefault="00000000">
            <w:pPr>
              <w:keepNext/>
              <w:jc w:val="center"/>
              <w:rPr>
                <w:b/>
                <w:bCs/>
                <w:szCs w:val="16"/>
              </w:rPr>
            </w:pPr>
            <w:r>
              <w:rPr>
                <w:b/>
                <w:bCs/>
                <w:szCs w:val="16"/>
              </w:rPr>
              <w:t>НЕТ</w:t>
            </w:r>
          </w:p>
        </w:tc>
        <w:tc>
          <w:tcPr>
            <w:tcW w:w="429" w:type="pct"/>
            <w:tcBorders>
              <w:top w:val="nil"/>
              <w:left w:val="nil"/>
              <w:bottom w:val="single" w:sz="4" w:space="0" w:color="auto"/>
              <w:right w:val="single" w:sz="4" w:space="0" w:color="auto"/>
            </w:tcBorders>
            <w:noWrap/>
            <w:vAlign w:val="bottom"/>
          </w:tcPr>
          <w:p w:rsidR="00000000" w:rsidRDefault="00000000">
            <w:pPr>
              <w:keepNext/>
              <w:jc w:val="center"/>
              <w:rPr>
                <w:b/>
                <w:bCs/>
                <w:szCs w:val="16"/>
              </w:rPr>
            </w:pPr>
            <w:r>
              <w:rPr>
                <w:b/>
                <w:bCs/>
                <w:szCs w:val="16"/>
              </w:rPr>
              <w:t>ДА</w:t>
            </w:r>
          </w:p>
        </w:tc>
        <w:tc>
          <w:tcPr>
            <w:tcW w:w="359" w:type="pct"/>
            <w:tcBorders>
              <w:top w:val="nil"/>
              <w:left w:val="nil"/>
              <w:bottom w:val="single" w:sz="4" w:space="0" w:color="auto"/>
              <w:right w:val="single" w:sz="4" w:space="0" w:color="auto"/>
            </w:tcBorders>
            <w:noWrap/>
            <w:vAlign w:val="bottom"/>
          </w:tcPr>
          <w:p w:rsidR="00000000" w:rsidRDefault="00000000">
            <w:pPr>
              <w:keepNext/>
              <w:jc w:val="center"/>
              <w:rPr>
                <w:b/>
                <w:bCs/>
                <w:szCs w:val="16"/>
              </w:rPr>
            </w:pPr>
            <w:r>
              <w:rPr>
                <w:b/>
                <w:bCs/>
                <w:szCs w:val="16"/>
              </w:rPr>
              <w:t>НЕТ</w:t>
            </w:r>
          </w:p>
        </w:tc>
        <w:tc>
          <w:tcPr>
            <w:tcW w:w="429" w:type="pct"/>
            <w:tcBorders>
              <w:top w:val="nil"/>
              <w:left w:val="nil"/>
              <w:bottom w:val="single" w:sz="4" w:space="0" w:color="auto"/>
              <w:right w:val="single" w:sz="4" w:space="0" w:color="auto"/>
            </w:tcBorders>
            <w:noWrap/>
            <w:vAlign w:val="bottom"/>
          </w:tcPr>
          <w:p w:rsidR="00000000" w:rsidRDefault="00000000">
            <w:pPr>
              <w:keepNext/>
              <w:jc w:val="center"/>
              <w:rPr>
                <w:b/>
                <w:bCs/>
                <w:szCs w:val="16"/>
              </w:rPr>
            </w:pPr>
            <w:r>
              <w:rPr>
                <w:b/>
                <w:bCs/>
                <w:szCs w:val="16"/>
              </w:rPr>
              <w:t>ДА</w:t>
            </w:r>
          </w:p>
        </w:tc>
        <w:tc>
          <w:tcPr>
            <w:tcW w:w="430" w:type="pct"/>
            <w:tcBorders>
              <w:top w:val="nil"/>
              <w:left w:val="nil"/>
              <w:bottom w:val="single" w:sz="4" w:space="0" w:color="auto"/>
              <w:right w:val="single" w:sz="4" w:space="0" w:color="auto"/>
            </w:tcBorders>
            <w:noWrap/>
            <w:vAlign w:val="bottom"/>
          </w:tcPr>
          <w:p w:rsidR="00000000" w:rsidRDefault="00000000">
            <w:pPr>
              <w:keepNext/>
              <w:jc w:val="center"/>
              <w:rPr>
                <w:b/>
                <w:bCs/>
                <w:szCs w:val="16"/>
              </w:rPr>
            </w:pPr>
            <w:r>
              <w:rPr>
                <w:b/>
                <w:bCs/>
                <w:szCs w:val="16"/>
              </w:rPr>
              <w:t>НЕТ</w:t>
            </w:r>
          </w:p>
        </w:tc>
        <w:tc>
          <w:tcPr>
            <w:tcW w:w="0" w:type="auto"/>
            <w:vMerge/>
            <w:tcBorders>
              <w:top w:val="single" w:sz="4" w:space="0" w:color="auto"/>
              <w:left w:val="single" w:sz="4" w:space="0" w:color="auto"/>
              <w:bottom w:val="single" w:sz="4" w:space="0" w:color="000000"/>
              <w:right w:val="single" w:sz="4" w:space="0" w:color="auto"/>
            </w:tcBorders>
            <w:vAlign w:val="center"/>
          </w:tcPr>
          <w:p w:rsidR="00000000" w:rsidRDefault="00000000">
            <w:pPr>
              <w:keepNext/>
              <w:jc w:val="center"/>
              <w:rPr>
                <w:b/>
                <w:bCs/>
                <w:szCs w:val="16"/>
              </w:rPr>
            </w:pPr>
          </w:p>
        </w:tc>
      </w:tr>
      <w:tr w:rsidR="00000000">
        <w:trPr>
          <w:trHeight w:val="20"/>
          <w:jc w:val="center"/>
        </w:trPr>
        <w:tc>
          <w:tcPr>
            <w:tcW w:w="1255" w:type="pct"/>
            <w:tcBorders>
              <w:top w:val="nil"/>
              <w:left w:val="single" w:sz="4" w:space="0" w:color="auto"/>
              <w:bottom w:val="single" w:sz="4" w:space="0" w:color="auto"/>
              <w:right w:val="single" w:sz="4" w:space="0" w:color="auto"/>
            </w:tcBorders>
            <w:noWrap/>
            <w:vAlign w:val="bottom"/>
          </w:tcPr>
          <w:p w:rsidR="00000000" w:rsidRDefault="00000000">
            <w:pPr>
              <w:keepNext/>
              <w:rPr>
                <w:szCs w:val="16"/>
              </w:rPr>
            </w:pPr>
            <w:r>
              <w:rPr>
                <w:kern w:val="2"/>
              </w:rPr>
              <w:t>Консепсьон</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keepNext/>
              <w:jc w:val="right"/>
              <w:rPr>
                <w:szCs w:val="16"/>
              </w:rPr>
            </w:pPr>
            <w:r>
              <w:rPr>
                <w:szCs w:val="16"/>
              </w:rPr>
              <w:t>14</w:t>
            </w:r>
          </w:p>
        </w:tc>
        <w:tc>
          <w:tcPr>
            <w:tcW w:w="361" w:type="pct"/>
            <w:tcBorders>
              <w:top w:val="nil"/>
              <w:left w:val="nil"/>
              <w:bottom w:val="single" w:sz="4" w:space="0" w:color="auto"/>
              <w:right w:val="single" w:sz="4" w:space="0" w:color="auto"/>
            </w:tcBorders>
            <w:noWrap/>
            <w:tcMar>
              <w:left w:w="0" w:type="dxa"/>
              <w:right w:w="255" w:type="dxa"/>
            </w:tcMar>
            <w:vAlign w:val="bottom"/>
          </w:tcPr>
          <w:p w:rsidR="00000000" w:rsidRDefault="00000000">
            <w:pPr>
              <w:keepNext/>
              <w:jc w:val="right"/>
              <w:rPr>
                <w:szCs w:val="16"/>
              </w:rPr>
            </w:pPr>
            <w:r>
              <w:rPr>
                <w:szCs w:val="16"/>
              </w:rPr>
              <w:t>2</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keepNext/>
              <w:jc w:val="right"/>
              <w:rPr>
                <w:szCs w:val="16"/>
              </w:rPr>
            </w:pPr>
            <w:r>
              <w:rPr>
                <w:szCs w:val="16"/>
              </w:rPr>
              <w:t>39</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keepNext/>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keepNext/>
              <w:jc w:val="right"/>
              <w:rPr>
                <w:szCs w:val="16"/>
              </w:rPr>
            </w:pPr>
            <w:r>
              <w:rPr>
                <w:szCs w:val="16"/>
              </w:rPr>
              <w:t>15</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keepNext/>
              <w:jc w:val="right"/>
              <w:rPr>
                <w:szCs w:val="16"/>
              </w:rPr>
            </w:pPr>
            <w:r>
              <w:rPr>
                <w:szCs w:val="16"/>
              </w:rPr>
              <w:t>2</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keepNext/>
              <w:jc w:val="right"/>
              <w:rPr>
                <w:szCs w:val="16"/>
              </w:rPr>
            </w:pPr>
            <w:r>
              <w:rPr>
                <w:szCs w:val="16"/>
              </w:rPr>
              <w:t>28</w:t>
            </w:r>
          </w:p>
        </w:tc>
        <w:tc>
          <w:tcPr>
            <w:tcW w:w="430" w:type="pct"/>
            <w:tcBorders>
              <w:top w:val="nil"/>
              <w:left w:val="nil"/>
              <w:bottom w:val="single" w:sz="4" w:space="0" w:color="auto"/>
              <w:right w:val="single" w:sz="4" w:space="0" w:color="auto"/>
            </w:tcBorders>
            <w:noWrap/>
            <w:tcMar>
              <w:left w:w="0" w:type="dxa"/>
              <w:right w:w="255" w:type="dxa"/>
            </w:tcMar>
            <w:vAlign w:val="bottom"/>
          </w:tcPr>
          <w:p w:rsidR="00000000" w:rsidRDefault="00000000">
            <w:pPr>
              <w:keepNext/>
              <w:jc w:val="right"/>
              <w:rPr>
                <w:szCs w:val="16"/>
              </w:rPr>
            </w:pPr>
            <w:r>
              <w:rPr>
                <w:szCs w:val="16"/>
              </w:rPr>
              <w:t>8</w:t>
            </w:r>
          </w:p>
        </w:tc>
        <w:tc>
          <w:tcPr>
            <w:tcW w:w="518" w:type="pct"/>
            <w:tcBorders>
              <w:top w:val="nil"/>
              <w:left w:val="nil"/>
              <w:bottom w:val="single" w:sz="4" w:space="0" w:color="auto"/>
              <w:right w:val="single" w:sz="4" w:space="0" w:color="auto"/>
            </w:tcBorders>
            <w:noWrap/>
            <w:tcMar>
              <w:left w:w="0" w:type="dxa"/>
              <w:right w:w="255" w:type="dxa"/>
            </w:tcMar>
            <w:vAlign w:val="bottom"/>
          </w:tcPr>
          <w:p w:rsidR="00000000" w:rsidRDefault="00000000">
            <w:pPr>
              <w:keepNext/>
              <w:jc w:val="right"/>
              <w:rPr>
                <w:szCs w:val="16"/>
              </w:rPr>
            </w:pPr>
            <w:r>
              <w:rPr>
                <w:szCs w:val="16"/>
              </w:rPr>
              <w:t>108</w:t>
            </w:r>
          </w:p>
        </w:tc>
      </w:tr>
      <w:tr w:rsidR="00000000">
        <w:trPr>
          <w:trHeight w:val="20"/>
          <w:jc w:val="center"/>
        </w:trPr>
        <w:tc>
          <w:tcPr>
            <w:tcW w:w="1255"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kern w:val="2"/>
              </w:rPr>
              <w:t>Сан-Педро</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13</w:t>
            </w:r>
          </w:p>
        </w:tc>
        <w:tc>
          <w:tcPr>
            <w:tcW w:w="361"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18</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13</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42</w:t>
            </w:r>
          </w:p>
        </w:tc>
        <w:tc>
          <w:tcPr>
            <w:tcW w:w="430"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4</w:t>
            </w:r>
          </w:p>
        </w:tc>
        <w:tc>
          <w:tcPr>
            <w:tcW w:w="518"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90</w:t>
            </w:r>
          </w:p>
        </w:tc>
      </w:tr>
      <w:tr w:rsidR="00000000">
        <w:trPr>
          <w:trHeight w:val="20"/>
          <w:jc w:val="center"/>
        </w:trPr>
        <w:tc>
          <w:tcPr>
            <w:tcW w:w="1255"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kern w:val="2"/>
              </w:rPr>
              <w:t>Кордильера</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26</w:t>
            </w:r>
          </w:p>
        </w:tc>
        <w:tc>
          <w:tcPr>
            <w:tcW w:w="361"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18</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8</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3</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28</w:t>
            </w:r>
          </w:p>
        </w:tc>
        <w:tc>
          <w:tcPr>
            <w:tcW w:w="430"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8</w:t>
            </w:r>
          </w:p>
        </w:tc>
        <w:tc>
          <w:tcPr>
            <w:tcW w:w="518"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93</w:t>
            </w:r>
          </w:p>
        </w:tc>
      </w:tr>
      <w:tr w:rsidR="00000000">
        <w:trPr>
          <w:trHeight w:val="20"/>
          <w:jc w:val="center"/>
        </w:trPr>
        <w:tc>
          <w:tcPr>
            <w:tcW w:w="1255"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szCs w:val="16"/>
              </w:rPr>
              <w:t>Гуаира</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15</w:t>
            </w:r>
          </w:p>
        </w:tc>
        <w:tc>
          <w:tcPr>
            <w:tcW w:w="361"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2</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27</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3</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17</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25</w:t>
            </w:r>
          </w:p>
        </w:tc>
        <w:tc>
          <w:tcPr>
            <w:tcW w:w="430"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5</w:t>
            </w:r>
          </w:p>
        </w:tc>
        <w:tc>
          <w:tcPr>
            <w:tcW w:w="518"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95</w:t>
            </w:r>
          </w:p>
        </w:tc>
      </w:tr>
      <w:tr w:rsidR="00000000">
        <w:trPr>
          <w:trHeight w:val="20"/>
          <w:jc w:val="center"/>
        </w:trPr>
        <w:tc>
          <w:tcPr>
            <w:tcW w:w="1255"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kern w:val="2"/>
              </w:rPr>
              <w:t>Каагуасу</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21</w:t>
            </w:r>
          </w:p>
        </w:tc>
        <w:tc>
          <w:tcPr>
            <w:tcW w:w="361"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16</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3</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7</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25</w:t>
            </w:r>
          </w:p>
        </w:tc>
        <w:tc>
          <w:tcPr>
            <w:tcW w:w="430"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13</w:t>
            </w:r>
          </w:p>
        </w:tc>
        <w:tc>
          <w:tcPr>
            <w:tcW w:w="518"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87</w:t>
            </w:r>
          </w:p>
        </w:tc>
      </w:tr>
      <w:tr w:rsidR="00000000">
        <w:trPr>
          <w:trHeight w:val="20"/>
          <w:jc w:val="center"/>
        </w:trPr>
        <w:tc>
          <w:tcPr>
            <w:tcW w:w="1255"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szCs w:val="16"/>
              </w:rPr>
              <w:t>Каасапа</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8</w:t>
            </w:r>
          </w:p>
        </w:tc>
        <w:tc>
          <w:tcPr>
            <w:tcW w:w="361"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14</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3</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8</w:t>
            </w:r>
          </w:p>
        </w:tc>
        <w:tc>
          <w:tcPr>
            <w:tcW w:w="430"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7</w:t>
            </w:r>
          </w:p>
        </w:tc>
        <w:tc>
          <w:tcPr>
            <w:tcW w:w="518"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43</w:t>
            </w:r>
          </w:p>
        </w:tc>
      </w:tr>
      <w:tr w:rsidR="00000000">
        <w:trPr>
          <w:trHeight w:val="20"/>
          <w:jc w:val="center"/>
        </w:trPr>
        <w:tc>
          <w:tcPr>
            <w:tcW w:w="1255"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kern w:val="2"/>
              </w:rPr>
              <w:t>Итапуа</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14</w:t>
            </w:r>
          </w:p>
        </w:tc>
        <w:tc>
          <w:tcPr>
            <w:tcW w:w="361"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3</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50</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2</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18</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40</w:t>
            </w:r>
          </w:p>
        </w:tc>
        <w:tc>
          <w:tcPr>
            <w:tcW w:w="430"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8</w:t>
            </w:r>
          </w:p>
        </w:tc>
        <w:tc>
          <w:tcPr>
            <w:tcW w:w="518"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135</w:t>
            </w:r>
          </w:p>
        </w:tc>
      </w:tr>
      <w:tr w:rsidR="00000000">
        <w:trPr>
          <w:trHeight w:val="20"/>
          <w:jc w:val="center"/>
        </w:trPr>
        <w:tc>
          <w:tcPr>
            <w:tcW w:w="1255"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kern w:val="2"/>
              </w:rPr>
              <w:t>Мисьонес</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9</w:t>
            </w:r>
          </w:p>
        </w:tc>
        <w:tc>
          <w:tcPr>
            <w:tcW w:w="361"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21</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9</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14</w:t>
            </w:r>
          </w:p>
        </w:tc>
        <w:tc>
          <w:tcPr>
            <w:tcW w:w="430"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518"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53</w:t>
            </w:r>
          </w:p>
        </w:tc>
      </w:tr>
      <w:tr w:rsidR="00000000">
        <w:trPr>
          <w:trHeight w:val="20"/>
          <w:jc w:val="center"/>
        </w:trPr>
        <w:tc>
          <w:tcPr>
            <w:tcW w:w="1255"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kern w:val="2"/>
              </w:rPr>
              <w:t>Парагуари</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15</w:t>
            </w:r>
          </w:p>
        </w:tc>
        <w:tc>
          <w:tcPr>
            <w:tcW w:w="361"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10</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22</w:t>
            </w:r>
          </w:p>
        </w:tc>
        <w:tc>
          <w:tcPr>
            <w:tcW w:w="430"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6</w:t>
            </w:r>
          </w:p>
        </w:tc>
        <w:tc>
          <w:tcPr>
            <w:tcW w:w="518"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57</w:t>
            </w:r>
          </w:p>
        </w:tc>
      </w:tr>
      <w:tr w:rsidR="00000000">
        <w:trPr>
          <w:trHeight w:val="20"/>
          <w:jc w:val="center"/>
        </w:trPr>
        <w:tc>
          <w:tcPr>
            <w:tcW w:w="1255"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kern w:val="2"/>
              </w:rPr>
              <w:t>Альто-Парана</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29</w:t>
            </w:r>
          </w:p>
        </w:tc>
        <w:tc>
          <w:tcPr>
            <w:tcW w:w="361"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56</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4</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39</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95</w:t>
            </w:r>
          </w:p>
        </w:tc>
        <w:tc>
          <w:tcPr>
            <w:tcW w:w="430"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21</w:t>
            </w:r>
          </w:p>
        </w:tc>
        <w:tc>
          <w:tcPr>
            <w:tcW w:w="518"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246</w:t>
            </w:r>
          </w:p>
        </w:tc>
      </w:tr>
      <w:tr w:rsidR="00000000">
        <w:trPr>
          <w:trHeight w:val="20"/>
          <w:jc w:val="center"/>
        </w:trPr>
        <w:tc>
          <w:tcPr>
            <w:tcW w:w="1255"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kern w:val="2"/>
              </w:rPr>
              <w:t>Сентраль</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87</w:t>
            </w:r>
          </w:p>
        </w:tc>
        <w:tc>
          <w:tcPr>
            <w:tcW w:w="361"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3</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78</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3</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69</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2</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137</w:t>
            </w:r>
          </w:p>
        </w:tc>
        <w:tc>
          <w:tcPr>
            <w:tcW w:w="430"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19</w:t>
            </w:r>
          </w:p>
        </w:tc>
        <w:tc>
          <w:tcPr>
            <w:tcW w:w="518"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398</w:t>
            </w:r>
          </w:p>
        </w:tc>
      </w:tr>
      <w:tr w:rsidR="00000000">
        <w:trPr>
          <w:trHeight w:val="20"/>
          <w:jc w:val="center"/>
        </w:trPr>
        <w:tc>
          <w:tcPr>
            <w:tcW w:w="1255"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kern w:val="2"/>
              </w:rPr>
              <w:t>Ньембуку</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3</w:t>
            </w:r>
          </w:p>
        </w:tc>
        <w:tc>
          <w:tcPr>
            <w:tcW w:w="361"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7</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2</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7</w:t>
            </w:r>
          </w:p>
        </w:tc>
        <w:tc>
          <w:tcPr>
            <w:tcW w:w="430"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518"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20</w:t>
            </w:r>
          </w:p>
        </w:tc>
      </w:tr>
      <w:tr w:rsidR="00000000">
        <w:trPr>
          <w:trHeight w:val="20"/>
          <w:jc w:val="center"/>
        </w:trPr>
        <w:tc>
          <w:tcPr>
            <w:tcW w:w="1255"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kern w:val="2"/>
              </w:rPr>
              <w:t>Амамбай</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7</w:t>
            </w:r>
          </w:p>
        </w:tc>
        <w:tc>
          <w:tcPr>
            <w:tcW w:w="361"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16</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6</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7</w:t>
            </w:r>
          </w:p>
        </w:tc>
        <w:tc>
          <w:tcPr>
            <w:tcW w:w="430"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518"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39</w:t>
            </w:r>
          </w:p>
        </w:tc>
      </w:tr>
      <w:tr w:rsidR="00000000">
        <w:trPr>
          <w:trHeight w:val="20"/>
          <w:jc w:val="center"/>
        </w:trPr>
        <w:tc>
          <w:tcPr>
            <w:tcW w:w="1255"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kern w:val="2"/>
              </w:rPr>
              <w:t>Канендию</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11</w:t>
            </w:r>
          </w:p>
        </w:tc>
        <w:tc>
          <w:tcPr>
            <w:tcW w:w="361"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8</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8</w:t>
            </w:r>
          </w:p>
        </w:tc>
        <w:tc>
          <w:tcPr>
            <w:tcW w:w="430"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2</w:t>
            </w:r>
          </w:p>
        </w:tc>
        <w:tc>
          <w:tcPr>
            <w:tcW w:w="518"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31</w:t>
            </w:r>
          </w:p>
        </w:tc>
      </w:tr>
      <w:tr w:rsidR="00000000">
        <w:trPr>
          <w:trHeight w:val="20"/>
          <w:jc w:val="center"/>
        </w:trPr>
        <w:tc>
          <w:tcPr>
            <w:tcW w:w="1255"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kern w:val="2"/>
              </w:rPr>
              <w:t>Пресиденте-Аес</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361"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8</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5</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11</w:t>
            </w:r>
          </w:p>
        </w:tc>
        <w:tc>
          <w:tcPr>
            <w:tcW w:w="430"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3</w:t>
            </w:r>
          </w:p>
        </w:tc>
        <w:tc>
          <w:tcPr>
            <w:tcW w:w="518"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29</w:t>
            </w:r>
          </w:p>
        </w:tc>
      </w:tr>
      <w:tr w:rsidR="00000000">
        <w:trPr>
          <w:trHeight w:val="20"/>
          <w:jc w:val="center"/>
        </w:trPr>
        <w:tc>
          <w:tcPr>
            <w:tcW w:w="1255"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szCs w:val="16"/>
              </w:rPr>
              <w:t>Альто-Парагвай</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361"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2</w:t>
            </w:r>
          </w:p>
        </w:tc>
        <w:tc>
          <w:tcPr>
            <w:tcW w:w="430"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518"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3</w:t>
            </w:r>
          </w:p>
        </w:tc>
      </w:tr>
      <w:tr w:rsidR="00000000">
        <w:trPr>
          <w:trHeight w:val="20"/>
          <w:jc w:val="center"/>
        </w:trPr>
        <w:tc>
          <w:tcPr>
            <w:tcW w:w="1255"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kern w:val="2"/>
              </w:rPr>
              <w:t>Бокерон</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361"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2</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8</w:t>
            </w:r>
          </w:p>
        </w:tc>
        <w:tc>
          <w:tcPr>
            <w:tcW w:w="430"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518"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13</w:t>
            </w:r>
          </w:p>
        </w:tc>
      </w:tr>
      <w:tr w:rsidR="00000000">
        <w:trPr>
          <w:trHeight w:val="20"/>
          <w:jc w:val="center"/>
        </w:trPr>
        <w:tc>
          <w:tcPr>
            <w:tcW w:w="1255"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kern w:val="2"/>
              </w:rPr>
              <w:t>Асунсьон</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31</w:t>
            </w:r>
          </w:p>
        </w:tc>
        <w:tc>
          <w:tcPr>
            <w:tcW w:w="361"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35</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29</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41</w:t>
            </w:r>
          </w:p>
        </w:tc>
        <w:tc>
          <w:tcPr>
            <w:tcW w:w="430"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3</w:t>
            </w:r>
          </w:p>
        </w:tc>
        <w:tc>
          <w:tcPr>
            <w:tcW w:w="518"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140</w:t>
            </w:r>
          </w:p>
        </w:tc>
      </w:tr>
      <w:tr w:rsidR="00000000">
        <w:trPr>
          <w:trHeight w:val="20"/>
          <w:jc w:val="center"/>
        </w:trPr>
        <w:tc>
          <w:tcPr>
            <w:tcW w:w="1255" w:type="pct"/>
            <w:tcBorders>
              <w:top w:val="nil"/>
              <w:left w:val="single" w:sz="4" w:space="0" w:color="auto"/>
              <w:bottom w:val="single" w:sz="4" w:space="0" w:color="auto"/>
              <w:right w:val="single" w:sz="4" w:space="0" w:color="auto"/>
            </w:tcBorders>
            <w:noWrap/>
            <w:vAlign w:val="bottom"/>
          </w:tcPr>
          <w:p w:rsidR="00000000" w:rsidRDefault="00000000">
            <w:pPr>
              <w:rPr>
                <w:szCs w:val="16"/>
              </w:rPr>
            </w:pPr>
            <w:r>
              <w:rPr>
                <w:szCs w:val="16"/>
              </w:rPr>
              <w:t>Иностранцы</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1</w:t>
            </w:r>
          </w:p>
        </w:tc>
        <w:tc>
          <w:tcPr>
            <w:tcW w:w="361"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2</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430"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0</w:t>
            </w:r>
          </w:p>
        </w:tc>
        <w:tc>
          <w:tcPr>
            <w:tcW w:w="518"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szCs w:val="16"/>
              </w:rPr>
            </w:pPr>
            <w:r>
              <w:rPr>
                <w:szCs w:val="16"/>
              </w:rPr>
              <w:t>3</w:t>
            </w:r>
          </w:p>
        </w:tc>
      </w:tr>
      <w:tr w:rsidR="00000000">
        <w:trPr>
          <w:trHeight w:val="20"/>
          <w:jc w:val="center"/>
        </w:trPr>
        <w:tc>
          <w:tcPr>
            <w:tcW w:w="1255" w:type="pct"/>
            <w:tcBorders>
              <w:top w:val="nil"/>
              <w:left w:val="single" w:sz="4" w:space="0" w:color="auto"/>
              <w:bottom w:val="single" w:sz="4" w:space="0" w:color="auto"/>
              <w:right w:val="single" w:sz="4" w:space="0" w:color="auto"/>
            </w:tcBorders>
            <w:noWrap/>
            <w:vAlign w:val="bottom"/>
          </w:tcPr>
          <w:p w:rsidR="00000000" w:rsidRDefault="00000000">
            <w:pPr>
              <w:rPr>
                <w:b/>
                <w:bCs/>
                <w:color w:val="000000"/>
                <w:szCs w:val="16"/>
              </w:rPr>
            </w:pPr>
            <w:r>
              <w:rPr>
                <w:b/>
                <w:bCs/>
                <w:color w:val="000000"/>
                <w:szCs w:val="16"/>
              </w:rPr>
              <w:t>Итого</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b/>
                <w:bCs/>
                <w:szCs w:val="16"/>
              </w:rPr>
            </w:pPr>
            <w:r>
              <w:rPr>
                <w:b/>
                <w:bCs/>
                <w:szCs w:val="16"/>
              </w:rPr>
              <w:t>306</w:t>
            </w:r>
          </w:p>
        </w:tc>
        <w:tc>
          <w:tcPr>
            <w:tcW w:w="361"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b/>
                <w:bCs/>
                <w:szCs w:val="16"/>
              </w:rPr>
            </w:pPr>
            <w:r>
              <w:rPr>
                <w:b/>
                <w:bCs/>
                <w:szCs w:val="16"/>
              </w:rPr>
              <w:t>16</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b/>
                <w:bCs/>
                <w:szCs w:val="16"/>
              </w:rPr>
            </w:pPr>
            <w:r>
              <w:rPr>
                <w:b/>
                <w:bCs/>
                <w:szCs w:val="16"/>
              </w:rPr>
              <w:t>426</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b/>
                <w:bCs/>
                <w:szCs w:val="16"/>
              </w:rPr>
            </w:pPr>
            <w:r>
              <w:rPr>
                <w:b/>
                <w:bCs/>
                <w:szCs w:val="16"/>
              </w:rPr>
              <w:t>20</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b/>
                <w:bCs/>
                <w:szCs w:val="16"/>
              </w:rPr>
            </w:pPr>
            <w:r>
              <w:rPr>
                <w:b/>
                <w:bCs/>
                <w:szCs w:val="16"/>
              </w:rPr>
              <w:t>241</w:t>
            </w:r>
          </w:p>
        </w:tc>
        <w:tc>
          <w:tcPr>
            <w:tcW w:w="35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b/>
                <w:bCs/>
                <w:szCs w:val="16"/>
              </w:rPr>
            </w:pPr>
            <w:r>
              <w:rPr>
                <w:b/>
                <w:bCs/>
                <w:szCs w:val="16"/>
              </w:rPr>
              <w:t>16</w:t>
            </w:r>
          </w:p>
        </w:tc>
        <w:tc>
          <w:tcPr>
            <w:tcW w:w="429"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b/>
                <w:bCs/>
                <w:szCs w:val="16"/>
              </w:rPr>
            </w:pPr>
            <w:r>
              <w:rPr>
                <w:b/>
                <w:bCs/>
                <w:szCs w:val="16"/>
              </w:rPr>
              <w:t>548</w:t>
            </w:r>
          </w:p>
        </w:tc>
        <w:tc>
          <w:tcPr>
            <w:tcW w:w="430"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b/>
                <w:bCs/>
                <w:szCs w:val="16"/>
              </w:rPr>
            </w:pPr>
            <w:r>
              <w:rPr>
                <w:b/>
                <w:bCs/>
                <w:szCs w:val="16"/>
              </w:rPr>
              <w:t>110</w:t>
            </w:r>
          </w:p>
        </w:tc>
        <w:tc>
          <w:tcPr>
            <w:tcW w:w="518" w:type="pct"/>
            <w:tcBorders>
              <w:top w:val="nil"/>
              <w:left w:val="nil"/>
              <w:bottom w:val="single" w:sz="4" w:space="0" w:color="auto"/>
              <w:right w:val="single" w:sz="4" w:space="0" w:color="auto"/>
            </w:tcBorders>
            <w:noWrap/>
            <w:tcMar>
              <w:left w:w="0" w:type="dxa"/>
              <w:right w:w="255" w:type="dxa"/>
            </w:tcMar>
            <w:vAlign w:val="bottom"/>
          </w:tcPr>
          <w:p w:rsidR="00000000" w:rsidRDefault="00000000">
            <w:pPr>
              <w:jc w:val="right"/>
              <w:rPr>
                <w:b/>
                <w:bCs/>
                <w:szCs w:val="16"/>
              </w:rPr>
            </w:pPr>
            <w:r>
              <w:rPr>
                <w:b/>
                <w:bCs/>
                <w:szCs w:val="16"/>
              </w:rPr>
              <w:t>1 683</w:t>
            </w:r>
          </w:p>
        </w:tc>
      </w:tr>
    </w:tbl>
    <w:p w:rsidR="00000000" w:rsidRDefault="00000000">
      <w:pPr>
        <w:rPr>
          <w:szCs w:val="16"/>
        </w:rPr>
      </w:pPr>
    </w:p>
    <w:p w:rsidR="00000000" w:rsidRDefault="00000000">
      <w:pPr>
        <w:rPr>
          <w:szCs w:val="16"/>
          <w:lang w:val="en-US"/>
        </w:rPr>
      </w:pPr>
      <w:r>
        <w:rPr>
          <w:szCs w:val="16"/>
        </w:rPr>
        <w:t>ДА = Охваченные медицинским обслуживанием.</w:t>
      </w:r>
    </w:p>
    <w:p w:rsidR="00000000" w:rsidRDefault="00000000">
      <w:pPr>
        <w:rPr>
          <w:szCs w:val="16"/>
          <w:lang w:val="en-US"/>
        </w:rPr>
      </w:pPr>
    </w:p>
    <w:p w:rsidR="00000000" w:rsidRDefault="00000000">
      <w:pPr>
        <w:rPr>
          <w:szCs w:val="16"/>
        </w:rPr>
      </w:pPr>
      <w:r>
        <w:rPr>
          <w:szCs w:val="16"/>
        </w:rPr>
        <w:t>НЕТ = Не охваченные медицинским обслуживанием.</w:t>
      </w:r>
    </w:p>
    <w:p w:rsidR="00000000" w:rsidRDefault="00000000">
      <w:pPr>
        <w:rPr>
          <w:szCs w:val="16"/>
        </w:rPr>
      </w:pPr>
    </w:p>
    <w:p w:rsidR="00000000" w:rsidRDefault="00000000">
      <w:pPr>
        <w:pageBreakBefore/>
        <w:jc w:val="center"/>
        <w:rPr>
          <w:b/>
          <w:bCs/>
          <w:szCs w:val="16"/>
        </w:rPr>
      </w:pPr>
      <w:r>
        <w:rPr>
          <w:b/>
          <w:bCs/>
          <w:szCs w:val="16"/>
        </w:rPr>
        <w:t xml:space="preserve">Парагвай, младенческая смертность </w:t>
      </w:r>
      <w:r>
        <w:rPr>
          <w:b/>
          <w:szCs w:val="16"/>
          <w:lang w:eastAsia="es-ES"/>
        </w:rPr>
        <w:t>в разбивке по санитарным районам</w:t>
      </w:r>
    </w:p>
    <w:p w:rsidR="00000000" w:rsidRDefault="00000000">
      <w:pPr>
        <w:jc w:val="center"/>
        <w:rPr>
          <w:b/>
          <w:bCs/>
          <w:szCs w:val="16"/>
        </w:rPr>
      </w:pPr>
      <w:r>
        <w:rPr>
          <w:b/>
          <w:bCs/>
          <w:szCs w:val="16"/>
        </w:rPr>
        <w:t>и зонам проживания, 2003 год</w:t>
      </w:r>
    </w:p>
    <w:p w:rsidR="00000000" w:rsidRDefault="00000000">
      <w:pPr>
        <w:rPr>
          <w:b/>
          <w:bCs/>
          <w:sz w:val="22"/>
          <w:szCs w:val="16"/>
        </w:rPr>
      </w:pPr>
    </w:p>
    <w:tbl>
      <w:tblPr>
        <w:tblW w:w="5000" w:type="pct"/>
        <w:tblBorders>
          <w:top w:val="single" w:sz="4" w:space="0" w:color="auto"/>
          <w:left w:val="single" w:sz="4" w:space="0" w:color="auto"/>
          <w:bottom w:val="single" w:sz="4" w:space="0" w:color="auto"/>
          <w:right w:val="single" w:sz="4" w:space="0" w:color="auto"/>
        </w:tblBorders>
        <w:tblCellMar>
          <w:left w:w="62" w:type="dxa"/>
          <w:right w:w="62" w:type="dxa"/>
        </w:tblCellMar>
        <w:tblLook w:val="0000" w:firstRow="0" w:lastRow="0" w:firstColumn="0" w:lastColumn="0" w:noHBand="0" w:noVBand="0"/>
      </w:tblPr>
      <w:tblGrid>
        <w:gridCol w:w="1406"/>
        <w:gridCol w:w="685"/>
        <w:gridCol w:w="704"/>
        <w:gridCol w:w="691"/>
        <w:gridCol w:w="629"/>
        <w:gridCol w:w="705"/>
        <w:gridCol w:w="694"/>
        <w:gridCol w:w="595"/>
        <w:gridCol w:w="705"/>
        <w:gridCol w:w="692"/>
        <w:gridCol w:w="624"/>
        <w:gridCol w:w="658"/>
        <w:gridCol w:w="692"/>
      </w:tblGrid>
      <w:tr w:rsidR="00000000">
        <w:trPr>
          <w:cantSplit/>
        </w:trPr>
        <w:tc>
          <w:tcPr>
            <w:tcW w:w="743"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rPr>
            </w:pPr>
            <w:r>
              <w:rPr>
                <w:b/>
                <w:bCs/>
                <w:sz w:val="20"/>
                <w:szCs w:val="16"/>
              </w:rPr>
              <w:t>Санитарный регион</w:t>
            </w:r>
          </w:p>
        </w:tc>
        <w:tc>
          <w:tcPr>
            <w:tcW w:w="3229" w:type="pct"/>
            <w:gridSpan w:val="9"/>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rPr>
            </w:pPr>
            <w:r>
              <w:rPr>
                <w:b/>
                <w:bCs/>
                <w:sz w:val="20"/>
              </w:rPr>
              <w:t>Зоны</w:t>
            </w:r>
          </w:p>
        </w:tc>
        <w:tc>
          <w:tcPr>
            <w:tcW w:w="1028" w:type="pct"/>
            <w:gridSpan w:val="3"/>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rPr>
            </w:pPr>
            <w:r>
              <w:rPr>
                <w:b/>
                <w:bCs/>
                <w:sz w:val="20"/>
              </w:rPr>
              <w:t>Всего</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lang w:val="es-ES"/>
              </w:rPr>
            </w:pPr>
          </w:p>
        </w:tc>
        <w:tc>
          <w:tcPr>
            <w:tcW w:w="1102"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rPr>
            </w:pPr>
            <w:r>
              <w:rPr>
                <w:b/>
                <w:bCs/>
                <w:sz w:val="20"/>
              </w:rPr>
              <w:t>Город</w:t>
            </w:r>
          </w:p>
        </w:tc>
        <w:tc>
          <w:tcPr>
            <w:tcW w:w="1073"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rPr>
            </w:pPr>
            <w:r>
              <w:rPr>
                <w:b/>
                <w:bCs/>
                <w:sz w:val="20"/>
              </w:rPr>
              <w:t>Село</w:t>
            </w:r>
          </w:p>
        </w:tc>
        <w:tc>
          <w:tcPr>
            <w:tcW w:w="1054"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rPr>
            </w:pPr>
            <w:r>
              <w:rPr>
                <w:b/>
                <w:bCs/>
                <w:sz w:val="20"/>
              </w:rPr>
              <w:t>Неизвестно</w:t>
            </w:r>
          </w:p>
        </w:tc>
        <w:tc>
          <w:tcPr>
            <w:tcW w:w="0" w:type="auto"/>
            <w:gridSpan w:val="3"/>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rPr>
            </w:pP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lang w:val="es-ES"/>
              </w:rPr>
            </w:pPr>
          </w:p>
        </w:tc>
        <w:tc>
          <w:tcPr>
            <w:tcW w:w="363"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rPr>
            </w:pPr>
            <w:r>
              <w:rPr>
                <w:b/>
                <w:bCs/>
                <w:sz w:val="20"/>
              </w:rPr>
              <w:t>ЗЖ</w:t>
            </w:r>
          </w:p>
        </w:tc>
        <w:tc>
          <w:tcPr>
            <w:tcW w:w="373"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rPr>
            </w:pPr>
            <w:r>
              <w:rPr>
                <w:b/>
                <w:bCs/>
                <w:sz w:val="20"/>
              </w:rPr>
              <w:t>Умер.</w:t>
            </w:r>
          </w:p>
        </w:tc>
        <w:tc>
          <w:tcPr>
            <w:tcW w:w="366"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rPr>
            </w:pPr>
            <w:r>
              <w:rPr>
                <w:b/>
                <w:bCs/>
                <w:sz w:val="20"/>
              </w:rPr>
              <w:t>Коэф.</w:t>
            </w:r>
          </w:p>
        </w:tc>
        <w:tc>
          <w:tcPr>
            <w:tcW w:w="333"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rPr>
            </w:pPr>
            <w:r>
              <w:rPr>
                <w:b/>
                <w:bCs/>
                <w:sz w:val="20"/>
              </w:rPr>
              <w:t>ЗЖ</w:t>
            </w:r>
          </w:p>
        </w:tc>
        <w:tc>
          <w:tcPr>
            <w:tcW w:w="373"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lang w:val="es-ES"/>
              </w:rPr>
            </w:pPr>
            <w:r>
              <w:rPr>
                <w:b/>
                <w:bCs/>
                <w:sz w:val="20"/>
              </w:rPr>
              <w:t>Умер.</w:t>
            </w:r>
          </w:p>
        </w:tc>
        <w:tc>
          <w:tcPr>
            <w:tcW w:w="367"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rPr>
            </w:pPr>
            <w:r>
              <w:rPr>
                <w:b/>
                <w:bCs/>
                <w:sz w:val="20"/>
              </w:rPr>
              <w:t>Коэф.</w:t>
            </w:r>
          </w:p>
        </w:tc>
        <w:tc>
          <w:tcPr>
            <w:tcW w:w="315"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rPr>
            </w:pPr>
            <w:r>
              <w:rPr>
                <w:b/>
                <w:bCs/>
                <w:sz w:val="20"/>
              </w:rPr>
              <w:t>ЗЖ</w:t>
            </w:r>
          </w:p>
        </w:tc>
        <w:tc>
          <w:tcPr>
            <w:tcW w:w="373"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lang w:val="es-ES"/>
              </w:rPr>
            </w:pPr>
            <w:r>
              <w:rPr>
                <w:b/>
                <w:bCs/>
                <w:sz w:val="20"/>
              </w:rPr>
              <w:t>Умер.</w:t>
            </w:r>
          </w:p>
        </w:tc>
        <w:tc>
          <w:tcPr>
            <w:tcW w:w="366"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rPr>
            </w:pPr>
            <w:r>
              <w:rPr>
                <w:b/>
                <w:bCs/>
                <w:sz w:val="20"/>
              </w:rPr>
              <w:t>Коэф.</w:t>
            </w:r>
          </w:p>
        </w:tc>
        <w:tc>
          <w:tcPr>
            <w:tcW w:w="315"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rPr>
            </w:pPr>
            <w:r>
              <w:rPr>
                <w:b/>
                <w:bCs/>
                <w:sz w:val="20"/>
              </w:rPr>
              <w:t>ЗЖ</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lang w:val="es-ES"/>
              </w:rPr>
            </w:pPr>
            <w:r>
              <w:rPr>
                <w:b/>
                <w:bCs/>
                <w:sz w:val="20"/>
              </w:rPr>
              <w:t>Умер.</w:t>
            </w:r>
          </w:p>
        </w:tc>
        <w:tc>
          <w:tcPr>
            <w:tcW w:w="366"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rPr>
            </w:pPr>
            <w:r>
              <w:rPr>
                <w:b/>
                <w:bCs/>
                <w:sz w:val="20"/>
              </w:rPr>
              <w:t>Коэф.</w:t>
            </w:r>
          </w:p>
        </w:tc>
      </w:tr>
      <w:tr w:rsidR="00000000">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Консепсьон</w:t>
            </w:r>
          </w:p>
        </w:tc>
        <w:tc>
          <w:tcPr>
            <w:tcW w:w="36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1 612</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73</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45,3</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2 065</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35</w:t>
            </w:r>
          </w:p>
        </w:tc>
        <w:tc>
          <w:tcPr>
            <w:tcW w:w="36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16,9</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0</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lang w:val="es-ES"/>
              </w:rPr>
            </w:pPr>
            <w:r>
              <w:rPr>
                <w:sz w:val="20"/>
              </w:rPr>
              <w:t>0</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b/>
                <w:bCs/>
                <w:sz w:val="20"/>
                <w:vertAlign w:val="superscript"/>
              </w:rPr>
              <w:t>*</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3 677</w:t>
            </w:r>
          </w:p>
        </w:tc>
        <w:tc>
          <w:tcPr>
            <w:tcW w:w="34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108</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29,4</w:t>
            </w:r>
          </w:p>
        </w:tc>
      </w:tr>
      <w:tr w:rsidR="00000000">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Сан-Педро</w:t>
            </w:r>
          </w:p>
        </w:tc>
        <w:tc>
          <w:tcPr>
            <w:tcW w:w="36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1 191</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28</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23,5</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3 359</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62</w:t>
            </w:r>
          </w:p>
        </w:tc>
        <w:tc>
          <w:tcPr>
            <w:tcW w:w="36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18,5</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lang w:val="es-ES"/>
              </w:rPr>
            </w:pPr>
            <w:r>
              <w:rPr>
                <w:sz w:val="20"/>
              </w:rPr>
              <w:t>0</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N</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4 552</w:t>
            </w:r>
          </w:p>
        </w:tc>
        <w:tc>
          <w:tcPr>
            <w:tcW w:w="34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90</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19,8</w:t>
            </w:r>
          </w:p>
        </w:tc>
      </w:tr>
      <w:tr w:rsidR="00000000">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Кордильера</w:t>
            </w:r>
          </w:p>
        </w:tc>
        <w:tc>
          <w:tcPr>
            <w:tcW w:w="36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1 844</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61</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33,1</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2 634</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32</w:t>
            </w:r>
          </w:p>
        </w:tc>
        <w:tc>
          <w:tcPr>
            <w:tcW w:w="36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12,1</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0</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lang w:val="es-ES"/>
              </w:rPr>
            </w:pPr>
            <w:r>
              <w:rPr>
                <w:sz w:val="20"/>
              </w:rPr>
              <w:t>0</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O</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s-ES"/>
              </w:rPr>
              <w:t>4 478</w:t>
            </w:r>
          </w:p>
        </w:tc>
        <w:tc>
          <w:tcPr>
            <w:tcW w:w="34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s-ES"/>
              </w:rPr>
              <w:t>93</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s-ES"/>
              </w:rPr>
              <w:t>20,8</w:t>
            </w:r>
          </w:p>
        </w:tc>
      </w:tr>
      <w:tr w:rsidR="00000000">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rPr>
            </w:pPr>
            <w:r>
              <w:rPr>
                <w:sz w:val="20"/>
                <w:szCs w:val="16"/>
              </w:rPr>
              <w:t>Гуайра</w:t>
            </w:r>
          </w:p>
        </w:tc>
        <w:tc>
          <w:tcPr>
            <w:tcW w:w="36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s-ES"/>
              </w:rPr>
              <w:t>1 642</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s-ES"/>
              </w:rPr>
              <w:t>64</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s-ES"/>
              </w:rPr>
              <w:t>39,0</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s-ES"/>
              </w:rPr>
              <w:t>1 569</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s-ES"/>
              </w:rPr>
              <w:t>31</w:t>
            </w:r>
          </w:p>
        </w:tc>
        <w:tc>
          <w:tcPr>
            <w:tcW w:w="36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s-ES"/>
              </w:rPr>
              <w:t>19,8</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s-ES"/>
              </w:rPr>
              <w:t>0</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lang w:val="es-ES"/>
              </w:rPr>
            </w:pPr>
            <w:r>
              <w:rPr>
                <w:sz w:val="20"/>
                <w:lang w:val="es-ES"/>
              </w:rPr>
              <w:t>0</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lang w:val="es-ES"/>
              </w:rPr>
            </w:pPr>
            <w:r>
              <w:rPr>
                <w:b/>
                <w:bCs/>
                <w:sz w:val="20"/>
                <w:vertAlign w:val="superscript"/>
                <w:lang w:val="es-ES"/>
              </w:rPr>
              <w:t>*</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s-ES"/>
              </w:rPr>
              <w:t>3 211</w:t>
            </w:r>
          </w:p>
        </w:tc>
        <w:tc>
          <w:tcPr>
            <w:tcW w:w="34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s-ES"/>
              </w:rPr>
              <w:t>95</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s-ES"/>
              </w:rPr>
              <w:t>29,6</w:t>
            </w:r>
          </w:p>
        </w:tc>
      </w:tr>
      <w:tr w:rsidR="00000000">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Каагуасу</w:t>
            </w:r>
          </w:p>
        </w:tc>
        <w:tc>
          <w:tcPr>
            <w:tcW w:w="36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s-ES"/>
              </w:rPr>
              <w:t>2 619</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s-ES"/>
              </w:rPr>
              <w:t>43</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s-ES"/>
              </w:rPr>
              <w:t>16,4</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s-ES"/>
              </w:rPr>
              <w:t>3 667</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s-ES"/>
              </w:rPr>
              <w:t>44</w:t>
            </w:r>
          </w:p>
        </w:tc>
        <w:tc>
          <w:tcPr>
            <w:tcW w:w="36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s-ES"/>
              </w:rPr>
              <w:t>12,0</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s-ES"/>
              </w:rPr>
              <w:t>1</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lang w:val="es-ES"/>
              </w:rPr>
            </w:pPr>
            <w:r>
              <w:rPr>
                <w:sz w:val="20"/>
                <w:lang w:val="es-ES"/>
              </w:rPr>
              <w:t>0</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lang w:val="es-ES"/>
              </w:rPr>
            </w:pPr>
            <w:r>
              <w:rPr>
                <w:b/>
                <w:bCs/>
                <w:sz w:val="20"/>
                <w:vertAlign w:val="superscript"/>
                <w:lang w:val="es-ES"/>
              </w:rPr>
              <w:t>*</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s-ES"/>
              </w:rPr>
              <w:t>6 287</w:t>
            </w:r>
          </w:p>
        </w:tc>
        <w:tc>
          <w:tcPr>
            <w:tcW w:w="34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s-ES"/>
              </w:rPr>
              <w:t>87</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s-ES"/>
              </w:rPr>
              <w:t>13,8</w:t>
            </w:r>
          </w:p>
        </w:tc>
      </w:tr>
      <w:tr w:rsidR="00000000">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rPr>
            </w:pPr>
            <w:r>
              <w:rPr>
                <w:sz w:val="20"/>
                <w:szCs w:val="16"/>
              </w:rPr>
              <w:t>Каасапа</w:t>
            </w:r>
          </w:p>
        </w:tc>
        <w:tc>
          <w:tcPr>
            <w:tcW w:w="36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588</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16</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27,2</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1 749</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27</w:t>
            </w:r>
          </w:p>
        </w:tc>
        <w:tc>
          <w:tcPr>
            <w:tcW w:w="36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15,4</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0</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lang w:val="es-ES"/>
              </w:rPr>
            </w:pPr>
            <w:r>
              <w:rPr>
                <w:sz w:val="20"/>
                <w:lang w:val="en-US"/>
              </w:rPr>
              <w:t>0</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A</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2 337</w:t>
            </w:r>
          </w:p>
        </w:tc>
        <w:tc>
          <w:tcPr>
            <w:tcW w:w="34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43</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18,4</w:t>
            </w:r>
          </w:p>
        </w:tc>
      </w:tr>
      <w:tr w:rsidR="00000000">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Итапуа</w:t>
            </w:r>
          </w:p>
        </w:tc>
        <w:tc>
          <w:tcPr>
            <w:tcW w:w="36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3 243</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66</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20,4</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3 928</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69</w:t>
            </w:r>
          </w:p>
        </w:tc>
        <w:tc>
          <w:tcPr>
            <w:tcW w:w="36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17,6</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1</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lang w:val="es-ES"/>
              </w:rPr>
            </w:pPr>
            <w:r>
              <w:rPr>
                <w:sz w:val="20"/>
                <w:lang w:val="en-US"/>
              </w:rPr>
              <w:t>0</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P</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7 172</w:t>
            </w:r>
          </w:p>
        </w:tc>
        <w:tc>
          <w:tcPr>
            <w:tcW w:w="34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135</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18,8</w:t>
            </w:r>
          </w:p>
        </w:tc>
      </w:tr>
      <w:tr w:rsidR="00000000">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Мисьонес</w:t>
            </w:r>
          </w:p>
        </w:tc>
        <w:tc>
          <w:tcPr>
            <w:tcW w:w="36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1 098</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34</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31,0</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820</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19</w:t>
            </w:r>
          </w:p>
        </w:tc>
        <w:tc>
          <w:tcPr>
            <w:tcW w:w="36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23,2</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0</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lang w:val="es-ES"/>
              </w:rPr>
            </w:pPr>
            <w:r>
              <w:rPr>
                <w:sz w:val="20"/>
              </w:rPr>
              <w:t>0</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L</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1 918</w:t>
            </w:r>
          </w:p>
        </w:tc>
        <w:tc>
          <w:tcPr>
            <w:tcW w:w="34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53</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27,6</w:t>
            </w:r>
          </w:p>
        </w:tc>
      </w:tr>
      <w:tr w:rsidR="00000000">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Парагуари</w:t>
            </w:r>
          </w:p>
        </w:tc>
        <w:tc>
          <w:tcPr>
            <w:tcW w:w="36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1 237</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32</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25,9</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2 470</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25</w:t>
            </w:r>
          </w:p>
        </w:tc>
        <w:tc>
          <w:tcPr>
            <w:tcW w:w="36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10,1</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0</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lang w:val="es-ES"/>
              </w:rPr>
            </w:pPr>
            <w:r>
              <w:rPr>
                <w:sz w:val="20"/>
              </w:rPr>
              <w:t>0</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I</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3 707</w:t>
            </w:r>
          </w:p>
        </w:tc>
        <w:tc>
          <w:tcPr>
            <w:tcW w:w="34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57</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15,4</w:t>
            </w:r>
          </w:p>
        </w:tc>
      </w:tr>
      <w:tr w:rsidR="00000000">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z w:val="20"/>
                <w:szCs w:val="16"/>
                <w:lang w:val="es-ES"/>
              </w:rPr>
            </w:pPr>
            <w:r>
              <w:rPr>
                <w:kern w:val="2"/>
                <w:sz w:val="20"/>
              </w:rPr>
              <w:t>Альто-Парана</w:t>
            </w:r>
          </w:p>
        </w:tc>
        <w:tc>
          <w:tcPr>
            <w:tcW w:w="36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6 518</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204</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31,3</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2 418</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42</w:t>
            </w:r>
          </w:p>
        </w:tc>
        <w:tc>
          <w:tcPr>
            <w:tcW w:w="36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17,4</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lang w:val="es-ES"/>
              </w:rPr>
            </w:pPr>
            <w:r>
              <w:rPr>
                <w:sz w:val="20"/>
              </w:rPr>
              <w:t>0</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C</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8 937</w:t>
            </w:r>
          </w:p>
        </w:tc>
        <w:tc>
          <w:tcPr>
            <w:tcW w:w="34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246</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27,5</w:t>
            </w:r>
          </w:p>
        </w:tc>
      </w:tr>
      <w:tr w:rsidR="00000000">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Сентраль</w:t>
            </w:r>
          </w:p>
        </w:tc>
        <w:tc>
          <w:tcPr>
            <w:tcW w:w="36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21 133</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387</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18,3</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4 418</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11</w:t>
            </w:r>
          </w:p>
        </w:tc>
        <w:tc>
          <w:tcPr>
            <w:tcW w:w="36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2,5</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6</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lang w:val="es-ES"/>
              </w:rPr>
            </w:pPr>
            <w:r>
              <w:rPr>
                <w:sz w:val="20"/>
              </w:rPr>
              <w:t>0</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A</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25557</w:t>
            </w:r>
          </w:p>
        </w:tc>
        <w:tc>
          <w:tcPr>
            <w:tcW w:w="34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398</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15,6</w:t>
            </w:r>
          </w:p>
        </w:tc>
      </w:tr>
      <w:tr w:rsidR="00000000">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Ньембуку</w:t>
            </w:r>
          </w:p>
        </w:tc>
        <w:tc>
          <w:tcPr>
            <w:tcW w:w="36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684</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14</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20,5</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401</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6</w:t>
            </w:r>
          </w:p>
        </w:tc>
        <w:tc>
          <w:tcPr>
            <w:tcW w:w="36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15,0</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rPr>
            </w:pPr>
            <w:r>
              <w:rPr>
                <w:sz w:val="20"/>
              </w:rPr>
              <w:t>0</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lang w:val="en-US"/>
              </w:rPr>
              <w:t>B</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1 085</w:t>
            </w:r>
          </w:p>
        </w:tc>
        <w:tc>
          <w:tcPr>
            <w:tcW w:w="34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20</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18,4</w:t>
            </w:r>
          </w:p>
        </w:tc>
      </w:tr>
      <w:tr w:rsidR="00000000">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Амамбай</w:t>
            </w:r>
          </w:p>
        </w:tc>
        <w:tc>
          <w:tcPr>
            <w:tcW w:w="36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1 088</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39</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35,8</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270</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w:t>
            </w:r>
          </w:p>
        </w:tc>
        <w:tc>
          <w:tcPr>
            <w:tcW w:w="36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0,0</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0</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rPr>
            </w:pPr>
            <w:r>
              <w:rPr>
                <w:sz w:val="20"/>
              </w:rPr>
              <w:t>0</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lang w:val="en-US"/>
              </w:rPr>
              <w:t>L</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1 358</w:t>
            </w:r>
          </w:p>
        </w:tc>
        <w:tc>
          <w:tcPr>
            <w:tcW w:w="34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39</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28,7</w:t>
            </w:r>
          </w:p>
        </w:tc>
      </w:tr>
      <w:tr w:rsidR="00000000">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Канендию</w:t>
            </w:r>
          </w:p>
        </w:tc>
        <w:tc>
          <w:tcPr>
            <w:tcW w:w="36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633</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15</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23,7</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896</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16</w:t>
            </w:r>
          </w:p>
        </w:tc>
        <w:tc>
          <w:tcPr>
            <w:tcW w:w="36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17,9</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0</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lang w:val="es-ES"/>
              </w:rPr>
            </w:pPr>
            <w:r>
              <w:rPr>
                <w:sz w:val="20"/>
              </w:rPr>
              <w:t>0</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lang w:val="en-US"/>
              </w:rPr>
              <w:t>E</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1 529</w:t>
            </w:r>
          </w:p>
        </w:tc>
        <w:tc>
          <w:tcPr>
            <w:tcW w:w="34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31</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20,3</w:t>
            </w:r>
          </w:p>
        </w:tc>
      </w:tr>
      <w:tr w:rsidR="00000000">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z w:val="20"/>
                <w:szCs w:val="16"/>
                <w:lang w:val="es-ES"/>
              </w:rPr>
            </w:pPr>
            <w:r>
              <w:rPr>
                <w:kern w:val="2"/>
                <w:sz w:val="20"/>
              </w:rPr>
              <w:t>Пресиденте-Аес</w:t>
            </w:r>
          </w:p>
        </w:tc>
        <w:tc>
          <w:tcPr>
            <w:tcW w:w="363"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
              </w:rPr>
            </w:pPr>
            <w:r>
              <w:rPr>
                <w:sz w:val="20"/>
              </w:rPr>
              <w:t>794</w:t>
            </w:r>
          </w:p>
        </w:tc>
        <w:tc>
          <w:tcPr>
            <w:tcW w:w="373"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
              </w:rPr>
            </w:pPr>
            <w:r>
              <w:rPr>
                <w:sz w:val="20"/>
              </w:rPr>
              <w:t>26</w:t>
            </w:r>
          </w:p>
        </w:tc>
        <w:tc>
          <w:tcPr>
            <w:tcW w:w="36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
              </w:rPr>
            </w:pPr>
            <w:r>
              <w:rPr>
                <w:sz w:val="20"/>
              </w:rPr>
              <w:t>32,7</w:t>
            </w:r>
          </w:p>
        </w:tc>
        <w:tc>
          <w:tcPr>
            <w:tcW w:w="333"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
              </w:rPr>
            </w:pPr>
            <w:r>
              <w:rPr>
                <w:sz w:val="20"/>
              </w:rPr>
              <w:t>501</w:t>
            </w:r>
          </w:p>
        </w:tc>
        <w:tc>
          <w:tcPr>
            <w:tcW w:w="373"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
              </w:rPr>
            </w:pPr>
            <w:r>
              <w:rPr>
                <w:sz w:val="20"/>
              </w:rPr>
              <w:t>3</w:t>
            </w:r>
          </w:p>
        </w:tc>
        <w:tc>
          <w:tcPr>
            <w:tcW w:w="367"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
              </w:rPr>
            </w:pPr>
            <w:r>
              <w:rPr>
                <w:sz w:val="20"/>
              </w:rPr>
              <w:t>6,0</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
              </w:rPr>
            </w:pPr>
            <w:r>
              <w:rPr>
                <w:sz w:val="20"/>
              </w:rPr>
              <w:t>0</w:t>
            </w:r>
          </w:p>
        </w:tc>
        <w:tc>
          <w:tcPr>
            <w:tcW w:w="373"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szCs w:val="24"/>
                <w:lang w:val="es-ES"/>
              </w:rPr>
            </w:pPr>
            <w:r>
              <w:rPr>
                <w:sz w:val="20"/>
              </w:rPr>
              <w:t>0</w:t>
            </w:r>
          </w:p>
        </w:tc>
        <w:tc>
          <w:tcPr>
            <w:tcW w:w="36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
                <w:bCs/>
                <w:sz w:val="20"/>
                <w:vertAlign w:val="superscript"/>
                <w:lang w:val="es-ES"/>
              </w:rPr>
            </w:pPr>
            <w:r>
              <w:rPr>
                <w:b/>
                <w:bCs/>
                <w:sz w:val="20"/>
                <w:vertAlign w:val="superscript"/>
              </w:rPr>
              <w:t>*</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
              </w:rPr>
            </w:pPr>
            <w:r>
              <w:rPr>
                <w:sz w:val="20"/>
              </w:rPr>
              <w:t>1 295</w:t>
            </w:r>
          </w:p>
        </w:tc>
        <w:tc>
          <w:tcPr>
            <w:tcW w:w="347"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
              </w:rPr>
            </w:pPr>
            <w:r>
              <w:rPr>
                <w:sz w:val="20"/>
              </w:rPr>
              <w:t>29</w:t>
            </w:r>
          </w:p>
        </w:tc>
        <w:tc>
          <w:tcPr>
            <w:tcW w:w="36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
              </w:rPr>
            </w:pPr>
            <w:r>
              <w:rPr>
                <w:sz w:val="20"/>
              </w:rPr>
              <w:t>22,4</w:t>
            </w:r>
          </w:p>
        </w:tc>
      </w:tr>
      <w:tr w:rsidR="00000000">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sz w:val="20"/>
                <w:szCs w:val="16"/>
              </w:rPr>
            </w:pPr>
            <w:r>
              <w:rPr>
                <w:sz w:val="20"/>
                <w:szCs w:val="16"/>
              </w:rPr>
              <w:t>Альто-Парагвай</w:t>
            </w:r>
          </w:p>
        </w:tc>
        <w:tc>
          <w:tcPr>
            <w:tcW w:w="363"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
              </w:rPr>
            </w:pPr>
            <w:r>
              <w:rPr>
                <w:sz w:val="20"/>
              </w:rPr>
              <w:t>129</w:t>
            </w:r>
          </w:p>
        </w:tc>
        <w:tc>
          <w:tcPr>
            <w:tcW w:w="373"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
              </w:rPr>
            </w:pPr>
            <w:r>
              <w:rPr>
                <w:sz w:val="20"/>
              </w:rPr>
              <w:t>1</w:t>
            </w:r>
          </w:p>
        </w:tc>
        <w:tc>
          <w:tcPr>
            <w:tcW w:w="36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
              </w:rPr>
            </w:pPr>
            <w:r>
              <w:rPr>
                <w:sz w:val="20"/>
              </w:rPr>
              <w:t>7,8</w:t>
            </w:r>
          </w:p>
        </w:tc>
        <w:tc>
          <w:tcPr>
            <w:tcW w:w="333"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
              </w:rPr>
            </w:pPr>
            <w:r>
              <w:rPr>
                <w:sz w:val="20"/>
              </w:rPr>
              <w:t>63</w:t>
            </w:r>
          </w:p>
        </w:tc>
        <w:tc>
          <w:tcPr>
            <w:tcW w:w="373"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
              </w:rPr>
            </w:pPr>
            <w:r>
              <w:rPr>
                <w:sz w:val="20"/>
              </w:rPr>
              <w:t>2</w:t>
            </w:r>
          </w:p>
        </w:tc>
        <w:tc>
          <w:tcPr>
            <w:tcW w:w="367"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
              </w:rPr>
            </w:pPr>
            <w:r>
              <w:rPr>
                <w:sz w:val="20"/>
              </w:rPr>
              <w:t>31,7</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
              </w:rPr>
            </w:pPr>
            <w:r>
              <w:rPr>
                <w:sz w:val="20"/>
              </w:rPr>
              <w:t>0</w:t>
            </w:r>
          </w:p>
        </w:tc>
        <w:tc>
          <w:tcPr>
            <w:tcW w:w="373"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szCs w:val="24"/>
                <w:lang w:val="es-ES"/>
              </w:rPr>
            </w:pPr>
            <w:r>
              <w:rPr>
                <w:sz w:val="20"/>
              </w:rPr>
              <w:t>0</w:t>
            </w:r>
          </w:p>
        </w:tc>
        <w:tc>
          <w:tcPr>
            <w:tcW w:w="36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
              </w:rPr>
            </w:pPr>
            <w:r>
              <w:rPr>
                <w:b/>
                <w:bCs/>
                <w:sz w:val="20"/>
                <w:vertAlign w:val="superscript"/>
              </w:rPr>
              <w:t>*</w:t>
            </w:r>
          </w:p>
        </w:tc>
        <w:tc>
          <w:tcPr>
            <w:tcW w:w="315"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
              </w:rPr>
            </w:pPr>
            <w:r>
              <w:rPr>
                <w:sz w:val="20"/>
              </w:rPr>
              <w:t>192</w:t>
            </w:r>
          </w:p>
        </w:tc>
        <w:tc>
          <w:tcPr>
            <w:tcW w:w="347"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
              </w:rPr>
            </w:pPr>
            <w:r>
              <w:rPr>
                <w:sz w:val="20"/>
              </w:rPr>
              <w:t>3</w:t>
            </w:r>
          </w:p>
        </w:tc>
        <w:tc>
          <w:tcPr>
            <w:tcW w:w="366"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
              </w:rPr>
            </w:pPr>
            <w:r>
              <w:rPr>
                <w:sz w:val="20"/>
              </w:rPr>
              <w:t>15,6</w:t>
            </w:r>
          </w:p>
        </w:tc>
      </w:tr>
      <w:tr w:rsidR="00000000">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Бокерон</w:t>
            </w:r>
          </w:p>
        </w:tc>
        <w:tc>
          <w:tcPr>
            <w:tcW w:w="36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226</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11</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48,7</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459</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w:t>
            </w:r>
          </w:p>
        </w:tc>
        <w:tc>
          <w:tcPr>
            <w:tcW w:w="36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4,4</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0</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lang w:val="es-ES"/>
              </w:rPr>
            </w:pPr>
            <w:r>
              <w:rPr>
                <w:sz w:val="20"/>
              </w:rPr>
              <w:t>0</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lang w:val="es-ES"/>
              </w:rPr>
            </w:pPr>
            <w:r>
              <w:rPr>
                <w:b/>
                <w:bCs/>
                <w:sz w:val="20"/>
                <w:vertAlign w:val="superscript"/>
              </w:rPr>
              <w:t>*</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685</w:t>
            </w:r>
          </w:p>
        </w:tc>
        <w:tc>
          <w:tcPr>
            <w:tcW w:w="34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13</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19,0</w:t>
            </w:r>
          </w:p>
        </w:tc>
      </w:tr>
      <w:tr w:rsidR="00000000">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Асунсьон</w:t>
            </w:r>
          </w:p>
        </w:tc>
        <w:tc>
          <w:tcPr>
            <w:tcW w:w="36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8 745</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140</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16,0</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4</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0</w:t>
            </w:r>
          </w:p>
        </w:tc>
        <w:tc>
          <w:tcPr>
            <w:tcW w:w="36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0,0</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0</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lang w:val="es-ES"/>
              </w:rPr>
            </w:pPr>
            <w:r>
              <w:rPr>
                <w:sz w:val="20"/>
              </w:rPr>
              <w:t>0</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lang w:val="es-ES"/>
              </w:rPr>
            </w:pPr>
            <w:r>
              <w:rPr>
                <w:b/>
                <w:bCs/>
                <w:sz w:val="20"/>
                <w:vertAlign w:val="superscript"/>
              </w:rPr>
              <w:t>*</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8 749</w:t>
            </w:r>
          </w:p>
        </w:tc>
        <w:tc>
          <w:tcPr>
            <w:tcW w:w="34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140</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16,0</w:t>
            </w:r>
          </w:p>
        </w:tc>
      </w:tr>
      <w:tr w:rsidR="00000000">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rPr>
                <w:color w:val="FF0000"/>
                <w:sz w:val="20"/>
                <w:szCs w:val="16"/>
                <w:lang w:val="es-ES"/>
              </w:rPr>
            </w:pPr>
            <w:r>
              <w:rPr>
                <w:sz w:val="20"/>
                <w:szCs w:val="16"/>
              </w:rPr>
              <w:t>Иностранцы</w:t>
            </w:r>
          </w:p>
        </w:tc>
        <w:tc>
          <w:tcPr>
            <w:tcW w:w="36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22</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3</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136,4</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0</w:t>
            </w:r>
          </w:p>
        </w:tc>
        <w:tc>
          <w:tcPr>
            <w:tcW w:w="36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0,0</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0</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lang w:val="es-ES"/>
              </w:rPr>
            </w:pPr>
            <w:r>
              <w:rPr>
                <w:sz w:val="20"/>
              </w:rPr>
              <w:t>0</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lang w:val="es-ES"/>
              </w:rPr>
            </w:pPr>
            <w:r>
              <w:rPr>
                <w:b/>
                <w:bCs/>
                <w:sz w:val="20"/>
                <w:vertAlign w:val="superscript"/>
              </w:rPr>
              <w:t>*</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23</w:t>
            </w:r>
          </w:p>
        </w:tc>
        <w:tc>
          <w:tcPr>
            <w:tcW w:w="34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3</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130,4</w:t>
            </w:r>
          </w:p>
        </w:tc>
      </w:tr>
      <w:tr w:rsidR="00000000">
        <w:tc>
          <w:tcPr>
            <w:tcW w:w="743" w:type="pct"/>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По стране</w:t>
            </w:r>
          </w:p>
        </w:tc>
        <w:tc>
          <w:tcPr>
            <w:tcW w:w="36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55 046</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1 257</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22,8</w:t>
            </w:r>
          </w:p>
        </w:tc>
        <w:tc>
          <w:tcPr>
            <w:tcW w:w="33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31692</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426</w:t>
            </w:r>
          </w:p>
        </w:tc>
        <w:tc>
          <w:tcPr>
            <w:tcW w:w="36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13,4</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11</w:t>
            </w:r>
          </w:p>
        </w:tc>
        <w:tc>
          <w:tcPr>
            <w:tcW w:w="373"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0</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szCs w:val="24"/>
                <w:lang w:val="es-ES"/>
              </w:rPr>
            </w:pPr>
            <w:r>
              <w:rPr>
                <w:b/>
                <w:bCs/>
                <w:sz w:val="20"/>
                <w:vertAlign w:val="superscript"/>
              </w:rPr>
              <w:t>*</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86749</w:t>
            </w:r>
          </w:p>
        </w:tc>
        <w:tc>
          <w:tcPr>
            <w:tcW w:w="34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w:t>
            </w:r>
            <w:r>
              <w:rPr>
                <w:sz w:val="20"/>
                <w:lang w:val="en-US"/>
              </w:rPr>
              <w:t> </w:t>
            </w:r>
            <w:r>
              <w:rPr>
                <w:sz w:val="20"/>
              </w:rPr>
              <w:t>683</w:t>
            </w:r>
          </w:p>
        </w:tc>
        <w:tc>
          <w:tcPr>
            <w:tcW w:w="3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
              </w:rPr>
            </w:pPr>
            <w:r>
              <w:rPr>
                <w:sz w:val="20"/>
              </w:rPr>
              <w:t>19,4</w:t>
            </w:r>
          </w:p>
        </w:tc>
      </w:tr>
    </w:tbl>
    <w:p w:rsidR="00000000" w:rsidRDefault="00000000">
      <w:pPr>
        <w:rPr>
          <w:i/>
          <w:iCs/>
          <w:sz w:val="22"/>
        </w:rPr>
      </w:pPr>
    </w:p>
    <w:p w:rsidR="00000000" w:rsidRDefault="00000000">
      <w:r>
        <w:rPr>
          <w:i/>
          <w:iCs/>
        </w:rPr>
        <w:t>Источник:</w:t>
      </w:r>
      <w:r>
        <w:t xml:space="preserve">  Зарегистрированные живорождения и случаи смерти младенцев.  МЗСО.</w:t>
      </w:r>
    </w:p>
    <w:p w:rsidR="00000000" w:rsidRDefault="00000000">
      <w:pPr>
        <w:rPr>
          <w:sz w:val="22"/>
          <w:lang w:val="es-ES"/>
        </w:rPr>
      </w:pPr>
    </w:p>
    <w:p w:rsidR="00000000" w:rsidRDefault="00000000">
      <w:pPr>
        <w:pageBreakBefore/>
        <w:jc w:val="center"/>
        <w:rPr>
          <w:b/>
          <w:bCs/>
          <w:szCs w:val="16"/>
        </w:rPr>
      </w:pPr>
      <w:r>
        <w:rPr>
          <w:b/>
          <w:bCs/>
          <w:szCs w:val="16"/>
        </w:rPr>
        <w:t xml:space="preserve">Парагвай, детская смертность </w:t>
      </w:r>
      <w:r>
        <w:rPr>
          <w:b/>
          <w:szCs w:val="16"/>
          <w:lang w:eastAsia="es-ES"/>
        </w:rPr>
        <w:t>в</w:t>
      </w:r>
      <w:r>
        <w:rPr>
          <w:b/>
          <w:szCs w:val="16"/>
          <w:lang w:val="es-ES" w:eastAsia="es-ES"/>
        </w:rPr>
        <w:t xml:space="preserve"> </w:t>
      </w:r>
      <w:r>
        <w:rPr>
          <w:b/>
          <w:szCs w:val="16"/>
          <w:lang w:eastAsia="es-ES"/>
        </w:rPr>
        <w:t>разбивке по</w:t>
      </w:r>
      <w:r>
        <w:rPr>
          <w:b/>
          <w:szCs w:val="16"/>
          <w:lang w:val="es-ES" w:eastAsia="es-ES"/>
        </w:rPr>
        <w:t xml:space="preserve"> </w:t>
      </w:r>
      <w:r>
        <w:rPr>
          <w:b/>
          <w:szCs w:val="16"/>
          <w:lang w:eastAsia="es-ES"/>
        </w:rPr>
        <w:t>санитарным</w:t>
      </w:r>
      <w:r>
        <w:rPr>
          <w:b/>
          <w:szCs w:val="16"/>
          <w:lang w:val="es-ES" w:eastAsia="es-ES"/>
        </w:rPr>
        <w:t xml:space="preserve"> </w:t>
      </w:r>
      <w:r>
        <w:rPr>
          <w:b/>
          <w:szCs w:val="16"/>
          <w:lang w:eastAsia="es-ES"/>
        </w:rPr>
        <w:t xml:space="preserve">регионам </w:t>
      </w:r>
      <w:r>
        <w:rPr>
          <w:b/>
          <w:bCs/>
          <w:szCs w:val="16"/>
        </w:rPr>
        <w:t>и полу, 2003 год</w:t>
      </w:r>
    </w:p>
    <w:p w:rsidR="00000000" w:rsidRDefault="00000000">
      <w:pPr>
        <w:rPr>
          <w:b/>
          <w:bCs/>
          <w:sz w:val="22"/>
          <w:szCs w:val="16"/>
        </w:rPr>
      </w:pPr>
    </w:p>
    <w:tbl>
      <w:tblPr>
        <w:tblW w:w="5000" w:type="pct"/>
        <w:jc w:val="center"/>
        <w:tblBorders>
          <w:top w:val="single" w:sz="4" w:space="0" w:color="auto"/>
          <w:left w:val="single" w:sz="4" w:space="0" w:color="auto"/>
          <w:bottom w:val="single" w:sz="4" w:space="0" w:color="auto"/>
          <w:right w:val="single" w:sz="4" w:space="0" w:color="auto"/>
        </w:tblBorders>
        <w:tblCellMar>
          <w:left w:w="57" w:type="dxa"/>
          <w:right w:w="57" w:type="dxa"/>
        </w:tblCellMar>
        <w:tblLook w:val="0000" w:firstRow="0" w:lastRow="0" w:firstColumn="0" w:lastColumn="0" w:noHBand="0" w:noVBand="0"/>
      </w:tblPr>
      <w:tblGrid>
        <w:gridCol w:w="1383"/>
        <w:gridCol w:w="743"/>
        <w:gridCol w:w="701"/>
        <w:gridCol w:w="686"/>
        <w:gridCol w:w="664"/>
        <w:gridCol w:w="701"/>
        <w:gridCol w:w="686"/>
        <w:gridCol w:w="468"/>
        <w:gridCol w:w="701"/>
        <w:gridCol w:w="686"/>
        <w:gridCol w:w="664"/>
        <w:gridCol w:w="701"/>
        <w:gridCol w:w="686"/>
      </w:tblGrid>
      <w:tr w:rsidR="00000000">
        <w:trPr>
          <w:cantSplit/>
          <w:tblHeader/>
          <w:jc w:val="center"/>
        </w:trPr>
        <w:tc>
          <w:tcPr>
            <w:tcW w:w="741" w:type="pct"/>
            <w:vMerge w:val="restart"/>
            <w:tcBorders>
              <w:top w:val="single" w:sz="4" w:space="0" w:color="auto"/>
              <w:left w:val="single" w:sz="4" w:space="0" w:color="auto"/>
              <w:bottom w:val="single" w:sz="4" w:space="0" w:color="auto"/>
              <w:right w:val="single" w:sz="4" w:space="0" w:color="auto"/>
            </w:tcBorders>
            <w:tcMar>
              <w:right w:w="0" w:type="dxa"/>
            </w:tcMar>
            <w:vAlign w:val="center"/>
          </w:tcPr>
          <w:p w:rsidR="00000000" w:rsidRDefault="00000000">
            <w:pPr>
              <w:spacing w:line="216" w:lineRule="auto"/>
              <w:jc w:val="center"/>
              <w:rPr>
                <w:b/>
                <w:bCs/>
                <w:sz w:val="22"/>
              </w:rPr>
            </w:pPr>
            <w:r>
              <w:rPr>
                <w:b/>
                <w:bCs/>
                <w:sz w:val="22"/>
              </w:rPr>
              <w:t>Санитарный регион</w:t>
            </w:r>
          </w:p>
        </w:tc>
        <w:tc>
          <w:tcPr>
            <w:tcW w:w="3236" w:type="pct"/>
            <w:gridSpan w:val="9"/>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rPr>
            </w:pPr>
            <w:r>
              <w:rPr>
                <w:b/>
                <w:bCs/>
                <w:sz w:val="22"/>
              </w:rPr>
              <w:t>Пол</w:t>
            </w:r>
          </w:p>
        </w:tc>
        <w:tc>
          <w:tcPr>
            <w:tcW w:w="1023" w:type="pct"/>
            <w:gridSpan w:val="3"/>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rPr>
            </w:pPr>
            <w:r>
              <w:rPr>
                <w:b/>
                <w:bCs/>
                <w:sz w:val="22"/>
              </w:rPr>
              <w:t>Всего</w:t>
            </w:r>
          </w:p>
        </w:tc>
      </w:tr>
      <w:tr w:rsidR="00000000">
        <w:trPr>
          <w:cantSplit/>
          <w:tblHeader/>
          <w:jc w:val="center"/>
        </w:trPr>
        <w:tc>
          <w:tcPr>
            <w:tcW w:w="0" w:type="auto"/>
            <w:vMerge/>
            <w:tcBorders>
              <w:top w:val="single" w:sz="4" w:space="0" w:color="auto"/>
              <w:left w:val="single" w:sz="4" w:space="0" w:color="auto"/>
              <w:bottom w:val="single" w:sz="4" w:space="0" w:color="auto"/>
              <w:right w:val="single" w:sz="4" w:space="0" w:color="auto"/>
            </w:tcBorders>
            <w:tcMar>
              <w:right w:w="0" w:type="dxa"/>
            </w:tcMar>
            <w:vAlign w:val="center"/>
          </w:tcPr>
          <w:p w:rsidR="00000000" w:rsidRDefault="00000000">
            <w:pPr>
              <w:spacing w:line="216" w:lineRule="auto"/>
              <w:jc w:val="center"/>
              <w:rPr>
                <w:b/>
                <w:bCs/>
                <w:sz w:val="22"/>
                <w:lang w:val="es-ES"/>
              </w:rPr>
            </w:pPr>
          </w:p>
        </w:tc>
        <w:tc>
          <w:tcPr>
            <w:tcW w:w="1136"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rPr>
            </w:pPr>
            <w:r>
              <w:rPr>
                <w:b/>
                <w:bCs/>
                <w:sz w:val="22"/>
              </w:rPr>
              <w:t>Мальчики</w:t>
            </w:r>
          </w:p>
        </w:tc>
        <w:tc>
          <w:tcPr>
            <w:tcW w:w="1086"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rPr>
            </w:pPr>
            <w:r>
              <w:rPr>
                <w:b/>
                <w:bCs/>
                <w:sz w:val="22"/>
              </w:rPr>
              <w:t>Девочки</w:t>
            </w:r>
          </w:p>
        </w:tc>
        <w:tc>
          <w:tcPr>
            <w:tcW w:w="1015"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lang w:val="es-ES"/>
              </w:rPr>
            </w:pPr>
            <w:r>
              <w:rPr>
                <w:b/>
                <w:bCs/>
                <w:sz w:val="22"/>
              </w:rPr>
              <w:t>Неизвестно</w:t>
            </w:r>
          </w:p>
        </w:tc>
        <w:tc>
          <w:tcPr>
            <w:tcW w:w="0" w:type="auto"/>
            <w:gridSpan w:val="3"/>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lang w:val="es-ES"/>
              </w:rPr>
            </w:pPr>
          </w:p>
        </w:tc>
      </w:tr>
      <w:tr w:rsidR="00000000">
        <w:trPr>
          <w:cantSplit/>
          <w:tblHeader/>
          <w:jc w:val="center"/>
        </w:trPr>
        <w:tc>
          <w:tcPr>
            <w:tcW w:w="0" w:type="auto"/>
            <w:vMerge/>
            <w:tcBorders>
              <w:top w:val="single" w:sz="4" w:space="0" w:color="auto"/>
              <w:left w:val="single" w:sz="4" w:space="0" w:color="auto"/>
              <w:bottom w:val="single" w:sz="4" w:space="0" w:color="auto"/>
              <w:right w:val="single" w:sz="4" w:space="0" w:color="auto"/>
            </w:tcBorders>
            <w:tcMar>
              <w:right w:w="0" w:type="dxa"/>
            </w:tcMar>
            <w:vAlign w:val="center"/>
          </w:tcPr>
          <w:p w:rsidR="00000000" w:rsidRDefault="00000000">
            <w:pPr>
              <w:spacing w:line="216" w:lineRule="auto"/>
              <w:jc w:val="center"/>
              <w:rPr>
                <w:b/>
                <w:bCs/>
                <w:sz w:val="22"/>
                <w:lang w:val="es-ES"/>
              </w:rPr>
            </w:pPr>
          </w:p>
        </w:tc>
        <w:tc>
          <w:tcPr>
            <w:tcW w:w="403"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rPr>
            </w:pPr>
            <w:r>
              <w:rPr>
                <w:b/>
                <w:bCs/>
                <w:sz w:val="20"/>
              </w:rPr>
              <w:t>ЗЖ</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rPr>
            </w:pPr>
            <w:r>
              <w:rPr>
                <w:b/>
                <w:bCs/>
                <w:sz w:val="22"/>
              </w:rPr>
              <w:t>Умер.</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rPr>
            </w:pPr>
            <w:r>
              <w:rPr>
                <w:b/>
                <w:bCs/>
                <w:sz w:val="22"/>
              </w:rPr>
              <w:t>Коэф.</w:t>
            </w:r>
          </w:p>
        </w:tc>
        <w:tc>
          <w:tcPr>
            <w:tcW w:w="353"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rPr>
            </w:pPr>
            <w:r>
              <w:rPr>
                <w:b/>
                <w:bCs/>
                <w:sz w:val="20"/>
              </w:rPr>
              <w:t>ЗЖ</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rPr>
            </w:pPr>
            <w:r>
              <w:rPr>
                <w:b/>
                <w:bCs/>
                <w:sz w:val="22"/>
              </w:rPr>
              <w:t>Умер.</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rPr>
            </w:pPr>
            <w:r>
              <w:rPr>
                <w:b/>
                <w:bCs/>
                <w:sz w:val="22"/>
              </w:rPr>
              <w:t>Коэф.</w:t>
            </w:r>
          </w:p>
        </w:tc>
        <w:tc>
          <w:tcPr>
            <w:tcW w:w="283"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rPr>
            </w:pPr>
            <w:r>
              <w:rPr>
                <w:b/>
                <w:bCs/>
                <w:sz w:val="20"/>
              </w:rPr>
              <w:t>ЗЖ</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rPr>
            </w:pPr>
            <w:r>
              <w:rPr>
                <w:b/>
                <w:bCs/>
                <w:sz w:val="22"/>
              </w:rPr>
              <w:t>Умер.</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rPr>
            </w:pPr>
            <w:r>
              <w:rPr>
                <w:b/>
                <w:bCs/>
                <w:sz w:val="22"/>
              </w:rPr>
              <w:t>Коэф.</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0"/>
              </w:rPr>
            </w:pPr>
            <w:r>
              <w:rPr>
                <w:b/>
                <w:bCs/>
                <w:sz w:val="20"/>
              </w:rPr>
              <w:t>ЗЖ</w:t>
            </w:r>
          </w:p>
        </w:tc>
        <w:tc>
          <w:tcPr>
            <w:tcW w:w="314"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rPr>
            </w:pPr>
            <w:r>
              <w:rPr>
                <w:b/>
                <w:bCs/>
                <w:sz w:val="22"/>
              </w:rPr>
              <w:t>Умер.</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rPr>
            </w:pPr>
            <w:r>
              <w:rPr>
                <w:b/>
                <w:bCs/>
                <w:sz w:val="22"/>
              </w:rPr>
              <w:t>Коэф.</w:t>
            </w:r>
          </w:p>
        </w:tc>
      </w:tr>
      <w:tr w:rsidR="00000000">
        <w:trPr>
          <w:jc w:val="center"/>
        </w:trPr>
        <w:tc>
          <w:tcPr>
            <w:tcW w:w="741" w:type="pct"/>
            <w:tcBorders>
              <w:top w:val="single" w:sz="4" w:space="0" w:color="auto"/>
              <w:left w:val="single" w:sz="4" w:space="0" w:color="auto"/>
              <w:bottom w:val="single" w:sz="4" w:space="0" w:color="auto"/>
              <w:right w:val="single" w:sz="4" w:space="0" w:color="auto"/>
            </w:tcBorders>
            <w:tcMar>
              <w:right w:w="0" w:type="dxa"/>
            </w:tcMar>
            <w:vAlign w:val="bottom"/>
          </w:tcPr>
          <w:p w:rsidR="00000000" w:rsidRDefault="00000000">
            <w:pPr>
              <w:rPr>
                <w:sz w:val="22"/>
                <w:szCs w:val="16"/>
                <w:lang w:val="es-ES"/>
              </w:rPr>
            </w:pPr>
            <w:r>
              <w:rPr>
                <w:kern w:val="2"/>
                <w:sz w:val="22"/>
              </w:rPr>
              <w:t>Консепсьон</w:t>
            </w:r>
          </w:p>
        </w:tc>
        <w:tc>
          <w:tcPr>
            <w:tcW w:w="40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1 874</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60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32,5</w:t>
            </w:r>
          </w:p>
        </w:tc>
        <w:tc>
          <w:tcPr>
            <w:tcW w:w="3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1 830</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48</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26,2</w:t>
            </w:r>
          </w:p>
        </w:tc>
        <w:tc>
          <w:tcPr>
            <w:tcW w:w="2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0</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4"/>
                <w:lang w:val="es-ES"/>
              </w:rPr>
            </w:pPr>
            <w:r>
              <w:rPr>
                <w:sz w:val="22"/>
              </w:rPr>
              <w:t>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b/>
                <w:bCs/>
                <w:sz w:val="22"/>
                <w:vertAlign w:val="superscript"/>
              </w:rPr>
              <w:t>*</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3 677</w:t>
            </w:r>
          </w:p>
        </w:tc>
        <w:tc>
          <w:tcPr>
            <w:tcW w:w="31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108</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29,4</w:t>
            </w:r>
          </w:p>
        </w:tc>
      </w:tr>
      <w:tr w:rsidR="00000000">
        <w:trPr>
          <w:jc w:val="center"/>
        </w:trPr>
        <w:tc>
          <w:tcPr>
            <w:tcW w:w="741" w:type="pct"/>
            <w:tcBorders>
              <w:top w:val="single" w:sz="4" w:space="0" w:color="auto"/>
              <w:left w:val="single" w:sz="4" w:space="0" w:color="auto"/>
              <w:bottom w:val="single" w:sz="4" w:space="0" w:color="auto"/>
              <w:right w:val="single" w:sz="4" w:space="0" w:color="auto"/>
            </w:tcBorders>
            <w:tcMar>
              <w:right w:w="0" w:type="dxa"/>
            </w:tcMar>
            <w:vAlign w:val="bottom"/>
          </w:tcPr>
          <w:p w:rsidR="00000000" w:rsidRDefault="00000000">
            <w:pPr>
              <w:rPr>
                <w:sz w:val="22"/>
                <w:szCs w:val="16"/>
                <w:lang w:val="es-ES"/>
              </w:rPr>
            </w:pPr>
            <w:r>
              <w:rPr>
                <w:kern w:val="2"/>
                <w:sz w:val="22"/>
              </w:rPr>
              <w:t>Сан-Педро</w:t>
            </w:r>
          </w:p>
        </w:tc>
        <w:tc>
          <w:tcPr>
            <w:tcW w:w="40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2 379</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47</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19,8</w:t>
            </w:r>
          </w:p>
        </w:tc>
        <w:tc>
          <w:tcPr>
            <w:tcW w:w="3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2 173</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43</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19,8</w:t>
            </w:r>
          </w:p>
        </w:tc>
        <w:tc>
          <w:tcPr>
            <w:tcW w:w="2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0</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4"/>
                <w:lang w:val="es-ES"/>
              </w:rPr>
            </w:pPr>
            <w:r>
              <w:rPr>
                <w:sz w:val="22"/>
              </w:rPr>
              <w:t>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N</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4 552</w:t>
            </w:r>
          </w:p>
        </w:tc>
        <w:tc>
          <w:tcPr>
            <w:tcW w:w="31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90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19,8</w:t>
            </w:r>
          </w:p>
        </w:tc>
      </w:tr>
      <w:tr w:rsidR="00000000">
        <w:trPr>
          <w:jc w:val="center"/>
        </w:trPr>
        <w:tc>
          <w:tcPr>
            <w:tcW w:w="741" w:type="pct"/>
            <w:tcBorders>
              <w:top w:val="single" w:sz="4" w:space="0" w:color="auto"/>
              <w:left w:val="single" w:sz="4" w:space="0" w:color="auto"/>
              <w:bottom w:val="single" w:sz="4" w:space="0" w:color="auto"/>
              <w:right w:val="single" w:sz="4" w:space="0" w:color="auto"/>
            </w:tcBorders>
            <w:tcMar>
              <w:right w:w="0" w:type="dxa"/>
            </w:tcMar>
            <w:vAlign w:val="bottom"/>
          </w:tcPr>
          <w:p w:rsidR="00000000" w:rsidRDefault="00000000">
            <w:pPr>
              <w:rPr>
                <w:sz w:val="22"/>
                <w:szCs w:val="16"/>
                <w:lang w:val="es-ES"/>
              </w:rPr>
            </w:pPr>
            <w:r>
              <w:rPr>
                <w:kern w:val="2"/>
                <w:sz w:val="22"/>
              </w:rPr>
              <w:t>Кордильера</w:t>
            </w:r>
          </w:p>
        </w:tc>
        <w:tc>
          <w:tcPr>
            <w:tcW w:w="40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2 230</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55</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24,7</w:t>
            </w:r>
          </w:p>
        </w:tc>
        <w:tc>
          <w:tcPr>
            <w:tcW w:w="3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2 247</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38</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18,9</w:t>
            </w:r>
          </w:p>
        </w:tc>
        <w:tc>
          <w:tcPr>
            <w:tcW w:w="2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4"/>
                <w:lang w:val="es-ES"/>
              </w:rPr>
            </w:pPr>
            <w:r>
              <w:rPr>
                <w:sz w:val="22"/>
              </w:rPr>
              <w:t>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O</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s-ES"/>
              </w:rPr>
              <w:t>4 478</w:t>
            </w:r>
          </w:p>
        </w:tc>
        <w:tc>
          <w:tcPr>
            <w:tcW w:w="31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s-ES"/>
              </w:rPr>
              <w:t>93</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s-ES"/>
              </w:rPr>
              <w:t>20,8</w:t>
            </w:r>
          </w:p>
        </w:tc>
      </w:tr>
      <w:tr w:rsidR="00000000">
        <w:trPr>
          <w:jc w:val="center"/>
        </w:trPr>
        <w:tc>
          <w:tcPr>
            <w:tcW w:w="741" w:type="pct"/>
            <w:tcBorders>
              <w:top w:val="single" w:sz="4" w:space="0" w:color="auto"/>
              <w:left w:val="single" w:sz="4" w:space="0" w:color="auto"/>
              <w:bottom w:val="single" w:sz="4" w:space="0" w:color="auto"/>
              <w:right w:val="single" w:sz="4" w:space="0" w:color="auto"/>
            </w:tcBorders>
            <w:tcMar>
              <w:right w:w="0" w:type="dxa"/>
            </w:tcMar>
            <w:vAlign w:val="bottom"/>
          </w:tcPr>
          <w:p w:rsidR="00000000" w:rsidRDefault="00000000">
            <w:pPr>
              <w:rPr>
                <w:sz w:val="22"/>
                <w:szCs w:val="16"/>
              </w:rPr>
            </w:pPr>
            <w:r>
              <w:rPr>
                <w:sz w:val="22"/>
                <w:szCs w:val="16"/>
              </w:rPr>
              <w:t>Гуаира</w:t>
            </w:r>
          </w:p>
        </w:tc>
        <w:tc>
          <w:tcPr>
            <w:tcW w:w="40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s-ES"/>
              </w:rPr>
              <w:t>1 595</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s-ES"/>
              </w:rPr>
              <w:t>55</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s-ES"/>
              </w:rPr>
              <w:t>34,5</w:t>
            </w:r>
          </w:p>
        </w:tc>
        <w:tc>
          <w:tcPr>
            <w:tcW w:w="3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s-ES"/>
              </w:rPr>
              <w:t>1 616</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s-ES"/>
              </w:rPr>
              <w:t>40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s-ES"/>
              </w:rPr>
              <w:t>24,8</w:t>
            </w:r>
          </w:p>
        </w:tc>
        <w:tc>
          <w:tcPr>
            <w:tcW w:w="2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s-ES"/>
              </w:rPr>
              <w:t>0</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4"/>
                <w:lang w:val="es-ES"/>
              </w:rPr>
            </w:pPr>
            <w:r>
              <w:rPr>
                <w:sz w:val="22"/>
                <w:lang w:val="es-ES"/>
              </w:rPr>
              <w:t>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4"/>
                <w:lang w:val="es-ES"/>
              </w:rPr>
            </w:pPr>
            <w:r>
              <w:rPr>
                <w:b/>
                <w:bCs/>
                <w:sz w:val="22"/>
                <w:vertAlign w:val="superscript"/>
                <w:lang w:val="es-ES"/>
              </w:rPr>
              <w:t>*</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s-ES"/>
              </w:rPr>
              <w:t>3 211</w:t>
            </w:r>
          </w:p>
        </w:tc>
        <w:tc>
          <w:tcPr>
            <w:tcW w:w="31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s-ES"/>
              </w:rPr>
              <w:t>95</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s-ES"/>
              </w:rPr>
              <w:t>29,6</w:t>
            </w:r>
          </w:p>
        </w:tc>
      </w:tr>
      <w:tr w:rsidR="00000000">
        <w:trPr>
          <w:jc w:val="center"/>
        </w:trPr>
        <w:tc>
          <w:tcPr>
            <w:tcW w:w="741" w:type="pct"/>
            <w:tcBorders>
              <w:top w:val="single" w:sz="4" w:space="0" w:color="auto"/>
              <w:left w:val="single" w:sz="4" w:space="0" w:color="auto"/>
              <w:bottom w:val="single" w:sz="4" w:space="0" w:color="auto"/>
              <w:right w:val="single" w:sz="4" w:space="0" w:color="auto"/>
            </w:tcBorders>
            <w:tcMar>
              <w:right w:w="0" w:type="dxa"/>
            </w:tcMar>
            <w:vAlign w:val="bottom"/>
          </w:tcPr>
          <w:p w:rsidR="00000000" w:rsidRDefault="00000000">
            <w:pPr>
              <w:rPr>
                <w:sz w:val="22"/>
                <w:szCs w:val="16"/>
                <w:lang w:val="es-ES"/>
              </w:rPr>
            </w:pPr>
            <w:r>
              <w:rPr>
                <w:kern w:val="2"/>
                <w:sz w:val="22"/>
              </w:rPr>
              <w:t>Каагуасу</w:t>
            </w:r>
          </w:p>
        </w:tc>
        <w:tc>
          <w:tcPr>
            <w:tcW w:w="40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s-ES"/>
              </w:rPr>
              <w:t>3 178</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s-ES"/>
              </w:rPr>
              <w:t>44</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s-ES"/>
              </w:rPr>
              <w:t>13,8</w:t>
            </w:r>
          </w:p>
        </w:tc>
        <w:tc>
          <w:tcPr>
            <w:tcW w:w="3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s-ES"/>
              </w:rPr>
              <w:t>3 108</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s-ES"/>
              </w:rPr>
              <w:t>43</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s-ES"/>
              </w:rPr>
              <w:t>13,8</w:t>
            </w:r>
          </w:p>
        </w:tc>
        <w:tc>
          <w:tcPr>
            <w:tcW w:w="2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s-ES"/>
              </w:rPr>
              <w:t>1</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4"/>
                <w:lang w:val="es-ES"/>
              </w:rPr>
            </w:pPr>
            <w:r>
              <w:rPr>
                <w:sz w:val="22"/>
                <w:lang w:val="es-ES"/>
              </w:rPr>
              <w:t>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4"/>
                <w:lang w:val="es-ES"/>
              </w:rPr>
            </w:pPr>
            <w:r>
              <w:rPr>
                <w:b/>
                <w:bCs/>
                <w:sz w:val="22"/>
                <w:vertAlign w:val="superscript"/>
                <w:lang w:val="es-ES"/>
              </w:rPr>
              <w:t>*</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s-ES"/>
              </w:rPr>
              <w:t>6 287</w:t>
            </w:r>
          </w:p>
        </w:tc>
        <w:tc>
          <w:tcPr>
            <w:tcW w:w="31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s-ES"/>
              </w:rPr>
              <w:t>87</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s-ES"/>
              </w:rPr>
              <w:t>13,8</w:t>
            </w:r>
          </w:p>
        </w:tc>
      </w:tr>
      <w:tr w:rsidR="00000000">
        <w:trPr>
          <w:jc w:val="center"/>
        </w:trPr>
        <w:tc>
          <w:tcPr>
            <w:tcW w:w="741" w:type="pct"/>
            <w:tcBorders>
              <w:top w:val="single" w:sz="4" w:space="0" w:color="auto"/>
              <w:left w:val="single" w:sz="4" w:space="0" w:color="auto"/>
              <w:bottom w:val="single" w:sz="4" w:space="0" w:color="auto"/>
              <w:right w:val="single" w:sz="4" w:space="0" w:color="auto"/>
            </w:tcBorders>
            <w:tcMar>
              <w:right w:w="0" w:type="dxa"/>
            </w:tcMar>
            <w:vAlign w:val="bottom"/>
          </w:tcPr>
          <w:p w:rsidR="00000000" w:rsidRDefault="00000000">
            <w:pPr>
              <w:rPr>
                <w:sz w:val="22"/>
                <w:szCs w:val="16"/>
              </w:rPr>
            </w:pPr>
            <w:r>
              <w:rPr>
                <w:sz w:val="22"/>
                <w:szCs w:val="16"/>
              </w:rPr>
              <w:t>Каасапа</w:t>
            </w:r>
          </w:p>
        </w:tc>
        <w:tc>
          <w:tcPr>
            <w:tcW w:w="40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1 180</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23</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19,5</w:t>
            </w:r>
          </w:p>
        </w:tc>
        <w:tc>
          <w:tcPr>
            <w:tcW w:w="3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1 157</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20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17,3</w:t>
            </w:r>
          </w:p>
        </w:tc>
        <w:tc>
          <w:tcPr>
            <w:tcW w:w="2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0</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4"/>
                <w:lang w:val="es-ES"/>
              </w:rPr>
            </w:pPr>
            <w:r>
              <w:rPr>
                <w:sz w:val="22"/>
                <w:lang w:val="en-US"/>
              </w:rPr>
              <w:t>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A</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2 337</w:t>
            </w:r>
          </w:p>
        </w:tc>
        <w:tc>
          <w:tcPr>
            <w:tcW w:w="31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43</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18,4</w:t>
            </w:r>
          </w:p>
        </w:tc>
      </w:tr>
      <w:tr w:rsidR="00000000">
        <w:trPr>
          <w:jc w:val="center"/>
        </w:trPr>
        <w:tc>
          <w:tcPr>
            <w:tcW w:w="741" w:type="pct"/>
            <w:tcBorders>
              <w:top w:val="single" w:sz="4" w:space="0" w:color="auto"/>
              <w:left w:val="single" w:sz="4" w:space="0" w:color="auto"/>
              <w:bottom w:val="single" w:sz="4" w:space="0" w:color="auto"/>
              <w:right w:val="single" w:sz="4" w:space="0" w:color="auto"/>
            </w:tcBorders>
            <w:tcMar>
              <w:right w:w="0" w:type="dxa"/>
            </w:tcMar>
            <w:vAlign w:val="bottom"/>
          </w:tcPr>
          <w:p w:rsidR="00000000" w:rsidRDefault="00000000">
            <w:pPr>
              <w:rPr>
                <w:sz w:val="22"/>
                <w:szCs w:val="16"/>
                <w:lang w:val="es-ES"/>
              </w:rPr>
            </w:pPr>
            <w:r>
              <w:rPr>
                <w:kern w:val="2"/>
                <w:sz w:val="22"/>
              </w:rPr>
              <w:t>Итапуа</w:t>
            </w:r>
          </w:p>
        </w:tc>
        <w:tc>
          <w:tcPr>
            <w:tcW w:w="40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3 638</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81</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22,3</w:t>
            </w:r>
          </w:p>
        </w:tc>
        <w:tc>
          <w:tcPr>
            <w:tcW w:w="3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3 534</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54</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15,3</w:t>
            </w:r>
          </w:p>
        </w:tc>
        <w:tc>
          <w:tcPr>
            <w:tcW w:w="2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0</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4"/>
                <w:lang w:val="es-ES"/>
              </w:rPr>
            </w:pPr>
            <w:r>
              <w:rPr>
                <w:sz w:val="22"/>
                <w:lang w:val="en-US"/>
              </w:rPr>
              <w:t>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P</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7 172</w:t>
            </w:r>
          </w:p>
        </w:tc>
        <w:tc>
          <w:tcPr>
            <w:tcW w:w="31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135</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18,8</w:t>
            </w:r>
          </w:p>
        </w:tc>
      </w:tr>
      <w:tr w:rsidR="00000000">
        <w:trPr>
          <w:jc w:val="center"/>
        </w:trPr>
        <w:tc>
          <w:tcPr>
            <w:tcW w:w="741" w:type="pct"/>
            <w:tcBorders>
              <w:top w:val="single" w:sz="4" w:space="0" w:color="auto"/>
              <w:left w:val="single" w:sz="4" w:space="0" w:color="auto"/>
              <w:bottom w:val="single" w:sz="4" w:space="0" w:color="auto"/>
              <w:right w:val="single" w:sz="4" w:space="0" w:color="auto"/>
            </w:tcBorders>
            <w:tcMar>
              <w:right w:w="0" w:type="dxa"/>
            </w:tcMar>
            <w:vAlign w:val="bottom"/>
          </w:tcPr>
          <w:p w:rsidR="00000000" w:rsidRDefault="00000000">
            <w:pPr>
              <w:rPr>
                <w:sz w:val="22"/>
                <w:szCs w:val="16"/>
                <w:lang w:val="es-ES"/>
              </w:rPr>
            </w:pPr>
            <w:r>
              <w:rPr>
                <w:kern w:val="2"/>
                <w:sz w:val="22"/>
              </w:rPr>
              <w:t>Мисьонес</w:t>
            </w:r>
          </w:p>
        </w:tc>
        <w:tc>
          <w:tcPr>
            <w:tcW w:w="40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999</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30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30,0</w:t>
            </w:r>
          </w:p>
        </w:tc>
        <w:tc>
          <w:tcPr>
            <w:tcW w:w="3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919</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23</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25,0</w:t>
            </w:r>
          </w:p>
        </w:tc>
        <w:tc>
          <w:tcPr>
            <w:tcW w:w="2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0</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4"/>
                <w:lang w:val="es-ES"/>
              </w:rPr>
            </w:pPr>
            <w:r>
              <w:rPr>
                <w:sz w:val="22"/>
              </w:rPr>
              <w:t>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L</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1 918</w:t>
            </w:r>
          </w:p>
        </w:tc>
        <w:tc>
          <w:tcPr>
            <w:tcW w:w="31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53</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27,6</w:t>
            </w:r>
          </w:p>
        </w:tc>
      </w:tr>
      <w:tr w:rsidR="00000000">
        <w:trPr>
          <w:jc w:val="center"/>
        </w:trPr>
        <w:tc>
          <w:tcPr>
            <w:tcW w:w="741" w:type="pct"/>
            <w:tcBorders>
              <w:top w:val="single" w:sz="4" w:space="0" w:color="auto"/>
              <w:left w:val="single" w:sz="4" w:space="0" w:color="auto"/>
              <w:bottom w:val="single" w:sz="4" w:space="0" w:color="auto"/>
              <w:right w:val="single" w:sz="4" w:space="0" w:color="auto"/>
            </w:tcBorders>
            <w:tcMar>
              <w:right w:w="0" w:type="dxa"/>
            </w:tcMar>
            <w:vAlign w:val="bottom"/>
          </w:tcPr>
          <w:p w:rsidR="00000000" w:rsidRDefault="00000000">
            <w:pPr>
              <w:rPr>
                <w:sz w:val="22"/>
                <w:szCs w:val="16"/>
                <w:lang w:val="es-ES"/>
              </w:rPr>
            </w:pPr>
            <w:r>
              <w:rPr>
                <w:kern w:val="2"/>
                <w:sz w:val="22"/>
              </w:rPr>
              <w:t>Парагуари</w:t>
            </w:r>
          </w:p>
        </w:tc>
        <w:tc>
          <w:tcPr>
            <w:tcW w:w="40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1 868</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31</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16,6</w:t>
            </w:r>
          </w:p>
        </w:tc>
        <w:tc>
          <w:tcPr>
            <w:tcW w:w="3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1 839</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26</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14,1</w:t>
            </w:r>
          </w:p>
        </w:tc>
        <w:tc>
          <w:tcPr>
            <w:tcW w:w="2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0</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4"/>
                <w:lang w:val="es-ES"/>
              </w:rPr>
            </w:pPr>
            <w:r>
              <w:rPr>
                <w:sz w:val="22"/>
              </w:rPr>
              <w:t>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I</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3 707</w:t>
            </w:r>
          </w:p>
        </w:tc>
        <w:tc>
          <w:tcPr>
            <w:tcW w:w="31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57</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15,4</w:t>
            </w:r>
          </w:p>
        </w:tc>
      </w:tr>
      <w:tr w:rsidR="00000000">
        <w:trPr>
          <w:jc w:val="center"/>
        </w:trPr>
        <w:tc>
          <w:tcPr>
            <w:tcW w:w="741" w:type="pct"/>
            <w:tcBorders>
              <w:top w:val="single" w:sz="4" w:space="0" w:color="auto"/>
              <w:left w:val="single" w:sz="4" w:space="0" w:color="auto"/>
              <w:bottom w:val="single" w:sz="4" w:space="0" w:color="auto"/>
              <w:right w:val="single" w:sz="4" w:space="0" w:color="auto"/>
            </w:tcBorders>
            <w:tcMar>
              <w:right w:w="0" w:type="dxa"/>
            </w:tcMar>
            <w:vAlign w:val="bottom"/>
          </w:tcPr>
          <w:p w:rsidR="00000000" w:rsidRDefault="00000000">
            <w:pPr>
              <w:spacing w:line="240" w:lineRule="auto"/>
              <w:rPr>
                <w:sz w:val="22"/>
                <w:szCs w:val="16"/>
                <w:lang w:val="es-ES"/>
              </w:rPr>
            </w:pPr>
            <w:r>
              <w:rPr>
                <w:kern w:val="2"/>
                <w:sz w:val="22"/>
              </w:rPr>
              <w:t>Альто-Парана</w:t>
            </w:r>
          </w:p>
        </w:tc>
        <w:tc>
          <w:tcPr>
            <w:tcW w:w="40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4 558</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121</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26,5</w:t>
            </w:r>
          </w:p>
        </w:tc>
        <w:tc>
          <w:tcPr>
            <w:tcW w:w="3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4 378</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123</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28,1</w:t>
            </w:r>
          </w:p>
        </w:tc>
        <w:tc>
          <w:tcPr>
            <w:tcW w:w="2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4"/>
                <w:lang w:val="es-ES"/>
              </w:rPr>
            </w:pPr>
            <w:r>
              <w:rPr>
                <w:sz w:val="22"/>
              </w:rPr>
              <w:t>2</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C</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8 937</w:t>
            </w:r>
          </w:p>
        </w:tc>
        <w:tc>
          <w:tcPr>
            <w:tcW w:w="31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246</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27,5</w:t>
            </w:r>
          </w:p>
        </w:tc>
      </w:tr>
      <w:tr w:rsidR="00000000">
        <w:trPr>
          <w:jc w:val="center"/>
        </w:trPr>
        <w:tc>
          <w:tcPr>
            <w:tcW w:w="741" w:type="pct"/>
            <w:tcBorders>
              <w:top w:val="single" w:sz="4" w:space="0" w:color="auto"/>
              <w:left w:val="single" w:sz="4" w:space="0" w:color="auto"/>
              <w:bottom w:val="single" w:sz="4" w:space="0" w:color="auto"/>
              <w:right w:val="single" w:sz="4" w:space="0" w:color="auto"/>
            </w:tcBorders>
            <w:tcMar>
              <w:right w:w="0" w:type="dxa"/>
            </w:tcMar>
            <w:vAlign w:val="bottom"/>
          </w:tcPr>
          <w:p w:rsidR="00000000" w:rsidRDefault="00000000">
            <w:pPr>
              <w:rPr>
                <w:sz w:val="22"/>
                <w:szCs w:val="16"/>
                <w:lang w:val="es-ES"/>
              </w:rPr>
            </w:pPr>
            <w:r>
              <w:rPr>
                <w:kern w:val="2"/>
                <w:sz w:val="22"/>
              </w:rPr>
              <w:t>Сентраль</w:t>
            </w:r>
          </w:p>
        </w:tc>
        <w:tc>
          <w:tcPr>
            <w:tcW w:w="40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12 972</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225</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17,3</w:t>
            </w:r>
          </w:p>
        </w:tc>
        <w:tc>
          <w:tcPr>
            <w:tcW w:w="3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12573</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173</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13,8</w:t>
            </w:r>
          </w:p>
        </w:tc>
        <w:tc>
          <w:tcPr>
            <w:tcW w:w="2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4"/>
                <w:lang w:val="es-ES"/>
              </w:rPr>
            </w:pPr>
            <w:r>
              <w:rPr>
                <w:sz w:val="22"/>
              </w:rPr>
              <w:t>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A</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25557</w:t>
            </w:r>
          </w:p>
        </w:tc>
        <w:tc>
          <w:tcPr>
            <w:tcW w:w="31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398</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15,6</w:t>
            </w:r>
          </w:p>
        </w:tc>
      </w:tr>
      <w:tr w:rsidR="00000000">
        <w:trPr>
          <w:jc w:val="center"/>
        </w:trPr>
        <w:tc>
          <w:tcPr>
            <w:tcW w:w="741" w:type="pct"/>
            <w:tcBorders>
              <w:top w:val="single" w:sz="4" w:space="0" w:color="auto"/>
              <w:left w:val="single" w:sz="4" w:space="0" w:color="auto"/>
              <w:bottom w:val="single" w:sz="4" w:space="0" w:color="auto"/>
              <w:right w:val="single" w:sz="4" w:space="0" w:color="auto"/>
            </w:tcBorders>
            <w:tcMar>
              <w:right w:w="0" w:type="dxa"/>
            </w:tcMar>
            <w:vAlign w:val="bottom"/>
          </w:tcPr>
          <w:p w:rsidR="00000000" w:rsidRDefault="00000000">
            <w:pPr>
              <w:rPr>
                <w:sz w:val="22"/>
                <w:szCs w:val="16"/>
                <w:lang w:val="es-ES"/>
              </w:rPr>
            </w:pPr>
            <w:r>
              <w:rPr>
                <w:kern w:val="2"/>
                <w:sz w:val="22"/>
              </w:rPr>
              <w:t>Ньембуку</w:t>
            </w:r>
          </w:p>
        </w:tc>
        <w:tc>
          <w:tcPr>
            <w:tcW w:w="40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542</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9</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16,6</w:t>
            </w:r>
          </w:p>
        </w:tc>
        <w:tc>
          <w:tcPr>
            <w:tcW w:w="3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543</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11</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20,3</w:t>
            </w:r>
          </w:p>
        </w:tc>
        <w:tc>
          <w:tcPr>
            <w:tcW w:w="2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0</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4"/>
              </w:rPr>
            </w:pPr>
            <w:r>
              <w:rPr>
                <w:sz w:val="22"/>
              </w:rPr>
              <w:t>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lang w:val="en-US"/>
              </w:rPr>
              <w:t>B</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1 085</w:t>
            </w:r>
          </w:p>
        </w:tc>
        <w:tc>
          <w:tcPr>
            <w:tcW w:w="31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20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18,4</w:t>
            </w:r>
          </w:p>
        </w:tc>
      </w:tr>
      <w:tr w:rsidR="00000000">
        <w:trPr>
          <w:jc w:val="center"/>
        </w:trPr>
        <w:tc>
          <w:tcPr>
            <w:tcW w:w="741" w:type="pct"/>
            <w:tcBorders>
              <w:top w:val="single" w:sz="4" w:space="0" w:color="auto"/>
              <w:left w:val="single" w:sz="4" w:space="0" w:color="auto"/>
              <w:bottom w:val="single" w:sz="4" w:space="0" w:color="auto"/>
              <w:right w:val="single" w:sz="4" w:space="0" w:color="auto"/>
            </w:tcBorders>
            <w:tcMar>
              <w:right w:w="0" w:type="dxa"/>
            </w:tcMar>
            <w:vAlign w:val="bottom"/>
          </w:tcPr>
          <w:p w:rsidR="00000000" w:rsidRDefault="00000000">
            <w:pPr>
              <w:rPr>
                <w:sz w:val="22"/>
                <w:szCs w:val="16"/>
                <w:lang w:val="es-ES"/>
              </w:rPr>
            </w:pPr>
            <w:r>
              <w:rPr>
                <w:kern w:val="2"/>
                <w:sz w:val="22"/>
              </w:rPr>
              <w:t>Амамбай</w:t>
            </w:r>
          </w:p>
        </w:tc>
        <w:tc>
          <w:tcPr>
            <w:tcW w:w="40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721</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17</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23,6</w:t>
            </w:r>
          </w:p>
        </w:tc>
        <w:tc>
          <w:tcPr>
            <w:tcW w:w="3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637</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22</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34,5</w:t>
            </w:r>
          </w:p>
        </w:tc>
        <w:tc>
          <w:tcPr>
            <w:tcW w:w="2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0</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4"/>
              </w:rPr>
            </w:pPr>
            <w:r>
              <w:rPr>
                <w:sz w:val="22"/>
              </w:rPr>
              <w:t>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lang w:val="en-US"/>
              </w:rPr>
              <w:t>L</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1 358</w:t>
            </w:r>
          </w:p>
        </w:tc>
        <w:tc>
          <w:tcPr>
            <w:tcW w:w="31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39</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28,7</w:t>
            </w:r>
          </w:p>
        </w:tc>
      </w:tr>
      <w:tr w:rsidR="00000000">
        <w:trPr>
          <w:jc w:val="center"/>
        </w:trPr>
        <w:tc>
          <w:tcPr>
            <w:tcW w:w="741" w:type="pct"/>
            <w:tcBorders>
              <w:top w:val="single" w:sz="4" w:space="0" w:color="auto"/>
              <w:left w:val="single" w:sz="4" w:space="0" w:color="auto"/>
              <w:bottom w:val="single" w:sz="4" w:space="0" w:color="auto"/>
              <w:right w:val="single" w:sz="4" w:space="0" w:color="auto"/>
            </w:tcBorders>
            <w:tcMar>
              <w:right w:w="0" w:type="dxa"/>
            </w:tcMar>
            <w:vAlign w:val="bottom"/>
          </w:tcPr>
          <w:p w:rsidR="00000000" w:rsidRDefault="00000000">
            <w:pPr>
              <w:rPr>
                <w:sz w:val="22"/>
                <w:szCs w:val="16"/>
                <w:lang w:val="es-ES"/>
              </w:rPr>
            </w:pPr>
            <w:r>
              <w:rPr>
                <w:kern w:val="2"/>
                <w:sz w:val="22"/>
              </w:rPr>
              <w:t>Канендию</w:t>
            </w:r>
          </w:p>
        </w:tc>
        <w:tc>
          <w:tcPr>
            <w:tcW w:w="40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775</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19</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24,5</w:t>
            </w:r>
          </w:p>
        </w:tc>
        <w:tc>
          <w:tcPr>
            <w:tcW w:w="3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754</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12</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15,9</w:t>
            </w:r>
          </w:p>
        </w:tc>
        <w:tc>
          <w:tcPr>
            <w:tcW w:w="2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0</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4"/>
                <w:lang w:val="es-ES"/>
              </w:rPr>
            </w:pPr>
            <w:r>
              <w:rPr>
                <w:sz w:val="22"/>
              </w:rPr>
              <w:t>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lang w:val="en-US"/>
              </w:rPr>
              <w:t>E</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1 529</w:t>
            </w:r>
          </w:p>
        </w:tc>
        <w:tc>
          <w:tcPr>
            <w:tcW w:w="31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31</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20,3</w:t>
            </w:r>
          </w:p>
        </w:tc>
      </w:tr>
      <w:tr w:rsidR="00000000">
        <w:trPr>
          <w:jc w:val="center"/>
        </w:trPr>
        <w:tc>
          <w:tcPr>
            <w:tcW w:w="741" w:type="pct"/>
            <w:tcBorders>
              <w:top w:val="single" w:sz="4" w:space="0" w:color="auto"/>
              <w:left w:val="single" w:sz="4" w:space="0" w:color="auto"/>
              <w:bottom w:val="single" w:sz="4" w:space="0" w:color="auto"/>
              <w:right w:val="single" w:sz="4" w:space="0" w:color="auto"/>
            </w:tcBorders>
            <w:tcMar>
              <w:right w:w="0" w:type="dxa"/>
            </w:tcMar>
            <w:vAlign w:val="bottom"/>
          </w:tcPr>
          <w:p w:rsidR="00000000" w:rsidRDefault="00000000">
            <w:pPr>
              <w:spacing w:line="240" w:lineRule="auto"/>
              <w:rPr>
                <w:sz w:val="22"/>
                <w:szCs w:val="16"/>
                <w:lang w:val="es-ES"/>
              </w:rPr>
            </w:pPr>
            <w:r>
              <w:rPr>
                <w:kern w:val="2"/>
                <w:sz w:val="22"/>
              </w:rPr>
              <w:t>Пресиденте-Аес</w:t>
            </w:r>
          </w:p>
        </w:tc>
        <w:tc>
          <w:tcPr>
            <w:tcW w:w="40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682</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15</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22,0</w:t>
            </w:r>
          </w:p>
        </w:tc>
        <w:tc>
          <w:tcPr>
            <w:tcW w:w="3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613</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14</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22,8</w:t>
            </w:r>
          </w:p>
        </w:tc>
        <w:tc>
          <w:tcPr>
            <w:tcW w:w="2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0</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4"/>
                <w:lang w:val="es-ES"/>
              </w:rPr>
            </w:pPr>
            <w:r>
              <w:rPr>
                <w:sz w:val="22"/>
              </w:rPr>
              <w:t>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4"/>
                <w:lang w:val="es-ES"/>
              </w:rPr>
            </w:pPr>
            <w:r>
              <w:rPr>
                <w:b/>
                <w:bCs/>
                <w:sz w:val="22"/>
                <w:vertAlign w:val="superscript"/>
              </w:rPr>
              <w:t>*</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1 295</w:t>
            </w:r>
          </w:p>
        </w:tc>
        <w:tc>
          <w:tcPr>
            <w:tcW w:w="31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29</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22,4</w:t>
            </w:r>
          </w:p>
        </w:tc>
      </w:tr>
      <w:tr w:rsidR="00000000">
        <w:trPr>
          <w:jc w:val="center"/>
        </w:trPr>
        <w:tc>
          <w:tcPr>
            <w:tcW w:w="741" w:type="pct"/>
            <w:tcBorders>
              <w:top w:val="single" w:sz="4" w:space="0" w:color="auto"/>
              <w:left w:val="single" w:sz="4" w:space="0" w:color="auto"/>
              <w:bottom w:val="single" w:sz="4" w:space="0" w:color="auto"/>
              <w:right w:val="single" w:sz="4" w:space="0" w:color="auto"/>
            </w:tcBorders>
            <w:tcMar>
              <w:right w:w="0" w:type="dxa"/>
            </w:tcMar>
            <w:vAlign w:val="bottom"/>
          </w:tcPr>
          <w:p w:rsidR="00000000" w:rsidRDefault="00000000">
            <w:pPr>
              <w:spacing w:line="240" w:lineRule="auto"/>
              <w:rPr>
                <w:sz w:val="22"/>
                <w:szCs w:val="16"/>
              </w:rPr>
            </w:pPr>
            <w:r>
              <w:rPr>
                <w:sz w:val="22"/>
                <w:szCs w:val="16"/>
              </w:rPr>
              <w:t>Альто-Парагвай</w:t>
            </w:r>
          </w:p>
        </w:tc>
        <w:tc>
          <w:tcPr>
            <w:tcW w:w="40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98</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3</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30,6</w:t>
            </w:r>
          </w:p>
        </w:tc>
        <w:tc>
          <w:tcPr>
            <w:tcW w:w="3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94</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0,0</w:t>
            </w:r>
          </w:p>
        </w:tc>
        <w:tc>
          <w:tcPr>
            <w:tcW w:w="2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0</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4"/>
                <w:lang w:val="es-ES"/>
              </w:rPr>
            </w:pPr>
            <w:r>
              <w:rPr>
                <w:sz w:val="22"/>
              </w:rPr>
              <w:t>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4"/>
                <w:lang w:val="es-ES"/>
              </w:rPr>
            </w:pPr>
            <w:r>
              <w:rPr>
                <w:b/>
                <w:bCs/>
                <w:sz w:val="22"/>
                <w:vertAlign w:val="superscript"/>
              </w:rPr>
              <w:t>*</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192</w:t>
            </w:r>
          </w:p>
        </w:tc>
        <w:tc>
          <w:tcPr>
            <w:tcW w:w="31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3</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15,6</w:t>
            </w:r>
          </w:p>
        </w:tc>
      </w:tr>
      <w:tr w:rsidR="00000000">
        <w:trPr>
          <w:jc w:val="center"/>
        </w:trPr>
        <w:tc>
          <w:tcPr>
            <w:tcW w:w="741" w:type="pct"/>
            <w:tcBorders>
              <w:top w:val="single" w:sz="4" w:space="0" w:color="auto"/>
              <w:left w:val="single" w:sz="4" w:space="0" w:color="auto"/>
              <w:bottom w:val="single" w:sz="4" w:space="0" w:color="auto"/>
              <w:right w:val="single" w:sz="4" w:space="0" w:color="auto"/>
            </w:tcBorders>
            <w:tcMar>
              <w:right w:w="0" w:type="dxa"/>
            </w:tcMar>
            <w:vAlign w:val="bottom"/>
          </w:tcPr>
          <w:p w:rsidR="00000000" w:rsidRDefault="00000000">
            <w:pPr>
              <w:rPr>
                <w:sz w:val="22"/>
                <w:szCs w:val="16"/>
                <w:lang w:val="es-ES"/>
              </w:rPr>
            </w:pPr>
            <w:r>
              <w:rPr>
                <w:kern w:val="2"/>
                <w:sz w:val="22"/>
              </w:rPr>
              <w:t>Бокерон</w:t>
            </w:r>
          </w:p>
        </w:tc>
        <w:tc>
          <w:tcPr>
            <w:tcW w:w="40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380</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6</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15,8</w:t>
            </w:r>
          </w:p>
        </w:tc>
        <w:tc>
          <w:tcPr>
            <w:tcW w:w="3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305</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7</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23,0</w:t>
            </w:r>
          </w:p>
        </w:tc>
        <w:tc>
          <w:tcPr>
            <w:tcW w:w="2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0</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4"/>
                <w:lang w:val="es-ES"/>
              </w:rPr>
            </w:pPr>
            <w:r>
              <w:rPr>
                <w:sz w:val="22"/>
              </w:rPr>
              <w:t>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4"/>
                <w:lang w:val="es-ES"/>
              </w:rPr>
            </w:pPr>
            <w:r>
              <w:rPr>
                <w:b/>
                <w:bCs/>
                <w:sz w:val="22"/>
                <w:vertAlign w:val="superscript"/>
              </w:rPr>
              <w:t>*</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685</w:t>
            </w:r>
          </w:p>
        </w:tc>
        <w:tc>
          <w:tcPr>
            <w:tcW w:w="31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13</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19,0</w:t>
            </w:r>
          </w:p>
        </w:tc>
      </w:tr>
      <w:tr w:rsidR="00000000">
        <w:trPr>
          <w:jc w:val="center"/>
        </w:trPr>
        <w:tc>
          <w:tcPr>
            <w:tcW w:w="741" w:type="pct"/>
            <w:tcBorders>
              <w:top w:val="single" w:sz="4" w:space="0" w:color="auto"/>
              <w:left w:val="single" w:sz="4" w:space="0" w:color="auto"/>
              <w:bottom w:val="single" w:sz="4" w:space="0" w:color="auto"/>
              <w:right w:val="single" w:sz="4" w:space="0" w:color="auto"/>
            </w:tcBorders>
            <w:tcMar>
              <w:right w:w="0" w:type="dxa"/>
            </w:tcMar>
            <w:vAlign w:val="bottom"/>
          </w:tcPr>
          <w:p w:rsidR="00000000" w:rsidRDefault="00000000">
            <w:pPr>
              <w:rPr>
                <w:sz w:val="22"/>
                <w:szCs w:val="16"/>
                <w:lang w:val="es-ES"/>
              </w:rPr>
            </w:pPr>
            <w:r>
              <w:rPr>
                <w:kern w:val="2"/>
                <w:sz w:val="22"/>
              </w:rPr>
              <w:t>Асунсьон</w:t>
            </w:r>
          </w:p>
        </w:tc>
        <w:tc>
          <w:tcPr>
            <w:tcW w:w="40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4 506</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79</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17,5</w:t>
            </w:r>
          </w:p>
        </w:tc>
        <w:tc>
          <w:tcPr>
            <w:tcW w:w="3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4 242</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61</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14,4</w:t>
            </w:r>
          </w:p>
        </w:tc>
        <w:tc>
          <w:tcPr>
            <w:tcW w:w="2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4"/>
                <w:lang w:val="es-ES"/>
              </w:rPr>
            </w:pPr>
            <w:r>
              <w:rPr>
                <w:sz w:val="22"/>
              </w:rPr>
              <w:t>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4"/>
                <w:lang w:val="es-ES"/>
              </w:rPr>
            </w:pPr>
            <w:r>
              <w:rPr>
                <w:b/>
                <w:bCs/>
                <w:sz w:val="22"/>
                <w:vertAlign w:val="superscript"/>
              </w:rPr>
              <w:t>*</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8 749</w:t>
            </w:r>
          </w:p>
        </w:tc>
        <w:tc>
          <w:tcPr>
            <w:tcW w:w="31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140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16,0</w:t>
            </w:r>
          </w:p>
        </w:tc>
      </w:tr>
      <w:tr w:rsidR="00000000">
        <w:trPr>
          <w:jc w:val="center"/>
        </w:trPr>
        <w:tc>
          <w:tcPr>
            <w:tcW w:w="741" w:type="pct"/>
            <w:tcBorders>
              <w:top w:val="single" w:sz="4" w:space="0" w:color="auto"/>
              <w:left w:val="single" w:sz="4" w:space="0" w:color="auto"/>
              <w:bottom w:val="single" w:sz="4" w:space="0" w:color="auto"/>
              <w:right w:val="single" w:sz="4" w:space="0" w:color="auto"/>
            </w:tcBorders>
            <w:tcMar>
              <w:right w:w="0" w:type="dxa"/>
            </w:tcMar>
            <w:vAlign w:val="bottom"/>
          </w:tcPr>
          <w:p w:rsidR="00000000" w:rsidRDefault="00000000">
            <w:pPr>
              <w:rPr>
                <w:color w:val="FF0000"/>
                <w:sz w:val="22"/>
                <w:szCs w:val="16"/>
                <w:lang w:val="es-ES"/>
              </w:rPr>
            </w:pPr>
            <w:r>
              <w:rPr>
                <w:szCs w:val="16"/>
              </w:rPr>
              <w:t>Иностранцы</w:t>
            </w:r>
          </w:p>
        </w:tc>
        <w:tc>
          <w:tcPr>
            <w:tcW w:w="40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11</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3</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272,7</w:t>
            </w:r>
          </w:p>
        </w:tc>
        <w:tc>
          <w:tcPr>
            <w:tcW w:w="3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12</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0,0</w:t>
            </w:r>
          </w:p>
        </w:tc>
        <w:tc>
          <w:tcPr>
            <w:tcW w:w="2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0</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szCs w:val="24"/>
                <w:lang w:val="es-ES"/>
              </w:rPr>
            </w:pPr>
            <w:r>
              <w:rPr>
                <w:sz w:val="22"/>
              </w:rPr>
              <w:t>0</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4"/>
                <w:lang w:val="es-ES"/>
              </w:rPr>
            </w:pPr>
            <w:r>
              <w:rPr>
                <w:b/>
                <w:bCs/>
                <w:sz w:val="22"/>
                <w:vertAlign w:val="superscript"/>
              </w:rPr>
              <w:t>*</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23</w:t>
            </w:r>
          </w:p>
        </w:tc>
        <w:tc>
          <w:tcPr>
            <w:tcW w:w="31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3</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130,4</w:t>
            </w:r>
          </w:p>
        </w:tc>
      </w:tr>
      <w:tr w:rsidR="00000000">
        <w:trPr>
          <w:jc w:val="center"/>
        </w:trPr>
        <w:tc>
          <w:tcPr>
            <w:tcW w:w="741" w:type="pct"/>
            <w:tcBorders>
              <w:top w:val="single" w:sz="4" w:space="0" w:color="auto"/>
              <w:left w:val="single" w:sz="4" w:space="0" w:color="auto"/>
              <w:bottom w:val="single" w:sz="4" w:space="0" w:color="auto"/>
              <w:right w:val="single" w:sz="4" w:space="0" w:color="auto"/>
            </w:tcBorders>
            <w:tcMar>
              <w:right w:w="0" w:type="dxa"/>
            </w:tcMar>
          </w:tcPr>
          <w:p w:rsidR="00000000" w:rsidRDefault="00000000">
            <w:pPr>
              <w:rPr>
                <w:sz w:val="22"/>
              </w:rPr>
            </w:pPr>
            <w:r>
              <w:rPr>
                <w:sz w:val="22"/>
              </w:rPr>
              <w:t>По стране</w:t>
            </w:r>
          </w:p>
        </w:tc>
        <w:tc>
          <w:tcPr>
            <w:tcW w:w="40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55 046</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1 257</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20,9</w:t>
            </w:r>
          </w:p>
        </w:tc>
        <w:tc>
          <w:tcPr>
            <w:tcW w:w="3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42574</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426</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13,4</w:t>
            </w:r>
          </w:p>
        </w:tc>
        <w:tc>
          <w:tcPr>
            <w:tcW w:w="2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6</w:t>
            </w:r>
          </w:p>
        </w:tc>
        <w:tc>
          <w:tcPr>
            <w:tcW w:w="3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2</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4"/>
                <w:lang w:val="es-ES"/>
              </w:rPr>
            </w:pPr>
            <w:r>
              <w:rPr>
                <w:b/>
                <w:bCs/>
                <w:sz w:val="22"/>
                <w:vertAlign w:val="superscript"/>
              </w:rPr>
              <w:t>*</w:t>
            </w:r>
          </w:p>
        </w:tc>
        <w:tc>
          <w:tcPr>
            <w:tcW w:w="34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86739</w:t>
            </w:r>
          </w:p>
        </w:tc>
        <w:tc>
          <w:tcPr>
            <w:tcW w:w="31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1 683</w:t>
            </w:r>
          </w:p>
        </w:tc>
        <w:tc>
          <w:tcPr>
            <w:tcW w:w="3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
              </w:rPr>
            </w:pPr>
            <w:r>
              <w:rPr>
                <w:sz w:val="22"/>
              </w:rPr>
              <w:t>19,4</w:t>
            </w:r>
          </w:p>
        </w:tc>
      </w:tr>
    </w:tbl>
    <w:p w:rsidR="00000000" w:rsidRDefault="00000000">
      <w:pPr>
        <w:spacing w:line="216" w:lineRule="auto"/>
        <w:rPr>
          <w:i/>
          <w:iCs/>
          <w:sz w:val="16"/>
        </w:rPr>
      </w:pPr>
    </w:p>
    <w:p w:rsidR="00000000" w:rsidRDefault="00000000">
      <w:pPr>
        <w:spacing w:line="216" w:lineRule="auto"/>
        <w:rPr>
          <w:lang w:val="en-US"/>
        </w:rPr>
      </w:pPr>
      <w:r>
        <w:rPr>
          <w:i/>
          <w:iCs/>
        </w:rPr>
        <w:t>Источник:</w:t>
      </w:r>
      <w:r>
        <w:t xml:space="preserve">  Зарегистрированные живорождения и случаи смерти младенцев.  МЗСО</w:t>
      </w:r>
      <w:r>
        <w:rPr>
          <w:lang w:val="en-US"/>
        </w:rPr>
        <w:t>.</w:t>
      </w:r>
    </w:p>
    <w:p w:rsidR="00000000" w:rsidRDefault="00000000">
      <w:pPr>
        <w:spacing w:line="216" w:lineRule="auto"/>
        <w:rPr>
          <w:sz w:val="16"/>
          <w:lang w:val="es-ES"/>
        </w:rPr>
      </w:pPr>
    </w:p>
    <w:p w:rsidR="00000000" w:rsidRDefault="00000000">
      <w:pPr>
        <w:spacing w:line="216" w:lineRule="auto"/>
        <w:rPr>
          <w:lang w:val="es-ES"/>
        </w:rPr>
      </w:pPr>
      <w:r>
        <w:rPr>
          <w:i/>
          <w:iCs/>
        </w:rPr>
        <w:t>Архивная</w:t>
      </w:r>
      <w:r>
        <w:rPr>
          <w:i/>
          <w:iCs/>
          <w:lang w:val="en-US"/>
        </w:rPr>
        <w:t xml:space="preserve"> </w:t>
      </w:r>
      <w:r>
        <w:rPr>
          <w:i/>
          <w:iCs/>
        </w:rPr>
        <w:t>проводка</w:t>
      </w:r>
      <w:r>
        <w:rPr>
          <w:i/>
          <w:iCs/>
          <w:lang w:val="en-US"/>
        </w:rPr>
        <w:t>:</w:t>
      </w:r>
      <w:r>
        <w:rPr>
          <w:lang w:val="en-US"/>
        </w:rPr>
        <w:t xml:space="preserve">  C/personal/indicado/mortalidad.</w:t>
      </w:r>
    </w:p>
    <w:p w:rsidR="00000000" w:rsidRDefault="00000000">
      <w:pPr>
        <w:rPr>
          <w:b/>
          <w:bCs/>
          <w:sz w:val="22"/>
          <w:lang w:val="en-US"/>
        </w:rPr>
      </w:pPr>
    </w:p>
    <w:p w:rsidR="00000000" w:rsidRDefault="00000000">
      <w:pPr>
        <w:spacing w:line="216" w:lineRule="auto"/>
        <w:jc w:val="center"/>
        <w:rPr>
          <w:b/>
          <w:bCs/>
        </w:rPr>
      </w:pPr>
      <w:r>
        <w:rPr>
          <w:b/>
          <w:bCs/>
        </w:rPr>
        <w:t>Основные причины детской смертности в Парагвае</w:t>
      </w:r>
    </w:p>
    <w:p w:rsidR="00000000" w:rsidRDefault="00000000">
      <w:pPr>
        <w:spacing w:line="216" w:lineRule="auto"/>
        <w:jc w:val="center"/>
        <w:rPr>
          <w:b/>
          <w:bCs/>
        </w:rPr>
      </w:pPr>
      <w:r>
        <w:rPr>
          <w:b/>
          <w:bCs/>
        </w:rPr>
        <w:t>(на 1</w:t>
      </w:r>
      <w:r>
        <w:rPr>
          <w:b/>
          <w:bCs/>
          <w:lang w:val="en-US"/>
        </w:rPr>
        <w:t> </w:t>
      </w:r>
      <w:r>
        <w:rPr>
          <w:b/>
          <w:bCs/>
        </w:rPr>
        <w:t>000 живорождений), 2003 год</w:t>
      </w:r>
    </w:p>
    <w:p w:rsidR="00000000" w:rsidRDefault="00000000">
      <w:pPr>
        <w:spacing w:line="216" w:lineRule="auto"/>
        <w:rPr>
          <w:b/>
          <w:bCs/>
          <w:sz w:val="22"/>
          <w:szCs w:val="24"/>
        </w:rPr>
      </w:pPr>
    </w:p>
    <w:tbl>
      <w:tblPr>
        <w:tblW w:w="5000" w:type="pct"/>
        <w:jc w:val="center"/>
        <w:tblBorders>
          <w:top w:val="single" w:sz="4" w:space="0" w:color="auto"/>
          <w:left w:val="single" w:sz="4" w:space="0" w:color="auto"/>
          <w:bottom w:val="single" w:sz="4" w:space="0" w:color="auto"/>
          <w:right w:val="single" w:sz="4" w:space="0" w:color="auto"/>
        </w:tblBorders>
        <w:tblCellMar>
          <w:left w:w="62" w:type="dxa"/>
          <w:right w:w="62" w:type="dxa"/>
        </w:tblCellMar>
        <w:tblLook w:val="0000" w:firstRow="0" w:lastRow="0" w:firstColumn="0" w:lastColumn="0" w:noHBand="0" w:noVBand="0"/>
      </w:tblPr>
      <w:tblGrid>
        <w:gridCol w:w="507"/>
        <w:gridCol w:w="5006"/>
        <w:gridCol w:w="1725"/>
        <w:gridCol w:w="1312"/>
        <w:gridCol w:w="930"/>
      </w:tblGrid>
      <w:tr w:rsidR="00000000">
        <w:trPr>
          <w:tblHeader/>
          <w:jc w:val="center"/>
        </w:trPr>
        <w:tc>
          <w:tcPr>
            <w:tcW w:w="2881"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szCs w:val="24"/>
              </w:rPr>
            </w:pPr>
            <w:r>
              <w:rPr>
                <w:b/>
                <w:bCs/>
                <w:sz w:val="22"/>
              </w:rPr>
              <w:t>Причины</w:t>
            </w:r>
          </w:p>
        </w:tc>
        <w:tc>
          <w:tcPr>
            <w:tcW w:w="919"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szCs w:val="24"/>
                <w:lang w:val="es-ES"/>
              </w:rPr>
            </w:pPr>
            <w:r>
              <w:rPr>
                <w:b/>
                <w:bCs/>
                <w:sz w:val="22"/>
              </w:rPr>
              <w:t>Случаи смерти младенцев</w:t>
            </w:r>
          </w:p>
        </w:tc>
        <w:tc>
          <w:tcPr>
            <w:tcW w:w="701"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szCs w:val="24"/>
              </w:rPr>
            </w:pPr>
            <w:r>
              <w:rPr>
                <w:b/>
                <w:bCs/>
                <w:sz w:val="22"/>
              </w:rPr>
              <w:t>Процент</w:t>
            </w:r>
          </w:p>
        </w:tc>
        <w:tc>
          <w:tcPr>
            <w:tcW w:w="499"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216" w:lineRule="auto"/>
              <w:jc w:val="center"/>
              <w:rPr>
                <w:b/>
                <w:bCs/>
                <w:sz w:val="22"/>
                <w:szCs w:val="24"/>
              </w:rPr>
            </w:pPr>
            <w:r>
              <w:rPr>
                <w:b/>
                <w:bCs/>
                <w:sz w:val="22"/>
              </w:rPr>
              <w:t>Коэф.</w:t>
            </w:r>
          </w:p>
        </w:tc>
      </w:tr>
      <w:tr w:rsidR="00000000">
        <w:trPr>
          <w:jc w:val="center"/>
        </w:trPr>
        <w:tc>
          <w:tcPr>
            <w:tcW w:w="232" w:type="pct"/>
            <w:tcBorders>
              <w:top w:val="single" w:sz="4" w:space="0" w:color="auto"/>
              <w:left w:val="single" w:sz="4" w:space="0" w:color="auto"/>
              <w:bottom w:val="single" w:sz="4" w:space="0" w:color="auto"/>
              <w:right w:val="single" w:sz="4" w:space="0" w:color="auto"/>
            </w:tcBorders>
            <w:tcMar>
              <w:right w:w="170" w:type="dxa"/>
            </w:tcMar>
          </w:tcPr>
          <w:p w:rsidR="00000000" w:rsidRDefault="00000000">
            <w:pPr>
              <w:jc w:val="right"/>
              <w:rPr>
                <w:sz w:val="22"/>
                <w:szCs w:val="24"/>
                <w:lang w:val="es-ES"/>
              </w:rPr>
            </w:pPr>
            <w:r>
              <w:rPr>
                <w:sz w:val="22"/>
              </w:rPr>
              <w:t>1.</w:t>
            </w:r>
          </w:p>
        </w:tc>
        <w:tc>
          <w:tcPr>
            <w:tcW w:w="2649" w:type="pct"/>
            <w:tcBorders>
              <w:top w:val="single" w:sz="4" w:space="0" w:color="auto"/>
              <w:left w:val="single" w:sz="4" w:space="0" w:color="auto"/>
              <w:bottom w:val="single" w:sz="4" w:space="0" w:color="auto"/>
              <w:right w:val="single" w:sz="4" w:space="0" w:color="auto"/>
            </w:tcBorders>
          </w:tcPr>
          <w:p w:rsidR="00000000" w:rsidRDefault="00000000">
            <w:pPr>
              <w:rPr>
                <w:spacing w:val="-6"/>
                <w:sz w:val="22"/>
                <w:szCs w:val="24"/>
                <w:lang w:val="es-ES"/>
              </w:rPr>
            </w:pPr>
            <w:r>
              <w:rPr>
                <w:spacing w:val="-6"/>
                <w:sz w:val="22"/>
              </w:rPr>
              <w:t>Родовые травмы (</w:t>
            </w:r>
            <w:r>
              <w:rPr>
                <w:spacing w:val="-6"/>
                <w:sz w:val="22"/>
                <w:lang w:val="en-US"/>
              </w:rPr>
              <w:t>P</w:t>
            </w:r>
            <w:r>
              <w:rPr>
                <w:spacing w:val="-6"/>
                <w:sz w:val="22"/>
              </w:rPr>
              <w:t>01-</w:t>
            </w:r>
            <w:r>
              <w:rPr>
                <w:spacing w:val="-6"/>
                <w:sz w:val="22"/>
                <w:lang w:val="en-US"/>
              </w:rPr>
              <w:t>P</w:t>
            </w:r>
            <w:r>
              <w:rPr>
                <w:spacing w:val="-6"/>
                <w:sz w:val="22"/>
              </w:rPr>
              <w:t xml:space="preserve">03; </w:t>
            </w:r>
            <w:r>
              <w:rPr>
                <w:spacing w:val="-6"/>
                <w:sz w:val="22"/>
                <w:lang w:val="en-US"/>
              </w:rPr>
              <w:t>P</w:t>
            </w:r>
            <w:r>
              <w:rPr>
                <w:spacing w:val="-6"/>
                <w:sz w:val="22"/>
              </w:rPr>
              <w:t>10-</w:t>
            </w:r>
            <w:r>
              <w:rPr>
                <w:spacing w:val="-6"/>
                <w:sz w:val="22"/>
                <w:lang w:val="en-US"/>
              </w:rPr>
              <w:t>P</w:t>
            </w:r>
            <w:r>
              <w:rPr>
                <w:spacing w:val="-6"/>
                <w:sz w:val="22"/>
              </w:rPr>
              <w:t xml:space="preserve">15; </w:t>
            </w:r>
            <w:r>
              <w:rPr>
                <w:spacing w:val="-6"/>
                <w:sz w:val="22"/>
                <w:lang w:val="en-US"/>
              </w:rPr>
              <w:t>P</w:t>
            </w:r>
            <w:r>
              <w:rPr>
                <w:spacing w:val="-6"/>
                <w:sz w:val="22"/>
              </w:rPr>
              <w:t>20-</w:t>
            </w:r>
            <w:r>
              <w:rPr>
                <w:spacing w:val="-6"/>
                <w:sz w:val="22"/>
                <w:lang w:val="en-US"/>
              </w:rPr>
              <w:t>P</w:t>
            </w:r>
            <w:r>
              <w:rPr>
                <w:spacing w:val="-6"/>
                <w:sz w:val="22"/>
              </w:rPr>
              <w:t>28)</w:t>
            </w:r>
          </w:p>
        </w:tc>
        <w:tc>
          <w:tcPr>
            <w:tcW w:w="91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 w:val="clear" w:pos="1701"/>
              </w:tabs>
              <w:ind w:right="593"/>
              <w:jc w:val="right"/>
              <w:rPr>
                <w:sz w:val="22"/>
                <w:szCs w:val="24"/>
                <w:lang w:val="es-ES"/>
              </w:rPr>
            </w:pPr>
            <w:r>
              <w:rPr>
                <w:sz w:val="22"/>
              </w:rPr>
              <w:t>381</w:t>
            </w:r>
          </w:p>
        </w:tc>
        <w:tc>
          <w:tcPr>
            <w:tcW w:w="701"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rPr>
                <w:sz w:val="22"/>
                <w:szCs w:val="24"/>
                <w:lang w:val="es-ES"/>
              </w:rPr>
            </w:pPr>
            <w:r>
              <w:rPr>
                <w:sz w:val="22"/>
              </w:rPr>
              <w:t>22,6</w:t>
            </w:r>
          </w:p>
        </w:tc>
        <w:tc>
          <w:tcPr>
            <w:tcW w:w="49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 w:val="clear" w:pos="1701"/>
                <w:tab w:val="clear" w:pos="2268"/>
                <w:tab w:val="clear" w:pos="6237"/>
                <w:tab w:val="decimal" w:pos="284"/>
              </w:tabs>
              <w:rPr>
                <w:sz w:val="22"/>
                <w:szCs w:val="24"/>
                <w:lang w:val="es-ES"/>
              </w:rPr>
            </w:pPr>
            <w:r>
              <w:rPr>
                <w:sz w:val="22"/>
              </w:rPr>
              <w:t>4,4</w:t>
            </w:r>
          </w:p>
        </w:tc>
      </w:tr>
      <w:tr w:rsidR="00000000">
        <w:trPr>
          <w:jc w:val="center"/>
        </w:trPr>
        <w:tc>
          <w:tcPr>
            <w:tcW w:w="232" w:type="pct"/>
            <w:tcBorders>
              <w:top w:val="single" w:sz="4" w:space="0" w:color="auto"/>
              <w:left w:val="single" w:sz="4" w:space="0" w:color="auto"/>
              <w:bottom w:val="single" w:sz="4" w:space="0" w:color="auto"/>
              <w:right w:val="single" w:sz="4" w:space="0" w:color="auto"/>
            </w:tcBorders>
            <w:tcMar>
              <w:right w:w="170" w:type="dxa"/>
            </w:tcMar>
          </w:tcPr>
          <w:p w:rsidR="00000000" w:rsidRDefault="00000000">
            <w:pPr>
              <w:jc w:val="right"/>
              <w:rPr>
                <w:sz w:val="22"/>
                <w:szCs w:val="24"/>
                <w:lang w:val="es-ES"/>
              </w:rPr>
            </w:pPr>
            <w:r>
              <w:rPr>
                <w:sz w:val="22"/>
              </w:rPr>
              <w:t>2.</w:t>
            </w:r>
          </w:p>
        </w:tc>
        <w:tc>
          <w:tcPr>
            <w:tcW w:w="2649" w:type="pct"/>
            <w:tcBorders>
              <w:top w:val="single" w:sz="4" w:space="0" w:color="auto"/>
              <w:left w:val="single" w:sz="4" w:space="0" w:color="auto"/>
              <w:bottom w:val="single" w:sz="4" w:space="0" w:color="auto"/>
              <w:right w:val="single" w:sz="4" w:space="0" w:color="auto"/>
            </w:tcBorders>
          </w:tcPr>
          <w:p w:rsidR="00000000" w:rsidRDefault="00000000">
            <w:pPr>
              <w:rPr>
                <w:sz w:val="22"/>
                <w:szCs w:val="24"/>
                <w:lang w:val="es-ES"/>
              </w:rPr>
            </w:pPr>
            <w:r>
              <w:rPr>
                <w:sz w:val="22"/>
              </w:rPr>
              <w:t>Инфекции новорожденных (</w:t>
            </w:r>
            <w:r>
              <w:rPr>
                <w:sz w:val="22"/>
                <w:lang w:val="en-US"/>
              </w:rPr>
              <w:t>A</w:t>
            </w:r>
            <w:r>
              <w:rPr>
                <w:sz w:val="22"/>
              </w:rPr>
              <w:t>40-</w:t>
            </w:r>
            <w:r>
              <w:rPr>
                <w:sz w:val="22"/>
                <w:lang w:val="en-US"/>
              </w:rPr>
              <w:t>A</w:t>
            </w:r>
            <w:r>
              <w:rPr>
                <w:sz w:val="22"/>
              </w:rPr>
              <w:t xml:space="preserve">41; </w:t>
            </w:r>
            <w:r>
              <w:rPr>
                <w:sz w:val="22"/>
                <w:lang w:val="en-US"/>
              </w:rPr>
              <w:t>P</w:t>
            </w:r>
            <w:r>
              <w:rPr>
                <w:sz w:val="22"/>
              </w:rPr>
              <w:t>35-</w:t>
            </w:r>
            <w:r>
              <w:rPr>
                <w:sz w:val="22"/>
                <w:lang w:val="en-US"/>
              </w:rPr>
              <w:t>P</w:t>
            </w:r>
            <w:r>
              <w:rPr>
                <w:sz w:val="22"/>
              </w:rPr>
              <w:t>39)</w:t>
            </w:r>
          </w:p>
        </w:tc>
        <w:tc>
          <w:tcPr>
            <w:tcW w:w="91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 w:val="clear" w:pos="1701"/>
              </w:tabs>
              <w:ind w:right="593"/>
              <w:jc w:val="right"/>
              <w:rPr>
                <w:sz w:val="22"/>
                <w:szCs w:val="24"/>
                <w:lang w:val="es-ES"/>
              </w:rPr>
            </w:pPr>
            <w:r>
              <w:rPr>
                <w:sz w:val="22"/>
              </w:rPr>
              <w:t>271</w:t>
            </w:r>
          </w:p>
        </w:tc>
        <w:tc>
          <w:tcPr>
            <w:tcW w:w="701"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rPr>
                <w:sz w:val="22"/>
                <w:szCs w:val="24"/>
                <w:lang w:val="es-ES"/>
              </w:rPr>
            </w:pPr>
            <w:r>
              <w:rPr>
                <w:sz w:val="22"/>
              </w:rPr>
              <w:t>16,1</w:t>
            </w:r>
          </w:p>
        </w:tc>
        <w:tc>
          <w:tcPr>
            <w:tcW w:w="49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 w:val="clear" w:pos="1701"/>
                <w:tab w:val="clear" w:pos="2268"/>
                <w:tab w:val="clear" w:pos="6237"/>
                <w:tab w:val="decimal" w:pos="284"/>
              </w:tabs>
              <w:rPr>
                <w:sz w:val="22"/>
                <w:szCs w:val="24"/>
                <w:lang w:val="es-ES"/>
              </w:rPr>
            </w:pPr>
            <w:r>
              <w:rPr>
                <w:sz w:val="22"/>
              </w:rPr>
              <w:t>3,1</w:t>
            </w:r>
          </w:p>
        </w:tc>
      </w:tr>
      <w:tr w:rsidR="00000000">
        <w:trPr>
          <w:jc w:val="center"/>
        </w:trPr>
        <w:tc>
          <w:tcPr>
            <w:tcW w:w="232" w:type="pct"/>
            <w:tcBorders>
              <w:top w:val="single" w:sz="4" w:space="0" w:color="auto"/>
              <w:left w:val="single" w:sz="4" w:space="0" w:color="auto"/>
              <w:bottom w:val="single" w:sz="4" w:space="0" w:color="auto"/>
              <w:right w:val="single" w:sz="4" w:space="0" w:color="auto"/>
            </w:tcBorders>
            <w:tcMar>
              <w:right w:w="170" w:type="dxa"/>
            </w:tcMar>
          </w:tcPr>
          <w:p w:rsidR="00000000" w:rsidRDefault="00000000">
            <w:pPr>
              <w:jc w:val="right"/>
              <w:rPr>
                <w:sz w:val="22"/>
                <w:szCs w:val="24"/>
                <w:lang w:val="es-ES"/>
              </w:rPr>
            </w:pPr>
            <w:r>
              <w:rPr>
                <w:sz w:val="22"/>
              </w:rPr>
              <w:t>3.</w:t>
            </w:r>
          </w:p>
        </w:tc>
        <w:tc>
          <w:tcPr>
            <w:tcW w:w="2649" w:type="pct"/>
            <w:tcBorders>
              <w:top w:val="single" w:sz="4" w:space="0" w:color="auto"/>
              <w:left w:val="single" w:sz="4" w:space="0" w:color="auto"/>
              <w:bottom w:val="single" w:sz="4" w:space="0" w:color="auto"/>
              <w:right w:val="single" w:sz="4" w:space="0" w:color="auto"/>
            </w:tcBorders>
          </w:tcPr>
          <w:p w:rsidR="00000000" w:rsidRDefault="00000000">
            <w:pPr>
              <w:rPr>
                <w:sz w:val="22"/>
                <w:szCs w:val="24"/>
                <w:lang w:val="es-ES"/>
              </w:rPr>
            </w:pPr>
            <w:r>
              <w:rPr>
                <w:sz w:val="22"/>
              </w:rPr>
              <w:t>Врожденные пороки (</w:t>
            </w:r>
            <w:r>
              <w:rPr>
                <w:sz w:val="22"/>
                <w:lang w:val="en-US"/>
              </w:rPr>
              <w:t>Q</w:t>
            </w:r>
            <w:r>
              <w:rPr>
                <w:sz w:val="22"/>
              </w:rPr>
              <w:t>00-</w:t>
            </w:r>
            <w:r>
              <w:rPr>
                <w:sz w:val="22"/>
                <w:lang w:val="en-US"/>
              </w:rPr>
              <w:t>Q</w:t>
            </w:r>
            <w:r>
              <w:rPr>
                <w:sz w:val="22"/>
              </w:rPr>
              <w:t>99)</w:t>
            </w:r>
          </w:p>
        </w:tc>
        <w:tc>
          <w:tcPr>
            <w:tcW w:w="91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 w:val="clear" w:pos="1701"/>
              </w:tabs>
              <w:ind w:right="593"/>
              <w:jc w:val="right"/>
              <w:rPr>
                <w:sz w:val="22"/>
                <w:szCs w:val="24"/>
                <w:lang w:val="es-ES"/>
              </w:rPr>
            </w:pPr>
            <w:r>
              <w:rPr>
                <w:sz w:val="22"/>
              </w:rPr>
              <w:t>217</w:t>
            </w:r>
          </w:p>
        </w:tc>
        <w:tc>
          <w:tcPr>
            <w:tcW w:w="701"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rPr>
                <w:sz w:val="22"/>
                <w:szCs w:val="24"/>
                <w:lang w:val="es-ES"/>
              </w:rPr>
            </w:pPr>
            <w:r>
              <w:rPr>
                <w:sz w:val="22"/>
              </w:rPr>
              <w:t>12,9</w:t>
            </w:r>
          </w:p>
        </w:tc>
        <w:tc>
          <w:tcPr>
            <w:tcW w:w="49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 w:val="clear" w:pos="1701"/>
                <w:tab w:val="clear" w:pos="2268"/>
                <w:tab w:val="clear" w:pos="6237"/>
                <w:tab w:val="decimal" w:pos="284"/>
              </w:tabs>
              <w:rPr>
                <w:sz w:val="22"/>
                <w:szCs w:val="24"/>
                <w:lang w:val="es-ES"/>
              </w:rPr>
            </w:pPr>
            <w:r>
              <w:rPr>
                <w:sz w:val="22"/>
              </w:rPr>
              <w:t>2,5</w:t>
            </w:r>
          </w:p>
        </w:tc>
      </w:tr>
      <w:tr w:rsidR="00000000">
        <w:trPr>
          <w:jc w:val="center"/>
        </w:trPr>
        <w:tc>
          <w:tcPr>
            <w:tcW w:w="232" w:type="pct"/>
            <w:tcBorders>
              <w:top w:val="single" w:sz="4" w:space="0" w:color="auto"/>
              <w:left w:val="single" w:sz="4" w:space="0" w:color="auto"/>
              <w:bottom w:val="single" w:sz="4" w:space="0" w:color="auto"/>
              <w:right w:val="single" w:sz="4" w:space="0" w:color="auto"/>
            </w:tcBorders>
            <w:tcMar>
              <w:right w:w="170" w:type="dxa"/>
            </w:tcMar>
          </w:tcPr>
          <w:p w:rsidR="00000000" w:rsidRDefault="00000000">
            <w:pPr>
              <w:jc w:val="right"/>
              <w:rPr>
                <w:sz w:val="22"/>
                <w:szCs w:val="24"/>
                <w:lang w:val="es-ES"/>
              </w:rPr>
            </w:pPr>
            <w:r>
              <w:rPr>
                <w:sz w:val="22"/>
              </w:rPr>
              <w:t>4.</w:t>
            </w:r>
          </w:p>
        </w:tc>
        <w:tc>
          <w:tcPr>
            <w:tcW w:w="2649" w:type="pct"/>
            <w:tcBorders>
              <w:top w:val="single" w:sz="4" w:space="0" w:color="auto"/>
              <w:left w:val="single" w:sz="4" w:space="0" w:color="auto"/>
              <w:bottom w:val="single" w:sz="4" w:space="0" w:color="auto"/>
              <w:right w:val="single" w:sz="4" w:space="0" w:color="auto"/>
            </w:tcBorders>
          </w:tcPr>
          <w:p w:rsidR="00000000" w:rsidRDefault="00000000">
            <w:pPr>
              <w:rPr>
                <w:sz w:val="22"/>
                <w:szCs w:val="24"/>
                <w:lang w:val="es-ES"/>
              </w:rPr>
            </w:pPr>
            <w:r>
              <w:rPr>
                <w:sz w:val="22"/>
              </w:rPr>
              <w:t>Недоношенность (</w:t>
            </w:r>
            <w:r>
              <w:rPr>
                <w:sz w:val="22"/>
                <w:lang w:val="en-US"/>
              </w:rPr>
              <w:t>P</w:t>
            </w:r>
            <w:r>
              <w:rPr>
                <w:sz w:val="22"/>
              </w:rPr>
              <w:t xml:space="preserve">05; </w:t>
            </w:r>
            <w:r>
              <w:rPr>
                <w:sz w:val="22"/>
                <w:lang w:val="en-US"/>
              </w:rPr>
              <w:t>P</w:t>
            </w:r>
            <w:r>
              <w:rPr>
                <w:sz w:val="22"/>
              </w:rPr>
              <w:t>07)</w:t>
            </w:r>
          </w:p>
        </w:tc>
        <w:tc>
          <w:tcPr>
            <w:tcW w:w="91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 w:val="clear" w:pos="1701"/>
              </w:tabs>
              <w:ind w:right="593"/>
              <w:jc w:val="right"/>
              <w:rPr>
                <w:sz w:val="22"/>
                <w:szCs w:val="24"/>
                <w:lang w:val="es-ES"/>
              </w:rPr>
            </w:pPr>
            <w:r>
              <w:rPr>
                <w:sz w:val="22"/>
              </w:rPr>
              <w:t>162</w:t>
            </w:r>
          </w:p>
        </w:tc>
        <w:tc>
          <w:tcPr>
            <w:tcW w:w="701"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rPr>
                <w:sz w:val="22"/>
                <w:szCs w:val="24"/>
                <w:lang w:val="es-ES"/>
              </w:rPr>
            </w:pPr>
            <w:r>
              <w:rPr>
                <w:sz w:val="22"/>
              </w:rPr>
              <w:t>9,6</w:t>
            </w:r>
          </w:p>
        </w:tc>
        <w:tc>
          <w:tcPr>
            <w:tcW w:w="49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 w:val="clear" w:pos="1701"/>
                <w:tab w:val="clear" w:pos="2268"/>
                <w:tab w:val="clear" w:pos="6237"/>
                <w:tab w:val="decimal" w:pos="284"/>
              </w:tabs>
              <w:rPr>
                <w:sz w:val="22"/>
                <w:szCs w:val="24"/>
                <w:lang w:val="es-ES"/>
              </w:rPr>
            </w:pPr>
            <w:r>
              <w:rPr>
                <w:sz w:val="22"/>
              </w:rPr>
              <w:t>1,9</w:t>
            </w:r>
          </w:p>
        </w:tc>
      </w:tr>
      <w:tr w:rsidR="00000000">
        <w:trPr>
          <w:jc w:val="center"/>
        </w:trPr>
        <w:tc>
          <w:tcPr>
            <w:tcW w:w="232" w:type="pct"/>
            <w:tcBorders>
              <w:top w:val="single" w:sz="4" w:space="0" w:color="auto"/>
              <w:left w:val="single" w:sz="4" w:space="0" w:color="auto"/>
              <w:bottom w:val="single" w:sz="4" w:space="0" w:color="auto"/>
              <w:right w:val="single" w:sz="4" w:space="0" w:color="auto"/>
            </w:tcBorders>
            <w:tcMar>
              <w:right w:w="170" w:type="dxa"/>
            </w:tcMar>
          </w:tcPr>
          <w:p w:rsidR="00000000" w:rsidRDefault="00000000">
            <w:pPr>
              <w:jc w:val="right"/>
              <w:rPr>
                <w:sz w:val="22"/>
                <w:szCs w:val="24"/>
                <w:lang w:val="es-ES"/>
              </w:rPr>
            </w:pPr>
            <w:r>
              <w:rPr>
                <w:sz w:val="22"/>
              </w:rPr>
              <w:t>5.</w:t>
            </w:r>
          </w:p>
        </w:tc>
        <w:tc>
          <w:tcPr>
            <w:tcW w:w="2649" w:type="pct"/>
            <w:tcBorders>
              <w:top w:val="single" w:sz="4" w:space="0" w:color="auto"/>
              <w:left w:val="single" w:sz="4" w:space="0" w:color="auto"/>
              <w:bottom w:val="single" w:sz="4" w:space="0" w:color="auto"/>
              <w:right w:val="single" w:sz="4" w:space="0" w:color="auto"/>
            </w:tcBorders>
          </w:tcPr>
          <w:p w:rsidR="00000000" w:rsidRDefault="00000000">
            <w:pPr>
              <w:rPr>
                <w:sz w:val="22"/>
                <w:szCs w:val="24"/>
                <w:lang w:val="es-ES"/>
              </w:rPr>
            </w:pPr>
            <w:r>
              <w:rPr>
                <w:sz w:val="22"/>
              </w:rPr>
              <w:t>Пневмония</w:t>
            </w:r>
            <w:r>
              <w:rPr>
                <w:sz w:val="22"/>
                <w:lang w:val="es-ES"/>
              </w:rPr>
              <w:t xml:space="preserve"> </w:t>
            </w:r>
            <w:r>
              <w:rPr>
                <w:sz w:val="22"/>
              </w:rPr>
              <w:t>и</w:t>
            </w:r>
            <w:r>
              <w:rPr>
                <w:sz w:val="22"/>
                <w:lang w:val="es-ES"/>
              </w:rPr>
              <w:t xml:space="preserve"> </w:t>
            </w:r>
            <w:r>
              <w:rPr>
                <w:sz w:val="22"/>
              </w:rPr>
              <w:t>грипп</w:t>
            </w:r>
            <w:r>
              <w:rPr>
                <w:sz w:val="22"/>
                <w:lang w:val="es-ES"/>
              </w:rPr>
              <w:t xml:space="preserve"> (J10.0; J11.0; J12; J16; J18)</w:t>
            </w:r>
          </w:p>
        </w:tc>
        <w:tc>
          <w:tcPr>
            <w:tcW w:w="91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 w:val="clear" w:pos="1701"/>
              </w:tabs>
              <w:ind w:right="593"/>
              <w:jc w:val="right"/>
              <w:rPr>
                <w:sz w:val="22"/>
                <w:szCs w:val="24"/>
                <w:lang w:val="es-ES"/>
              </w:rPr>
            </w:pPr>
            <w:r>
              <w:rPr>
                <w:sz w:val="22"/>
                <w:lang w:val="en-US"/>
              </w:rPr>
              <w:t>136</w:t>
            </w:r>
          </w:p>
        </w:tc>
        <w:tc>
          <w:tcPr>
            <w:tcW w:w="701"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rPr>
                <w:sz w:val="22"/>
                <w:szCs w:val="24"/>
                <w:lang w:val="es-ES"/>
              </w:rPr>
            </w:pPr>
            <w:r>
              <w:rPr>
                <w:sz w:val="22"/>
                <w:lang w:val="en-US"/>
              </w:rPr>
              <w:t>8,1</w:t>
            </w:r>
          </w:p>
        </w:tc>
        <w:tc>
          <w:tcPr>
            <w:tcW w:w="49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 w:val="clear" w:pos="1701"/>
                <w:tab w:val="clear" w:pos="2268"/>
                <w:tab w:val="clear" w:pos="6237"/>
                <w:tab w:val="decimal" w:pos="284"/>
              </w:tabs>
              <w:rPr>
                <w:sz w:val="22"/>
                <w:szCs w:val="24"/>
                <w:lang w:val="es-ES"/>
              </w:rPr>
            </w:pPr>
            <w:r>
              <w:rPr>
                <w:sz w:val="22"/>
                <w:lang w:val="en-US"/>
              </w:rPr>
              <w:t>1,6</w:t>
            </w:r>
          </w:p>
        </w:tc>
      </w:tr>
      <w:tr w:rsidR="00000000">
        <w:trPr>
          <w:jc w:val="center"/>
        </w:trPr>
        <w:tc>
          <w:tcPr>
            <w:tcW w:w="232" w:type="pct"/>
            <w:tcBorders>
              <w:top w:val="single" w:sz="4" w:space="0" w:color="auto"/>
              <w:left w:val="single" w:sz="4" w:space="0" w:color="auto"/>
              <w:bottom w:val="single" w:sz="4" w:space="0" w:color="auto"/>
              <w:right w:val="single" w:sz="4" w:space="0" w:color="auto"/>
            </w:tcBorders>
            <w:tcMar>
              <w:right w:w="170" w:type="dxa"/>
            </w:tcMar>
          </w:tcPr>
          <w:p w:rsidR="00000000" w:rsidRDefault="00000000">
            <w:pPr>
              <w:jc w:val="right"/>
              <w:rPr>
                <w:sz w:val="22"/>
                <w:szCs w:val="24"/>
                <w:lang w:val="es-ES"/>
              </w:rPr>
            </w:pPr>
            <w:r>
              <w:rPr>
                <w:sz w:val="22"/>
                <w:lang w:val="en-US"/>
              </w:rPr>
              <w:t>6.</w:t>
            </w:r>
          </w:p>
        </w:tc>
        <w:tc>
          <w:tcPr>
            <w:tcW w:w="2649" w:type="pct"/>
            <w:tcBorders>
              <w:top w:val="single" w:sz="4" w:space="0" w:color="auto"/>
              <w:left w:val="single" w:sz="4" w:space="0" w:color="auto"/>
              <w:bottom w:val="single" w:sz="4" w:space="0" w:color="auto"/>
              <w:right w:val="single" w:sz="4" w:space="0" w:color="auto"/>
            </w:tcBorders>
          </w:tcPr>
          <w:p w:rsidR="00000000" w:rsidRDefault="00000000">
            <w:pPr>
              <w:rPr>
                <w:sz w:val="22"/>
                <w:szCs w:val="24"/>
                <w:lang w:val="es-ES"/>
              </w:rPr>
            </w:pPr>
            <w:r>
              <w:rPr>
                <w:sz w:val="22"/>
              </w:rPr>
              <w:t>Диарея</w:t>
            </w:r>
            <w:r>
              <w:rPr>
                <w:sz w:val="22"/>
                <w:lang w:val="en-US"/>
              </w:rPr>
              <w:t xml:space="preserve"> (A02-A09; K50-K52)</w:t>
            </w:r>
          </w:p>
        </w:tc>
        <w:tc>
          <w:tcPr>
            <w:tcW w:w="91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 w:val="clear" w:pos="1701"/>
              </w:tabs>
              <w:ind w:right="593"/>
              <w:jc w:val="right"/>
              <w:rPr>
                <w:sz w:val="22"/>
                <w:szCs w:val="24"/>
                <w:lang w:val="es-ES"/>
              </w:rPr>
            </w:pPr>
            <w:r>
              <w:rPr>
                <w:sz w:val="22"/>
              </w:rPr>
              <w:t>94</w:t>
            </w:r>
          </w:p>
        </w:tc>
        <w:tc>
          <w:tcPr>
            <w:tcW w:w="701"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rPr>
                <w:sz w:val="22"/>
                <w:szCs w:val="24"/>
                <w:lang w:val="es-ES"/>
              </w:rPr>
            </w:pPr>
            <w:r>
              <w:rPr>
                <w:sz w:val="22"/>
              </w:rPr>
              <w:t>5,6</w:t>
            </w:r>
          </w:p>
        </w:tc>
        <w:tc>
          <w:tcPr>
            <w:tcW w:w="49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 w:val="clear" w:pos="1701"/>
                <w:tab w:val="clear" w:pos="2268"/>
                <w:tab w:val="clear" w:pos="6237"/>
                <w:tab w:val="decimal" w:pos="284"/>
              </w:tabs>
              <w:rPr>
                <w:sz w:val="22"/>
                <w:szCs w:val="24"/>
                <w:lang w:val="es-ES"/>
              </w:rPr>
            </w:pPr>
            <w:r>
              <w:rPr>
                <w:sz w:val="22"/>
              </w:rPr>
              <w:t>1,1</w:t>
            </w:r>
          </w:p>
        </w:tc>
      </w:tr>
      <w:tr w:rsidR="00000000">
        <w:trPr>
          <w:jc w:val="center"/>
        </w:trPr>
        <w:tc>
          <w:tcPr>
            <w:tcW w:w="232" w:type="pct"/>
            <w:tcBorders>
              <w:top w:val="single" w:sz="4" w:space="0" w:color="auto"/>
              <w:left w:val="single" w:sz="4" w:space="0" w:color="auto"/>
              <w:bottom w:val="single" w:sz="4" w:space="0" w:color="auto"/>
              <w:right w:val="single" w:sz="4" w:space="0" w:color="auto"/>
            </w:tcBorders>
            <w:tcMar>
              <w:right w:w="170" w:type="dxa"/>
            </w:tcMar>
          </w:tcPr>
          <w:p w:rsidR="00000000" w:rsidRDefault="00000000">
            <w:pPr>
              <w:jc w:val="right"/>
              <w:rPr>
                <w:sz w:val="22"/>
                <w:szCs w:val="24"/>
                <w:lang w:val="es-ES"/>
              </w:rPr>
            </w:pPr>
            <w:r>
              <w:rPr>
                <w:sz w:val="22"/>
              </w:rPr>
              <w:t>7.</w:t>
            </w:r>
          </w:p>
        </w:tc>
        <w:tc>
          <w:tcPr>
            <w:tcW w:w="2649"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szCs w:val="24"/>
                <w:lang w:val="es-ES"/>
              </w:rPr>
            </w:pPr>
            <w:r>
              <w:rPr>
                <w:kern w:val="2"/>
                <w:sz w:val="22"/>
              </w:rPr>
              <w:t>Болезни</w:t>
            </w:r>
            <w:r>
              <w:rPr>
                <w:kern w:val="2"/>
                <w:sz w:val="22"/>
                <w:lang w:val="es-ES"/>
              </w:rPr>
              <w:t xml:space="preserve">, </w:t>
            </w:r>
            <w:r>
              <w:rPr>
                <w:kern w:val="2"/>
                <w:sz w:val="22"/>
              </w:rPr>
              <w:t>связанные</w:t>
            </w:r>
            <w:r>
              <w:rPr>
                <w:kern w:val="2"/>
                <w:sz w:val="22"/>
                <w:lang w:val="es-ES"/>
              </w:rPr>
              <w:t xml:space="preserve"> </w:t>
            </w:r>
            <w:r>
              <w:rPr>
                <w:kern w:val="2"/>
                <w:sz w:val="22"/>
              </w:rPr>
              <w:t>с</w:t>
            </w:r>
            <w:r>
              <w:rPr>
                <w:kern w:val="2"/>
                <w:sz w:val="22"/>
                <w:lang w:val="es-ES"/>
              </w:rPr>
              <w:t xml:space="preserve"> </w:t>
            </w:r>
            <w:r>
              <w:rPr>
                <w:kern w:val="2"/>
                <w:sz w:val="22"/>
              </w:rPr>
              <w:t>питанием</w:t>
            </w:r>
            <w:r>
              <w:rPr>
                <w:kern w:val="2"/>
                <w:sz w:val="22"/>
                <w:lang w:val="es-ES"/>
              </w:rPr>
              <w:t xml:space="preserve">, </w:t>
            </w:r>
            <w:r>
              <w:rPr>
                <w:kern w:val="2"/>
                <w:sz w:val="22"/>
              </w:rPr>
              <w:t>и</w:t>
            </w:r>
            <w:r>
              <w:rPr>
                <w:kern w:val="2"/>
                <w:sz w:val="22"/>
                <w:lang w:val="es-ES"/>
              </w:rPr>
              <w:t xml:space="preserve"> </w:t>
            </w:r>
            <w:r>
              <w:rPr>
                <w:kern w:val="2"/>
                <w:sz w:val="22"/>
              </w:rPr>
              <w:t>анемии</w:t>
            </w:r>
            <w:r>
              <w:rPr>
                <w:sz w:val="22"/>
                <w:lang w:val="es-ES"/>
              </w:rPr>
              <w:t xml:space="preserve"> (D50</w:t>
            </w:r>
            <w:r>
              <w:rPr>
                <w:sz w:val="22"/>
                <w:lang w:val="es-ES"/>
              </w:rPr>
              <w:noBreakHyphen/>
              <w:t>D64; E40</w:t>
            </w:r>
            <w:r>
              <w:rPr>
                <w:sz w:val="22"/>
                <w:lang w:val="es-ES"/>
              </w:rPr>
              <w:noBreakHyphen/>
              <w:t>E46; E50-E64)</w:t>
            </w:r>
          </w:p>
        </w:tc>
        <w:tc>
          <w:tcPr>
            <w:tcW w:w="91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 w:val="clear" w:pos="1701"/>
              </w:tabs>
              <w:ind w:right="593"/>
              <w:jc w:val="right"/>
              <w:rPr>
                <w:sz w:val="22"/>
                <w:szCs w:val="24"/>
              </w:rPr>
            </w:pPr>
            <w:r>
              <w:rPr>
                <w:sz w:val="22"/>
              </w:rPr>
              <w:t>36</w:t>
            </w:r>
          </w:p>
        </w:tc>
        <w:tc>
          <w:tcPr>
            <w:tcW w:w="701"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rPr>
                <w:sz w:val="22"/>
                <w:szCs w:val="24"/>
              </w:rPr>
            </w:pPr>
            <w:r>
              <w:rPr>
                <w:sz w:val="22"/>
              </w:rPr>
              <w:t>2,1</w:t>
            </w:r>
          </w:p>
        </w:tc>
        <w:tc>
          <w:tcPr>
            <w:tcW w:w="49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 w:val="clear" w:pos="1701"/>
                <w:tab w:val="clear" w:pos="2268"/>
                <w:tab w:val="clear" w:pos="6237"/>
                <w:tab w:val="decimal" w:pos="284"/>
              </w:tabs>
              <w:rPr>
                <w:sz w:val="22"/>
                <w:szCs w:val="24"/>
              </w:rPr>
            </w:pPr>
            <w:r>
              <w:rPr>
                <w:sz w:val="22"/>
              </w:rPr>
              <w:t>0,4</w:t>
            </w:r>
          </w:p>
        </w:tc>
      </w:tr>
      <w:tr w:rsidR="00000000">
        <w:trPr>
          <w:jc w:val="center"/>
        </w:trPr>
        <w:tc>
          <w:tcPr>
            <w:tcW w:w="232" w:type="pct"/>
            <w:tcBorders>
              <w:top w:val="single" w:sz="4" w:space="0" w:color="auto"/>
              <w:left w:val="single" w:sz="4" w:space="0" w:color="auto"/>
              <w:bottom w:val="single" w:sz="4" w:space="0" w:color="auto"/>
              <w:right w:val="single" w:sz="4" w:space="0" w:color="auto"/>
            </w:tcBorders>
            <w:tcMar>
              <w:right w:w="170" w:type="dxa"/>
            </w:tcMar>
          </w:tcPr>
          <w:p w:rsidR="00000000" w:rsidRDefault="00000000">
            <w:pPr>
              <w:jc w:val="right"/>
              <w:rPr>
                <w:sz w:val="22"/>
                <w:szCs w:val="24"/>
              </w:rPr>
            </w:pPr>
            <w:r>
              <w:rPr>
                <w:sz w:val="22"/>
              </w:rPr>
              <w:t>8.</w:t>
            </w:r>
          </w:p>
        </w:tc>
        <w:tc>
          <w:tcPr>
            <w:tcW w:w="2649" w:type="pct"/>
            <w:tcBorders>
              <w:top w:val="single" w:sz="4" w:space="0" w:color="auto"/>
              <w:left w:val="single" w:sz="4" w:space="0" w:color="auto"/>
              <w:bottom w:val="single" w:sz="4" w:space="0" w:color="auto"/>
              <w:right w:val="single" w:sz="4" w:space="0" w:color="auto"/>
            </w:tcBorders>
          </w:tcPr>
          <w:p w:rsidR="00000000" w:rsidRDefault="00000000">
            <w:pPr>
              <w:rPr>
                <w:sz w:val="22"/>
                <w:szCs w:val="24"/>
              </w:rPr>
            </w:pPr>
            <w:r>
              <w:rPr>
                <w:sz w:val="22"/>
              </w:rPr>
              <w:t>Менингит (</w:t>
            </w:r>
            <w:r>
              <w:rPr>
                <w:sz w:val="22"/>
                <w:lang w:val="en-US"/>
              </w:rPr>
              <w:t>G</w:t>
            </w:r>
            <w:r>
              <w:rPr>
                <w:sz w:val="22"/>
              </w:rPr>
              <w:t xml:space="preserve">00; </w:t>
            </w:r>
            <w:r>
              <w:rPr>
                <w:sz w:val="22"/>
                <w:lang w:val="en-US"/>
              </w:rPr>
              <w:t>G</w:t>
            </w:r>
            <w:r>
              <w:rPr>
                <w:sz w:val="22"/>
              </w:rPr>
              <w:t>03)</w:t>
            </w:r>
          </w:p>
        </w:tc>
        <w:tc>
          <w:tcPr>
            <w:tcW w:w="91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 w:val="clear" w:pos="1701"/>
              </w:tabs>
              <w:ind w:right="593"/>
              <w:jc w:val="right"/>
              <w:rPr>
                <w:sz w:val="22"/>
                <w:szCs w:val="24"/>
                <w:lang w:val="es-ES"/>
              </w:rPr>
            </w:pPr>
            <w:r>
              <w:rPr>
                <w:sz w:val="22"/>
                <w:lang w:val="en-US"/>
              </w:rPr>
              <w:t>28</w:t>
            </w:r>
          </w:p>
        </w:tc>
        <w:tc>
          <w:tcPr>
            <w:tcW w:w="701"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rPr>
                <w:sz w:val="22"/>
                <w:szCs w:val="24"/>
                <w:lang w:val="es-ES"/>
              </w:rPr>
            </w:pPr>
            <w:r>
              <w:rPr>
                <w:sz w:val="22"/>
                <w:lang w:val="en-US"/>
              </w:rPr>
              <w:t>1,7</w:t>
            </w:r>
          </w:p>
        </w:tc>
        <w:tc>
          <w:tcPr>
            <w:tcW w:w="49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 w:val="clear" w:pos="1701"/>
                <w:tab w:val="clear" w:pos="2268"/>
                <w:tab w:val="clear" w:pos="6237"/>
                <w:tab w:val="decimal" w:pos="284"/>
              </w:tabs>
              <w:rPr>
                <w:sz w:val="22"/>
                <w:szCs w:val="24"/>
                <w:lang w:val="es-ES"/>
              </w:rPr>
            </w:pPr>
            <w:r>
              <w:rPr>
                <w:sz w:val="22"/>
                <w:lang w:val="en-US"/>
              </w:rPr>
              <w:t>0,3</w:t>
            </w:r>
          </w:p>
        </w:tc>
      </w:tr>
      <w:tr w:rsidR="00000000">
        <w:trPr>
          <w:jc w:val="center"/>
        </w:trPr>
        <w:tc>
          <w:tcPr>
            <w:tcW w:w="232" w:type="pct"/>
            <w:tcBorders>
              <w:top w:val="single" w:sz="4" w:space="0" w:color="auto"/>
              <w:left w:val="single" w:sz="4" w:space="0" w:color="auto"/>
              <w:bottom w:val="single" w:sz="4" w:space="0" w:color="auto"/>
              <w:right w:val="single" w:sz="4" w:space="0" w:color="auto"/>
            </w:tcBorders>
            <w:tcMar>
              <w:right w:w="170" w:type="dxa"/>
            </w:tcMar>
          </w:tcPr>
          <w:p w:rsidR="00000000" w:rsidRDefault="00000000">
            <w:pPr>
              <w:jc w:val="right"/>
              <w:rPr>
                <w:sz w:val="22"/>
                <w:szCs w:val="24"/>
                <w:lang w:val="es-ES"/>
              </w:rPr>
            </w:pPr>
            <w:r>
              <w:rPr>
                <w:sz w:val="22"/>
                <w:lang w:val="en-US"/>
              </w:rPr>
              <w:t>9.</w:t>
            </w:r>
          </w:p>
        </w:tc>
        <w:tc>
          <w:tcPr>
            <w:tcW w:w="2649" w:type="pct"/>
            <w:tcBorders>
              <w:top w:val="single" w:sz="4" w:space="0" w:color="auto"/>
              <w:left w:val="single" w:sz="4" w:space="0" w:color="auto"/>
              <w:bottom w:val="single" w:sz="4" w:space="0" w:color="auto"/>
              <w:right w:val="single" w:sz="4" w:space="0" w:color="auto"/>
            </w:tcBorders>
          </w:tcPr>
          <w:p w:rsidR="00000000" w:rsidRDefault="00000000">
            <w:pPr>
              <w:rPr>
                <w:sz w:val="22"/>
                <w:szCs w:val="24"/>
                <w:lang w:val="es-ES"/>
              </w:rPr>
            </w:pPr>
            <w:r>
              <w:rPr>
                <w:sz w:val="22"/>
              </w:rPr>
              <w:t>Столбняк</w:t>
            </w:r>
            <w:r>
              <w:rPr>
                <w:sz w:val="22"/>
                <w:lang w:val="en-US"/>
              </w:rPr>
              <w:t xml:space="preserve"> (A33; A35)</w:t>
            </w:r>
          </w:p>
        </w:tc>
        <w:tc>
          <w:tcPr>
            <w:tcW w:w="91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 w:val="clear" w:pos="1701"/>
              </w:tabs>
              <w:ind w:right="593"/>
              <w:jc w:val="right"/>
              <w:rPr>
                <w:sz w:val="22"/>
                <w:szCs w:val="24"/>
                <w:lang w:val="es-ES"/>
              </w:rPr>
            </w:pPr>
            <w:r>
              <w:rPr>
                <w:sz w:val="22"/>
              </w:rPr>
              <w:t>3</w:t>
            </w:r>
          </w:p>
        </w:tc>
        <w:tc>
          <w:tcPr>
            <w:tcW w:w="701"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rPr>
                <w:sz w:val="22"/>
                <w:szCs w:val="24"/>
                <w:lang w:val="es-ES"/>
              </w:rPr>
            </w:pPr>
            <w:r>
              <w:rPr>
                <w:sz w:val="22"/>
              </w:rPr>
              <w:t>0,2</w:t>
            </w:r>
          </w:p>
        </w:tc>
        <w:tc>
          <w:tcPr>
            <w:tcW w:w="49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 w:val="clear" w:pos="1701"/>
                <w:tab w:val="clear" w:pos="2268"/>
                <w:tab w:val="clear" w:pos="6237"/>
                <w:tab w:val="decimal" w:pos="284"/>
              </w:tabs>
              <w:rPr>
                <w:sz w:val="22"/>
                <w:szCs w:val="24"/>
                <w:lang w:val="es-ES"/>
              </w:rPr>
            </w:pPr>
            <w:r>
              <w:rPr>
                <w:sz w:val="22"/>
              </w:rPr>
              <w:t>0,0</w:t>
            </w:r>
          </w:p>
        </w:tc>
      </w:tr>
      <w:tr w:rsidR="00000000">
        <w:trPr>
          <w:jc w:val="center"/>
        </w:trPr>
        <w:tc>
          <w:tcPr>
            <w:tcW w:w="232" w:type="pct"/>
            <w:tcBorders>
              <w:top w:val="single" w:sz="4" w:space="0" w:color="auto"/>
              <w:left w:val="single" w:sz="4" w:space="0" w:color="auto"/>
              <w:bottom w:val="single" w:sz="4" w:space="0" w:color="auto"/>
              <w:right w:val="single" w:sz="4" w:space="0" w:color="auto"/>
            </w:tcBorders>
            <w:tcMar>
              <w:right w:w="170" w:type="dxa"/>
            </w:tcMar>
          </w:tcPr>
          <w:p w:rsidR="00000000" w:rsidRDefault="00000000">
            <w:pPr>
              <w:jc w:val="right"/>
              <w:rPr>
                <w:sz w:val="22"/>
                <w:szCs w:val="24"/>
                <w:lang w:val="es-ES"/>
              </w:rPr>
            </w:pPr>
            <w:r>
              <w:rPr>
                <w:sz w:val="22"/>
              </w:rPr>
              <w:t>10.</w:t>
            </w:r>
          </w:p>
        </w:tc>
        <w:tc>
          <w:tcPr>
            <w:tcW w:w="2649"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2"/>
                <w:szCs w:val="24"/>
                <w:lang w:val="es-ES"/>
              </w:rPr>
            </w:pPr>
            <w:r>
              <w:rPr>
                <w:sz w:val="22"/>
              </w:rPr>
              <w:t>Не</w:t>
            </w:r>
            <w:r>
              <w:rPr>
                <w:sz w:val="22"/>
                <w:lang w:val="es-ES"/>
              </w:rPr>
              <w:t xml:space="preserve"> </w:t>
            </w:r>
            <w:r>
              <w:rPr>
                <w:sz w:val="22"/>
              </w:rPr>
              <w:t>классифицированные</w:t>
            </w:r>
            <w:r>
              <w:rPr>
                <w:sz w:val="22"/>
                <w:lang w:val="es-ES"/>
              </w:rPr>
              <w:t xml:space="preserve"> </w:t>
            </w:r>
            <w:r>
              <w:rPr>
                <w:sz w:val="22"/>
              </w:rPr>
              <w:t>симптомы</w:t>
            </w:r>
            <w:r>
              <w:rPr>
                <w:sz w:val="22"/>
                <w:lang w:val="es-ES"/>
              </w:rPr>
              <w:t xml:space="preserve">, </w:t>
            </w:r>
            <w:r>
              <w:rPr>
                <w:sz w:val="22"/>
              </w:rPr>
              <w:t>признаки</w:t>
            </w:r>
            <w:r>
              <w:rPr>
                <w:sz w:val="22"/>
                <w:lang w:val="es-ES"/>
              </w:rPr>
              <w:t xml:space="preserve">, </w:t>
            </w:r>
            <w:r>
              <w:rPr>
                <w:sz w:val="22"/>
              </w:rPr>
              <w:t>клинические</w:t>
            </w:r>
            <w:r>
              <w:rPr>
                <w:sz w:val="22"/>
                <w:lang w:val="es-ES"/>
              </w:rPr>
              <w:t xml:space="preserve"> </w:t>
            </w:r>
            <w:r>
              <w:rPr>
                <w:sz w:val="22"/>
              </w:rPr>
              <w:t>и</w:t>
            </w:r>
            <w:r>
              <w:rPr>
                <w:sz w:val="22"/>
                <w:lang w:val="es-ES"/>
              </w:rPr>
              <w:t xml:space="preserve"> </w:t>
            </w:r>
            <w:r>
              <w:rPr>
                <w:sz w:val="22"/>
              </w:rPr>
              <w:t>лабораторные</w:t>
            </w:r>
            <w:r>
              <w:rPr>
                <w:sz w:val="22"/>
                <w:lang w:val="es-ES"/>
              </w:rPr>
              <w:t xml:space="preserve"> </w:t>
            </w:r>
            <w:r>
              <w:rPr>
                <w:sz w:val="22"/>
              </w:rPr>
              <w:t>аномалии</w:t>
            </w:r>
            <w:r>
              <w:rPr>
                <w:sz w:val="22"/>
                <w:lang w:val="es-ES"/>
              </w:rPr>
              <w:t xml:space="preserve"> (R00-R99)</w:t>
            </w:r>
          </w:p>
        </w:tc>
        <w:tc>
          <w:tcPr>
            <w:tcW w:w="91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 w:val="clear" w:pos="1701"/>
              </w:tabs>
              <w:ind w:right="593"/>
              <w:jc w:val="right"/>
              <w:rPr>
                <w:sz w:val="22"/>
                <w:szCs w:val="24"/>
                <w:lang w:val="es-ES"/>
              </w:rPr>
            </w:pPr>
            <w:r>
              <w:rPr>
                <w:sz w:val="22"/>
              </w:rPr>
              <w:t>83</w:t>
            </w:r>
          </w:p>
        </w:tc>
        <w:tc>
          <w:tcPr>
            <w:tcW w:w="701"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rPr>
                <w:sz w:val="22"/>
                <w:szCs w:val="24"/>
                <w:lang w:val="es-ES"/>
              </w:rPr>
            </w:pPr>
            <w:r>
              <w:rPr>
                <w:sz w:val="22"/>
              </w:rPr>
              <w:t>4,9</w:t>
            </w:r>
          </w:p>
        </w:tc>
        <w:tc>
          <w:tcPr>
            <w:tcW w:w="49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 w:val="clear" w:pos="1701"/>
                <w:tab w:val="clear" w:pos="2268"/>
                <w:tab w:val="clear" w:pos="6237"/>
                <w:tab w:val="decimal" w:pos="284"/>
              </w:tabs>
              <w:rPr>
                <w:sz w:val="22"/>
                <w:szCs w:val="24"/>
                <w:lang w:val="es-ES"/>
              </w:rPr>
            </w:pPr>
            <w:r>
              <w:rPr>
                <w:sz w:val="22"/>
              </w:rPr>
              <w:t>1,0</w:t>
            </w:r>
          </w:p>
        </w:tc>
      </w:tr>
      <w:tr w:rsidR="00000000">
        <w:trPr>
          <w:jc w:val="center"/>
        </w:trPr>
        <w:tc>
          <w:tcPr>
            <w:tcW w:w="232" w:type="pct"/>
            <w:tcBorders>
              <w:top w:val="single" w:sz="4" w:space="0" w:color="auto"/>
              <w:left w:val="single" w:sz="4" w:space="0" w:color="auto"/>
              <w:bottom w:val="single" w:sz="4" w:space="0" w:color="auto"/>
              <w:right w:val="single" w:sz="4" w:space="0" w:color="auto"/>
            </w:tcBorders>
            <w:tcMar>
              <w:right w:w="170" w:type="dxa"/>
            </w:tcMar>
          </w:tcPr>
          <w:p w:rsidR="00000000" w:rsidRDefault="00000000">
            <w:pPr>
              <w:jc w:val="right"/>
              <w:rPr>
                <w:sz w:val="22"/>
                <w:szCs w:val="24"/>
                <w:lang w:val="es-ES"/>
              </w:rPr>
            </w:pPr>
            <w:r>
              <w:rPr>
                <w:sz w:val="22"/>
              </w:rPr>
              <w:t>11.</w:t>
            </w:r>
          </w:p>
        </w:tc>
        <w:tc>
          <w:tcPr>
            <w:tcW w:w="2649" w:type="pct"/>
            <w:tcBorders>
              <w:top w:val="single" w:sz="4" w:space="0" w:color="auto"/>
              <w:left w:val="single" w:sz="4" w:space="0" w:color="auto"/>
              <w:bottom w:val="single" w:sz="4" w:space="0" w:color="auto"/>
              <w:right w:val="single" w:sz="4" w:space="0" w:color="auto"/>
            </w:tcBorders>
          </w:tcPr>
          <w:p w:rsidR="00000000" w:rsidRDefault="00000000">
            <w:pPr>
              <w:rPr>
                <w:sz w:val="22"/>
                <w:szCs w:val="24"/>
                <w:lang w:val="es-ES"/>
              </w:rPr>
            </w:pPr>
            <w:r>
              <w:rPr>
                <w:sz w:val="22"/>
              </w:rPr>
              <w:t>Прочие причины</w:t>
            </w:r>
          </w:p>
        </w:tc>
        <w:tc>
          <w:tcPr>
            <w:tcW w:w="919" w:type="pct"/>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 w:val="clear" w:pos="1701"/>
              </w:tabs>
              <w:ind w:right="593"/>
              <w:jc w:val="right"/>
              <w:rPr>
                <w:sz w:val="22"/>
                <w:szCs w:val="24"/>
                <w:lang w:val="es-ES"/>
              </w:rPr>
            </w:pPr>
            <w:r>
              <w:rPr>
                <w:sz w:val="22"/>
              </w:rPr>
              <w:t>272</w:t>
            </w:r>
          </w:p>
        </w:tc>
        <w:tc>
          <w:tcPr>
            <w:tcW w:w="701" w:type="pct"/>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 w:val="clear" w:pos="2268"/>
                <w:tab w:val="clear" w:pos="6237"/>
                <w:tab w:val="decimal" w:pos="567"/>
              </w:tabs>
              <w:rPr>
                <w:sz w:val="22"/>
                <w:szCs w:val="24"/>
                <w:lang w:val="es-ES"/>
              </w:rPr>
            </w:pPr>
            <w:r>
              <w:rPr>
                <w:sz w:val="22"/>
              </w:rPr>
              <w:t>16,2</w:t>
            </w:r>
          </w:p>
        </w:tc>
        <w:tc>
          <w:tcPr>
            <w:tcW w:w="499" w:type="pct"/>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284"/>
              </w:tabs>
              <w:rPr>
                <w:sz w:val="22"/>
                <w:szCs w:val="24"/>
                <w:lang w:val="es-ES"/>
              </w:rPr>
            </w:pPr>
            <w:r>
              <w:rPr>
                <w:sz w:val="22"/>
              </w:rPr>
              <w:t>3,1</w:t>
            </w:r>
          </w:p>
        </w:tc>
      </w:tr>
      <w:tr w:rsidR="00000000">
        <w:trPr>
          <w:jc w:val="center"/>
        </w:trPr>
        <w:tc>
          <w:tcPr>
            <w:tcW w:w="232" w:type="pct"/>
            <w:tcBorders>
              <w:top w:val="single" w:sz="4" w:space="0" w:color="auto"/>
              <w:left w:val="single" w:sz="4" w:space="0" w:color="auto"/>
              <w:bottom w:val="single" w:sz="4" w:space="0" w:color="auto"/>
              <w:right w:val="single" w:sz="4" w:space="0" w:color="auto"/>
            </w:tcBorders>
          </w:tcPr>
          <w:p w:rsidR="00000000" w:rsidRDefault="00000000">
            <w:pPr>
              <w:jc w:val="right"/>
              <w:rPr>
                <w:sz w:val="22"/>
                <w:szCs w:val="24"/>
                <w:lang w:val="es-ES"/>
              </w:rPr>
            </w:pPr>
          </w:p>
        </w:tc>
        <w:tc>
          <w:tcPr>
            <w:tcW w:w="2649" w:type="pct"/>
            <w:tcBorders>
              <w:top w:val="single" w:sz="4" w:space="0" w:color="auto"/>
              <w:left w:val="single" w:sz="4" w:space="0" w:color="auto"/>
              <w:bottom w:val="single" w:sz="4" w:space="0" w:color="auto"/>
              <w:right w:val="single" w:sz="4" w:space="0" w:color="auto"/>
            </w:tcBorders>
          </w:tcPr>
          <w:p w:rsidR="00000000" w:rsidRDefault="00000000">
            <w:pPr>
              <w:rPr>
                <w:b/>
                <w:bCs/>
                <w:sz w:val="22"/>
                <w:szCs w:val="24"/>
              </w:rPr>
            </w:pPr>
            <w:r>
              <w:rPr>
                <w:b/>
                <w:bCs/>
                <w:sz w:val="22"/>
              </w:rPr>
              <w:t>Итого</w:t>
            </w:r>
          </w:p>
        </w:tc>
        <w:tc>
          <w:tcPr>
            <w:tcW w:w="919" w:type="pct"/>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 w:val="clear" w:pos="1701"/>
              </w:tabs>
              <w:ind w:right="593"/>
              <w:jc w:val="right"/>
              <w:rPr>
                <w:b/>
                <w:bCs/>
                <w:sz w:val="22"/>
                <w:szCs w:val="24"/>
                <w:lang w:val="es-ES"/>
              </w:rPr>
            </w:pPr>
            <w:r>
              <w:rPr>
                <w:b/>
                <w:bCs/>
                <w:sz w:val="22"/>
              </w:rPr>
              <w:t>1</w:t>
            </w:r>
            <w:r>
              <w:rPr>
                <w:b/>
                <w:bCs/>
                <w:sz w:val="22"/>
                <w:lang w:val="en-US"/>
              </w:rPr>
              <w:t> </w:t>
            </w:r>
            <w:r>
              <w:rPr>
                <w:b/>
                <w:bCs/>
                <w:sz w:val="22"/>
              </w:rPr>
              <w:t>683</w:t>
            </w:r>
          </w:p>
        </w:tc>
        <w:tc>
          <w:tcPr>
            <w:tcW w:w="701" w:type="pct"/>
            <w:tcBorders>
              <w:top w:val="single" w:sz="4" w:space="0" w:color="auto"/>
              <w:left w:val="single" w:sz="4" w:space="0" w:color="auto"/>
              <w:bottom w:val="single" w:sz="4" w:space="0" w:color="auto"/>
              <w:right w:val="single" w:sz="4" w:space="0" w:color="auto"/>
            </w:tcBorders>
          </w:tcPr>
          <w:p w:rsidR="00000000" w:rsidRDefault="00000000">
            <w:pPr>
              <w:tabs>
                <w:tab w:val="clear" w:pos="1134"/>
                <w:tab w:val="clear" w:pos="1701"/>
                <w:tab w:val="clear" w:pos="2268"/>
                <w:tab w:val="clear" w:pos="6237"/>
                <w:tab w:val="decimal" w:pos="567"/>
              </w:tabs>
              <w:rPr>
                <w:b/>
                <w:bCs/>
                <w:sz w:val="22"/>
                <w:szCs w:val="24"/>
                <w:lang w:val="es-ES"/>
              </w:rPr>
            </w:pPr>
            <w:r>
              <w:rPr>
                <w:b/>
                <w:bCs/>
                <w:sz w:val="22"/>
              </w:rPr>
              <w:t>100,0</w:t>
            </w:r>
          </w:p>
        </w:tc>
        <w:tc>
          <w:tcPr>
            <w:tcW w:w="499" w:type="pct"/>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284"/>
              </w:tabs>
              <w:rPr>
                <w:b/>
                <w:bCs/>
                <w:sz w:val="22"/>
                <w:szCs w:val="24"/>
                <w:lang w:val="es-ES"/>
              </w:rPr>
            </w:pPr>
            <w:r>
              <w:rPr>
                <w:b/>
                <w:bCs/>
                <w:sz w:val="22"/>
              </w:rPr>
              <w:t>19,4</w:t>
            </w:r>
          </w:p>
        </w:tc>
      </w:tr>
    </w:tbl>
    <w:p w:rsidR="00000000" w:rsidRDefault="00000000">
      <w:pPr>
        <w:spacing w:line="240" w:lineRule="auto"/>
        <w:rPr>
          <w:sz w:val="22"/>
        </w:rPr>
      </w:pPr>
    </w:p>
    <w:p w:rsidR="00000000" w:rsidRDefault="00000000">
      <w:pPr>
        <w:spacing w:line="240" w:lineRule="auto"/>
      </w:pPr>
      <w:r>
        <w:t>Количество живорождений, зарегистрированных в 2003 году = 86</w:t>
      </w:r>
      <w:r>
        <w:rPr>
          <w:lang w:val="en-US"/>
        </w:rPr>
        <w:t> </w:t>
      </w:r>
      <w:r>
        <w:t>739.</w:t>
      </w:r>
    </w:p>
    <w:p w:rsidR="00000000" w:rsidRDefault="00000000">
      <w:pPr>
        <w:spacing w:line="240" w:lineRule="auto"/>
        <w:rPr>
          <w:lang w:val="es-ES"/>
        </w:rPr>
      </w:pPr>
    </w:p>
    <w:p w:rsidR="00000000" w:rsidRDefault="00000000">
      <w:pPr>
        <w:spacing w:line="240" w:lineRule="auto"/>
      </w:pPr>
      <w:r>
        <w:rPr>
          <w:i/>
          <w:iCs/>
        </w:rPr>
        <w:t>Источник:</w:t>
      </w:r>
      <w:r>
        <w:t xml:space="preserve">  Свидетельства о регистрации смерти.  </w:t>
      </w:r>
      <w:r>
        <w:rPr>
          <w:kern w:val="2"/>
        </w:rPr>
        <w:t>Департамент биостатистики МЗСО</w:t>
      </w:r>
      <w:r>
        <w:t>.</w:t>
      </w:r>
    </w:p>
    <w:p w:rsidR="00000000" w:rsidRDefault="00000000"/>
    <w:p w:rsidR="00000000" w:rsidRDefault="00000000">
      <w:pPr>
        <w:rPr>
          <w:b/>
          <w:bCs/>
        </w:rPr>
      </w:pPr>
      <w:r>
        <w:rPr>
          <w:b/>
          <w:bCs/>
        </w:rPr>
        <w:t>4.</w:t>
      </w:r>
      <w:r>
        <w:rPr>
          <w:b/>
          <w:bCs/>
        </w:rPr>
        <w:tab/>
        <w:t>Детское здравоохранение</w:t>
      </w:r>
    </w:p>
    <w:p w:rsidR="00000000" w:rsidRDefault="00000000"/>
    <w:p w:rsidR="00000000" w:rsidRDefault="00000000">
      <w:r>
        <w:t>471.</w:t>
      </w:r>
      <w:r>
        <w:tab/>
        <w:t xml:space="preserve">Динамика, отражающая итоги вакцинации всеми биологическими препаратами, на протяжении 1995-2000 годов в Парагвае весьма неравномерна.  Начиная с 2001 года результаты более ровные, причем наивысший уровень отмечен в 2001 году.  </w:t>
      </w:r>
      <w:r>
        <w:br/>
        <w:t>В 2002-2003 годах по пятивалентной вакцине и трехвалентной ОПВ охват составлял более 86%, а по прививкам БЦЖ и прививкам от кори, паротита и рубеллы - 90 %.  Прививками с применением пятивалентной вакцины в 2005 году были охвачены 86% детей в возрасте до 1 года (127 465 детей в возрасте до 1 года получили третью дозу пятивалентной вакцины).  Прививки от кори, паротита и рубеллы были сделаны 91% детей в возрасте 1 года (130 295 человек).  В период общенациональной кампании по вакцинации прививки от кори, паротита и рубеллы были сделаны 100% населения в возрасте от 5 до 39 лет (3 761 308 человек).</w:t>
      </w:r>
    </w:p>
    <w:p w:rsidR="00000000" w:rsidRDefault="00000000"/>
    <w:p w:rsidR="00000000" w:rsidRDefault="00000000">
      <w:pPr>
        <w:jc w:val="center"/>
        <w:rPr>
          <w:b/>
          <w:bCs/>
        </w:rPr>
      </w:pPr>
      <w:r>
        <w:rPr>
          <w:b/>
          <w:bCs/>
        </w:rPr>
        <w:t>Охват вакцинацией, 1995-2003 годы</w:t>
      </w:r>
    </w:p>
    <w:bookmarkStart w:id="121" w:name="_MON_1246263854"/>
    <w:bookmarkEnd w:id="121"/>
    <w:p w:rsidR="00000000" w:rsidRDefault="00000000">
      <w:r>
        <w:object w:dxaOrig="9346" w:dyaOrig="3451">
          <v:shape id="_x0000_i1048" type="#_x0000_t75" style="width:467.25pt;height:172.5pt" o:ole="">
            <v:imagedata r:id="rId97" o:title=""/>
          </v:shape>
          <o:OLEObject Type="Embed" ProgID="Word.Picture.8" ShapeID="_x0000_i1048" DrawAspect="Content" ObjectID="_1394904871" r:id="rId98"/>
        </w:object>
      </w:r>
    </w:p>
    <w:p w:rsidR="00000000" w:rsidRDefault="00000000">
      <w:pPr>
        <w:rPr>
          <w:b/>
          <w:bCs/>
          <w:lang w:val="en-US"/>
        </w:rPr>
      </w:pPr>
    </w:p>
    <w:p w:rsidR="00000000" w:rsidRDefault="00000000">
      <w:pPr>
        <w:keepNext/>
      </w:pPr>
      <w:r>
        <w:rPr>
          <w:b/>
          <w:bCs/>
        </w:rPr>
        <w:tab/>
        <w:t>4.1</w:t>
      </w:r>
      <w:r>
        <w:tab/>
      </w:r>
      <w:r>
        <w:rPr>
          <w:b/>
        </w:rPr>
        <w:t>Иммунизация детей в возрасте до 5 лет</w:t>
      </w:r>
    </w:p>
    <w:p w:rsidR="00000000" w:rsidRDefault="00000000">
      <w:pPr>
        <w:keepNext/>
      </w:pPr>
    </w:p>
    <w:p w:rsidR="00000000" w:rsidRDefault="00000000">
      <w:pPr>
        <w:keepNext/>
      </w:pPr>
      <w:r>
        <w:t>472.</w:t>
      </w:r>
      <w:r>
        <w:tab/>
        <w:t xml:space="preserve">Ряд заболеваний, среди которых корь, коклюш, столбняк, дифтерит, полиомиелит и туберкулез, возможно предотвратить с помощью вакцинации.  В ходе </w:t>
      </w:r>
      <w:r>
        <w:rPr>
          <w:bCs/>
        </w:rPr>
        <w:t>Национального обследования в области демографии и сексуального и репродуктивного здоровья</w:t>
      </w:r>
      <w:r>
        <w:t xml:space="preserve"> (EНДССР 2004 года) за критерий было взято положение, при котором ребенок считается полностью привитым, если он получил одну дозу БЦЖ и противокоревой вакцины, три дозы противополиомиелитной вакцины и три дозы комбинированной вакцины АКДС.  В рамках EНДССР 2004 года - главным образом вследствие недостатков в учете информации - пятивалентная вакцина объединялась с АКДС, а вакцина от кори, паротита и рубеллы заменялась либо дополнялась противокоревой вакциной.</w:t>
      </w:r>
    </w:p>
    <w:p w:rsidR="00000000" w:rsidRDefault="00000000"/>
    <w:bookmarkStart w:id="122" w:name="_MON_1246265123"/>
    <w:bookmarkStart w:id="123" w:name="_MON_1246265636"/>
    <w:bookmarkStart w:id="124" w:name="_MON_1246265719"/>
    <w:bookmarkStart w:id="125" w:name="_MON_1246265754"/>
    <w:bookmarkStart w:id="126" w:name="_MON_1246277700"/>
    <w:bookmarkEnd w:id="122"/>
    <w:bookmarkEnd w:id="123"/>
    <w:bookmarkEnd w:id="124"/>
    <w:bookmarkEnd w:id="125"/>
    <w:bookmarkEnd w:id="126"/>
    <w:p w:rsidR="00000000" w:rsidRDefault="00000000">
      <w:pPr>
        <w:jc w:val="center"/>
      </w:pPr>
      <w:r>
        <w:object w:dxaOrig="7620" w:dyaOrig="5259">
          <v:shape id="_x0000_i1049" type="#_x0000_t75" alt="" style="width:393pt;height:271.5pt" o:ole="">
            <v:imagedata r:id="rId99" o:title=""/>
          </v:shape>
          <o:OLEObject Type="Embed" ProgID="Word.Picture.8" ShapeID="_x0000_i1049" DrawAspect="Content" ObjectID="_1394904872" r:id="rId100"/>
        </w:object>
      </w:r>
    </w:p>
    <w:p w:rsidR="00000000" w:rsidRDefault="00000000"/>
    <w:p w:rsidR="00000000" w:rsidRDefault="00000000">
      <w:r>
        <w:rPr>
          <w:b/>
          <w:bCs/>
        </w:rPr>
        <w:tab/>
        <w:t>4.2</w:t>
      </w:r>
      <w:r>
        <w:tab/>
      </w:r>
      <w:r>
        <w:rPr>
          <w:b/>
        </w:rPr>
        <w:t>Уровни иммунизации</w:t>
      </w:r>
    </w:p>
    <w:p w:rsidR="00000000" w:rsidRDefault="00000000"/>
    <w:p w:rsidR="00000000" w:rsidRDefault="00000000">
      <w:pPr>
        <w:tabs>
          <w:tab w:val="left" w:pos="540"/>
        </w:tabs>
      </w:pPr>
      <w:r>
        <w:t>473.</w:t>
      </w:r>
      <w:r>
        <w:tab/>
        <w:t>Сравнивая результаты EНДССР 2004 года</w:t>
      </w:r>
      <w:r>
        <w:rPr>
          <w:bCs/>
        </w:rPr>
        <w:t xml:space="preserve"> </w:t>
      </w:r>
      <w:r>
        <w:t>и EНДССР 1995/96 годов, можно констатировать, что охват населения вакцинацией в общегосударственном масштабе за последние годы возрос.  Например, процент детей в возрасте от 12 до 23 месяцев, которым была осуществлена комплексная иммунизация четырьмя вакцинами (БЦЖ, полиомиелит, АКДС и корь), составил 65,2% - согласно данным, которые были взяты из сертификатов прививок либо сообщены родителями.  Охват примерно одинаков как в городском (65,8%), так и в сельском (64,4%) секторах.  По итогам EНДССР 1995/96 годов, процент детей в возрасте от 12 до 23 месяцев, которым была проведена иммунизация четырьмя вакцинами, в масштабе страны составил 49,8%, причем он был выше в городах (59,4%), нежели в сельской местности (42,8%).</w:t>
      </w:r>
    </w:p>
    <w:p w:rsidR="00000000" w:rsidRDefault="00000000">
      <w:pPr>
        <w:tabs>
          <w:tab w:val="left" w:pos="540"/>
        </w:tabs>
      </w:pPr>
    </w:p>
    <w:p w:rsidR="00000000" w:rsidRDefault="00000000">
      <w:pPr>
        <w:tabs>
          <w:tab w:val="clear" w:pos="1134"/>
          <w:tab w:val="left" w:pos="1274"/>
        </w:tabs>
        <w:ind w:left="1274" w:hanging="1274"/>
        <w:rPr>
          <w:b/>
          <w:i/>
        </w:rPr>
      </w:pPr>
      <w:r>
        <w:rPr>
          <w:b/>
          <w:i/>
        </w:rPr>
        <w:tab/>
        <w:t>4.2.1</w:t>
      </w:r>
      <w:r>
        <w:rPr>
          <w:b/>
          <w:i/>
        </w:rPr>
        <w:tab/>
        <w:t>Иммунизация согласно району проживания, уровню образования и социально-экономическому положению</w:t>
      </w:r>
    </w:p>
    <w:p w:rsidR="00000000" w:rsidRDefault="00000000">
      <w:pPr>
        <w:tabs>
          <w:tab w:val="clear" w:pos="1134"/>
          <w:tab w:val="left" w:pos="540"/>
          <w:tab w:val="left" w:pos="1274"/>
        </w:tabs>
        <w:ind w:left="1274" w:hanging="1274"/>
      </w:pPr>
    </w:p>
    <w:p w:rsidR="00000000" w:rsidRDefault="00000000">
      <w:r>
        <w:t>474.</w:t>
      </w:r>
      <w:r>
        <w:tab/>
        <w:t>В Большом Асунсьоне отмечен наиболее низкий охват вакцинацией полного цикла (61,3%), в то время как в центрально-южном регионе этот процент выше на 7 пунктов (68,6%), так что разница незначительна.  Прививки полного цикла более характерны для детей, матери которых имеют более высокие уровень образования и социально-экономический статус.  Кроме того, процент охвата падает по мере увеличения количества привитых доз.  Так, если первый раз прививка АКДС была сделана 94,9% детей, то к третьей (полной) прививке это число сократилось до 82,8%.  Аналогичная картина и с прививкой от полиомиелита:  93,8% по первой доле и 82,2% - по третьей.  По дозам БЦЖ и кори показатели одинаковы:  96,11% и 75,2%, соответственно.</w:t>
      </w:r>
    </w:p>
    <w:p w:rsidR="00000000" w:rsidRDefault="00000000">
      <w:pPr>
        <w:tabs>
          <w:tab w:val="left" w:pos="540"/>
        </w:tabs>
      </w:pPr>
    </w:p>
    <w:p w:rsidR="00000000" w:rsidRDefault="00000000">
      <w:pPr>
        <w:rPr>
          <w:b/>
        </w:rPr>
      </w:pPr>
      <w:r>
        <w:rPr>
          <w:b/>
        </w:rPr>
        <w:t>5.</w:t>
      </w:r>
      <w:r>
        <w:rPr>
          <w:b/>
        </w:rPr>
        <w:tab/>
        <w:t>Доступ к базовым услугам здравоохранения</w:t>
      </w:r>
    </w:p>
    <w:p w:rsidR="00000000" w:rsidRDefault="00000000">
      <w:pPr>
        <w:tabs>
          <w:tab w:val="left" w:pos="540"/>
        </w:tabs>
      </w:pPr>
    </w:p>
    <w:p w:rsidR="00000000" w:rsidRDefault="00000000">
      <w:r>
        <w:t>475.</w:t>
      </w:r>
      <w:r>
        <w:tab/>
        <w:t>Что касается доли населения, имеющего возможность обратиться к квалифицированным специалистам по поводу лечения заболеваний общего характера, травм и получения любого из 20 базовых лекарств, а также проживающего в пределах одного часа досягаемости пешком либо на транспорте от медицинского учреждения, следует подчеркнуть, что в 2000-2001 годах не смогли воспользоваться услугами врачей 38,6% населения с тем или иным заболеванием или травмой, которые нельзя отнести к категории легких:  6,9% не сделали этого вследствие географической удаленности;  33,2% - по экономическим причинам;  56,1% занимались самолечением;  остальные - по другим соображениям</w:t>
      </w:r>
      <w:r>
        <w:rPr>
          <w:rStyle w:val="FootnoteReference"/>
        </w:rPr>
        <w:footnoteReference w:id="33"/>
      </w:r>
      <w:r>
        <w:t>.</w:t>
      </w:r>
    </w:p>
    <w:p w:rsidR="00000000" w:rsidRDefault="00000000">
      <w:pPr>
        <w:tabs>
          <w:tab w:val="left" w:pos="540"/>
        </w:tabs>
      </w:pPr>
    </w:p>
    <w:p w:rsidR="00000000" w:rsidRDefault="00000000">
      <w:r>
        <w:t>476.</w:t>
      </w:r>
      <w:r>
        <w:tab/>
        <w:t>Иногда ценность обращения в ближайшее медицинское учреждение может измеряться в минутах.  В этом отношении 17,5% населения, которому может потребоваться врачебная помощь по причине болезни или травмы, проживает в пределах 30-минутной досягаемости (в городах) и 60-минутной - в сельской местности</w:t>
      </w:r>
      <w:r>
        <w:rPr>
          <w:rStyle w:val="FootnoteReference"/>
        </w:rPr>
        <w:footnoteReference w:id="34"/>
      </w:r>
      <w:r>
        <w:t>.</w:t>
      </w:r>
    </w:p>
    <w:p w:rsidR="00000000" w:rsidRDefault="00000000"/>
    <w:p w:rsidR="00000000" w:rsidRDefault="00000000">
      <w:pPr>
        <w:jc w:val="center"/>
        <w:rPr>
          <w:b/>
        </w:rPr>
      </w:pPr>
      <w:r>
        <w:rPr>
          <w:b/>
        </w:rPr>
        <w:t>Общий охват населения в разбивке по зонам проживания, полу, характеру обращения, виду заболевания или недомогания за последние 90 дней</w:t>
      </w:r>
      <w:r>
        <w:rPr>
          <w:rStyle w:val="FootnoteReference"/>
          <w:bCs/>
        </w:rPr>
        <w:footnoteReference w:id="35"/>
      </w:r>
    </w:p>
    <w:p w:rsidR="00000000" w:rsidRDefault="00000000">
      <w:pPr>
        <w:rPr>
          <w:b/>
        </w:rPr>
      </w:pPr>
    </w:p>
    <w:tbl>
      <w:tblPr>
        <w:tblW w:w="0" w:type="auto"/>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4142"/>
        <w:gridCol w:w="1870"/>
        <w:gridCol w:w="1870"/>
        <w:gridCol w:w="1529"/>
      </w:tblGrid>
      <w:tr w:rsidR="00000000">
        <w:trPr>
          <w:cantSplit/>
          <w:tblHeader/>
        </w:trPr>
        <w:tc>
          <w:tcPr>
            <w:tcW w:w="414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Cs w:val="24"/>
                <w:lang w:eastAsia="es-ES"/>
              </w:rPr>
            </w:pPr>
            <w:r>
              <w:rPr>
                <w:b/>
                <w:bCs/>
                <w:lang w:eastAsia="es-ES"/>
              </w:rPr>
              <w:t>Характер обращения и причина неполучения медицинской помощи</w:t>
            </w:r>
          </w:p>
        </w:tc>
        <w:tc>
          <w:tcPr>
            <w:tcW w:w="187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lang w:eastAsia="es-ES"/>
              </w:rPr>
            </w:pPr>
            <w:r>
              <w:rPr>
                <w:b/>
                <w:bCs/>
                <w:lang w:eastAsia="es-ES"/>
              </w:rPr>
              <w:t>Всего</w:t>
            </w:r>
          </w:p>
          <w:p w:rsidR="00000000" w:rsidRDefault="00000000">
            <w:pPr>
              <w:spacing w:line="240" w:lineRule="auto"/>
              <w:jc w:val="center"/>
              <w:rPr>
                <w:b/>
                <w:bCs/>
                <w:szCs w:val="24"/>
                <w:lang w:eastAsia="es-ES"/>
              </w:rPr>
            </w:pPr>
            <w:r>
              <w:rPr>
                <w:b/>
                <w:bCs/>
                <w:lang w:eastAsia="es-ES"/>
              </w:rPr>
              <w:t>(в %)</w:t>
            </w:r>
          </w:p>
        </w:tc>
        <w:tc>
          <w:tcPr>
            <w:tcW w:w="3399"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Cs w:val="24"/>
                <w:lang w:eastAsia="es-ES"/>
              </w:rPr>
            </w:pPr>
            <w:r>
              <w:rPr>
                <w:b/>
                <w:bCs/>
                <w:lang w:eastAsia="es-ES"/>
              </w:rPr>
              <w:t xml:space="preserve">Зона проживания </w:t>
            </w:r>
          </w:p>
        </w:tc>
      </w:tr>
      <w:tr w:rsidR="00000000">
        <w:trPr>
          <w:cantSplit/>
          <w:tblHeader/>
        </w:trPr>
        <w:tc>
          <w:tcPr>
            <w:tcW w:w="4142"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Cs w:val="24"/>
                <w:lang w:eastAsia="es-ES"/>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b/>
                <w:bCs/>
                <w:szCs w:val="24"/>
                <w:lang w:eastAsia="es-ES"/>
              </w:rPr>
            </w:pPr>
          </w:p>
        </w:tc>
        <w:tc>
          <w:tcPr>
            <w:tcW w:w="187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b/>
                <w:bCs/>
                <w:szCs w:val="24"/>
                <w:lang w:eastAsia="es-ES"/>
              </w:rPr>
            </w:pPr>
            <w:r>
              <w:rPr>
                <w:b/>
                <w:bCs/>
                <w:lang w:eastAsia="es-ES"/>
              </w:rPr>
              <w:t>Город</w:t>
            </w:r>
          </w:p>
        </w:tc>
        <w:tc>
          <w:tcPr>
            <w:tcW w:w="152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b/>
                <w:bCs/>
                <w:szCs w:val="24"/>
                <w:lang w:eastAsia="es-ES"/>
              </w:rPr>
            </w:pPr>
            <w:r>
              <w:rPr>
                <w:b/>
                <w:bCs/>
                <w:lang w:eastAsia="es-ES"/>
              </w:rPr>
              <w:t>Село</w:t>
            </w:r>
          </w:p>
        </w:tc>
      </w:tr>
      <w:tr w:rsidR="00000000">
        <w:trPr>
          <w:cantSplit/>
        </w:trPr>
        <w:tc>
          <w:tcPr>
            <w:tcW w:w="414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b/>
                <w:bCs/>
                <w:szCs w:val="24"/>
                <w:lang w:eastAsia="es-ES"/>
              </w:rPr>
            </w:pPr>
            <w:r>
              <w:rPr>
                <w:b/>
                <w:bCs/>
                <w:lang w:eastAsia="es-ES"/>
              </w:rPr>
              <w:t>Больные обоих полов</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b/>
                <w:bCs/>
              </w:rPr>
            </w:pPr>
            <w:r>
              <w:rPr>
                <w:b/>
                <w:bCs/>
              </w:rPr>
              <w:t>931 282</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b/>
                <w:bCs/>
              </w:rPr>
            </w:pPr>
            <w:r>
              <w:rPr>
                <w:b/>
                <w:bCs/>
              </w:rPr>
              <w:t>426 069</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b/>
                <w:bCs/>
              </w:rPr>
            </w:pPr>
            <w:r>
              <w:rPr>
                <w:b/>
                <w:bCs/>
              </w:rPr>
              <w:t>505 213</w:t>
            </w:r>
          </w:p>
        </w:tc>
      </w:tr>
      <w:tr w:rsidR="00000000">
        <w:trPr>
          <w:cantSplit/>
        </w:trPr>
        <w:tc>
          <w:tcPr>
            <w:tcW w:w="41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pPr>
            <w:r>
              <w:t>Легкое недомогание</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22,1  </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27,1</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17,9</w:t>
            </w:r>
          </w:p>
        </w:tc>
      </w:tr>
      <w:tr w:rsidR="00000000">
        <w:trPr>
          <w:cantSplit/>
        </w:trPr>
        <w:tc>
          <w:tcPr>
            <w:tcW w:w="41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pPr>
            <w:r>
              <w:rPr>
                <w:szCs w:val="22"/>
              </w:rPr>
              <w:t>Отсутствие поблизости медицинского учреждения</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1,4</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p>
        </w:tc>
      </w:tr>
      <w:tr w:rsidR="00000000">
        <w:trPr>
          <w:cantSplit/>
        </w:trPr>
        <w:tc>
          <w:tcPr>
            <w:tcW w:w="414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240" w:lineRule="auto"/>
              <w:rPr>
                <w:szCs w:val="22"/>
              </w:rPr>
            </w:pPr>
            <w:r>
              <w:rPr>
                <w:szCs w:val="22"/>
              </w:rPr>
              <w:t>Плохое медицинское обслуживание</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0,1</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0,0</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0,2</w:t>
            </w:r>
          </w:p>
        </w:tc>
      </w:tr>
      <w:tr w:rsidR="00000000">
        <w:trPr>
          <w:cantSplit/>
        </w:trPr>
        <w:tc>
          <w:tcPr>
            <w:tcW w:w="414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240" w:lineRule="auto"/>
              <w:rPr>
                <w:szCs w:val="22"/>
              </w:rPr>
            </w:pPr>
            <w:r>
              <w:rPr>
                <w:szCs w:val="22"/>
              </w:rPr>
              <w:t>Дорогое медицинское обслуживание</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6,5</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4,0</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8,6</w:t>
            </w:r>
          </w:p>
        </w:tc>
      </w:tr>
      <w:tr w:rsidR="00000000">
        <w:trPr>
          <w:cantSplit/>
        </w:trPr>
        <w:tc>
          <w:tcPr>
            <w:tcW w:w="41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pPr>
            <w:r>
              <w:rPr>
                <w:szCs w:val="22"/>
              </w:rPr>
              <w:t>Отсутствие средств</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6,5</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4,6</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8,1</w:t>
            </w:r>
          </w:p>
        </w:tc>
      </w:tr>
      <w:tr w:rsidR="00000000">
        <w:trPr>
          <w:cantSplit/>
        </w:trPr>
        <w:tc>
          <w:tcPr>
            <w:tcW w:w="41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pPr>
            <w:r>
              <w:rPr>
                <w:szCs w:val="22"/>
              </w:rPr>
              <w:t>Отсутствие денег на лекарства</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2,5</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1,2</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3,5</w:t>
            </w:r>
          </w:p>
        </w:tc>
      </w:tr>
      <w:tr w:rsidR="00000000">
        <w:trPr>
          <w:cantSplit/>
        </w:trPr>
        <w:tc>
          <w:tcPr>
            <w:tcW w:w="41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pPr>
            <w:r>
              <w:t>Самолечение</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59,2  </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61,1  </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57,6  </w:t>
            </w:r>
          </w:p>
        </w:tc>
      </w:tr>
      <w:tr w:rsidR="00000000">
        <w:trPr>
          <w:cantSplit/>
        </w:trPr>
        <w:tc>
          <w:tcPr>
            <w:tcW w:w="41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pPr>
            <w:r>
              <w:rPr>
                <w:szCs w:val="22"/>
              </w:rPr>
              <w:t>Отсутствие времени</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1,3</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1,4</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1,2</w:t>
            </w:r>
          </w:p>
        </w:tc>
      </w:tr>
      <w:tr w:rsidR="00000000">
        <w:trPr>
          <w:cantSplit/>
        </w:trPr>
        <w:tc>
          <w:tcPr>
            <w:tcW w:w="41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pPr>
            <w:r>
              <w:t>Прочие причины</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0,3</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0,3</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0,3</w:t>
            </w:r>
          </w:p>
        </w:tc>
      </w:tr>
      <w:tr w:rsidR="00000000">
        <w:trPr>
          <w:cantSplit/>
        </w:trPr>
        <w:tc>
          <w:tcPr>
            <w:tcW w:w="41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b/>
                <w:bCs/>
              </w:rPr>
            </w:pPr>
            <w:r>
              <w:rPr>
                <w:b/>
                <w:bCs/>
              </w:rPr>
              <w:t>Мужчины</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b/>
                <w:bCs/>
              </w:rPr>
            </w:pPr>
            <w:r>
              <w:rPr>
                <w:b/>
                <w:bCs/>
              </w:rPr>
              <w:t>472 683</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b/>
                <w:bCs/>
              </w:rPr>
            </w:pPr>
            <w:r>
              <w:rPr>
                <w:b/>
                <w:bCs/>
              </w:rPr>
              <w:t>212 465</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b/>
                <w:bCs/>
              </w:rPr>
            </w:pPr>
            <w:r>
              <w:rPr>
                <w:b/>
                <w:bCs/>
              </w:rPr>
              <w:t>260 218</w:t>
            </w:r>
          </w:p>
        </w:tc>
      </w:tr>
      <w:tr w:rsidR="00000000">
        <w:trPr>
          <w:cantSplit/>
        </w:trPr>
        <w:tc>
          <w:tcPr>
            <w:tcW w:w="41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pPr>
            <w:r>
              <w:t>Легкое недомогание</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23,0  </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29,1  </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18,0  </w:t>
            </w:r>
          </w:p>
        </w:tc>
      </w:tr>
      <w:tr w:rsidR="00000000">
        <w:trPr>
          <w:cantSplit/>
        </w:trPr>
        <w:tc>
          <w:tcPr>
            <w:tcW w:w="41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pPr>
            <w:r>
              <w:rPr>
                <w:szCs w:val="22"/>
              </w:rPr>
              <w:t>Отсутствие поблизости медицинского учреждения</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1,3</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0,1</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2,2</w:t>
            </w:r>
          </w:p>
        </w:tc>
      </w:tr>
      <w:tr w:rsidR="00000000">
        <w:trPr>
          <w:cantSplit/>
        </w:trPr>
        <w:tc>
          <w:tcPr>
            <w:tcW w:w="414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240" w:lineRule="auto"/>
              <w:rPr>
                <w:szCs w:val="22"/>
              </w:rPr>
            </w:pPr>
            <w:r>
              <w:rPr>
                <w:szCs w:val="22"/>
              </w:rPr>
              <w:t>Плохое медицинское обслуживание</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0,2</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0,0</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0,3</w:t>
            </w:r>
          </w:p>
        </w:tc>
      </w:tr>
      <w:tr w:rsidR="00000000">
        <w:trPr>
          <w:cantSplit/>
        </w:trPr>
        <w:tc>
          <w:tcPr>
            <w:tcW w:w="414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240" w:lineRule="auto"/>
              <w:rPr>
                <w:szCs w:val="22"/>
              </w:rPr>
            </w:pPr>
            <w:r>
              <w:rPr>
                <w:szCs w:val="22"/>
              </w:rPr>
              <w:t>Дорогое медицинское обслуживание</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5,6</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2,6</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8,1</w:t>
            </w:r>
          </w:p>
        </w:tc>
      </w:tr>
      <w:tr w:rsidR="00000000">
        <w:trPr>
          <w:cantSplit/>
        </w:trPr>
        <w:tc>
          <w:tcPr>
            <w:tcW w:w="41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pPr>
            <w:r>
              <w:rPr>
                <w:szCs w:val="22"/>
              </w:rPr>
              <w:t>Отсутствие средств</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6,9</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4,5</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8,9</w:t>
            </w:r>
          </w:p>
        </w:tc>
      </w:tr>
      <w:tr w:rsidR="00000000">
        <w:trPr>
          <w:cantSplit/>
        </w:trPr>
        <w:tc>
          <w:tcPr>
            <w:tcW w:w="41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pPr>
            <w:r>
              <w:rPr>
                <w:szCs w:val="22"/>
              </w:rPr>
              <w:t>Отсутствие денег на лекарства</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2,5</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1,0</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3,7</w:t>
            </w:r>
          </w:p>
        </w:tc>
      </w:tr>
      <w:tr w:rsidR="00000000">
        <w:trPr>
          <w:cantSplit/>
        </w:trPr>
        <w:tc>
          <w:tcPr>
            <w:tcW w:w="41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pPr>
            <w:r>
              <w:t>Самолечение</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58,7  </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60,8  </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57,1  </w:t>
            </w:r>
          </w:p>
        </w:tc>
      </w:tr>
      <w:tr w:rsidR="00000000">
        <w:trPr>
          <w:cantSplit/>
        </w:trPr>
        <w:tc>
          <w:tcPr>
            <w:tcW w:w="41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pPr>
            <w:r>
              <w:rPr>
                <w:szCs w:val="22"/>
              </w:rPr>
              <w:t>Отсутствие времени</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1,3</w:t>
            </w:r>
          </w:p>
        </w:tc>
      </w:tr>
      <w:tr w:rsidR="00000000">
        <w:trPr>
          <w:cantSplit/>
        </w:trPr>
        <w:tc>
          <w:tcPr>
            <w:tcW w:w="41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pPr>
            <w:r>
              <w:t>Прочие причины</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0,4</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0,4</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0,4</w:t>
            </w:r>
          </w:p>
        </w:tc>
      </w:tr>
      <w:tr w:rsidR="00000000">
        <w:trPr>
          <w:cantSplit/>
        </w:trPr>
        <w:tc>
          <w:tcPr>
            <w:tcW w:w="41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rPr>
                <w:b/>
                <w:bCs/>
              </w:rPr>
            </w:pPr>
            <w:r>
              <w:rPr>
                <w:b/>
                <w:bCs/>
              </w:rPr>
              <w:t>Женщины</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b/>
                <w:bCs/>
              </w:rPr>
            </w:pPr>
            <w:r>
              <w:rPr>
                <w:b/>
                <w:bCs/>
              </w:rPr>
              <w:t>458 599</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b/>
                <w:bCs/>
              </w:rPr>
            </w:pPr>
            <w:r>
              <w:rPr>
                <w:b/>
                <w:bCs/>
              </w:rPr>
              <w:t>213 604</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rPr>
                <w:b/>
                <w:bCs/>
              </w:rPr>
            </w:pPr>
            <w:r>
              <w:rPr>
                <w:b/>
                <w:bCs/>
              </w:rPr>
              <w:t>244 995</w:t>
            </w:r>
          </w:p>
        </w:tc>
      </w:tr>
      <w:tr w:rsidR="00000000">
        <w:trPr>
          <w:cantSplit/>
        </w:trPr>
        <w:tc>
          <w:tcPr>
            <w:tcW w:w="41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pPr>
            <w:r>
              <w:t>Легкое недомогание</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21,2  </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25,1  </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17,8  </w:t>
            </w:r>
          </w:p>
        </w:tc>
      </w:tr>
      <w:tr w:rsidR="00000000">
        <w:trPr>
          <w:cantSplit/>
        </w:trPr>
        <w:tc>
          <w:tcPr>
            <w:tcW w:w="41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pPr>
            <w:r>
              <w:rPr>
                <w:szCs w:val="22"/>
              </w:rPr>
              <w:t>Отсутствие поблизости медицинского учреждения</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1,5</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0,2</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2,7</w:t>
            </w:r>
          </w:p>
        </w:tc>
      </w:tr>
      <w:tr w:rsidR="00000000">
        <w:trPr>
          <w:cantSplit/>
        </w:trPr>
        <w:tc>
          <w:tcPr>
            <w:tcW w:w="414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240" w:lineRule="auto"/>
              <w:rPr>
                <w:szCs w:val="22"/>
              </w:rPr>
            </w:pPr>
            <w:r>
              <w:rPr>
                <w:szCs w:val="22"/>
              </w:rPr>
              <w:t>Плохое медицинское обслуживание</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0,1</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0,0</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0,1</w:t>
            </w:r>
          </w:p>
        </w:tc>
      </w:tr>
      <w:tr w:rsidR="00000000">
        <w:trPr>
          <w:cantSplit/>
        </w:trPr>
        <w:tc>
          <w:tcPr>
            <w:tcW w:w="414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line="240" w:lineRule="auto"/>
              <w:rPr>
                <w:szCs w:val="22"/>
              </w:rPr>
            </w:pPr>
            <w:r>
              <w:rPr>
                <w:szCs w:val="22"/>
              </w:rPr>
              <w:t>Дорогое медицинское обслуживание</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7,4</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5,3</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9,2</w:t>
            </w:r>
          </w:p>
        </w:tc>
      </w:tr>
      <w:tr w:rsidR="00000000">
        <w:trPr>
          <w:cantSplit/>
        </w:trPr>
        <w:tc>
          <w:tcPr>
            <w:tcW w:w="41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pPr>
            <w:r>
              <w:rPr>
                <w:szCs w:val="22"/>
              </w:rPr>
              <w:t>Отсутствие средств</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6,1</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4,8</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7,2</w:t>
            </w:r>
          </w:p>
        </w:tc>
      </w:tr>
      <w:tr w:rsidR="00000000">
        <w:trPr>
          <w:cantSplit/>
        </w:trPr>
        <w:tc>
          <w:tcPr>
            <w:tcW w:w="41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pPr>
            <w:r>
              <w:rPr>
                <w:szCs w:val="22"/>
              </w:rPr>
              <w:t>Отсутствие денег на лекарства</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2,5</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1,4</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3,4</w:t>
            </w:r>
          </w:p>
        </w:tc>
      </w:tr>
      <w:tr w:rsidR="00000000">
        <w:trPr>
          <w:cantSplit/>
        </w:trPr>
        <w:tc>
          <w:tcPr>
            <w:tcW w:w="41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pPr>
            <w:r>
              <w:t>Самолечение</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59,7  </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61,5  </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58,2  </w:t>
            </w:r>
          </w:p>
        </w:tc>
      </w:tr>
      <w:tr w:rsidR="00000000">
        <w:trPr>
          <w:cantSplit/>
        </w:trPr>
        <w:tc>
          <w:tcPr>
            <w:tcW w:w="41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pPr>
            <w:r>
              <w:rPr>
                <w:szCs w:val="22"/>
              </w:rPr>
              <w:t>Отсутствие времени</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1,3</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1,4</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1,2</w:t>
            </w:r>
          </w:p>
        </w:tc>
      </w:tr>
      <w:tr w:rsidR="00000000">
        <w:trPr>
          <w:cantSplit/>
        </w:trPr>
        <w:tc>
          <w:tcPr>
            <w:tcW w:w="41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pPr>
            <w:r>
              <w:t>Прочие причины</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0,2</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0,2</w:t>
            </w:r>
          </w:p>
        </w:tc>
        <w:tc>
          <w:tcPr>
            <w:tcW w:w="15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jc w:val="center"/>
            </w:pPr>
            <w:r>
              <w:t>0,2</w:t>
            </w:r>
          </w:p>
        </w:tc>
      </w:tr>
    </w:tbl>
    <w:p w:rsidR="00000000" w:rsidRDefault="00000000">
      <w:pPr>
        <w:rPr>
          <w:bCs/>
          <w:i/>
          <w:iCs/>
          <w:sz w:val="22"/>
        </w:rPr>
      </w:pPr>
    </w:p>
    <w:p w:rsidR="00000000" w:rsidRDefault="00000000">
      <w:pPr>
        <w:rPr>
          <w:bCs/>
        </w:rPr>
      </w:pPr>
      <w:r>
        <w:rPr>
          <w:bCs/>
          <w:i/>
          <w:iCs/>
        </w:rPr>
        <w:t>Источник</w:t>
      </w:r>
      <w:r>
        <w:rPr>
          <w:bCs/>
        </w:rPr>
        <w:t>:  ТСП/</w:t>
      </w:r>
      <w:r>
        <w:rPr>
          <w:szCs w:val="14"/>
        </w:rPr>
        <w:t>ГУСОП</w:t>
      </w:r>
      <w:r>
        <w:rPr>
          <w:bCs/>
        </w:rPr>
        <w:t>.  Постоянное обследование домохозяйств 2004 года.</w:t>
      </w:r>
    </w:p>
    <w:p w:rsidR="00000000" w:rsidRDefault="00000000">
      <w:pPr>
        <w:rPr>
          <w:bCs/>
          <w:sz w:val="22"/>
        </w:rPr>
      </w:pPr>
    </w:p>
    <w:p w:rsidR="00000000" w:rsidRDefault="00000000">
      <w:pPr>
        <w:keepNext/>
        <w:rPr>
          <w:b/>
          <w:bCs/>
        </w:rPr>
      </w:pPr>
      <w:r>
        <w:rPr>
          <w:b/>
          <w:bCs/>
        </w:rPr>
        <w:tab/>
        <w:t>5.1</w:t>
      </w:r>
      <w:r>
        <w:rPr>
          <w:b/>
          <w:bCs/>
        </w:rPr>
        <w:tab/>
      </w:r>
      <w:r>
        <w:rPr>
          <w:b/>
        </w:rPr>
        <w:t>Дородовая помощь</w:t>
      </w:r>
    </w:p>
    <w:p w:rsidR="00000000" w:rsidRDefault="00000000">
      <w:pPr>
        <w:keepNext/>
      </w:pPr>
    </w:p>
    <w:p w:rsidR="00000000" w:rsidRDefault="00000000">
      <w:pPr>
        <w:keepNext/>
      </w:pPr>
      <w:r>
        <w:t>477.</w:t>
      </w:r>
      <w:r>
        <w:tab/>
        <w:t>Говоря о населении, имеющем доступ к квалифицированной врачебной помощи во время беременности и родов, можно заметить, что из общего количество родов, принятых в период с марта 1999 года по февраль 2004 года, 94,2% рожениц по крайней мере один раз были на дородовом осмотре.  Учитывая, что, по данным проведенного в 1998 году Национального обследования состояния здоровья матери и ребенка (ЕНСМИ 1998 года), дородовый осмотр прошли 88% рожениц, за шесть прошедших лет отмечается рост на 6%.  В течение всех 12 лет исследований этот тип медицинской услуги более характерен для матерей с высшим образованием (99,4%), с благоприятными экономическими условиями жизни (высокий социально-экономический уровень - 98,7%), рожающих в первый раз (97,2%) и проживающих в городе (96,5%).</w:t>
      </w:r>
    </w:p>
    <w:p w:rsidR="00000000" w:rsidRDefault="00000000">
      <w:pPr>
        <w:tabs>
          <w:tab w:val="left" w:pos="540"/>
        </w:tabs>
      </w:pPr>
    </w:p>
    <w:p w:rsidR="00000000" w:rsidRDefault="00000000">
      <w:r>
        <w:t>478.</w:t>
      </w:r>
      <w:r>
        <w:tab/>
        <w:t>Процент рожениц из Большого Асунсьона и центрально-южного региона, проходивших дородовый контроль, составляет 95,9% и 97%, соответственно.  Следует отметить, что к этому виду медицинской услуги прибегли по крайней мере один раз 83,2% рожениц, не имеющих образования или имеющих образование в объеме двух классов.</w:t>
      </w:r>
    </w:p>
    <w:p w:rsidR="00000000" w:rsidRDefault="00000000"/>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53"/>
        <w:gridCol w:w="1122"/>
        <w:gridCol w:w="1192"/>
        <w:gridCol w:w="1613"/>
        <w:gridCol w:w="1100"/>
        <w:gridCol w:w="1357"/>
        <w:gridCol w:w="1357"/>
      </w:tblGrid>
      <w:tr w:rsidR="00000000">
        <w:trPr>
          <w:cantSplit/>
        </w:trPr>
        <w:tc>
          <w:tcPr>
            <w:tcW w:w="175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Cs w:val="24"/>
                <w:lang w:eastAsia="es-ES"/>
              </w:rPr>
            </w:pPr>
            <w:r>
              <w:rPr>
                <w:b/>
                <w:bCs/>
                <w:lang w:eastAsia="es-ES"/>
              </w:rPr>
              <w:t>Дородовый контроль</w:t>
            </w:r>
          </w:p>
        </w:tc>
        <w:tc>
          <w:tcPr>
            <w:tcW w:w="3927"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4"/>
                <w:vertAlign w:val="superscript"/>
                <w:lang w:eastAsia="es-ES"/>
              </w:rPr>
            </w:pPr>
            <w:r>
              <w:rPr>
                <w:b/>
                <w:bCs/>
                <w:lang w:eastAsia="es-ES"/>
              </w:rPr>
              <w:t>1997/98</w:t>
            </w:r>
            <w:r>
              <w:rPr>
                <w:b/>
                <w:bCs/>
                <w:vertAlign w:val="superscript"/>
                <w:lang w:eastAsia="es-ES"/>
              </w:rPr>
              <w:t>*</w:t>
            </w:r>
          </w:p>
        </w:tc>
        <w:tc>
          <w:tcPr>
            <w:tcW w:w="381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Cs w:val="24"/>
                <w:lang w:eastAsia="es-ES"/>
              </w:rPr>
            </w:pPr>
            <w:r>
              <w:rPr>
                <w:b/>
                <w:bCs/>
                <w:lang w:eastAsia="es-ES"/>
              </w:rPr>
              <w:t>2000/01</w:t>
            </w:r>
          </w:p>
        </w:tc>
      </w:tr>
      <w:tr w:rsidR="00000000">
        <w:trPr>
          <w:cantSplit/>
        </w:trPr>
        <w:tc>
          <w:tcPr>
            <w:tcW w:w="1753"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Cs w:val="24"/>
                <w:lang w:eastAsia="es-ES"/>
              </w:rPr>
            </w:pPr>
          </w:p>
        </w:tc>
        <w:tc>
          <w:tcPr>
            <w:tcW w:w="112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Cs w:val="24"/>
                <w:lang w:eastAsia="es-ES"/>
              </w:rPr>
            </w:pPr>
            <w:r>
              <w:rPr>
                <w:b/>
                <w:bCs/>
                <w:lang w:eastAsia="es-ES"/>
              </w:rPr>
              <w:t>Всего</w:t>
            </w:r>
          </w:p>
        </w:tc>
        <w:tc>
          <w:tcPr>
            <w:tcW w:w="2805"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bCs/>
                <w:szCs w:val="24"/>
                <w:lang w:eastAsia="es-ES"/>
              </w:rPr>
            </w:pPr>
            <w:r>
              <w:rPr>
                <w:b/>
                <w:bCs/>
                <w:lang w:eastAsia="es-ES"/>
              </w:rPr>
              <w:t>Зона проживания</w:t>
            </w:r>
          </w:p>
        </w:tc>
        <w:tc>
          <w:tcPr>
            <w:tcW w:w="110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Cs w:val="24"/>
                <w:lang w:eastAsia="es-ES"/>
              </w:rPr>
            </w:pPr>
            <w:r>
              <w:rPr>
                <w:b/>
                <w:bCs/>
                <w:lang w:eastAsia="es-ES"/>
              </w:rPr>
              <w:t>Всего</w:t>
            </w:r>
          </w:p>
        </w:tc>
        <w:tc>
          <w:tcPr>
            <w:tcW w:w="2714"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bCs/>
                <w:szCs w:val="24"/>
                <w:lang w:eastAsia="es-ES"/>
              </w:rPr>
            </w:pPr>
            <w:r>
              <w:rPr>
                <w:b/>
                <w:bCs/>
                <w:lang w:eastAsia="es-ES"/>
              </w:rPr>
              <w:t>Зона проживания</w:t>
            </w:r>
          </w:p>
        </w:tc>
      </w:tr>
      <w:tr w:rsidR="00000000">
        <w:trPr>
          <w:cantSplit/>
        </w:trPr>
        <w:tc>
          <w:tcPr>
            <w:tcW w:w="1753"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Cs w:val="24"/>
                <w:lang w:eastAsia="es-ES"/>
              </w:rPr>
            </w:pPr>
          </w:p>
        </w:tc>
        <w:tc>
          <w:tcPr>
            <w:tcW w:w="1122"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Cs w:val="24"/>
                <w:lang w:eastAsia="es-ES"/>
              </w:rPr>
            </w:pPr>
          </w:p>
        </w:tc>
        <w:tc>
          <w:tcPr>
            <w:tcW w:w="11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Cs w:val="24"/>
                <w:lang w:eastAsia="es-ES"/>
              </w:rPr>
            </w:pPr>
            <w:r>
              <w:rPr>
                <w:b/>
                <w:bCs/>
                <w:lang w:eastAsia="es-ES"/>
              </w:rPr>
              <w:t>Город</w:t>
            </w:r>
          </w:p>
        </w:tc>
        <w:tc>
          <w:tcPr>
            <w:tcW w:w="161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Cs w:val="24"/>
                <w:lang w:eastAsia="es-ES"/>
              </w:rPr>
            </w:pPr>
            <w:r>
              <w:rPr>
                <w:b/>
                <w:bCs/>
                <w:lang w:eastAsia="es-ES"/>
              </w:rPr>
              <w:t>Село</w:t>
            </w:r>
          </w:p>
        </w:tc>
        <w:tc>
          <w:tcPr>
            <w:tcW w:w="1100"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Cs w:val="24"/>
                <w:lang w:eastAsia="es-ES"/>
              </w:rPr>
            </w:pPr>
          </w:p>
        </w:tc>
        <w:tc>
          <w:tcPr>
            <w:tcW w:w="135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Cs w:val="24"/>
                <w:lang w:eastAsia="es-ES"/>
              </w:rPr>
            </w:pPr>
            <w:r>
              <w:rPr>
                <w:b/>
                <w:bCs/>
                <w:lang w:eastAsia="es-ES"/>
              </w:rPr>
              <w:t>Город</w:t>
            </w:r>
          </w:p>
        </w:tc>
        <w:tc>
          <w:tcPr>
            <w:tcW w:w="135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Cs w:val="24"/>
                <w:lang w:eastAsia="es-ES"/>
              </w:rPr>
            </w:pPr>
            <w:r>
              <w:rPr>
                <w:b/>
                <w:bCs/>
                <w:lang w:eastAsia="es-ES"/>
              </w:rPr>
              <w:t>Село</w:t>
            </w:r>
          </w:p>
        </w:tc>
      </w:tr>
      <w:tr w:rsidR="00000000">
        <w:tc>
          <w:tcPr>
            <w:tcW w:w="1753" w:type="dxa"/>
            <w:tcBorders>
              <w:top w:val="single" w:sz="4" w:space="0" w:color="auto"/>
              <w:left w:val="single" w:sz="4" w:space="0" w:color="auto"/>
              <w:bottom w:val="single" w:sz="4" w:space="0" w:color="auto"/>
              <w:right w:val="single" w:sz="4" w:space="0" w:color="auto"/>
            </w:tcBorders>
          </w:tcPr>
          <w:p w:rsidR="00000000" w:rsidRDefault="00000000">
            <w:pPr>
              <w:rPr>
                <w:szCs w:val="24"/>
                <w:lang w:eastAsia="es-ES"/>
              </w:rPr>
            </w:pPr>
            <w:r>
              <w:rPr>
                <w:lang w:eastAsia="es-ES"/>
              </w:rPr>
              <w:t>Проходили</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eastAsia="es-ES"/>
              </w:rPr>
            </w:pPr>
            <w:r>
              <w:rPr>
                <w:lang w:eastAsia="es-ES"/>
              </w:rPr>
              <w:t>61,5</w:t>
            </w:r>
          </w:p>
        </w:tc>
        <w:tc>
          <w:tcPr>
            <w:tcW w:w="1192"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eastAsia="es-ES"/>
              </w:rPr>
            </w:pPr>
            <w:r>
              <w:rPr>
                <w:lang w:eastAsia="es-ES"/>
              </w:rPr>
              <w:t>68,4</w:t>
            </w:r>
          </w:p>
        </w:tc>
        <w:tc>
          <w:tcPr>
            <w:tcW w:w="1613"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eastAsia="es-ES"/>
              </w:rPr>
            </w:pPr>
            <w:r>
              <w:rPr>
                <w:lang w:eastAsia="es-ES"/>
              </w:rPr>
              <w:t>51,9</w:t>
            </w:r>
          </w:p>
        </w:tc>
        <w:tc>
          <w:tcPr>
            <w:tcW w:w="11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eastAsia="es-ES"/>
              </w:rPr>
            </w:pPr>
            <w:r>
              <w:rPr>
                <w:lang w:eastAsia="es-ES"/>
              </w:rPr>
              <w:t>73,5</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eastAsia="es-ES"/>
              </w:rPr>
            </w:pPr>
            <w:r>
              <w:rPr>
                <w:lang w:eastAsia="es-ES"/>
              </w:rPr>
              <w:t>81,6</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eastAsia="es-ES"/>
              </w:rPr>
            </w:pPr>
            <w:r>
              <w:rPr>
                <w:lang w:eastAsia="es-ES"/>
              </w:rPr>
              <w:t>64,8</w:t>
            </w:r>
          </w:p>
        </w:tc>
      </w:tr>
      <w:tr w:rsidR="00000000">
        <w:tc>
          <w:tcPr>
            <w:tcW w:w="1753" w:type="dxa"/>
            <w:tcBorders>
              <w:top w:val="single" w:sz="4" w:space="0" w:color="auto"/>
              <w:left w:val="single" w:sz="4" w:space="0" w:color="auto"/>
              <w:bottom w:val="single" w:sz="4" w:space="0" w:color="auto"/>
              <w:right w:val="single" w:sz="4" w:space="0" w:color="auto"/>
            </w:tcBorders>
          </w:tcPr>
          <w:p w:rsidR="00000000" w:rsidRDefault="00000000">
            <w:pPr>
              <w:rPr>
                <w:szCs w:val="24"/>
                <w:lang w:eastAsia="es-ES"/>
              </w:rPr>
            </w:pPr>
            <w:r>
              <w:rPr>
                <w:lang w:eastAsia="es-ES"/>
              </w:rPr>
              <w:t>Не проходили</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eastAsia="es-ES"/>
              </w:rPr>
            </w:pPr>
            <w:r>
              <w:rPr>
                <w:lang w:eastAsia="es-ES"/>
              </w:rPr>
              <w:t>38,5</w:t>
            </w:r>
          </w:p>
        </w:tc>
        <w:tc>
          <w:tcPr>
            <w:tcW w:w="1192"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eastAsia="es-ES"/>
              </w:rPr>
            </w:pPr>
            <w:r>
              <w:rPr>
                <w:lang w:eastAsia="es-ES"/>
              </w:rPr>
              <w:t>31,6</w:t>
            </w:r>
          </w:p>
        </w:tc>
        <w:tc>
          <w:tcPr>
            <w:tcW w:w="1613"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eastAsia="es-ES"/>
              </w:rPr>
            </w:pPr>
            <w:r>
              <w:rPr>
                <w:lang w:eastAsia="es-ES"/>
              </w:rPr>
              <w:t>48,1</w:t>
            </w:r>
          </w:p>
        </w:tc>
        <w:tc>
          <w:tcPr>
            <w:tcW w:w="11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eastAsia="es-ES"/>
              </w:rPr>
            </w:pPr>
            <w:r>
              <w:rPr>
                <w:lang w:eastAsia="es-ES"/>
              </w:rPr>
              <w:t>16,5</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eastAsia="es-ES"/>
              </w:rPr>
            </w:pPr>
            <w:r>
              <w:rPr>
                <w:lang w:eastAsia="es-ES"/>
              </w:rPr>
              <w:t>18,4</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eastAsia="es-ES"/>
              </w:rPr>
            </w:pPr>
            <w:r>
              <w:rPr>
                <w:lang w:eastAsia="es-ES"/>
              </w:rPr>
              <w:t>35,2</w:t>
            </w:r>
          </w:p>
        </w:tc>
      </w:tr>
      <w:tr w:rsidR="00000000">
        <w:tc>
          <w:tcPr>
            <w:tcW w:w="1753" w:type="dxa"/>
            <w:tcBorders>
              <w:top w:val="single" w:sz="4" w:space="0" w:color="auto"/>
              <w:left w:val="single" w:sz="4" w:space="0" w:color="auto"/>
              <w:bottom w:val="single" w:sz="4" w:space="0" w:color="auto"/>
              <w:right w:val="single" w:sz="4" w:space="0" w:color="auto"/>
            </w:tcBorders>
          </w:tcPr>
          <w:p w:rsidR="00000000" w:rsidRDefault="00000000">
            <w:pPr>
              <w:rPr>
                <w:b/>
                <w:bCs/>
                <w:szCs w:val="24"/>
                <w:lang w:eastAsia="es-ES"/>
              </w:rPr>
            </w:pPr>
            <w:r>
              <w:rPr>
                <w:b/>
                <w:bCs/>
                <w:lang w:eastAsia="es-ES"/>
              </w:rPr>
              <w:tab/>
              <w:t>Всего</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Cs w:val="24"/>
                <w:lang w:eastAsia="es-ES"/>
              </w:rPr>
            </w:pPr>
            <w:r>
              <w:rPr>
                <w:b/>
                <w:bCs/>
                <w:lang w:eastAsia="es-ES"/>
              </w:rPr>
              <w:t>73 065</w:t>
            </w:r>
          </w:p>
        </w:tc>
        <w:tc>
          <w:tcPr>
            <w:tcW w:w="1192"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Cs w:val="24"/>
                <w:lang w:eastAsia="es-ES"/>
              </w:rPr>
            </w:pPr>
            <w:r>
              <w:rPr>
                <w:b/>
                <w:bCs/>
                <w:lang w:eastAsia="es-ES"/>
              </w:rPr>
              <w:t>42 374</w:t>
            </w:r>
          </w:p>
        </w:tc>
        <w:tc>
          <w:tcPr>
            <w:tcW w:w="1613"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Cs w:val="24"/>
                <w:lang w:eastAsia="es-ES"/>
              </w:rPr>
            </w:pPr>
            <w:r>
              <w:rPr>
                <w:b/>
                <w:bCs/>
                <w:lang w:eastAsia="es-ES"/>
              </w:rPr>
              <w:t>30 691</w:t>
            </w:r>
          </w:p>
        </w:tc>
        <w:tc>
          <w:tcPr>
            <w:tcW w:w="110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Cs w:val="24"/>
                <w:lang w:eastAsia="es-ES"/>
              </w:rPr>
            </w:pPr>
            <w:r>
              <w:rPr>
                <w:b/>
                <w:bCs/>
                <w:lang w:eastAsia="es-ES"/>
              </w:rPr>
              <w:t>54 175</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Cs w:val="24"/>
                <w:lang w:eastAsia="es-ES"/>
              </w:rPr>
            </w:pPr>
            <w:r>
              <w:rPr>
                <w:b/>
                <w:bCs/>
                <w:lang w:eastAsia="es-ES"/>
              </w:rPr>
              <w:t>28 228</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Cs w:val="24"/>
                <w:lang w:eastAsia="es-ES"/>
              </w:rPr>
            </w:pPr>
            <w:r>
              <w:rPr>
                <w:b/>
                <w:bCs/>
                <w:lang w:eastAsia="es-ES"/>
              </w:rPr>
              <w:t>25 947</w:t>
            </w:r>
          </w:p>
        </w:tc>
      </w:tr>
    </w:tbl>
    <w:p w:rsidR="00000000" w:rsidRDefault="00000000">
      <w:pPr>
        <w:rPr>
          <w:i/>
          <w:iCs/>
          <w:lang w:eastAsia="es-ES"/>
        </w:rPr>
      </w:pPr>
    </w:p>
    <w:p w:rsidR="00000000" w:rsidRDefault="00000000">
      <w:pPr>
        <w:spacing w:line="240" w:lineRule="auto"/>
        <w:rPr>
          <w:lang w:eastAsia="es-ES"/>
        </w:rPr>
      </w:pPr>
      <w:r>
        <w:rPr>
          <w:i/>
          <w:iCs/>
          <w:lang w:eastAsia="es-ES"/>
        </w:rPr>
        <w:t>Источник</w:t>
      </w:r>
      <w:r>
        <w:rPr>
          <w:lang w:eastAsia="es-ES"/>
        </w:rPr>
        <w:t xml:space="preserve">:  </w:t>
      </w:r>
      <w:r>
        <w:rPr>
          <w:bCs/>
        </w:rPr>
        <w:t>ТСП/</w:t>
      </w:r>
      <w:r>
        <w:rPr>
          <w:szCs w:val="14"/>
        </w:rPr>
        <w:t>ГУСОП</w:t>
      </w:r>
      <w:r>
        <w:rPr>
          <w:lang w:eastAsia="es-ES"/>
        </w:rPr>
        <w:t xml:space="preserve">.  </w:t>
      </w:r>
      <w:r>
        <w:rPr>
          <w:bCs/>
        </w:rPr>
        <w:t>Постоянное обследование домохозяйств</w:t>
      </w:r>
      <w:r>
        <w:rPr>
          <w:lang w:eastAsia="es-ES"/>
        </w:rPr>
        <w:t xml:space="preserve"> 1997-1998, 2000</w:t>
      </w:r>
      <w:r>
        <w:rPr>
          <w:lang w:eastAsia="es-ES"/>
        </w:rPr>
        <w:noBreakHyphen/>
        <w:t>2001 годов.</w:t>
      </w:r>
    </w:p>
    <w:p w:rsidR="00000000" w:rsidRDefault="00000000">
      <w:pPr>
        <w:spacing w:line="240" w:lineRule="auto"/>
        <w:rPr>
          <w:lang w:eastAsia="es-ES"/>
        </w:rPr>
      </w:pPr>
    </w:p>
    <w:p w:rsidR="00000000" w:rsidRDefault="00000000">
      <w:pPr>
        <w:spacing w:line="240" w:lineRule="auto"/>
        <w:rPr>
          <w:szCs w:val="16"/>
        </w:rPr>
      </w:pPr>
      <w:r>
        <w:rPr>
          <w:lang w:eastAsia="es-ES"/>
        </w:rPr>
        <w:t>*</w:t>
      </w:r>
      <w:r>
        <w:rPr>
          <w:lang w:eastAsia="es-ES"/>
        </w:rPr>
        <w:tab/>
      </w:r>
      <w:r>
        <w:rPr>
          <w:szCs w:val="16"/>
        </w:rPr>
        <w:t>Применительно к постоянному обследованию домохозяйств 1997/98 годов данные скорректированы с учетом результатов переписи 2002 года.</w:t>
      </w:r>
    </w:p>
    <w:p w:rsidR="00000000" w:rsidRDefault="00000000">
      <w:pPr>
        <w:rPr>
          <w:szCs w:val="16"/>
        </w:rPr>
      </w:pPr>
    </w:p>
    <w:bookmarkStart w:id="127" w:name="_MON_1246266513"/>
    <w:bookmarkStart w:id="128" w:name="_MON_1246266671"/>
    <w:bookmarkStart w:id="129" w:name="_MON_1246267197"/>
    <w:bookmarkEnd w:id="127"/>
    <w:bookmarkEnd w:id="128"/>
    <w:bookmarkEnd w:id="129"/>
    <w:p w:rsidR="00000000" w:rsidRDefault="00000000">
      <w:pPr>
        <w:jc w:val="center"/>
        <w:rPr>
          <w:lang w:val="en-US"/>
        </w:rPr>
      </w:pPr>
      <w:r>
        <w:object w:dxaOrig="6763" w:dyaOrig="5070">
          <v:shape id="_x0000_i1050" type="#_x0000_t75" style="width:338.25pt;height:253.5pt" o:ole="">
            <v:imagedata r:id="rId101" o:title=""/>
          </v:shape>
          <o:OLEObject Type="Embed" ProgID="Word.Picture.8" ShapeID="_x0000_i1050" DrawAspect="Content" ObjectID="_1394904873" r:id="rId102"/>
        </w:object>
      </w:r>
    </w:p>
    <w:p w:rsidR="00000000" w:rsidRDefault="00000000">
      <w:r>
        <w:t>479.</w:t>
      </w:r>
      <w:r>
        <w:tab/>
        <w:t>Следующая таблица дает нам представление о распределении медицинских учреждений, в которых беременные женщины проходили дородовое обследование.  В масштабе страны 71,9% воспользовались услугами государственных учреждений;  18,1% - услугами частных клиник;  4,2% получили их в других заведениях;  5,8% не проходили никакого дородового контроля.</w:t>
      </w:r>
    </w:p>
    <w:p w:rsidR="00000000" w:rsidRDefault="00000000">
      <w:pPr>
        <w:tabs>
          <w:tab w:val="left" w:pos="540"/>
        </w:tabs>
      </w:pPr>
    </w:p>
    <w:p w:rsidR="00000000" w:rsidRDefault="00000000">
      <w:r>
        <w:t>480.</w:t>
      </w:r>
      <w:r>
        <w:tab/>
        <w:t>Если взять распределение по районам страны, то картина оказания дородовой помощи в государственных и частных медицинских учреждениях весьма разнится.  Так, в Большом Асунсьоне и восточном регионе бóльшая часть женщин обсуживалась в частных клиниках (25,2% и 23,8%, соответственно), в то время как в центрально-южном (83,7%) и северном (77,5%) регионах приоритет отдавался государственным учреждениям.</w:t>
      </w:r>
    </w:p>
    <w:p w:rsidR="00000000" w:rsidRDefault="00000000">
      <w:pPr>
        <w:tabs>
          <w:tab w:val="left" w:pos="540"/>
        </w:tabs>
      </w:pPr>
    </w:p>
    <w:p w:rsidR="00000000" w:rsidRDefault="00000000">
      <w:r>
        <w:t>481.</w:t>
      </w:r>
      <w:r>
        <w:tab/>
        <w:t>С точки зрения языка, на котором разговаривают в семье, большинство беременных женщин, родным языком которых является гуарани, воспользовались услугой по дородовому осмотру в государственных медицинских учреждениях (79,9%) и лишь немногие - в частных (7,2%).</w:t>
      </w:r>
    </w:p>
    <w:p w:rsidR="00000000" w:rsidRDefault="00000000">
      <w:pPr>
        <w:tabs>
          <w:tab w:val="left" w:pos="540"/>
        </w:tabs>
      </w:pPr>
    </w:p>
    <w:p w:rsidR="00000000" w:rsidRDefault="00000000">
      <w:r>
        <w:t>482.</w:t>
      </w:r>
      <w:r>
        <w:tab/>
        <w:t xml:space="preserve">Если подходить с позиции социально-экономического уровня, то лишь 6,7% женщин из бедных семей в период беременности обслуживались в частных медицинских учреждениях.  Среди же слоев населения с высоким и очень высоким доходом эти показатели равны 25,8% и 52,6%, соответственно. </w:t>
      </w:r>
    </w:p>
    <w:p w:rsidR="00000000" w:rsidRDefault="00000000">
      <w:pPr>
        <w:tabs>
          <w:tab w:val="left" w:pos="540"/>
        </w:tabs>
      </w:pPr>
    </w:p>
    <w:p w:rsidR="00000000" w:rsidRDefault="00000000">
      <w:pPr>
        <w:keepLines/>
      </w:pPr>
      <w:r>
        <w:t>483.</w:t>
      </w:r>
      <w:r>
        <w:tab/>
        <w:t>Важно подчеркнуть, что каждая десятая женщина в возрасте от 15 до 19 лет никогда не получала дородовой врачебной консультации.  Аналогичная картина наблюдается среди матерей, проживающих в северном регионе, а также среди тех, кто разговаривает в семье только на гуарани.  Наиболее удручающая ситуация отмечается среди женщин, не имеющих образования или имеющих образование в объеме двух классов начальной школы, - здесь дородовый осмотр никогда не проходила каждая шестая женщина.</w:t>
      </w:r>
    </w:p>
    <w:p w:rsidR="00000000" w:rsidRDefault="00000000">
      <w:pPr>
        <w:tabs>
          <w:tab w:val="left" w:pos="540"/>
        </w:tabs>
      </w:pPr>
    </w:p>
    <w:p w:rsidR="00000000" w:rsidRDefault="00000000">
      <w:pPr>
        <w:tabs>
          <w:tab w:val="clear" w:pos="1134"/>
          <w:tab w:val="left" w:pos="1418"/>
        </w:tabs>
        <w:rPr>
          <w:b/>
          <w:i/>
        </w:rPr>
      </w:pPr>
      <w:r>
        <w:rPr>
          <w:b/>
          <w:i/>
        </w:rPr>
        <w:tab/>
        <w:t>5.1.1</w:t>
      </w:r>
      <w:r>
        <w:rPr>
          <w:b/>
          <w:i/>
        </w:rPr>
        <w:tab/>
        <w:t>Количество дородовых консультаций</w:t>
      </w:r>
    </w:p>
    <w:p w:rsidR="00000000" w:rsidRDefault="00000000">
      <w:pPr>
        <w:tabs>
          <w:tab w:val="left" w:pos="540"/>
        </w:tabs>
      </w:pPr>
    </w:p>
    <w:p w:rsidR="00000000" w:rsidRDefault="00000000">
      <w:pPr>
        <w:rPr>
          <w:bCs/>
        </w:rPr>
      </w:pPr>
      <w:r>
        <w:t>484.</w:t>
      </w:r>
      <w:r>
        <w:tab/>
        <w:t>Документ под названием "Нормы оказания медицинской помощи в период беременности, родов, после родов и новорожденным", входящий в состав "Безопасной материнской инициативы", разработанной м</w:t>
      </w:r>
      <w:r>
        <w:rPr>
          <w:bCs/>
        </w:rPr>
        <w:t xml:space="preserve">инистерством здравоохранения и социального обеспечения, устанавливает, что число минимальных дородовых осмотров, учитывая вероятность акушерского риска, должно равняться шести.  В результате </w:t>
      </w:r>
      <w:r>
        <w:t>сравнения</w:t>
      </w:r>
      <w:r>
        <w:rPr>
          <w:bCs/>
        </w:rPr>
        <w:t xml:space="preserve"> с предыдущими обследованиями, которые давали цифру 5 и более, это количество и было взято при проведении анализа за основу оптимального количества консультаций.</w:t>
      </w:r>
    </w:p>
    <w:p w:rsidR="00000000" w:rsidRDefault="00000000">
      <w:pPr>
        <w:tabs>
          <w:tab w:val="left" w:pos="540"/>
        </w:tabs>
        <w:rPr>
          <w:bCs/>
        </w:rPr>
      </w:pPr>
    </w:p>
    <w:p w:rsidR="00000000" w:rsidRDefault="00000000">
      <w:pPr>
        <w:rPr>
          <w:bCs/>
        </w:rPr>
      </w:pPr>
      <w:r>
        <w:rPr>
          <w:bCs/>
        </w:rPr>
        <w:t>485.</w:t>
      </w:r>
      <w:r>
        <w:rPr>
          <w:bCs/>
        </w:rPr>
        <w:tab/>
        <w:t>На рисунке показано, что в общегосударственном масштабе дородовые осмотры не проходили вообще 5,8% рожениц, 1,6% делали это один раз, 12,5% консультировались у врача 2 или 3 раза, 7,5% - четыре раза.  В 71,3% родов матери были на осмотре у специалиста пять и более раз.  Оценивая процент матерей, побывавших, по итогам обследования ЕНДССР 2004 года, на консультации у врачей-специалистов 5 и более раз, можно сделать вывод, что - по сравнению с более ранним периодом (57,4%) и ЕНСМИ 1998 года (55,7%) - удалось добиться увеличения этих цифр примерно на 15%.</w:t>
      </w:r>
    </w:p>
    <w:p w:rsidR="00000000" w:rsidRDefault="00000000">
      <w:pPr>
        <w:tabs>
          <w:tab w:val="left" w:pos="540"/>
        </w:tabs>
        <w:rPr>
          <w:bCs/>
        </w:rPr>
      </w:pPr>
    </w:p>
    <w:p w:rsidR="00000000" w:rsidRDefault="00000000">
      <w:pPr>
        <w:rPr>
          <w:bCs/>
        </w:rPr>
      </w:pPr>
      <w:r>
        <w:rPr>
          <w:bCs/>
        </w:rPr>
        <w:t>486.</w:t>
      </w:r>
      <w:r>
        <w:rPr>
          <w:bCs/>
        </w:rPr>
        <w:tab/>
        <w:t>Названные показатели менее благоприятны в сельской местности, где только 58,9% беременных женщ</w:t>
      </w:r>
      <w:r>
        <w:t>и</w:t>
      </w:r>
      <w:r>
        <w:rPr>
          <w:bCs/>
        </w:rPr>
        <w:t>н прошли достаточное количество дородовых медосмотров.  Если проследить картину по регионам, то ситуация более остра на севере, где лишь 48,6% рожениц посетили врачей пять и более раз.</w:t>
      </w:r>
    </w:p>
    <w:p w:rsidR="00000000" w:rsidRDefault="00000000">
      <w:pPr>
        <w:rPr>
          <w:bCs/>
        </w:rPr>
      </w:pPr>
    </w:p>
    <w:bookmarkStart w:id="130" w:name="_MON_1234618405"/>
    <w:bookmarkStart w:id="131" w:name="_MON_1234618429"/>
    <w:bookmarkStart w:id="132" w:name="_MON_1234618651"/>
    <w:bookmarkStart w:id="133" w:name="_MON_1234618717"/>
    <w:bookmarkStart w:id="134" w:name="_MON_1234618787"/>
    <w:bookmarkStart w:id="135" w:name="_MON_1234675036"/>
    <w:bookmarkStart w:id="136" w:name="_MON_1234678001"/>
    <w:bookmarkStart w:id="137" w:name="_MON_1234696611"/>
    <w:bookmarkStart w:id="138" w:name="_MON_1234696657"/>
    <w:bookmarkStart w:id="139" w:name="_MON_1234696843"/>
    <w:bookmarkStart w:id="140" w:name="_MON_1234696921"/>
    <w:bookmarkStart w:id="141" w:name="_MON_1234696965"/>
    <w:bookmarkStart w:id="142" w:name="_MON_1234699940"/>
    <w:bookmarkStart w:id="143" w:name="_MON_1235998491"/>
    <w:bookmarkStart w:id="144" w:name="_MON_1235998665"/>
    <w:bookmarkStart w:id="145" w:name="_MON_1235999421"/>
    <w:bookmarkStart w:id="146" w:name="_MON_1235999548"/>
    <w:bookmarkStart w:id="147" w:name="_MON_1235999573"/>
    <w:bookmarkStart w:id="148" w:name="_MON_1236511106"/>
    <w:bookmarkStart w:id="149" w:name="_MON_1236511128"/>
    <w:bookmarkStart w:id="150" w:name="_MON_1246265503"/>
    <w:bookmarkStart w:id="151" w:name="_MON_1246265859"/>
    <w:bookmarkStart w:id="152" w:name="_MON_1246266087"/>
    <w:bookmarkStart w:id="153" w:name="_MON_1246266200"/>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rsidR="00000000" w:rsidRDefault="00000000">
      <w:pPr>
        <w:rPr>
          <w:bCs/>
        </w:rPr>
      </w:pPr>
      <w:r>
        <w:object w:dxaOrig="7017" w:dyaOrig="4455">
          <v:shape id="_x0000_i1051" type="#_x0000_t75" alt="" style="width:351pt;height:222.75pt" o:ole="">
            <v:imagedata r:id="rId103" o:title=""/>
          </v:shape>
          <o:OLEObject Type="Embed" ProgID="Word.Picture.8" ShapeID="_x0000_i1051" DrawAspect="Content" ObjectID="_1394904874" r:id="rId104"/>
        </w:object>
      </w:r>
    </w:p>
    <w:p w:rsidR="00000000" w:rsidRDefault="00000000">
      <w:pPr>
        <w:tabs>
          <w:tab w:val="left" w:pos="540"/>
        </w:tabs>
        <w:rPr>
          <w:bCs/>
        </w:rPr>
      </w:pPr>
    </w:p>
    <w:p w:rsidR="00000000" w:rsidRDefault="00000000">
      <w:r>
        <w:rPr>
          <w:bCs/>
        </w:rPr>
        <w:t>487.</w:t>
      </w:r>
      <w:r>
        <w:rPr>
          <w:bCs/>
        </w:rPr>
        <w:tab/>
        <w:t>Беременные ж</w:t>
      </w:r>
      <w:r>
        <w:t>енщины, не имеющие образования, а также имеющие образование в объеме двух классов начальной школы или незаконченное начальное образование, далеки от того, чтобы достичь требуемых показателей (пять и более раз) дородового посещения врачей-специалистов.  Таких женщин менее половины от общего числа, т.е. 46% и 49,8% для каждой из упомянутых групп, соответственно.  Аналогичное положение и с роженицами, которые говорят только на языке гуарани (53,2%), относятся к низкому социально-экономическому уровню (52,6%) и имеют более пяти детей (47%).</w:t>
      </w:r>
    </w:p>
    <w:p w:rsidR="00000000" w:rsidRDefault="00000000">
      <w:pPr>
        <w:tabs>
          <w:tab w:val="left" w:pos="540"/>
        </w:tabs>
      </w:pPr>
    </w:p>
    <w:p w:rsidR="00000000" w:rsidRDefault="00000000">
      <w:r>
        <w:t>488.</w:t>
      </w:r>
      <w:r>
        <w:tab/>
        <w:t>Приведенные выше нормы, установленные м</w:t>
      </w:r>
      <w:r>
        <w:rPr>
          <w:bCs/>
        </w:rPr>
        <w:t>инистерством здравоохранения и социального обеспечения, также определяют:  чтобы дородовый осмотр был действительно эффективным, первая консультация должна состояться в первые три месяца беременности, т.е. до истечения 12 недель после зачатия.  Общенациональные данные свидетельствуют, что на приеме у специалиста в первые три месяца были лишь 68,6% беременных женщин, четвертая часть (25,3%) - во втором либо третьем триместре, а 5,8% вообще не обследовались.  Позднее обращение к врачу (во втором или третьем триместре) более характерно для сельских районов (30,9%) и северного региона (34,8%), а также среди менее образованных женщин (34,4% - для женщин без образования и с образованием в объеме двух классов), женщин с низким социально-экономическим уровнем жизни (34,4%), обычно говорящих на гуарани (33,5%) и имеющих много детей.</w:t>
      </w:r>
    </w:p>
    <w:p w:rsidR="00000000" w:rsidRDefault="00000000">
      <w:pPr>
        <w:rPr>
          <w:bCs/>
          <w:lang w:val="en-US"/>
        </w:rPr>
      </w:pPr>
    </w:p>
    <w:bookmarkStart w:id="154" w:name="_MON_1234681207"/>
    <w:bookmarkStart w:id="155" w:name="_MON_1234681232"/>
    <w:bookmarkStart w:id="156" w:name="_MON_1234681578"/>
    <w:bookmarkStart w:id="157" w:name="_MON_1234681634"/>
    <w:bookmarkStart w:id="158" w:name="_MON_1234681657"/>
    <w:bookmarkStart w:id="159" w:name="_MON_1234681680"/>
    <w:bookmarkStart w:id="160" w:name="_MON_1234694476"/>
    <w:bookmarkStart w:id="161" w:name="_MON_1234696012"/>
    <w:bookmarkStart w:id="162" w:name="_MON_1234696221"/>
    <w:bookmarkStart w:id="163" w:name="_MON_1234699997"/>
    <w:bookmarkStart w:id="164" w:name="_MON_1234703181"/>
    <w:bookmarkStart w:id="165" w:name="_MON_1235999688"/>
    <w:bookmarkStart w:id="166" w:name="_MON_1235999847"/>
    <w:bookmarkStart w:id="167" w:name="_MON_1236000189"/>
    <w:bookmarkStart w:id="168" w:name="_MON_1236067865"/>
    <w:bookmarkStart w:id="169" w:name="_MON_1236074064"/>
    <w:bookmarkStart w:id="170" w:name="_MON_1236511221"/>
    <w:bookmarkStart w:id="171" w:name="_MON_1236511281"/>
    <w:bookmarkStart w:id="172" w:name="_MON_1236511408"/>
    <w:bookmarkStart w:id="173" w:name="_MON_1236511437"/>
    <w:bookmarkStart w:id="174" w:name="_MON_1236511498"/>
    <w:bookmarkStart w:id="175" w:name="_MON_1236511529"/>
    <w:bookmarkStart w:id="176" w:name="_MON_1236511544"/>
    <w:bookmarkStart w:id="177" w:name="_MON_1244659984"/>
    <w:bookmarkStart w:id="178" w:name="_MON_1244660100"/>
    <w:bookmarkStart w:id="179" w:name="_MON_1246272372"/>
    <w:bookmarkStart w:id="180" w:name="_MON_1246276047"/>
    <w:bookmarkStart w:id="181" w:name="_MON_1246276101"/>
    <w:bookmarkStart w:id="182" w:name="_MON_1246276502"/>
    <w:bookmarkStart w:id="183" w:name="_MON_1246276579"/>
    <w:bookmarkStart w:id="184" w:name="_MON_1246276702"/>
    <w:bookmarkStart w:id="185" w:name="_MON_1246276842"/>
    <w:bookmarkStart w:id="186" w:name="_MON_1246276870"/>
    <w:bookmarkStart w:id="187" w:name="_MON_1246277114"/>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rsidR="00000000" w:rsidRDefault="00000000">
      <w:pPr>
        <w:rPr>
          <w:bCs/>
        </w:rPr>
      </w:pPr>
      <w:r>
        <w:object w:dxaOrig="6799" w:dyaOrig="5426">
          <v:shape id="_x0000_i1052" type="#_x0000_t75" alt="" style="width:339.75pt;height:271.5pt" o:ole="">
            <v:imagedata r:id="rId105" o:title=""/>
          </v:shape>
          <o:OLEObject Type="Embed" ProgID="Word.Picture.8" ShapeID="_x0000_i1052" DrawAspect="Content" ObjectID="_1394904875" r:id="rId106"/>
        </w:object>
      </w:r>
    </w:p>
    <w:p w:rsidR="00000000" w:rsidRDefault="00000000">
      <w:pPr>
        <w:rPr>
          <w:bCs/>
        </w:rPr>
      </w:pPr>
    </w:p>
    <w:p w:rsidR="00000000" w:rsidRDefault="00000000">
      <w:pPr>
        <w:rPr>
          <w:b/>
          <w:bCs/>
          <w:i/>
        </w:rPr>
      </w:pPr>
      <w:r>
        <w:rPr>
          <w:b/>
          <w:bCs/>
          <w:i/>
        </w:rPr>
        <w:tab/>
        <w:t>5.1.2</w:t>
      </w:r>
      <w:r>
        <w:rPr>
          <w:b/>
          <w:bCs/>
          <w:i/>
        </w:rPr>
        <w:tab/>
        <w:t>Противостолбнячная вакцинация в период беременности</w:t>
      </w:r>
    </w:p>
    <w:p w:rsidR="00000000" w:rsidRDefault="00000000">
      <w:pPr>
        <w:tabs>
          <w:tab w:val="left" w:pos="540"/>
        </w:tabs>
        <w:rPr>
          <w:bCs/>
        </w:rPr>
      </w:pPr>
    </w:p>
    <w:p w:rsidR="00000000" w:rsidRDefault="00000000">
      <w:r>
        <w:t>489.</w:t>
      </w:r>
      <w:r>
        <w:tab/>
        <w:t xml:space="preserve">В период с марта 1999 года по февраль 2004 года каждую роженицу опрашивали, вводили ли ей противостолбнячную сыворотку в период беременности;  поэтому приводимая ниже информация основана на их ответах.  В масштабе страны, по данным </w:t>
      </w:r>
      <w:r>
        <w:rPr>
          <w:bCs/>
        </w:rPr>
        <w:t>обследования ЕНДССР 2004 года</w:t>
      </w:r>
      <w:r>
        <w:t>, охват беременных женщин п</w:t>
      </w:r>
      <w:r>
        <w:rPr>
          <w:bCs/>
        </w:rPr>
        <w:t>ротивостолбнячной вакцинацией в названный период составил 93,6%, что на три процента превышает показатели, зарегистрированные в ходе ЕНДСР 19</w:t>
      </w:r>
      <w:r>
        <w:t>95/96 годов.</w:t>
      </w:r>
    </w:p>
    <w:p w:rsidR="00000000" w:rsidRDefault="00000000">
      <w:pPr>
        <w:tabs>
          <w:tab w:val="left" w:pos="540"/>
        </w:tabs>
      </w:pPr>
    </w:p>
    <w:p w:rsidR="00000000" w:rsidRDefault="00000000">
      <w:r>
        <w:t>490.</w:t>
      </w:r>
      <w:r>
        <w:tab/>
        <w:t xml:space="preserve">Такие цифры более характерны для беременных женщин, проживающих в городских районах, Большом Асунсьоне и центрально-южном регионе, где достигнут уровень в 95,1%.  По данным </w:t>
      </w:r>
      <w:r>
        <w:rPr>
          <w:bCs/>
        </w:rPr>
        <w:t>ЕНДССР 2004 года</w:t>
      </w:r>
      <w:r>
        <w:t>, среди матерей, говорящих только на гуарани, показатель п</w:t>
      </w:r>
      <w:r>
        <w:rPr>
          <w:bCs/>
        </w:rPr>
        <w:t>ротивостолбнячной вакцинации</w:t>
      </w:r>
      <w:r>
        <w:t xml:space="preserve"> в упомянутый период несколько ниже - он равен 90,6%.  Тем не менее в рамках </w:t>
      </w:r>
      <w:r>
        <w:rPr>
          <w:bCs/>
        </w:rPr>
        <w:t xml:space="preserve">ЕНДСР </w:t>
      </w:r>
      <w:r>
        <w:t>1995/96 годов наименьший процент беременных женщин, которым была введена противостолбнячная сыворотка, отмечен среди женщин, говорящих на языке, отличном от испанского или гуарани (77,6%).</w:t>
      </w:r>
    </w:p>
    <w:p w:rsidR="00000000" w:rsidRDefault="00000000">
      <w:pPr>
        <w:tabs>
          <w:tab w:val="left" w:pos="540"/>
        </w:tabs>
      </w:pPr>
    </w:p>
    <w:p w:rsidR="00000000" w:rsidRDefault="00000000">
      <w:pPr>
        <w:rPr>
          <w:b/>
          <w:i/>
        </w:rPr>
      </w:pPr>
      <w:r>
        <w:rPr>
          <w:b/>
          <w:i/>
        </w:rPr>
        <w:tab/>
        <w:t>5.1.3</w:t>
      </w:r>
      <w:r>
        <w:rPr>
          <w:b/>
          <w:i/>
        </w:rPr>
        <w:tab/>
        <w:t xml:space="preserve"> Вид медицинского учреждения и врачебной помощи при родах</w:t>
      </w:r>
    </w:p>
    <w:p w:rsidR="00000000" w:rsidRDefault="00000000">
      <w:pPr>
        <w:tabs>
          <w:tab w:val="left" w:pos="540"/>
        </w:tabs>
      </w:pPr>
    </w:p>
    <w:p w:rsidR="00000000" w:rsidRDefault="00000000">
      <w:r>
        <w:t>491.</w:t>
      </w:r>
      <w:r>
        <w:tab/>
        <w:t>Процент родов, принятых в медицинских учреждениях, в Парагвае еще невысок, хотя и наметилась тенденция к росту:  с 56,3% в 1998 году до 74,1% в 2004 году.  С точки зрения статистики эта разница весьма существенна, причем вероятность достоверности находится на уровне 95%.  Положение с количеством родов, принятых в медицинских учреждениях в регионах, представлено на диаграмме и показывает достаточно большой разброс:  от 92% в Большом Асунсьоне до 59,9% в северном регионе.</w:t>
      </w:r>
    </w:p>
    <w:p w:rsidR="00000000" w:rsidRDefault="00000000">
      <w:pPr>
        <w:tabs>
          <w:tab w:val="left" w:pos="540"/>
        </w:tabs>
      </w:pPr>
    </w:p>
    <w:p w:rsidR="00000000" w:rsidRDefault="00000000">
      <w:r>
        <w:t>492.</w:t>
      </w:r>
      <w:r>
        <w:tab/>
        <w:t xml:space="preserve">По принадлежности медицинского учреждения роды распределились следующим образом:  45,1% - в учреждениях министерства здравоохранения;  16% - в частных клиниках и больницах;  7% - в учреждениях </w:t>
      </w:r>
      <w:r>
        <w:rPr>
          <w:bCs/>
          <w:iCs/>
        </w:rPr>
        <w:t>Института социального обеспечения</w:t>
      </w:r>
      <w:r>
        <w:t>;  5,9% - в других учреждениях (например, учреждения Красного Креста, Госпиталь матери и ребенка Факультета медицинских наук, военные или полицейские медсанчасти).</w:t>
      </w:r>
    </w:p>
    <w:p w:rsidR="00000000" w:rsidRDefault="00000000">
      <w:pPr>
        <w:tabs>
          <w:tab w:val="left" w:pos="540"/>
        </w:tabs>
      </w:pPr>
    </w:p>
    <w:p w:rsidR="00000000" w:rsidRDefault="00000000">
      <w:pPr>
        <w:rPr>
          <w:b/>
          <w:i/>
        </w:rPr>
      </w:pPr>
      <w:r>
        <w:rPr>
          <w:b/>
          <w:i/>
        </w:rPr>
        <w:tab/>
        <w:t>5.1.4</w:t>
      </w:r>
      <w:r>
        <w:rPr>
          <w:b/>
          <w:i/>
        </w:rPr>
        <w:tab/>
        <w:t xml:space="preserve"> Роды в условиях медицинского учреждения</w:t>
      </w:r>
    </w:p>
    <w:p w:rsidR="00000000" w:rsidRDefault="00000000">
      <w:pPr>
        <w:tabs>
          <w:tab w:val="left" w:pos="540"/>
        </w:tabs>
      </w:pPr>
    </w:p>
    <w:p w:rsidR="00000000" w:rsidRDefault="00000000">
      <w:r>
        <w:t>493.</w:t>
      </w:r>
      <w:r>
        <w:tab/>
        <w:t>В масштабе страны 58,1% родов были приняты в государственных медицинских учреждениях и 16% - в частных, т.е., как уже отмечалось выше, в целом почти три четверти родов (74,1%) приходятся на медицинские учреждения.  Этот показатель наиболее характерен для городских районов (84,9%), Большого Асунсьона (92%), а также для женщин со средним и высшим образованием (94,3%), говорящих на испанском языке (91,3%) и рожающих впервые (83,1%).</w:t>
      </w:r>
    </w:p>
    <w:p w:rsidR="00000000" w:rsidRDefault="00000000">
      <w:pPr>
        <w:tabs>
          <w:tab w:val="left" w:pos="540"/>
        </w:tabs>
      </w:pPr>
    </w:p>
    <w:p w:rsidR="00000000" w:rsidRDefault="00000000">
      <w:pPr>
        <w:rPr>
          <w:b/>
          <w:i/>
        </w:rPr>
      </w:pPr>
      <w:r>
        <w:rPr>
          <w:b/>
          <w:i/>
        </w:rPr>
        <w:tab/>
        <w:t xml:space="preserve">5.1.5  </w:t>
      </w:r>
      <w:r>
        <w:rPr>
          <w:b/>
          <w:bCs/>
          <w:i/>
          <w:iCs/>
        </w:rPr>
        <w:t>Роды</w:t>
      </w:r>
      <w:r>
        <w:rPr>
          <w:b/>
          <w:i/>
        </w:rPr>
        <w:t xml:space="preserve"> в домашних условиях</w:t>
      </w:r>
    </w:p>
    <w:p w:rsidR="00000000" w:rsidRDefault="00000000">
      <w:pPr>
        <w:tabs>
          <w:tab w:val="left" w:pos="540"/>
        </w:tabs>
      </w:pPr>
    </w:p>
    <w:p w:rsidR="00000000" w:rsidRDefault="00000000">
      <w:r>
        <w:t>494.</w:t>
      </w:r>
      <w:r>
        <w:tab/>
        <w:t>21,3% родов произошли в домашних условиях:  с помощью профессиональных акушеров (3,1%), повивальных бабок (15,8%), родственников (1,9%) и без всякой помощи (0,5%).  Роды в домашних условиях с помощью повивальных бабок более часты в сельской местности (25,4%), в северном регионе (27,6%), среди женщин с низким образованием (33,5%) и невысоким социально-экономическим уровнем (28,8%).  Следует подчеркнуть, что 5,9% женщин, не имеющих образования или имеющих образование в объеме двух классов начальной школы, родили детей без надлежащей медицинской помощи, т.е. без участия квалифицированного специалиста, при этом 1,1% рожали без помощи кого-либо, а 4,8% - с помощью родственников.</w:t>
      </w:r>
    </w:p>
    <w:p w:rsidR="00000000" w:rsidRDefault="00000000">
      <w:pPr>
        <w:tabs>
          <w:tab w:val="left" w:pos="540"/>
        </w:tabs>
      </w:pPr>
    </w:p>
    <w:p w:rsidR="00000000" w:rsidRDefault="00000000">
      <w:pPr>
        <w:rPr>
          <w:b/>
          <w:i/>
        </w:rPr>
      </w:pPr>
      <w:r>
        <w:rPr>
          <w:b/>
          <w:i/>
        </w:rPr>
        <w:tab/>
        <w:t>5.1.6  Профессиональная помощь при родах</w:t>
      </w:r>
    </w:p>
    <w:p w:rsidR="00000000" w:rsidRDefault="00000000">
      <w:pPr>
        <w:tabs>
          <w:tab w:val="left" w:pos="540"/>
        </w:tabs>
      </w:pPr>
    </w:p>
    <w:p w:rsidR="00000000" w:rsidRDefault="00000000">
      <w:r>
        <w:t>495.</w:t>
      </w:r>
      <w:r>
        <w:tab/>
        <w:t>Профессиональная помощь при родах в 63,2% случаев оказывается квалифицированными врачами, в 32,9% случаев - дипломированными акушерами и в 3,4% случаев - медсестрами.  В городских условиях примерно семь из каждых десяти родов, произошедших в медицинских учреждениях, принимали врачи.  В сельской же местности этот показатель составляет пять родов из десяти.  К помощи акушерки прибегают, как правило, в деревнях (40,8%) и в таких специфических регионах, как северный (46,4%) и центрально-южный (37,15%).  Как явствует из диаграммы, процент участия врачей в родах повышается, когда матери имеют более высокий уровень образования и относятся к более высокому социально-экономическому классу.</w:t>
      </w:r>
    </w:p>
    <w:p w:rsidR="00000000" w:rsidRDefault="00000000">
      <w:pPr>
        <w:tabs>
          <w:tab w:val="left" w:pos="540"/>
        </w:tabs>
      </w:pPr>
    </w:p>
    <w:p w:rsidR="00000000" w:rsidRDefault="00000000">
      <w:r>
        <w:t>496.</w:t>
      </w:r>
      <w:r>
        <w:tab/>
        <w:t>Результаты EНДССР 2004 года показывают, что 26,9% всех родоразрешений произошли кесаревым сечением, что означает рост на 63% по сравнению с 1998 годом, когда они составляли 16,5%.  Учитывая, что 74,1% родов были приняты в медицинских учреждениях, а также то, что все операции кесарева сечения осуществляются только в медицинских стационарах, доля родов методом кесарева сечения в медицинских учреждениях достигает 36,3%.  В период с марта 1999 года по февраль 2004 года процент новорожденных, оставшихся в живых после родов с операцией кесарева сечения, более высок в городах (35,9%), чем в сельских районах (15,6%), т.е. разница составляет примерно 20%.  Самая высокая доля родоразрешений кесаревым сечением среди всех родов приходится на Большой Асунсьон (40,7%), самая низкая - на северный регион (12%).</w:t>
      </w:r>
    </w:p>
    <w:p w:rsidR="00000000" w:rsidRDefault="00000000">
      <w:pPr>
        <w:tabs>
          <w:tab w:val="left" w:pos="540"/>
        </w:tabs>
      </w:pPr>
    </w:p>
    <w:p w:rsidR="00000000" w:rsidRDefault="00000000">
      <w:pPr>
        <w:rPr>
          <w:b/>
          <w:i/>
        </w:rPr>
      </w:pPr>
      <w:r>
        <w:rPr>
          <w:b/>
          <w:i/>
        </w:rPr>
        <w:tab/>
        <w:t>5.1.7</w:t>
      </w:r>
      <w:r>
        <w:rPr>
          <w:b/>
          <w:i/>
        </w:rPr>
        <w:tab/>
        <w:t xml:space="preserve"> Уровень образования, социально-экономический уровень и язык</w:t>
      </w:r>
    </w:p>
    <w:p w:rsidR="00000000" w:rsidRDefault="00000000">
      <w:pPr>
        <w:tabs>
          <w:tab w:val="left" w:pos="540"/>
        </w:tabs>
      </w:pPr>
    </w:p>
    <w:p w:rsidR="00000000" w:rsidRDefault="00000000">
      <w:r>
        <w:t>497.</w:t>
      </w:r>
      <w:r>
        <w:tab/>
        <w:t>Доля родов с операцией кесарева сечения среди всех родов увеличивается по мере возрастания уровня образования женщин:  от 12,1% среди женщин без образования или с образованием в объеме двух классов до 53,4% среди женщин с образованием 12 классов и выше.  Для матерей, говорящих дома только на гуарани, характерен более низкий процент родов с применением кесарева сечения (12,9%) по сравнению с теми, кто говорит только по-испански (43,5%).</w:t>
      </w:r>
    </w:p>
    <w:p w:rsidR="00000000" w:rsidRDefault="00000000">
      <w:pPr>
        <w:tabs>
          <w:tab w:val="left" w:pos="540"/>
        </w:tabs>
      </w:pPr>
    </w:p>
    <w:p w:rsidR="00000000" w:rsidRDefault="00000000">
      <w:r>
        <w:t>498.</w:t>
      </w:r>
      <w:r>
        <w:tab/>
        <w:t>Относительно экономических условий нужно отметить, что доля родов с операцией кесарева сечения возрастает по мере повышения социально-экономического уровня:  от 11,9% при низком до 52,6% при высоком.</w:t>
      </w:r>
    </w:p>
    <w:p w:rsidR="00000000" w:rsidRDefault="00000000">
      <w:pPr>
        <w:tabs>
          <w:tab w:val="left" w:pos="540"/>
        </w:tabs>
      </w:pPr>
    </w:p>
    <w:p w:rsidR="00000000" w:rsidRDefault="00000000">
      <w:r>
        <w:t>499.</w:t>
      </w:r>
      <w:r>
        <w:tab/>
        <w:t xml:space="preserve">Следует сказать, что Панамериканская организация здравоохранения (ПАОЗ) в своем Плане региональных действий по сокращению материнской смертности в странах Латинской Америки, опубликованном в </w:t>
      </w:r>
      <w:r>
        <w:rPr>
          <w:i/>
          <w:iCs/>
        </w:rPr>
        <w:t>Бюллетене ПАОЗ</w:t>
      </w:r>
      <w:r>
        <w:t xml:space="preserve"> (№ 5, том 110), преследует цель "сократить число операцией кесарева сечения по крайней мере до 15% от общего количества родов".</w:t>
      </w:r>
    </w:p>
    <w:p w:rsidR="00000000" w:rsidRDefault="00000000">
      <w:pPr>
        <w:tabs>
          <w:tab w:val="left" w:pos="540"/>
        </w:tabs>
      </w:pPr>
    </w:p>
    <w:p w:rsidR="00000000" w:rsidRDefault="00000000">
      <w:pPr>
        <w:rPr>
          <w:b/>
          <w:i/>
        </w:rPr>
      </w:pPr>
      <w:r>
        <w:rPr>
          <w:b/>
          <w:i/>
        </w:rPr>
        <w:tab/>
        <w:t>5.1.8</w:t>
      </w:r>
      <w:r>
        <w:rPr>
          <w:b/>
          <w:i/>
        </w:rPr>
        <w:tab/>
        <w:t xml:space="preserve"> Послеродовое медицинское обслуживание матери</w:t>
      </w:r>
    </w:p>
    <w:p w:rsidR="00000000" w:rsidRDefault="00000000">
      <w:pPr>
        <w:tabs>
          <w:tab w:val="left" w:pos="540"/>
        </w:tabs>
      </w:pPr>
    </w:p>
    <w:p w:rsidR="00000000" w:rsidRDefault="00000000">
      <w:r>
        <w:t>500.</w:t>
      </w:r>
      <w:r>
        <w:tab/>
        <w:t>Послеродовой медицинский контроль имеет жизненно важное значение для репродуктивного здоровья женщины, ибо позволяет выявить то или иное специфическое заболевание, вызванное условиями протекания родов, и обеспечить его своевременное лечение.  Во всех случаях он особенно ценен в первые две недели после родов и в период лактации, поскольку позволяет предложить наиболее адекватные меры семейного планирования в соответствии с желаниями и потребностями заинтересованных лиц.</w:t>
      </w:r>
    </w:p>
    <w:p w:rsidR="00000000" w:rsidRDefault="00000000">
      <w:pPr>
        <w:tabs>
          <w:tab w:val="left" w:pos="540"/>
        </w:tabs>
      </w:pPr>
    </w:p>
    <w:p w:rsidR="00000000" w:rsidRDefault="00000000">
      <w:r>
        <w:t>501.</w:t>
      </w:r>
      <w:r>
        <w:tab/>
        <w:t>Чтобы проанализировать послеродовое обслуживание рожениц, среди всех детей, которые появились на свет за пять лет, предшествовавших проведению обследования, были произвольно отобраны мальчики (девочки), родившиеся живыми в период с марта 1999 года по февраль 2004 года.  В целом, 68,5% родов сопровождались послеродовым осмотром матерей, из них 77,6% - в городах и 57,3% - в сельских районах.  Послеродовое обслуживание рожениц более характерно для женщин, рожавших в медицинских учреждениях (78,7%), нежели для тех, кто рожал в домашних условиях (31,7%).</w:t>
      </w:r>
    </w:p>
    <w:p w:rsidR="00000000" w:rsidRDefault="00000000">
      <w:pPr>
        <w:tabs>
          <w:tab w:val="left" w:pos="540"/>
        </w:tabs>
      </w:pPr>
    </w:p>
    <w:p w:rsidR="00000000" w:rsidRDefault="00000000">
      <w:r>
        <w:t>502.</w:t>
      </w:r>
      <w:r>
        <w:tab/>
        <w:t>Среди женщин, проходивших послеродовой медицинский контроль, 21,5% обслуживались в частных лечебных заведениях.  Этот процент возрастает с повышением образовательного уровня:  от 6,9% среди женщин без образования или с образованием не более 5 классов до 43,2% среди имеющих образование в объеме 1 классов и выше.  72,8% женщин состояли на гинекологическом учете в государственных медицинских учреждениях, а 5,7% консультировались с повивальной бабкой или еще с кем-нибудь.</w:t>
      </w:r>
    </w:p>
    <w:p w:rsidR="00000000" w:rsidRDefault="00000000">
      <w:pPr>
        <w:tabs>
          <w:tab w:val="left" w:pos="540"/>
        </w:tabs>
      </w:pPr>
    </w:p>
    <w:p w:rsidR="00000000" w:rsidRDefault="00000000">
      <w:r>
        <w:t>503.</w:t>
      </w:r>
      <w:r>
        <w:tab/>
        <w:t>Что касается периода послеродового контроля, то 9,4% осмотров проводились в первую неделю после рождения ребенка;  62,1% - приходились на две недели, следующие за родами;  17,2% - продолжались в течение месяца после родов.  У женщин, рожавших в медицинских учреждениях, послеродовой контроль начинался раньше по сравнению с теми, роды у которых проходили в домашних условиях.  У примерно 90% женщин, рожавших в медицинских учреждениях, послеродовое медицинское наблюдение длилось в течение месяца после родов.  Для женщин, роды у которых прошли на дому, этот показатель равен 79,4%.</w:t>
      </w:r>
    </w:p>
    <w:p w:rsidR="00000000" w:rsidRDefault="00000000">
      <w:pPr>
        <w:tabs>
          <w:tab w:val="left" w:pos="540"/>
        </w:tabs>
      </w:pPr>
    </w:p>
    <w:p w:rsidR="00000000" w:rsidRDefault="00000000">
      <w:pPr>
        <w:rPr>
          <w:b/>
        </w:rPr>
      </w:pPr>
      <w:r>
        <w:rPr>
          <w:b/>
        </w:rPr>
        <w:tab/>
        <w:t>5.2</w:t>
      </w:r>
      <w:r>
        <w:rPr>
          <w:b/>
        </w:rPr>
        <w:tab/>
        <w:t>Материнская смертность</w:t>
      </w:r>
    </w:p>
    <w:p w:rsidR="00000000" w:rsidRDefault="00000000">
      <w:pPr>
        <w:tabs>
          <w:tab w:val="left" w:pos="540"/>
        </w:tabs>
      </w:pPr>
    </w:p>
    <w:p w:rsidR="00000000" w:rsidRDefault="00000000">
      <w:pPr>
        <w:rPr>
          <w:bCs/>
        </w:rPr>
      </w:pPr>
      <w:r>
        <w:t>504.</w:t>
      </w:r>
      <w:r>
        <w:tab/>
        <w:t>Материнская смертность, официально зарегистрированная м</w:t>
      </w:r>
      <w:r>
        <w:rPr>
          <w:bCs/>
        </w:rPr>
        <w:t>инистерством здравоохранения и социального обеспечения, составляет 155 женщин на 100 000 живорождений с колебанием ± 20.  В 2003 году этот показатель составлял 174 женщины на 100 000 живорожденных детей.</w:t>
      </w:r>
    </w:p>
    <w:p w:rsidR="00000000" w:rsidRDefault="00000000">
      <w:pPr>
        <w:tabs>
          <w:tab w:val="left" w:pos="540"/>
        </w:tabs>
        <w:rPr>
          <w:bCs/>
        </w:rPr>
      </w:pPr>
    </w:p>
    <w:p w:rsidR="00000000" w:rsidRDefault="00000000">
      <w:pPr>
        <w:keepLines/>
        <w:rPr>
          <w:bCs/>
        </w:rPr>
      </w:pPr>
      <w:r>
        <w:rPr>
          <w:bCs/>
        </w:rPr>
        <w:t>505.</w:t>
      </w:r>
      <w:r>
        <w:rPr>
          <w:bCs/>
        </w:rPr>
        <w:tab/>
        <w:t>В настоящее время м</w:t>
      </w:r>
      <w:r>
        <w:t>атеринская смертность в Парагвае считается умеренной.  Данные м</w:t>
      </w:r>
      <w:r>
        <w:rPr>
          <w:bCs/>
        </w:rPr>
        <w:t>инистерства здравоохранения и социального обеспечения показывают, что в последние десять лет высокий процент смертности постепенно снижался, хотя ежегодные показатели значительно разнятся.  Три-четыре года назад - благодаря стараниям Национальной комиссии по наблюдению за материнским здоровьем и смертностью - начали регистрироваться случаи смерти матерей при родах.  Усилия в этой области подкреплялись действиями министерства здравоохранения, которое начало более глубоко изучать данную проблематику.  Следует иметь в виду, что процент материнской смертности может вырасти по мере совершенствования системы регистрации и учета свидетельств о смерти рожениц.</w:t>
      </w:r>
    </w:p>
    <w:p w:rsidR="00000000" w:rsidRDefault="00000000">
      <w:pPr>
        <w:tabs>
          <w:tab w:val="left" w:pos="540"/>
        </w:tabs>
        <w:rPr>
          <w:bCs/>
        </w:rPr>
      </w:pPr>
    </w:p>
    <w:p w:rsidR="00000000" w:rsidRDefault="00000000">
      <w:r>
        <w:rPr>
          <w:bCs/>
        </w:rPr>
        <w:t>506.</w:t>
      </w:r>
      <w:r>
        <w:rPr>
          <w:bCs/>
        </w:rPr>
        <w:tab/>
        <w:t>Причины, обусловливающие м</w:t>
      </w:r>
      <w:r>
        <w:t>атеринскую смертность в Парагвае, главным образом следующие:  бедность;  необразованность;  отсутствие достойного жилья;  высокий уровень рождаемости за 20 лет, предшествовавших составлению настоящего доклада;  плохое семейное планирование, которое не может привиться из-за низкого уровня образованности;  желание женщин иметь много детей в стремлении обеспечить себе будущее благосостояние;  трудности с доступом к медицинским услугам, поскольку в условиях раздробленной системы здравоохранения они недоступны населению и, следовательно, надлежащая медицинская помощь матери и ребенку не оказывается;  а также игнорирование репродуктивных прав как следствие низкого уровня образованности мужчин и женщин.</w:t>
      </w:r>
    </w:p>
    <w:p w:rsidR="00000000" w:rsidRDefault="00000000">
      <w:pPr>
        <w:tabs>
          <w:tab w:val="left" w:pos="540"/>
        </w:tabs>
      </w:pPr>
    </w:p>
    <w:p w:rsidR="00000000" w:rsidRDefault="00000000">
      <w:r>
        <w:t>507.</w:t>
      </w:r>
      <w:r>
        <w:tab/>
        <w:t>С целью улучшить эту ситуацию в рамках Проекта по мониторингу сексуального и репродуктивного здоровья, реализуемого Секретариатом по делам женщин при поддержке ЮНФПА, были подготовлены 1 200 исследователей (мужчин и женщин) в области сексуального и репродуктивного здоровья, которые образовали национальную сеть, охватывающую все департаменты страны.  Кроме того, в рамках этого проекта по вопросам изучения сексуального и репродуктивного здоровья были подготовлены 68 женщин - выходцев из сельской местности и индейских племен в 3 департаментах страны.</w:t>
      </w:r>
    </w:p>
    <w:p w:rsidR="00000000" w:rsidRDefault="00000000">
      <w:pPr>
        <w:tabs>
          <w:tab w:val="left" w:pos="540"/>
        </w:tabs>
      </w:pPr>
    </w:p>
    <w:p w:rsidR="00000000" w:rsidRDefault="00000000">
      <w:r>
        <w:t>508.</w:t>
      </w:r>
      <w:r>
        <w:tab/>
        <w:t>Секретариат по делам женщин в рамках кампании "Равные во всем" распространил просветительские материалы, направленные на сокращение материнской смертности посредством информирования об опасных симптомах и пропаганды дородового контроля, а также на профилактику заболеваний, передаваемых половым путем.  В ходе этой кампании были также организованы уличные представления, главной темой которых было предотвращение семейного насилия и распространения заболеваний, передаваемых половым путем, в том числе ВИЧ/СПИДа.</w:t>
      </w:r>
    </w:p>
    <w:p w:rsidR="00000000" w:rsidRDefault="00000000"/>
    <w:p w:rsidR="00000000" w:rsidRDefault="00000000">
      <w:pPr>
        <w:jc w:val="center"/>
        <w:rPr>
          <w:b/>
          <w:bCs/>
        </w:rPr>
      </w:pPr>
      <w:r>
        <w:rPr>
          <w:b/>
          <w:bCs/>
        </w:rPr>
        <w:t>Динамика показателя материнской смертности, 1996-2003 годы</w:t>
      </w:r>
    </w:p>
    <w:p w:rsidR="00000000" w:rsidRDefault="00000000">
      <w:pPr>
        <w:rPr>
          <w:b/>
          <w:bCs/>
        </w:rPr>
      </w:pPr>
    </w:p>
    <w:tbl>
      <w:tblPr>
        <w:tblW w:w="50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27"/>
        <w:gridCol w:w="480"/>
        <w:gridCol w:w="493"/>
        <w:gridCol w:w="451"/>
        <w:gridCol w:w="510"/>
        <w:gridCol w:w="425"/>
        <w:gridCol w:w="468"/>
        <w:gridCol w:w="466"/>
        <w:gridCol w:w="468"/>
        <w:gridCol w:w="466"/>
        <w:gridCol w:w="468"/>
        <w:gridCol w:w="466"/>
        <w:gridCol w:w="468"/>
        <w:gridCol w:w="466"/>
        <w:gridCol w:w="468"/>
        <w:gridCol w:w="466"/>
        <w:gridCol w:w="446"/>
      </w:tblGrid>
      <w:tr w:rsidR="00000000">
        <w:tblPrEx>
          <w:tblCellMar>
            <w:top w:w="0" w:type="dxa"/>
            <w:bottom w:w="0" w:type="dxa"/>
          </w:tblCellMar>
        </w:tblPrEx>
        <w:trPr>
          <w:cantSplit/>
        </w:trPr>
        <w:tc>
          <w:tcPr>
            <w:tcW w:w="1024" w:type="pct"/>
            <w:vMerge w:val="restart"/>
            <w:vAlign w:val="center"/>
          </w:tcPr>
          <w:p w:rsidR="00000000" w:rsidRDefault="00000000">
            <w:pPr>
              <w:autoSpaceDE w:val="0"/>
              <w:autoSpaceDN w:val="0"/>
              <w:adjustRightInd w:val="0"/>
              <w:jc w:val="center"/>
              <w:rPr>
                <w:b/>
                <w:bCs/>
                <w:sz w:val="14"/>
              </w:rPr>
            </w:pPr>
            <w:r>
              <w:rPr>
                <w:b/>
                <w:bCs/>
                <w:sz w:val="14"/>
              </w:rPr>
              <w:t>Причины</w:t>
            </w:r>
          </w:p>
        </w:tc>
        <w:tc>
          <w:tcPr>
            <w:tcW w:w="517" w:type="pct"/>
            <w:gridSpan w:val="2"/>
            <w:vAlign w:val="center"/>
          </w:tcPr>
          <w:p w:rsidR="00000000" w:rsidRDefault="00000000">
            <w:pPr>
              <w:autoSpaceDE w:val="0"/>
              <w:autoSpaceDN w:val="0"/>
              <w:adjustRightInd w:val="0"/>
              <w:jc w:val="center"/>
              <w:rPr>
                <w:b/>
                <w:bCs/>
                <w:sz w:val="14"/>
              </w:rPr>
            </w:pPr>
            <w:r>
              <w:rPr>
                <w:b/>
                <w:bCs/>
                <w:sz w:val="14"/>
              </w:rPr>
              <w:t>1996 год</w:t>
            </w:r>
          </w:p>
        </w:tc>
        <w:tc>
          <w:tcPr>
            <w:tcW w:w="511" w:type="pct"/>
            <w:gridSpan w:val="2"/>
            <w:vAlign w:val="center"/>
          </w:tcPr>
          <w:p w:rsidR="00000000" w:rsidRDefault="00000000">
            <w:pPr>
              <w:autoSpaceDE w:val="0"/>
              <w:autoSpaceDN w:val="0"/>
              <w:adjustRightInd w:val="0"/>
              <w:jc w:val="center"/>
              <w:rPr>
                <w:b/>
                <w:bCs/>
                <w:sz w:val="14"/>
              </w:rPr>
            </w:pPr>
            <w:r>
              <w:rPr>
                <w:b/>
                <w:bCs/>
                <w:sz w:val="14"/>
              </w:rPr>
              <w:t>1997 год</w:t>
            </w:r>
          </w:p>
        </w:tc>
        <w:tc>
          <w:tcPr>
            <w:tcW w:w="475" w:type="pct"/>
            <w:gridSpan w:val="2"/>
            <w:vAlign w:val="center"/>
          </w:tcPr>
          <w:p w:rsidR="00000000" w:rsidRDefault="00000000">
            <w:pPr>
              <w:autoSpaceDE w:val="0"/>
              <w:autoSpaceDN w:val="0"/>
              <w:adjustRightInd w:val="0"/>
              <w:jc w:val="center"/>
              <w:rPr>
                <w:b/>
                <w:bCs/>
                <w:sz w:val="14"/>
              </w:rPr>
            </w:pPr>
            <w:r>
              <w:rPr>
                <w:b/>
                <w:bCs/>
                <w:sz w:val="14"/>
              </w:rPr>
              <w:t>1998 год</w:t>
            </w:r>
          </w:p>
        </w:tc>
        <w:tc>
          <w:tcPr>
            <w:tcW w:w="497" w:type="pct"/>
            <w:gridSpan w:val="2"/>
            <w:vAlign w:val="center"/>
          </w:tcPr>
          <w:p w:rsidR="00000000" w:rsidRDefault="00000000">
            <w:pPr>
              <w:autoSpaceDE w:val="0"/>
              <w:autoSpaceDN w:val="0"/>
              <w:adjustRightInd w:val="0"/>
              <w:jc w:val="center"/>
              <w:rPr>
                <w:b/>
                <w:bCs/>
                <w:sz w:val="14"/>
              </w:rPr>
            </w:pPr>
            <w:r>
              <w:rPr>
                <w:b/>
                <w:bCs/>
                <w:sz w:val="14"/>
              </w:rPr>
              <w:t>1999 год</w:t>
            </w:r>
          </w:p>
        </w:tc>
        <w:tc>
          <w:tcPr>
            <w:tcW w:w="497" w:type="pct"/>
            <w:gridSpan w:val="2"/>
            <w:vAlign w:val="center"/>
          </w:tcPr>
          <w:p w:rsidR="00000000" w:rsidRDefault="00000000">
            <w:pPr>
              <w:autoSpaceDE w:val="0"/>
              <w:autoSpaceDN w:val="0"/>
              <w:adjustRightInd w:val="0"/>
              <w:jc w:val="center"/>
              <w:rPr>
                <w:b/>
                <w:bCs/>
                <w:sz w:val="14"/>
              </w:rPr>
            </w:pPr>
            <w:r>
              <w:rPr>
                <w:b/>
                <w:bCs/>
                <w:sz w:val="14"/>
              </w:rPr>
              <w:t>2000 год</w:t>
            </w:r>
          </w:p>
        </w:tc>
        <w:tc>
          <w:tcPr>
            <w:tcW w:w="497" w:type="pct"/>
            <w:gridSpan w:val="2"/>
            <w:vAlign w:val="center"/>
          </w:tcPr>
          <w:p w:rsidR="00000000" w:rsidRDefault="00000000">
            <w:pPr>
              <w:autoSpaceDE w:val="0"/>
              <w:autoSpaceDN w:val="0"/>
              <w:adjustRightInd w:val="0"/>
              <w:jc w:val="center"/>
              <w:rPr>
                <w:b/>
                <w:bCs/>
                <w:sz w:val="14"/>
              </w:rPr>
            </w:pPr>
            <w:r>
              <w:rPr>
                <w:b/>
                <w:bCs/>
                <w:sz w:val="14"/>
              </w:rPr>
              <w:t>2001 год</w:t>
            </w:r>
          </w:p>
        </w:tc>
        <w:tc>
          <w:tcPr>
            <w:tcW w:w="497" w:type="pct"/>
            <w:gridSpan w:val="2"/>
            <w:vAlign w:val="center"/>
          </w:tcPr>
          <w:p w:rsidR="00000000" w:rsidRDefault="00000000">
            <w:pPr>
              <w:autoSpaceDE w:val="0"/>
              <w:autoSpaceDN w:val="0"/>
              <w:adjustRightInd w:val="0"/>
              <w:jc w:val="center"/>
              <w:rPr>
                <w:b/>
                <w:bCs/>
                <w:sz w:val="14"/>
              </w:rPr>
            </w:pPr>
            <w:r>
              <w:rPr>
                <w:b/>
                <w:bCs/>
                <w:sz w:val="14"/>
              </w:rPr>
              <w:t>2002 год</w:t>
            </w:r>
          </w:p>
        </w:tc>
        <w:tc>
          <w:tcPr>
            <w:tcW w:w="485" w:type="pct"/>
            <w:gridSpan w:val="2"/>
            <w:vAlign w:val="center"/>
          </w:tcPr>
          <w:p w:rsidR="00000000" w:rsidRDefault="00000000">
            <w:pPr>
              <w:autoSpaceDE w:val="0"/>
              <w:autoSpaceDN w:val="0"/>
              <w:adjustRightInd w:val="0"/>
              <w:jc w:val="center"/>
              <w:rPr>
                <w:b/>
                <w:bCs/>
                <w:sz w:val="14"/>
              </w:rPr>
            </w:pPr>
            <w:r>
              <w:rPr>
                <w:b/>
                <w:bCs/>
                <w:sz w:val="14"/>
              </w:rPr>
              <w:t>2003 год</w:t>
            </w:r>
          </w:p>
        </w:tc>
      </w:tr>
      <w:tr w:rsidR="00000000">
        <w:tblPrEx>
          <w:tblCellMar>
            <w:top w:w="0" w:type="dxa"/>
            <w:bottom w:w="0" w:type="dxa"/>
          </w:tblCellMar>
        </w:tblPrEx>
        <w:trPr>
          <w:cantSplit/>
        </w:trPr>
        <w:tc>
          <w:tcPr>
            <w:tcW w:w="1024" w:type="pct"/>
            <w:vMerge/>
          </w:tcPr>
          <w:p w:rsidR="00000000" w:rsidRDefault="00000000">
            <w:pPr>
              <w:autoSpaceDE w:val="0"/>
              <w:autoSpaceDN w:val="0"/>
              <w:adjustRightInd w:val="0"/>
              <w:rPr>
                <w:b/>
                <w:bCs/>
                <w:sz w:val="14"/>
              </w:rPr>
            </w:pPr>
          </w:p>
        </w:tc>
        <w:tc>
          <w:tcPr>
            <w:tcW w:w="255" w:type="pct"/>
            <w:vAlign w:val="center"/>
          </w:tcPr>
          <w:p w:rsidR="00000000" w:rsidRDefault="00000000">
            <w:pPr>
              <w:autoSpaceDE w:val="0"/>
              <w:autoSpaceDN w:val="0"/>
              <w:adjustRightInd w:val="0"/>
              <w:jc w:val="center"/>
              <w:rPr>
                <w:b/>
                <w:bCs/>
                <w:sz w:val="14"/>
              </w:rPr>
            </w:pPr>
            <w:r>
              <w:rPr>
                <w:b/>
                <w:bCs/>
                <w:sz w:val="14"/>
              </w:rPr>
              <w:t>Число</w:t>
            </w:r>
          </w:p>
        </w:tc>
        <w:tc>
          <w:tcPr>
            <w:tcW w:w="262" w:type="pct"/>
            <w:vAlign w:val="center"/>
          </w:tcPr>
          <w:p w:rsidR="00000000" w:rsidRDefault="00000000">
            <w:pPr>
              <w:autoSpaceDE w:val="0"/>
              <w:autoSpaceDN w:val="0"/>
              <w:adjustRightInd w:val="0"/>
              <w:jc w:val="center"/>
              <w:rPr>
                <w:b/>
                <w:bCs/>
                <w:sz w:val="14"/>
              </w:rPr>
            </w:pPr>
            <w:r>
              <w:rPr>
                <w:b/>
                <w:bCs/>
                <w:sz w:val="14"/>
              </w:rPr>
              <w:t>Коэф.</w:t>
            </w:r>
          </w:p>
        </w:tc>
        <w:tc>
          <w:tcPr>
            <w:tcW w:w="240" w:type="pct"/>
            <w:vAlign w:val="center"/>
          </w:tcPr>
          <w:p w:rsidR="00000000" w:rsidRDefault="00000000">
            <w:pPr>
              <w:autoSpaceDE w:val="0"/>
              <w:autoSpaceDN w:val="0"/>
              <w:adjustRightInd w:val="0"/>
              <w:jc w:val="center"/>
              <w:rPr>
                <w:b/>
                <w:bCs/>
                <w:sz w:val="14"/>
              </w:rPr>
            </w:pPr>
            <w:r>
              <w:rPr>
                <w:b/>
                <w:bCs/>
                <w:sz w:val="14"/>
              </w:rPr>
              <w:t>Число</w:t>
            </w:r>
          </w:p>
        </w:tc>
        <w:tc>
          <w:tcPr>
            <w:tcW w:w="271" w:type="pct"/>
            <w:vAlign w:val="center"/>
          </w:tcPr>
          <w:p w:rsidR="00000000" w:rsidRDefault="00000000">
            <w:pPr>
              <w:autoSpaceDE w:val="0"/>
              <w:autoSpaceDN w:val="0"/>
              <w:adjustRightInd w:val="0"/>
              <w:jc w:val="center"/>
              <w:rPr>
                <w:b/>
                <w:bCs/>
                <w:sz w:val="14"/>
              </w:rPr>
            </w:pPr>
            <w:r>
              <w:rPr>
                <w:b/>
                <w:bCs/>
                <w:sz w:val="14"/>
              </w:rPr>
              <w:t>Коэф.</w:t>
            </w:r>
          </w:p>
        </w:tc>
        <w:tc>
          <w:tcPr>
            <w:tcW w:w="226" w:type="pct"/>
            <w:vAlign w:val="center"/>
          </w:tcPr>
          <w:p w:rsidR="00000000" w:rsidRDefault="00000000">
            <w:pPr>
              <w:autoSpaceDE w:val="0"/>
              <w:autoSpaceDN w:val="0"/>
              <w:adjustRightInd w:val="0"/>
              <w:jc w:val="center"/>
              <w:rPr>
                <w:b/>
                <w:bCs/>
                <w:sz w:val="14"/>
              </w:rPr>
            </w:pPr>
            <w:r>
              <w:rPr>
                <w:b/>
                <w:bCs/>
                <w:sz w:val="14"/>
              </w:rPr>
              <w:t>Число</w:t>
            </w:r>
          </w:p>
        </w:tc>
        <w:tc>
          <w:tcPr>
            <w:tcW w:w="249" w:type="pct"/>
            <w:vAlign w:val="center"/>
          </w:tcPr>
          <w:p w:rsidR="00000000" w:rsidRDefault="00000000">
            <w:pPr>
              <w:autoSpaceDE w:val="0"/>
              <w:autoSpaceDN w:val="0"/>
              <w:adjustRightInd w:val="0"/>
              <w:jc w:val="center"/>
              <w:rPr>
                <w:b/>
                <w:bCs/>
                <w:sz w:val="14"/>
              </w:rPr>
            </w:pPr>
            <w:r>
              <w:rPr>
                <w:b/>
                <w:bCs/>
                <w:sz w:val="14"/>
              </w:rPr>
              <w:t>Коэф.</w:t>
            </w:r>
          </w:p>
        </w:tc>
        <w:tc>
          <w:tcPr>
            <w:tcW w:w="248" w:type="pct"/>
            <w:vAlign w:val="center"/>
          </w:tcPr>
          <w:p w:rsidR="00000000" w:rsidRDefault="00000000">
            <w:pPr>
              <w:autoSpaceDE w:val="0"/>
              <w:autoSpaceDN w:val="0"/>
              <w:adjustRightInd w:val="0"/>
              <w:jc w:val="center"/>
              <w:rPr>
                <w:b/>
                <w:bCs/>
                <w:sz w:val="14"/>
              </w:rPr>
            </w:pPr>
            <w:r>
              <w:rPr>
                <w:b/>
                <w:bCs/>
                <w:sz w:val="14"/>
              </w:rPr>
              <w:t>Число</w:t>
            </w:r>
          </w:p>
        </w:tc>
        <w:tc>
          <w:tcPr>
            <w:tcW w:w="249" w:type="pct"/>
            <w:vAlign w:val="center"/>
          </w:tcPr>
          <w:p w:rsidR="00000000" w:rsidRDefault="00000000">
            <w:pPr>
              <w:autoSpaceDE w:val="0"/>
              <w:autoSpaceDN w:val="0"/>
              <w:adjustRightInd w:val="0"/>
              <w:jc w:val="center"/>
              <w:rPr>
                <w:b/>
                <w:bCs/>
                <w:sz w:val="14"/>
              </w:rPr>
            </w:pPr>
            <w:r>
              <w:rPr>
                <w:b/>
                <w:bCs/>
                <w:sz w:val="14"/>
              </w:rPr>
              <w:t>Коэф.</w:t>
            </w:r>
          </w:p>
        </w:tc>
        <w:tc>
          <w:tcPr>
            <w:tcW w:w="248" w:type="pct"/>
            <w:vAlign w:val="center"/>
          </w:tcPr>
          <w:p w:rsidR="00000000" w:rsidRDefault="00000000">
            <w:pPr>
              <w:autoSpaceDE w:val="0"/>
              <w:autoSpaceDN w:val="0"/>
              <w:adjustRightInd w:val="0"/>
              <w:jc w:val="center"/>
              <w:rPr>
                <w:b/>
                <w:bCs/>
                <w:sz w:val="14"/>
              </w:rPr>
            </w:pPr>
            <w:r>
              <w:rPr>
                <w:b/>
                <w:bCs/>
                <w:sz w:val="14"/>
              </w:rPr>
              <w:t>Число</w:t>
            </w:r>
          </w:p>
        </w:tc>
        <w:tc>
          <w:tcPr>
            <w:tcW w:w="249" w:type="pct"/>
            <w:vAlign w:val="center"/>
          </w:tcPr>
          <w:p w:rsidR="00000000" w:rsidRDefault="00000000">
            <w:pPr>
              <w:autoSpaceDE w:val="0"/>
              <w:autoSpaceDN w:val="0"/>
              <w:adjustRightInd w:val="0"/>
              <w:jc w:val="center"/>
              <w:rPr>
                <w:b/>
                <w:bCs/>
                <w:sz w:val="14"/>
              </w:rPr>
            </w:pPr>
            <w:r>
              <w:rPr>
                <w:b/>
                <w:bCs/>
                <w:sz w:val="14"/>
              </w:rPr>
              <w:t>Коэф.</w:t>
            </w:r>
          </w:p>
        </w:tc>
        <w:tc>
          <w:tcPr>
            <w:tcW w:w="248" w:type="pct"/>
            <w:vAlign w:val="center"/>
          </w:tcPr>
          <w:p w:rsidR="00000000" w:rsidRDefault="00000000">
            <w:pPr>
              <w:autoSpaceDE w:val="0"/>
              <w:autoSpaceDN w:val="0"/>
              <w:adjustRightInd w:val="0"/>
              <w:jc w:val="center"/>
              <w:rPr>
                <w:b/>
                <w:bCs/>
                <w:sz w:val="14"/>
              </w:rPr>
            </w:pPr>
            <w:r>
              <w:rPr>
                <w:b/>
                <w:bCs/>
                <w:sz w:val="14"/>
              </w:rPr>
              <w:t>Число</w:t>
            </w:r>
          </w:p>
        </w:tc>
        <w:tc>
          <w:tcPr>
            <w:tcW w:w="249" w:type="pct"/>
            <w:vAlign w:val="center"/>
          </w:tcPr>
          <w:p w:rsidR="00000000" w:rsidRDefault="00000000">
            <w:pPr>
              <w:autoSpaceDE w:val="0"/>
              <w:autoSpaceDN w:val="0"/>
              <w:adjustRightInd w:val="0"/>
              <w:jc w:val="center"/>
              <w:rPr>
                <w:b/>
                <w:bCs/>
                <w:sz w:val="14"/>
              </w:rPr>
            </w:pPr>
            <w:r>
              <w:rPr>
                <w:b/>
                <w:bCs/>
                <w:sz w:val="14"/>
              </w:rPr>
              <w:t>Коэф.</w:t>
            </w:r>
          </w:p>
        </w:tc>
        <w:tc>
          <w:tcPr>
            <w:tcW w:w="248" w:type="pct"/>
            <w:vAlign w:val="center"/>
          </w:tcPr>
          <w:p w:rsidR="00000000" w:rsidRDefault="00000000">
            <w:pPr>
              <w:autoSpaceDE w:val="0"/>
              <w:autoSpaceDN w:val="0"/>
              <w:adjustRightInd w:val="0"/>
              <w:jc w:val="center"/>
              <w:rPr>
                <w:b/>
                <w:bCs/>
                <w:sz w:val="14"/>
              </w:rPr>
            </w:pPr>
            <w:r>
              <w:rPr>
                <w:b/>
                <w:bCs/>
                <w:sz w:val="14"/>
              </w:rPr>
              <w:t>Число</w:t>
            </w:r>
          </w:p>
        </w:tc>
        <w:tc>
          <w:tcPr>
            <w:tcW w:w="249" w:type="pct"/>
            <w:vAlign w:val="center"/>
          </w:tcPr>
          <w:p w:rsidR="00000000" w:rsidRDefault="00000000">
            <w:pPr>
              <w:autoSpaceDE w:val="0"/>
              <w:autoSpaceDN w:val="0"/>
              <w:adjustRightInd w:val="0"/>
              <w:jc w:val="center"/>
              <w:rPr>
                <w:b/>
                <w:bCs/>
                <w:sz w:val="14"/>
              </w:rPr>
            </w:pPr>
            <w:r>
              <w:rPr>
                <w:b/>
                <w:bCs/>
                <w:sz w:val="14"/>
              </w:rPr>
              <w:t>Коэф.</w:t>
            </w:r>
          </w:p>
        </w:tc>
        <w:tc>
          <w:tcPr>
            <w:tcW w:w="248" w:type="pct"/>
            <w:vAlign w:val="center"/>
          </w:tcPr>
          <w:p w:rsidR="00000000" w:rsidRDefault="00000000">
            <w:pPr>
              <w:autoSpaceDE w:val="0"/>
              <w:autoSpaceDN w:val="0"/>
              <w:adjustRightInd w:val="0"/>
              <w:jc w:val="center"/>
              <w:rPr>
                <w:b/>
                <w:bCs/>
                <w:sz w:val="14"/>
              </w:rPr>
            </w:pPr>
            <w:r>
              <w:rPr>
                <w:b/>
                <w:bCs/>
                <w:sz w:val="14"/>
              </w:rPr>
              <w:t>Число</w:t>
            </w:r>
          </w:p>
        </w:tc>
        <w:tc>
          <w:tcPr>
            <w:tcW w:w="237" w:type="pct"/>
            <w:vAlign w:val="center"/>
          </w:tcPr>
          <w:p w:rsidR="00000000" w:rsidRDefault="00000000">
            <w:pPr>
              <w:autoSpaceDE w:val="0"/>
              <w:autoSpaceDN w:val="0"/>
              <w:adjustRightInd w:val="0"/>
              <w:jc w:val="center"/>
              <w:rPr>
                <w:b/>
                <w:bCs/>
                <w:sz w:val="14"/>
              </w:rPr>
            </w:pPr>
            <w:r>
              <w:rPr>
                <w:b/>
                <w:bCs/>
                <w:sz w:val="14"/>
              </w:rPr>
              <w:t>Коэф.</w:t>
            </w:r>
          </w:p>
        </w:tc>
      </w:tr>
      <w:tr w:rsidR="00000000">
        <w:tblPrEx>
          <w:tblCellMar>
            <w:top w:w="0" w:type="dxa"/>
            <w:bottom w:w="0" w:type="dxa"/>
          </w:tblCellMar>
        </w:tblPrEx>
        <w:tc>
          <w:tcPr>
            <w:tcW w:w="1024" w:type="pct"/>
          </w:tcPr>
          <w:p w:rsidR="00000000" w:rsidRDefault="00000000">
            <w:pPr>
              <w:tabs>
                <w:tab w:val="left" w:pos="154"/>
              </w:tabs>
              <w:autoSpaceDE w:val="0"/>
              <w:autoSpaceDN w:val="0"/>
              <w:adjustRightInd w:val="0"/>
              <w:rPr>
                <w:sz w:val="14"/>
              </w:rPr>
            </w:pPr>
            <w:r>
              <w:rPr>
                <w:sz w:val="14"/>
              </w:rPr>
              <w:t>1.</w:t>
            </w:r>
            <w:r>
              <w:rPr>
                <w:sz w:val="14"/>
              </w:rPr>
              <w:tab/>
              <w:t xml:space="preserve">Аборт </w:t>
            </w:r>
          </w:p>
        </w:tc>
        <w:tc>
          <w:tcPr>
            <w:tcW w:w="255" w:type="pct"/>
            <w:vAlign w:val="bottom"/>
          </w:tcPr>
          <w:p w:rsidR="00000000" w:rsidRDefault="00000000">
            <w:pPr>
              <w:tabs>
                <w:tab w:val="decimal" w:pos="332"/>
              </w:tabs>
              <w:jc w:val="center"/>
              <w:rPr>
                <w:color w:val="000000"/>
                <w:sz w:val="14"/>
                <w:szCs w:val="16"/>
              </w:rPr>
            </w:pPr>
            <w:r>
              <w:rPr>
                <w:color w:val="000000"/>
                <w:sz w:val="14"/>
                <w:szCs w:val="16"/>
              </w:rPr>
              <w:t>34</w:t>
            </w:r>
          </w:p>
        </w:tc>
        <w:tc>
          <w:tcPr>
            <w:tcW w:w="262" w:type="pct"/>
            <w:vAlign w:val="bottom"/>
          </w:tcPr>
          <w:p w:rsidR="00000000" w:rsidRDefault="00000000">
            <w:pPr>
              <w:tabs>
                <w:tab w:val="decimal" w:pos="289"/>
              </w:tabs>
              <w:jc w:val="center"/>
              <w:rPr>
                <w:color w:val="000000"/>
                <w:sz w:val="14"/>
                <w:szCs w:val="16"/>
              </w:rPr>
            </w:pPr>
            <w:r>
              <w:rPr>
                <w:color w:val="000000"/>
                <w:sz w:val="14"/>
                <w:szCs w:val="16"/>
              </w:rPr>
              <w:t>38,5</w:t>
            </w:r>
          </w:p>
        </w:tc>
        <w:tc>
          <w:tcPr>
            <w:tcW w:w="240" w:type="pct"/>
            <w:vAlign w:val="bottom"/>
          </w:tcPr>
          <w:p w:rsidR="00000000" w:rsidRDefault="00000000">
            <w:pPr>
              <w:tabs>
                <w:tab w:val="decimal" w:pos="162"/>
              </w:tabs>
              <w:jc w:val="center"/>
              <w:rPr>
                <w:color w:val="000000"/>
                <w:sz w:val="14"/>
                <w:szCs w:val="16"/>
              </w:rPr>
            </w:pPr>
            <w:r>
              <w:rPr>
                <w:color w:val="000000"/>
                <w:sz w:val="14"/>
                <w:szCs w:val="16"/>
              </w:rPr>
              <w:t>25</w:t>
            </w:r>
          </w:p>
        </w:tc>
        <w:tc>
          <w:tcPr>
            <w:tcW w:w="271" w:type="pct"/>
            <w:vAlign w:val="bottom"/>
          </w:tcPr>
          <w:p w:rsidR="00000000" w:rsidRDefault="00000000">
            <w:pPr>
              <w:tabs>
                <w:tab w:val="decimal" w:pos="380"/>
              </w:tabs>
              <w:jc w:val="center"/>
              <w:rPr>
                <w:color w:val="000000"/>
                <w:sz w:val="14"/>
                <w:szCs w:val="16"/>
              </w:rPr>
            </w:pPr>
            <w:r>
              <w:rPr>
                <w:color w:val="000000"/>
                <w:sz w:val="14"/>
                <w:szCs w:val="16"/>
              </w:rPr>
              <w:t>28,3</w:t>
            </w:r>
          </w:p>
        </w:tc>
        <w:tc>
          <w:tcPr>
            <w:tcW w:w="226" w:type="pct"/>
            <w:vAlign w:val="bottom"/>
          </w:tcPr>
          <w:p w:rsidR="00000000" w:rsidRDefault="00000000">
            <w:pPr>
              <w:tabs>
                <w:tab w:val="decimal" w:pos="181"/>
              </w:tabs>
              <w:jc w:val="center"/>
              <w:rPr>
                <w:color w:val="000000"/>
                <w:sz w:val="14"/>
                <w:szCs w:val="16"/>
              </w:rPr>
            </w:pPr>
            <w:r>
              <w:rPr>
                <w:color w:val="000000"/>
                <w:sz w:val="14"/>
                <w:szCs w:val="16"/>
              </w:rPr>
              <w:t>16</w:t>
            </w:r>
          </w:p>
        </w:tc>
        <w:tc>
          <w:tcPr>
            <w:tcW w:w="249" w:type="pct"/>
            <w:vAlign w:val="bottom"/>
          </w:tcPr>
          <w:p w:rsidR="00000000" w:rsidRDefault="00000000">
            <w:pPr>
              <w:tabs>
                <w:tab w:val="decimal" w:pos="286"/>
              </w:tabs>
              <w:jc w:val="center"/>
              <w:rPr>
                <w:color w:val="000000"/>
                <w:sz w:val="14"/>
                <w:szCs w:val="16"/>
              </w:rPr>
            </w:pPr>
            <w:r>
              <w:rPr>
                <w:color w:val="000000"/>
                <w:sz w:val="14"/>
                <w:szCs w:val="16"/>
              </w:rPr>
              <w:t>18,5</w:t>
            </w:r>
          </w:p>
        </w:tc>
        <w:tc>
          <w:tcPr>
            <w:tcW w:w="248" w:type="pct"/>
            <w:vAlign w:val="bottom"/>
          </w:tcPr>
          <w:p w:rsidR="00000000" w:rsidRDefault="00000000">
            <w:pPr>
              <w:tabs>
                <w:tab w:val="decimal" w:pos="298"/>
              </w:tabs>
              <w:jc w:val="center"/>
              <w:rPr>
                <w:color w:val="000000"/>
                <w:sz w:val="14"/>
                <w:szCs w:val="16"/>
              </w:rPr>
            </w:pPr>
            <w:r>
              <w:rPr>
                <w:color w:val="000000"/>
                <w:sz w:val="14"/>
                <w:szCs w:val="16"/>
              </w:rPr>
              <w:t>23</w:t>
            </w:r>
          </w:p>
        </w:tc>
        <w:tc>
          <w:tcPr>
            <w:tcW w:w="249" w:type="pct"/>
            <w:vAlign w:val="bottom"/>
          </w:tcPr>
          <w:p w:rsidR="00000000" w:rsidRDefault="00000000">
            <w:pPr>
              <w:tabs>
                <w:tab w:val="decimal" w:pos="312"/>
              </w:tabs>
              <w:jc w:val="center"/>
              <w:rPr>
                <w:color w:val="000000"/>
                <w:sz w:val="14"/>
                <w:szCs w:val="16"/>
              </w:rPr>
            </w:pPr>
            <w:r>
              <w:rPr>
                <w:color w:val="000000"/>
                <w:sz w:val="14"/>
                <w:szCs w:val="16"/>
              </w:rPr>
              <w:t>25,6</w:t>
            </w:r>
          </w:p>
        </w:tc>
        <w:tc>
          <w:tcPr>
            <w:tcW w:w="248" w:type="pct"/>
            <w:vAlign w:val="bottom"/>
          </w:tcPr>
          <w:p w:rsidR="00000000" w:rsidRDefault="00000000">
            <w:pPr>
              <w:tabs>
                <w:tab w:val="decimal" w:pos="324"/>
              </w:tabs>
              <w:jc w:val="center"/>
              <w:rPr>
                <w:color w:val="000000"/>
                <w:sz w:val="14"/>
                <w:szCs w:val="16"/>
              </w:rPr>
            </w:pPr>
            <w:r>
              <w:rPr>
                <w:color w:val="000000"/>
                <w:sz w:val="14"/>
                <w:szCs w:val="16"/>
              </w:rPr>
              <w:t>35</w:t>
            </w:r>
          </w:p>
        </w:tc>
        <w:tc>
          <w:tcPr>
            <w:tcW w:w="249" w:type="pct"/>
            <w:vAlign w:val="bottom"/>
          </w:tcPr>
          <w:p w:rsidR="00000000" w:rsidRDefault="00000000">
            <w:pPr>
              <w:tabs>
                <w:tab w:val="decimal" w:pos="338"/>
              </w:tabs>
              <w:jc w:val="center"/>
              <w:rPr>
                <w:color w:val="000000"/>
                <w:sz w:val="14"/>
                <w:szCs w:val="16"/>
              </w:rPr>
            </w:pPr>
            <w:r>
              <w:rPr>
                <w:color w:val="000000"/>
                <w:sz w:val="14"/>
                <w:szCs w:val="16"/>
              </w:rPr>
              <w:t>40,7</w:t>
            </w:r>
          </w:p>
        </w:tc>
        <w:tc>
          <w:tcPr>
            <w:tcW w:w="248" w:type="pct"/>
            <w:vAlign w:val="bottom"/>
          </w:tcPr>
          <w:p w:rsidR="00000000" w:rsidRDefault="00000000">
            <w:pPr>
              <w:tabs>
                <w:tab w:val="decimal" w:pos="350"/>
              </w:tabs>
              <w:jc w:val="center"/>
              <w:rPr>
                <w:color w:val="000000"/>
                <w:sz w:val="14"/>
                <w:szCs w:val="16"/>
              </w:rPr>
            </w:pPr>
            <w:r>
              <w:rPr>
                <w:color w:val="000000"/>
                <w:sz w:val="14"/>
                <w:szCs w:val="16"/>
              </w:rPr>
              <w:t>32</w:t>
            </w:r>
          </w:p>
        </w:tc>
        <w:tc>
          <w:tcPr>
            <w:tcW w:w="249" w:type="pct"/>
            <w:vAlign w:val="bottom"/>
          </w:tcPr>
          <w:p w:rsidR="00000000" w:rsidRDefault="00000000">
            <w:pPr>
              <w:tabs>
                <w:tab w:val="decimal" w:pos="282"/>
              </w:tabs>
              <w:jc w:val="center"/>
              <w:rPr>
                <w:color w:val="000000"/>
                <w:sz w:val="14"/>
                <w:szCs w:val="16"/>
              </w:rPr>
            </w:pPr>
            <w:r>
              <w:rPr>
                <w:color w:val="000000"/>
                <w:sz w:val="14"/>
                <w:szCs w:val="16"/>
              </w:rPr>
              <w:t>38,1</w:t>
            </w:r>
          </w:p>
        </w:tc>
        <w:tc>
          <w:tcPr>
            <w:tcW w:w="248" w:type="pct"/>
            <w:vAlign w:val="bottom"/>
          </w:tcPr>
          <w:p w:rsidR="00000000" w:rsidRDefault="00000000">
            <w:pPr>
              <w:tabs>
                <w:tab w:val="decimal" w:pos="181"/>
              </w:tabs>
              <w:jc w:val="center"/>
              <w:rPr>
                <w:color w:val="000000"/>
                <w:sz w:val="14"/>
                <w:szCs w:val="16"/>
              </w:rPr>
            </w:pPr>
            <w:r>
              <w:rPr>
                <w:color w:val="000000"/>
                <w:sz w:val="14"/>
                <w:szCs w:val="16"/>
              </w:rPr>
              <w:t>39</w:t>
            </w:r>
          </w:p>
        </w:tc>
        <w:tc>
          <w:tcPr>
            <w:tcW w:w="249" w:type="pct"/>
            <w:vAlign w:val="bottom"/>
          </w:tcPr>
          <w:p w:rsidR="00000000" w:rsidRDefault="00000000">
            <w:pPr>
              <w:tabs>
                <w:tab w:val="decimal" w:pos="296"/>
              </w:tabs>
              <w:jc w:val="center"/>
              <w:rPr>
                <w:color w:val="000000"/>
                <w:sz w:val="14"/>
                <w:szCs w:val="16"/>
              </w:rPr>
            </w:pPr>
            <w:r>
              <w:rPr>
                <w:color w:val="000000"/>
                <w:sz w:val="14"/>
                <w:szCs w:val="16"/>
              </w:rPr>
              <w:t>43,3</w:t>
            </w:r>
          </w:p>
        </w:tc>
        <w:tc>
          <w:tcPr>
            <w:tcW w:w="248" w:type="pct"/>
            <w:vAlign w:val="bottom"/>
          </w:tcPr>
          <w:p w:rsidR="00000000" w:rsidRDefault="00000000">
            <w:pPr>
              <w:tabs>
                <w:tab w:val="decimal" w:pos="282"/>
              </w:tabs>
              <w:jc w:val="center"/>
              <w:rPr>
                <w:color w:val="000000"/>
                <w:sz w:val="14"/>
                <w:szCs w:val="16"/>
              </w:rPr>
            </w:pPr>
            <w:r>
              <w:rPr>
                <w:color w:val="000000"/>
                <w:sz w:val="14"/>
                <w:szCs w:val="16"/>
              </w:rPr>
              <w:t>36</w:t>
            </w:r>
          </w:p>
        </w:tc>
        <w:tc>
          <w:tcPr>
            <w:tcW w:w="237" w:type="pct"/>
            <w:vAlign w:val="bottom"/>
          </w:tcPr>
          <w:p w:rsidR="00000000" w:rsidRDefault="00000000">
            <w:pPr>
              <w:tabs>
                <w:tab w:val="decimal" w:pos="296"/>
              </w:tabs>
              <w:jc w:val="center"/>
              <w:rPr>
                <w:sz w:val="14"/>
                <w:szCs w:val="16"/>
              </w:rPr>
            </w:pPr>
            <w:r>
              <w:rPr>
                <w:sz w:val="14"/>
                <w:szCs w:val="16"/>
              </w:rPr>
              <w:t>41,5</w:t>
            </w:r>
          </w:p>
        </w:tc>
      </w:tr>
      <w:tr w:rsidR="00000000">
        <w:tblPrEx>
          <w:tblCellMar>
            <w:top w:w="0" w:type="dxa"/>
            <w:bottom w:w="0" w:type="dxa"/>
          </w:tblCellMar>
        </w:tblPrEx>
        <w:tc>
          <w:tcPr>
            <w:tcW w:w="1024" w:type="pct"/>
          </w:tcPr>
          <w:p w:rsidR="00000000" w:rsidRDefault="00000000">
            <w:pPr>
              <w:tabs>
                <w:tab w:val="left" w:pos="154"/>
              </w:tabs>
              <w:autoSpaceDE w:val="0"/>
              <w:autoSpaceDN w:val="0"/>
              <w:adjustRightInd w:val="0"/>
              <w:rPr>
                <w:sz w:val="14"/>
              </w:rPr>
            </w:pPr>
            <w:r>
              <w:rPr>
                <w:sz w:val="14"/>
              </w:rPr>
              <w:t>2.</w:t>
            </w:r>
            <w:r>
              <w:rPr>
                <w:sz w:val="14"/>
              </w:rPr>
              <w:tab/>
              <w:t>Гестоз</w:t>
            </w:r>
          </w:p>
        </w:tc>
        <w:tc>
          <w:tcPr>
            <w:tcW w:w="255" w:type="pct"/>
            <w:vAlign w:val="bottom"/>
          </w:tcPr>
          <w:p w:rsidR="00000000" w:rsidRDefault="00000000">
            <w:pPr>
              <w:tabs>
                <w:tab w:val="decimal" w:pos="332"/>
              </w:tabs>
              <w:jc w:val="center"/>
              <w:rPr>
                <w:color w:val="000000"/>
                <w:sz w:val="14"/>
                <w:szCs w:val="16"/>
              </w:rPr>
            </w:pPr>
            <w:r>
              <w:rPr>
                <w:color w:val="000000"/>
                <w:sz w:val="14"/>
                <w:szCs w:val="16"/>
              </w:rPr>
              <w:t>23</w:t>
            </w:r>
          </w:p>
        </w:tc>
        <w:tc>
          <w:tcPr>
            <w:tcW w:w="262" w:type="pct"/>
            <w:vAlign w:val="bottom"/>
          </w:tcPr>
          <w:p w:rsidR="00000000" w:rsidRDefault="00000000">
            <w:pPr>
              <w:tabs>
                <w:tab w:val="decimal" w:pos="289"/>
              </w:tabs>
              <w:jc w:val="center"/>
              <w:rPr>
                <w:color w:val="000000"/>
                <w:sz w:val="14"/>
                <w:szCs w:val="16"/>
              </w:rPr>
            </w:pPr>
            <w:r>
              <w:rPr>
                <w:color w:val="000000"/>
                <w:sz w:val="14"/>
                <w:szCs w:val="16"/>
              </w:rPr>
              <w:t>26,0</w:t>
            </w:r>
          </w:p>
        </w:tc>
        <w:tc>
          <w:tcPr>
            <w:tcW w:w="240" w:type="pct"/>
            <w:vAlign w:val="bottom"/>
          </w:tcPr>
          <w:p w:rsidR="00000000" w:rsidRDefault="00000000">
            <w:pPr>
              <w:tabs>
                <w:tab w:val="decimal" w:pos="162"/>
              </w:tabs>
              <w:jc w:val="center"/>
              <w:rPr>
                <w:color w:val="000000"/>
                <w:sz w:val="14"/>
                <w:szCs w:val="16"/>
              </w:rPr>
            </w:pPr>
            <w:r>
              <w:rPr>
                <w:color w:val="000000"/>
                <w:sz w:val="14"/>
                <w:szCs w:val="16"/>
              </w:rPr>
              <w:t>15</w:t>
            </w:r>
          </w:p>
        </w:tc>
        <w:tc>
          <w:tcPr>
            <w:tcW w:w="271" w:type="pct"/>
            <w:vAlign w:val="bottom"/>
          </w:tcPr>
          <w:p w:rsidR="00000000" w:rsidRDefault="00000000">
            <w:pPr>
              <w:tabs>
                <w:tab w:val="decimal" w:pos="380"/>
              </w:tabs>
              <w:jc w:val="center"/>
              <w:rPr>
                <w:color w:val="000000"/>
                <w:sz w:val="14"/>
                <w:szCs w:val="16"/>
              </w:rPr>
            </w:pPr>
            <w:r>
              <w:rPr>
                <w:color w:val="000000"/>
                <w:sz w:val="14"/>
                <w:szCs w:val="16"/>
              </w:rPr>
              <w:t>17,0</w:t>
            </w:r>
          </w:p>
        </w:tc>
        <w:tc>
          <w:tcPr>
            <w:tcW w:w="226" w:type="pct"/>
            <w:vAlign w:val="bottom"/>
          </w:tcPr>
          <w:p w:rsidR="00000000" w:rsidRDefault="00000000">
            <w:pPr>
              <w:tabs>
                <w:tab w:val="decimal" w:pos="181"/>
              </w:tabs>
              <w:jc w:val="center"/>
              <w:rPr>
                <w:color w:val="000000"/>
                <w:sz w:val="14"/>
                <w:szCs w:val="16"/>
              </w:rPr>
            </w:pPr>
            <w:r>
              <w:rPr>
                <w:color w:val="000000"/>
                <w:sz w:val="14"/>
                <w:szCs w:val="16"/>
              </w:rPr>
              <w:t>23</w:t>
            </w:r>
          </w:p>
        </w:tc>
        <w:tc>
          <w:tcPr>
            <w:tcW w:w="249" w:type="pct"/>
            <w:vAlign w:val="bottom"/>
          </w:tcPr>
          <w:p w:rsidR="00000000" w:rsidRDefault="00000000">
            <w:pPr>
              <w:tabs>
                <w:tab w:val="decimal" w:pos="286"/>
              </w:tabs>
              <w:jc w:val="center"/>
              <w:rPr>
                <w:color w:val="000000"/>
                <w:sz w:val="14"/>
                <w:szCs w:val="16"/>
              </w:rPr>
            </w:pPr>
            <w:r>
              <w:rPr>
                <w:color w:val="000000"/>
                <w:sz w:val="14"/>
                <w:szCs w:val="16"/>
              </w:rPr>
              <w:t>26,6</w:t>
            </w:r>
          </w:p>
        </w:tc>
        <w:tc>
          <w:tcPr>
            <w:tcW w:w="248" w:type="pct"/>
            <w:vAlign w:val="bottom"/>
          </w:tcPr>
          <w:p w:rsidR="00000000" w:rsidRDefault="00000000">
            <w:pPr>
              <w:tabs>
                <w:tab w:val="decimal" w:pos="298"/>
              </w:tabs>
              <w:jc w:val="center"/>
              <w:rPr>
                <w:color w:val="000000"/>
                <w:sz w:val="14"/>
                <w:szCs w:val="16"/>
              </w:rPr>
            </w:pPr>
            <w:r>
              <w:rPr>
                <w:color w:val="000000"/>
                <w:sz w:val="14"/>
                <w:szCs w:val="16"/>
              </w:rPr>
              <w:t>21</w:t>
            </w:r>
          </w:p>
        </w:tc>
        <w:tc>
          <w:tcPr>
            <w:tcW w:w="249" w:type="pct"/>
            <w:vAlign w:val="bottom"/>
          </w:tcPr>
          <w:p w:rsidR="00000000" w:rsidRDefault="00000000">
            <w:pPr>
              <w:tabs>
                <w:tab w:val="decimal" w:pos="312"/>
              </w:tabs>
              <w:jc w:val="center"/>
              <w:rPr>
                <w:color w:val="000000"/>
                <w:sz w:val="14"/>
                <w:szCs w:val="16"/>
              </w:rPr>
            </w:pPr>
            <w:r>
              <w:rPr>
                <w:color w:val="000000"/>
                <w:sz w:val="14"/>
                <w:szCs w:val="16"/>
              </w:rPr>
              <w:t>23,3</w:t>
            </w:r>
          </w:p>
        </w:tc>
        <w:tc>
          <w:tcPr>
            <w:tcW w:w="248" w:type="pct"/>
            <w:vAlign w:val="bottom"/>
          </w:tcPr>
          <w:p w:rsidR="00000000" w:rsidRDefault="00000000">
            <w:pPr>
              <w:tabs>
                <w:tab w:val="decimal" w:pos="324"/>
              </w:tabs>
              <w:jc w:val="center"/>
              <w:rPr>
                <w:color w:val="000000"/>
                <w:sz w:val="14"/>
                <w:szCs w:val="16"/>
              </w:rPr>
            </w:pPr>
            <w:r>
              <w:rPr>
                <w:color w:val="000000"/>
                <w:sz w:val="14"/>
                <w:szCs w:val="16"/>
              </w:rPr>
              <w:t>37</w:t>
            </w:r>
          </w:p>
        </w:tc>
        <w:tc>
          <w:tcPr>
            <w:tcW w:w="249" w:type="pct"/>
            <w:vAlign w:val="bottom"/>
          </w:tcPr>
          <w:p w:rsidR="00000000" w:rsidRDefault="00000000">
            <w:pPr>
              <w:tabs>
                <w:tab w:val="decimal" w:pos="338"/>
              </w:tabs>
              <w:jc w:val="center"/>
              <w:rPr>
                <w:color w:val="000000"/>
                <w:sz w:val="14"/>
                <w:szCs w:val="16"/>
              </w:rPr>
            </w:pPr>
            <w:r>
              <w:rPr>
                <w:color w:val="000000"/>
                <w:sz w:val="14"/>
                <w:szCs w:val="16"/>
              </w:rPr>
              <w:t>43,0</w:t>
            </w:r>
          </w:p>
        </w:tc>
        <w:tc>
          <w:tcPr>
            <w:tcW w:w="248" w:type="pct"/>
            <w:vAlign w:val="bottom"/>
          </w:tcPr>
          <w:p w:rsidR="00000000" w:rsidRDefault="00000000">
            <w:pPr>
              <w:tabs>
                <w:tab w:val="decimal" w:pos="350"/>
              </w:tabs>
              <w:jc w:val="center"/>
              <w:rPr>
                <w:color w:val="000000"/>
                <w:sz w:val="14"/>
                <w:szCs w:val="16"/>
              </w:rPr>
            </w:pPr>
            <w:r>
              <w:rPr>
                <w:color w:val="000000"/>
                <w:sz w:val="14"/>
                <w:szCs w:val="16"/>
              </w:rPr>
              <w:t>20</w:t>
            </w:r>
          </w:p>
        </w:tc>
        <w:tc>
          <w:tcPr>
            <w:tcW w:w="249" w:type="pct"/>
            <w:vAlign w:val="bottom"/>
          </w:tcPr>
          <w:p w:rsidR="00000000" w:rsidRDefault="00000000">
            <w:pPr>
              <w:tabs>
                <w:tab w:val="decimal" w:pos="282"/>
              </w:tabs>
              <w:jc w:val="center"/>
              <w:rPr>
                <w:color w:val="000000"/>
                <w:sz w:val="14"/>
                <w:szCs w:val="16"/>
              </w:rPr>
            </w:pPr>
            <w:r>
              <w:rPr>
                <w:color w:val="000000"/>
                <w:sz w:val="14"/>
                <w:szCs w:val="16"/>
              </w:rPr>
              <w:t>23,8</w:t>
            </w:r>
          </w:p>
        </w:tc>
        <w:tc>
          <w:tcPr>
            <w:tcW w:w="248" w:type="pct"/>
            <w:vAlign w:val="bottom"/>
          </w:tcPr>
          <w:p w:rsidR="00000000" w:rsidRDefault="00000000">
            <w:pPr>
              <w:tabs>
                <w:tab w:val="decimal" w:pos="181"/>
              </w:tabs>
              <w:jc w:val="center"/>
              <w:rPr>
                <w:color w:val="000000"/>
                <w:sz w:val="14"/>
                <w:szCs w:val="16"/>
              </w:rPr>
            </w:pPr>
            <w:r>
              <w:rPr>
                <w:color w:val="000000"/>
                <w:sz w:val="14"/>
                <w:szCs w:val="16"/>
              </w:rPr>
              <w:t>27</w:t>
            </w:r>
          </w:p>
        </w:tc>
        <w:tc>
          <w:tcPr>
            <w:tcW w:w="249" w:type="pct"/>
            <w:vAlign w:val="bottom"/>
          </w:tcPr>
          <w:p w:rsidR="00000000" w:rsidRDefault="00000000">
            <w:pPr>
              <w:tabs>
                <w:tab w:val="decimal" w:pos="296"/>
              </w:tabs>
              <w:jc w:val="center"/>
              <w:rPr>
                <w:color w:val="000000"/>
                <w:sz w:val="14"/>
                <w:szCs w:val="16"/>
              </w:rPr>
            </w:pPr>
            <w:r>
              <w:rPr>
                <w:color w:val="000000"/>
                <w:sz w:val="14"/>
                <w:szCs w:val="16"/>
              </w:rPr>
              <w:t>30,0</w:t>
            </w:r>
          </w:p>
        </w:tc>
        <w:tc>
          <w:tcPr>
            <w:tcW w:w="248" w:type="pct"/>
            <w:vAlign w:val="bottom"/>
          </w:tcPr>
          <w:p w:rsidR="00000000" w:rsidRDefault="00000000">
            <w:pPr>
              <w:tabs>
                <w:tab w:val="decimal" w:pos="282"/>
              </w:tabs>
              <w:jc w:val="center"/>
              <w:rPr>
                <w:color w:val="000000"/>
                <w:sz w:val="14"/>
                <w:szCs w:val="16"/>
              </w:rPr>
            </w:pPr>
            <w:r>
              <w:rPr>
                <w:color w:val="000000"/>
                <w:sz w:val="14"/>
                <w:szCs w:val="16"/>
              </w:rPr>
              <w:t>32</w:t>
            </w:r>
          </w:p>
        </w:tc>
        <w:tc>
          <w:tcPr>
            <w:tcW w:w="237" w:type="pct"/>
            <w:vAlign w:val="bottom"/>
          </w:tcPr>
          <w:p w:rsidR="00000000" w:rsidRDefault="00000000">
            <w:pPr>
              <w:tabs>
                <w:tab w:val="decimal" w:pos="296"/>
              </w:tabs>
              <w:jc w:val="center"/>
              <w:rPr>
                <w:color w:val="000000"/>
                <w:sz w:val="14"/>
                <w:szCs w:val="16"/>
              </w:rPr>
            </w:pPr>
            <w:r>
              <w:rPr>
                <w:color w:val="000000"/>
                <w:sz w:val="14"/>
                <w:szCs w:val="16"/>
              </w:rPr>
              <w:t>36,9</w:t>
            </w:r>
          </w:p>
        </w:tc>
      </w:tr>
      <w:tr w:rsidR="00000000">
        <w:tblPrEx>
          <w:tblCellMar>
            <w:top w:w="0" w:type="dxa"/>
            <w:bottom w:w="0" w:type="dxa"/>
          </w:tblCellMar>
        </w:tblPrEx>
        <w:tc>
          <w:tcPr>
            <w:tcW w:w="1024" w:type="pct"/>
          </w:tcPr>
          <w:p w:rsidR="00000000" w:rsidRDefault="00000000">
            <w:pPr>
              <w:tabs>
                <w:tab w:val="left" w:pos="154"/>
              </w:tabs>
              <w:autoSpaceDE w:val="0"/>
              <w:autoSpaceDN w:val="0"/>
              <w:adjustRightInd w:val="0"/>
              <w:rPr>
                <w:sz w:val="14"/>
              </w:rPr>
            </w:pPr>
            <w:r>
              <w:rPr>
                <w:sz w:val="14"/>
              </w:rPr>
              <w:t>3.</w:t>
            </w:r>
            <w:r>
              <w:rPr>
                <w:sz w:val="14"/>
              </w:rPr>
              <w:tab/>
              <w:t>Кровотечение</w:t>
            </w:r>
          </w:p>
        </w:tc>
        <w:tc>
          <w:tcPr>
            <w:tcW w:w="255" w:type="pct"/>
            <w:vAlign w:val="bottom"/>
          </w:tcPr>
          <w:p w:rsidR="00000000" w:rsidRDefault="00000000">
            <w:pPr>
              <w:tabs>
                <w:tab w:val="decimal" w:pos="332"/>
              </w:tabs>
              <w:jc w:val="center"/>
              <w:rPr>
                <w:color w:val="000000"/>
                <w:sz w:val="14"/>
                <w:szCs w:val="16"/>
              </w:rPr>
            </w:pPr>
            <w:r>
              <w:rPr>
                <w:color w:val="000000"/>
                <w:sz w:val="14"/>
                <w:szCs w:val="16"/>
              </w:rPr>
              <w:t>21</w:t>
            </w:r>
          </w:p>
        </w:tc>
        <w:tc>
          <w:tcPr>
            <w:tcW w:w="262" w:type="pct"/>
            <w:vAlign w:val="bottom"/>
          </w:tcPr>
          <w:p w:rsidR="00000000" w:rsidRDefault="00000000">
            <w:pPr>
              <w:tabs>
                <w:tab w:val="decimal" w:pos="289"/>
              </w:tabs>
              <w:jc w:val="center"/>
              <w:rPr>
                <w:color w:val="000000"/>
                <w:sz w:val="14"/>
                <w:szCs w:val="16"/>
              </w:rPr>
            </w:pPr>
            <w:r>
              <w:rPr>
                <w:color w:val="000000"/>
                <w:sz w:val="14"/>
                <w:szCs w:val="16"/>
              </w:rPr>
              <w:t>23,8</w:t>
            </w:r>
          </w:p>
        </w:tc>
        <w:tc>
          <w:tcPr>
            <w:tcW w:w="240" w:type="pct"/>
            <w:vAlign w:val="bottom"/>
          </w:tcPr>
          <w:p w:rsidR="00000000" w:rsidRDefault="00000000">
            <w:pPr>
              <w:tabs>
                <w:tab w:val="decimal" w:pos="162"/>
              </w:tabs>
              <w:jc w:val="center"/>
              <w:rPr>
                <w:color w:val="000000"/>
                <w:sz w:val="14"/>
                <w:szCs w:val="16"/>
              </w:rPr>
            </w:pPr>
            <w:r>
              <w:rPr>
                <w:color w:val="000000"/>
                <w:sz w:val="14"/>
                <w:szCs w:val="16"/>
              </w:rPr>
              <w:t>27</w:t>
            </w:r>
          </w:p>
        </w:tc>
        <w:tc>
          <w:tcPr>
            <w:tcW w:w="271" w:type="pct"/>
            <w:vAlign w:val="bottom"/>
          </w:tcPr>
          <w:p w:rsidR="00000000" w:rsidRDefault="00000000">
            <w:pPr>
              <w:tabs>
                <w:tab w:val="decimal" w:pos="380"/>
              </w:tabs>
              <w:jc w:val="center"/>
              <w:rPr>
                <w:color w:val="000000"/>
                <w:sz w:val="14"/>
                <w:szCs w:val="16"/>
              </w:rPr>
            </w:pPr>
            <w:r>
              <w:rPr>
                <w:color w:val="000000"/>
                <w:sz w:val="14"/>
                <w:szCs w:val="16"/>
              </w:rPr>
              <w:t>30,5</w:t>
            </w:r>
          </w:p>
        </w:tc>
        <w:tc>
          <w:tcPr>
            <w:tcW w:w="226" w:type="pct"/>
            <w:vAlign w:val="bottom"/>
          </w:tcPr>
          <w:p w:rsidR="00000000" w:rsidRDefault="00000000">
            <w:pPr>
              <w:tabs>
                <w:tab w:val="decimal" w:pos="181"/>
              </w:tabs>
              <w:jc w:val="center"/>
              <w:rPr>
                <w:color w:val="000000"/>
                <w:sz w:val="14"/>
                <w:szCs w:val="16"/>
              </w:rPr>
            </w:pPr>
            <w:r>
              <w:rPr>
                <w:color w:val="000000"/>
                <w:sz w:val="14"/>
                <w:szCs w:val="16"/>
              </w:rPr>
              <w:t>25</w:t>
            </w:r>
          </w:p>
        </w:tc>
        <w:tc>
          <w:tcPr>
            <w:tcW w:w="249" w:type="pct"/>
            <w:vAlign w:val="bottom"/>
          </w:tcPr>
          <w:p w:rsidR="00000000" w:rsidRDefault="00000000">
            <w:pPr>
              <w:tabs>
                <w:tab w:val="decimal" w:pos="286"/>
              </w:tabs>
              <w:jc w:val="center"/>
              <w:rPr>
                <w:color w:val="000000"/>
                <w:sz w:val="14"/>
                <w:szCs w:val="16"/>
              </w:rPr>
            </w:pPr>
            <w:r>
              <w:rPr>
                <w:color w:val="000000"/>
                <w:sz w:val="14"/>
                <w:szCs w:val="16"/>
              </w:rPr>
              <w:t>28,9</w:t>
            </w:r>
          </w:p>
        </w:tc>
        <w:tc>
          <w:tcPr>
            <w:tcW w:w="248" w:type="pct"/>
            <w:vAlign w:val="bottom"/>
          </w:tcPr>
          <w:p w:rsidR="00000000" w:rsidRDefault="00000000">
            <w:pPr>
              <w:tabs>
                <w:tab w:val="decimal" w:pos="298"/>
              </w:tabs>
              <w:jc w:val="center"/>
              <w:rPr>
                <w:color w:val="000000"/>
                <w:sz w:val="14"/>
                <w:szCs w:val="16"/>
              </w:rPr>
            </w:pPr>
            <w:r>
              <w:rPr>
                <w:color w:val="000000"/>
                <w:sz w:val="14"/>
                <w:szCs w:val="16"/>
              </w:rPr>
              <w:t>28</w:t>
            </w:r>
          </w:p>
        </w:tc>
        <w:tc>
          <w:tcPr>
            <w:tcW w:w="249" w:type="pct"/>
            <w:vAlign w:val="bottom"/>
          </w:tcPr>
          <w:p w:rsidR="00000000" w:rsidRDefault="00000000">
            <w:pPr>
              <w:tabs>
                <w:tab w:val="decimal" w:pos="312"/>
              </w:tabs>
              <w:jc w:val="center"/>
              <w:rPr>
                <w:color w:val="000000"/>
                <w:sz w:val="14"/>
                <w:szCs w:val="16"/>
              </w:rPr>
            </w:pPr>
            <w:r>
              <w:rPr>
                <w:color w:val="000000"/>
                <w:sz w:val="14"/>
                <w:szCs w:val="16"/>
              </w:rPr>
              <w:t>31,1</w:t>
            </w:r>
          </w:p>
        </w:tc>
        <w:tc>
          <w:tcPr>
            <w:tcW w:w="248" w:type="pct"/>
            <w:vAlign w:val="bottom"/>
          </w:tcPr>
          <w:p w:rsidR="00000000" w:rsidRDefault="00000000">
            <w:pPr>
              <w:tabs>
                <w:tab w:val="decimal" w:pos="324"/>
              </w:tabs>
              <w:jc w:val="center"/>
              <w:rPr>
                <w:color w:val="000000"/>
                <w:sz w:val="14"/>
                <w:szCs w:val="16"/>
              </w:rPr>
            </w:pPr>
            <w:r>
              <w:rPr>
                <w:color w:val="000000"/>
                <w:sz w:val="14"/>
                <w:szCs w:val="16"/>
              </w:rPr>
              <w:t>22</w:t>
            </w:r>
          </w:p>
        </w:tc>
        <w:tc>
          <w:tcPr>
            <w:tcW w:w="249" w:type="pct"/>
            <w:vAlign w:val="bottom"/>
          </w:tcPr>
          <w:p w:rsidR="00000000" w:rsidRDefault="00000000">
            <w:pPr>
              <w:tabs>
                <w:tab w:val="decimal" w:pos="338"/>
              </w:tabs>
              <w:jc w:val="center"/>
              <w:rPr>
                <w:color w:val="000000"/>
                <w:sz w:val="14"/>
                <w:szCs w:val="16"/>
              </w:rPr>
            </w:pPr>
            <w:r>
              <w:rPr>
                <w:color w:val="000000"/>
                <w:sz w:val="14"/>
                <w:szCs w:val="16"/>
              </w:rPr>
              <w:t>25,6</w:t>
            </w:r>
          </w:p>
        </w:tc>
        <w:tc>
          <w:tcPr>
            <w:tcW w:w="248" w:type="pct"/>
            <w:vAlign w:val="bottom"/>
          </w:tcPr>
          <w:p w:rsidR="00000000" w:rsidRDefault="00000000">
            <w:pPr>
              <w:tabs>
                <w:tab w:val="decimal" w:pos="350"/>
              </w:tabs>
              <w:jc w:val="center"/>
              <w:rPr>
                <w:color w:val="000000"/>
                <w:sz w:val="14"/>
                <w:szCs w:val="16"/>
              </w:rPr>
            </w:pPr>
            <w:r>
              <w:rPr>
                <w:color w:val="000000"/>
                <w:sz w:val="14"/>
                <w:szCs w:val="16"/>
              </w:rPr>
              <w:t>33</w:t>
            </w:r>
          </w:p>
        </w:tc>
        <w:tc>
          <w:tcPr>
            <w:tcW w:w="249" w:type="pct"/>
            <w:vAlign w:val="bottom"/>
          </w:tcPr>
          <w:p w:rsidR="00000000" w:rsidRDefault="00000000">
            <w:pPr>
              <w:tabs>
                <w:tab w:val="decimal" w:pos="282"/>
              </w:tabs>
              <w:jc w:val="center"/>
              <w:rPr>
                <w:color w:val="000000"/>
                <w:sz w:val="14"/>
                <w:szCs w:val="16"/>
              </w:rPr>
            </w:pPr>
            <w:r>
              <w:rPr>
                <w:color w:val="000000"/>
                <w:sz w:val="14"/>
                <w:szCs w:val="16"/>
              </w:rPr>
              <w:t>39,3</w:t>
            </w:r>
          </w:p>
        </w:tc>
        <w:tc>
          <w:tcPr>
            <w:tcW w:w="248" w:type="pct"/>
            <w:vAlign w:val="bottom"/>
          </w:tcPr>
          <w:p w:rsidR="00000000" w:rsidRDefault="00000000">
            <w:pPr>
              <w:tabs>
                <w:tab w:val="decimal" w:pos="181"/>
              </w:tabs>
              <w:jc w:val="center"/>
              <w:rPr>
                <w:color w:val="000000"/>
                <w:sz w:val="14"/>
                <w:szCs w:val="16"/>
              </w:rPr>
            </w:pPr>
            <w:r>
              <w:rPr>
                <w:color w:val="000000"/>
                <w:sz w:val="14"/>
                <w:szCs w:val="16"/>
              </w:rPr>
              <w:t>48</w:t>
            </w:r>
          </w:p>
        </w:tc>
        <w:tc>
          <w:tcPr>
            <w:tcW w:w="249" w:type="pct"/>
            <w:vAlign w:val="bottom"/>
          </w:tcPr>
          <w:p w:rsidR="00000000" w:rsidRDefault="00000000">
            <w:pPr>
              <w:tabs>
                <w:tab w:val="decimal" w:pos="296"/>
              </w:tabs>
              <w:jc w:val="center"/>
              <w:rPr>
                <w:color w:val="000000"/>
                <w:sz w:val="14"/>
                <w:szCs w:val="16"/>
              </w:rPr>
            </w:pPr>
            <w:r>
              <w:rPr>
                <w:color w:val="000000"/>
                <w:sz w:val="14"/>
                <w:szCs w:val="16"/>
              </w:rPr>
              <w:t>53,3</w:t>
            </w:r>
          </w:p>
        </w:tc>
        <w:tc>
          <w:tcPr>
            <w:tcW w:w="248" w:type="pct"/>
            <w:vAlign w:val="bottom"/>
          </w:tcPr>
          <w:p w:rsidR="00000000" w:rsidRDefault="00000000">
            <w:pPr>
              <w:tabs>
                <w:tab w:val="decimal" w:pos="282"/>
              </w:tabs>
              <w:jc w:val="center"/>
              <w:rPr>
                <w:color w:val="000000"/>
                <w:sz w:val="14"/>
                <w:szCs w:val="16"/>
              </w:rPr>
            </w:pPr>
            <w:r>
              <w:rPr>
                <w:color w:val="000000"/>
                <w:sz w:val="14"/>
                <w:szCs w:val="16"/>
              </w:rPr>
              <w:t>28</w:t>
            </w:r>
          </w:p>
        </w:tc>
        <w:tc>
          <w:tcPr>
            <w:tcW w:w="237" w:type="pct"/>
            <w:vAlign w:val="bottom"/>
          </w:tcPr>
          <w:p w:rsidR="00000000" w:rsidRDefault="00000000">
            <w:pPr>
              <w:tabs>
                <w:tab w:val="decimal" w:pos="296"/>
              </w:tabs>
              <w:jc w:val="center"/>
              <w:rPr>
                <w:color w:val="000000"/>
                <w:sz w:val="14"/>
                <w:szCs w:val="16"/>
              </w:rPr>
            </w:pPr>
            <w:r>
              <w:rPr>
                <w:color w:val="000000"/>
                <w:sz w:val="14"/>
                <w:szCs w:val="16"/>
              </w:rPr>
              <w:t>32,3</w:t>
            </w:r>
          </w:p>
        </w:tc>
      </w:tr>
      <w:tr w:rsidR="00000000">
        <w:tblPrEx>
          <w:tblCellMar>
            <w:top w:w="0" w:type="dxa"/>
            <w:bottom w:w="0" w:type="dxa"/>
          </w:tblCellMar>
        </w:tblPrEx>
        <w:tc>
          <w:tcPr>
            <w:tcW w:w="1024" w:type="pct"/>
          </w:tcPr>
          <w:p w:rsidR="00000000" w:rsidRDefault="00000000">
            <w:pPr>
              <w:tabs>
                <w:tab w:val="left" w:pos="154"/>
              </w:tabs>
              <w:autoSpaceDE w:val="0"/>
              <w:autoSpaceDN w:val="0"/>
              <w:adjustRightInd w:val="0"/>
              <w:rPr>
                <w:sz w:val="14"/>
              </w:rPr>
            </w:pPr>
            <w:r>
              <w:rPr>
                <w:sz w:val="14"/>
              </w:rPr>
              <w:t>4.</w:t>
            </w:r>
            <w:r>
              <w:rPr>
                <w:sz w:val="14"/>
              </w:rPr>
              <w:tab/>
              <w:t>Сепсис</w:t>
            </w:r>
          </w:p>
        </w:tc>
        <w:tc>
          <w:tcPr>
            <w:tcW w:w="255" w:type="pct"/>
            <w:vAlign w:val="bottom"/>
          </w:tcPr>
          <w:p w:rsidR="00000000" w:rsidRDefault="00000000">
            <w:pPr>
              <w:tabs>
                <w:tab w:val="decimal" w:pos="332"/>
              </w:tabs>
              <w:jc w:val="center"/>
              <w:rPr>
                <w:color w:val="000000"/>
                <w:sz w:val="14"/>
                <w:szCs w:val="16"/>
              </w:rPr>
            </w:pPr>
            <w:r>
              <w:rPr>
                <w:color w:val="000000"/>
                <w:sz w:val="14"/>
                <w:szCs w:val="16"/>
              </w:rPr>
              <w:t>10</w:t>
            </w:r>
          </w:p>
        </w:tc>
        <w:tc>
          <w:tcPr>
            <w:tcW w:w="262" w:type="pct"/>
            <w:vAlign w:val="bottom"/>
          </w:tcPr>
          <w:p w:rsidR="00000000" w:rsidRDefault="00000000">
            <w:pPr>
              <w:tabs>
                <w:tab w:val="decimal" w:pos="289"/>
              </w:tabs>
              <w:jc w:val="center"/>
              <w:rPr>
                <w:color w:val="000000"/>
                <w:sz w:val="14"/>
                <w:szCs w:val="16"/>
              </w:rPr>
            </w:pPr>
            <w:r>
              <w:rPr>
                <w:color w:val="000000"/>
                <w:sz w:val="14"/>
                <w:szCs w:val="16"/>
              </w:rPr>
              <w:t>11,3</w:t>
            </w:r>
          </w:p>
        </w:tc>
        <w:tc>
          <w:tcPr>
            <w:tcW w:w="240" w:type="pct"/>
            <w:vAlign w:val="bottom"/>
          </w:tcPr>
          <w:p w:rsidR="00000000" w:rsidRDefault="00000000">
            <w:pPr>
              <w:tabs>
                <w:tab w:val="decimal" w:pos="162"/>
              </w:tabs>
              <w:jc w:val="center"/>
              <w:rPr>
                <w:color w:val="000000"/>
                <w:sz w:val="14"/>
                <w:szCs w:val="16"/>
              </w:rPr>
            </w:pPr>
            <w:r>
              <w:rPr>
                <w:color w:val="000000"/>
                <w:sz w:val="14"/>
                <w:szCs w:val="16"/>
              </w:rPr>
              <w:t>7</w:t>
            </w:r>
          </w:p>
        </w:tc>
        <w:tc>
          <w:tcPr>
            <w:tcW w:w="271" w:type="pct"/>
            <w:vAlign w:val="bottom"/>
          </w:tcPr>
          <w:p w:rsidR="00000000" w:rsidRDefault="00000000">
            <w:pPr>
              <w:tabs>
                <w:tab w:val="decimal" w:pos="380"/>
              </w:tabs>
              <w:jc w:val="center"/>
              <w:rPr>
                <w:color w:val="000000"/>
                <w:sz w:val="14"/>
                <w:szCs w:val="16"/>
              </w:rPr>
            </w:pPr>
            <w:r>
              <w:rPr>
                <w:color w:val="000000"/>
                <w:sz w:val="14"/>
                <w:szCs w:val="16"/>
              </w:rPr>
              <w:t>7,9</w:t>
            </w:r>
          </w:p>
        </w:tc>
        <w:tc>
          <w:tcPr>
            <w:tcW w:w="226" w:type="pct"/>
            <w:vAlign w:val="bottom"/>
          </w:tcPr>
          <w:p w:rsidR="00000000" w:rsidRDefault="00000000">
            <w:pPr>
              <w:tabs>
                <w:tab w:val="decimal" w:pos="181"/>
              </w:tabs>
              <w:jc w:val="center"/>
              <w:rPr>
                <w:color w:val="000000"/>
                <w:sz w:val="14"/>
                <w:szCs w:val="16"/>
              </w:rPr>
            </w:pPr>
            <w:r>
              <w:rPr>
                <w:color w:val="000000"/>
                <w:sz w:val="14"/>
                <w:szCs w:val="16"/>
              </w:rPr>
              <w:t>12</w:t>
            </w:r>
          </w:p>
        </w:tc>
        <w:tc>
          <w:tcPr>
            <w:tcW w:w="249" w:type="pct"/>
            <w:vAlign w:val="bottom"/>
          </w:tcPr>
          <w:p w:rsidR="00000000" w:rsidRDefault="00000000">
            <w:pPr>
              <w:tabs>
                <w:tab w:val="decimal" w:pos="286"/>
              </w:tabs>
              <w:jc w:val="center"/>
              <w:rPr>
                <w:color w:val="000000"/>
                <w:sz w:val="14"/>
                <w:szCs w:val="16"/>
              </w:rPr>
            </w:pPr>
            <w:r>
              <w:rPr>
                <w:color w:val="000000"/>
                <w:sz w:val="14"/>
                <w:szCs w:val="16"/>
              </w:rPr>
              <w:t>13,9</w:t>
            </w:r>
          </w:p>
        </w:tc>
        <w:tc>
          <w:tcPr>
            <w:tcW w:w="248" w:type="pct"/>
            <w:vAlign w:val="bottom"/>
          </w:tcPr>
          <w:p w:rsidR="00000000" w:rsidRDefault="00000000">
            <w:pPr>
              <w:tabs>
                <w:tab w:val="decimal" w:pos="298"/>
              </w:tabs>
              <w:jc w:val="center"/>
              <w:rPr>
                <w:color w:val="000000"/>
                <w:sz w:val="14"/>
                <w:szCs w:val="16"/>
              </w:rPr>
            </w:pPr>
            <w:r>
              <w:rPr>
                <w:color w:val="000000"/>
                <w:sz w:val="14"/>
                <w:szCs w:val="16"/>
              </w:rPr>
              <w:t>11</w:t>
            </w:r>
          </w:p>
        </w:tc>
        <w:tc>
          <w:tcPr>
            <w:tcW w:w="249" w:type="pct"/>
            <w:vAlign w:val="bottom"/>
          </w:tcPr>
          <w:p w:rsidR="00000000" w:rsidRDefault="00000000">
            <w:pPr>
              <w:tabs>
                <w:tab w:val="decimal" w:pos="312"/>
              </w:tabs>
              <w:jc w:val="center"/>
              <w:rPr>
                <w:color w:val="000000"/>
                <w:sz w:val="14"/>
                <w:szCs w:val="16"/>
              </w:rPr>
            </w:pPr>
            <w:r>
              <w:rPr>
                <w:color w:val="000000"/>
                <w:sz w:val="14"/>
                <w:szCs w:val="16"/>
              </w:rPr>
              <w:t>12,2</w:t>
            </w:r>
          </w:p>
        </w:tc>
        <w:tc>
          <w:tcPr>
            <w:tcW w:w="248" w:type="pct"/>
            <w:vAlign w:val="bottom"/>
          </w:tcPr>
          <w:p w:rsidR="00000000" w:rsidRDefault="00000000">
            <w:pPr>
              <w:tabs>
                <w:tab w:val="decimal" w:pos="324"/>
              </w:tabs>
              <w:jc w:val="center"/>
              <w:rPr>
                <w:color w:val="000000"/>
                <w:sz w:val="14"/>
                <w:szCs w:val="16"/>
              </w:rPr>
            </w:pPr>
            <w:r>
              <w:rPr>
                <w:color w:val="000000"/>
                <w:sz w:val="14"/>
                <w:szCs w:val="16"/>
              </w:rPr>
              <w:t>15</w:t>
            </w:r>
          </w:p>
        </w:tc>
        <w:tc>
          <w:tcPr>
            <w:tcW w:w="249" w:type="pct"/>
            <w:vAlign w:val="bottom"/>
          </w:tcPr>
          <w:p w:rsidR="00000000" w:rsidRDefault="00000000">
            <w:pPr>
              <w:tabs>
                <w:tab w:val="decimal" w:pos="338"/>
              </w:tabs>
              <w:jc w:val="center"/>
              <w:rPr>
                <w:color w:val="000000"/>
                <w:sz w:val="14"/>
                <w:szCs w:val="16"/>
              </w:rPr>
            </w:pPr>
            <w:r>
              <w:rPr>
                <w:color w:val="000000"/>
                <w:sz w:val="14"/>
                <w:szCs w:val="16"/>
              </w:rPr>
              <w:t>17,4</w:t>
            </w:r>
          </w:p>
        </w:tc>
        <w:tc>
          <w:tcPr>
            <w:tcW w:w="248" w:type="pct"/>
            <w:vAlign w:val="bottom"/>
          </w:tcPr>
          <w:p w:rsidR="00000000" w:rsidRDefault="00000000">
            <w:pPr>
              <w:tabs>
                <w:tab w:val="decimal" w:pos="350"/>
              </w:tabs>
              <w:jc w:val="center"/>
              <w:rPr>
                <w:color w:val="000000"/>
                <w:sz w:val="14"/>
                <w:szCs w:val="16"/>
              </w:rPr>
            </w:pPr>
            <w:r>
              <w:rPr>
                <w:color w:val="000000"/>
                <w:sz w:val="14"/>
                <w:szCs w:val="16"/>
              </w:rPr>
              <w:t>22</w:t>
            </w:r>
          </w:p>
        </w:tc>
        <w:tc>
          <w:tcPr>
            <w:tcW w:w="249" w:type="pct"/>
            <w:vAlign w:val="bottom"/>
          </w:tcPr>
          <w:p w:rsidR="00000000" w:rsidRDefault="00000000">
            <w:pPr>
              <w:tabs>
                <w:tab w:val="decimal" w:pos="282"/>
              </w:tabs>
              <w:jc w:val="center"/>
              <w:rPr>
                <w:color w:val="000000"/>
                <w:sz w:val="14"/>
                <w:szCs w:val="16"/>
              </w:rPr>
            </w:pPr>
            <w:r>
              <w:rPr>
                <w:color w:val="000000"/>
                <w:sz w:val="14"/>
                <w:szCs w:val="16"/>
              </w:rPr>
              <w:t>26,2</w:t>
            </w:r>
          </w:p>
        </w:tc>
        <w:tc>
          <w:tcPr>
            <w:tcW w:w="248" w:type="pct"/>
            <w:vAlign w:val="bottom"/>
          </w:tcPr>
          <w:p w:rsidR="00000000" w:rsidRDefault="00000000">
            <w:pPr>
              <w:tabs>
                <w:tab w:val="decimal" w:pos="181"/>
              </w:tabs>
              <w:jc w:val="center"/>
              <w:rPr>
                <w:color w:val="000000"/>
                <w:sz w:val="14"/>
                <w:szCs w:val="16"/>
              </w:rPr>
            </w:pPr>
            <w:r>
              <w:rPr>
                <w:color w:val="000000"/>
                <w:sz w:val="14"/>
                <w:szCs w:val="16"/>
              </w:rPr>
              <w:t>19</w:t>
            </w:r>
          </w:p>
        </w:tc>
        <w:tc>
          <w:tcPr>
            <w:tcW w:w="249" w:type="pct"/>
            <w:vAlign w:val="bottom"/>
          </w:tcPr>
          <w:p w:rsidR="00000000" w:rsidRDefault="00000000">
            <w:pPr>
              <w:tabs>
                <w:tab w:val="decimal" w:pos="296"/>
              </w:tabs>
              <w:jc w:val="center"/>
              <w:rPr>
                <w:color w:val="000000"/>
                <w:sz w:val="14"/>
                <w:szCs w:val="16"/>
              </w:rPr>
            </w:pPr>
            <w:r>
              <w:rPr>
                <w:color w:val="000000"/>
                <w:sz w:val="14"/>
                <w:szCs w:val="16"/>
              </w:rPr>
              <w:t>21,1</w:t>
            </w:r>
          </w:p>
        </w:tc>
        <w:tc>
          <w:tcPr>
            <w:tcW w:w="248" w:type="pct"/>
            <w:vAlign w:val="bottom"/>
          </w:tcPr>
          <w:p w:rsidR="00000000" w:rsidRDefault="00000000">
            <w:pPr>
              <w:tabs>
                <w:tab w:val="decimal" w:pos="282"/>
              </w:tabs>
              <w:jc w:val="center"/>
              <w:rPr>
                <w:color w:val="000000"/>
                <w:sz w:val="14"/>
                <w:szCs w:val="16"/>
              </w:rPr>
            </w:pPr>
            <w:r>
              <w:rPr>
                <w:color w:val="000000"/>
                <w:sz w:val="14"/>
                <w:szCs w:val="16"/>
              </w:rPr>
              <w:t>16</w:t>
            </w:r>
          </w:p>
        </w:tc>
        <w:tc>
          <w:tcPr>
            <w:tcW w:w="237" w:type="pct"/>
            <w:vAlign w:val="bottom"/>
          </w:tcPr>
          <w:p w:rsidR="00000000" w:rsidRDefault="00000000">
            <w:pPr>
              <w:tabs>
                <w:tab w:val="decimal" w:pos="296"/>
              </w:tabs>
              <w:jc w:val="center"/>
              <w:rPr>
                <w:color w:val="000000"/>
                <w:sz w:val="14"/>
                <w:szCs w:val="16"/>
              </w:rPr>
            </w:pPr>
            <w:r>
              <w:rPr>
                <w:color w:val="000000"/>
                <w:sz w:val="14"/>
                <w:szCs w:val="16"/>
              </w:rPr>
              <w:t>18,4</w:t>
            </w:r>
          </w:p>
        </w:tc>
      </w:tr>
      <w:tr w:rsidR="00000000">
        <w:tblPrEx>
          <w:tblCellMar>
            <w:top w:w="0" w:type="dxa"/>
            <w:bottom w:w="0" w:type="dxa"/>
          </w:tblCellMar>
        </w:tblPrEx>
        <w:tc>
          <w:tcPr>
            <w:tcW w:w="1024" w:type="pct"/>
          </w:tcPr>
          <w:p w:rsidR="00000000" w:rsidRDefault="00000000">
            <w:pPr>
              <w:tabs>
                <w:tab w:val="left" w:pos="154"/>
              </w:tabs>
              <w:autoSpaceDE w:val="0"/>
              <w:autoSpaceDN w:val="0"/>
              <w:adjustRightInd w:val="0"/>
              <w:ind w:hanging="227"/>
              <w:rPr>
                <w:sz w:val="14"/>
              </w:rPr>
            </w:pPr>
            <w:r>
              <w:rPr>
                <w:sz w:val="14"/>
              </w:rPr>
              <w:t>5.</w:t>
            </w:r>
            <w:r>
              <w:rPr>
                <w:sz w:val="14"/>
              </w:rPr>
              <w:tab/>
              <w:t>5.</w:t>
            </w:r>
            <w:r>
              <w:rPr>
                <w:sz w:val="14"/>
              </w:rPr>
              <w:tab/>
              <w:t>Столбняк при родах</w:t>
            </w:r>
          </w:p>
        </w:tc>
        <w:tc>
          <w:tcPr>
            <w:tcW w:w="255" w:type="pct"/>
            <w:vAlign w:val="bottom"/>
          </w:tcPr>
          <w:p w:rsidR="00000000" w:rsidRDefault="00000000">
            <w:pPr>
              <w:tabs>
                <w:tab w:val="decimal" w:pos="332"/>
              </w:tabs>
              <w:jc w:val="center"/>
              <w:rPr>
                <w:color w:val="000000"/>
                <w:sz w:val="14"/>
                <w:szCs w:val="16"/>
              </w:rPr>
            </w:pPr>
            <w:r>
              <w:rPr>
                <w:color w:val="000000"/>
                <w:sz w:val="14"/>
                <w:szCs w:val="16"/>
              </w:rPr>
              <w:t>0</w:t>
            </w:r>
          </w:p>
        </w:tc>
        <w:tc>
          <w:tcPr>
            <w:tcW w:w="262" w:type="pct"/>
            <w:vAlign w:val="bottom"/>
          </w:tcPr>
          <w:p w:rsidR="00000000" w:rsidRDefault="00000000">
            <w:pPr>
              <w:tabs>
                <w:tab w:val="decimal" w:pos="289"/>
              </w:tabs>
              <w:jc w:val="center"/>
              <w:rPr>
                <w:color w:val="000000"/>
                <w:sz w:val="14"/>
                <w:szCs w:val="16"/>
              </w:rPr>
            </w:pPr>
            <w:r>
              <w:rPr>
                <w:color w:val="000000"/>
                <w:sz w:val="14"/>
                <w:szCs w:val="16"/>
              </w:rPr>
              <w:t>0,0</w:t>
            </w:r>
          </w:p>
        </w:tc>
        <w:tc>
          <w:tcPr>
            <w:tcW w:w="240" w:type="pct"/>
            <w:vAlign w:val="bottom"/>
          </w:tcPr>
          <w:p w:rsidR="00000000" w:rsidRDefault="00000000">
            <w:pPr>
              <w:tabs>
                <w:tab w:val="decimal" w:pos="162"/>
              </w:tabs>
              <w:jc w:val="center"/>
              <w:rPr>
                <w:color w:val="000000"/>
                <w:sz w:val="14"/>
                <w:szCs w:val="16"/>
              </w:rPr>
            </w:pPr>
            <w:r>
              <w:rPr>
                <w:color w:val="000000"/>
                <w:sz w:val="14"/>
                <w:szCs w:val="16"/>
              </w:rPr>
              <w:t>1</w:t>
            </w:r>
          </w:p>
        </w:tc>
        <w:tc>
          <w:tcPr>
            <w:tcW w:w="271" w:type="pct"/>
            <w:vAlign w:val="bottom"/>
          </w:tcPr>
          <w:p w:rsidR="00000000" w:rsidRDefault="00000000">
            <w:pPr>
              <w:tabs>
                <w:tab w:val="decimal" w:pos="380"/>
              </w:tabs>
              <w:jc w:val="center"/>
              <w:rPr>
                <w:color w:val="000000"/>
                <w:sz w:val="14"/>
                <w:szCs w:val="16"/>
              </w:rPr>
            </w:pPr>
            <w:r>
              <w:rPr>
                <w:color w:val="000000"/>
                <w:sz w:val="14"/>
                <w:szCs w:val="16"/>
              </w:rPr>
              <w:t>1,1</w:t>
            </w:r>
          </w:p>
        </w:tc>
        <w:tc>
          <w:tcPr>
            <w:tcW w:w="226" w:type="pct"/>
            <w:vAlign w:val="bottom"/>
          </w:tcPr>
          <w:p w:rsidR="00000000" w:rsidRDefault="00000000">
            <w:pPr>
              <w:tabs>
                <w:tab w:val="decimal" w:pos="181"/>
              </w:tabs>
              <w:jc w:val="center"/>
              <w:rPr>
                <w:color w:val="000000"/>
                <w:sz w:val="14"/>
                <w:szCs w:val="16"/>
              </w:rPr>
            </w:pPr>
            <w:r>
              <w:rPr>
                <w:color w:val="000000"/>
                <w:sz w:val="14"/>
                <w:szCs w:val="16"/>
              </w:rPr>
              <w:t>0</w:t>
            </w:r>
          </w:p>
        </w:tc>
        <w:tc>
          <w:tcPr>
            <w:tcW w:w="249" w:type="pct"/>
            <w:vAlign w:val="bottom"/>
          </w:tcPr>
          <w:p w:rsidR="00000000" w:rsidRDefault="00000000">
            <w:pPr>
              <w:tabs>
                <w:tab w:val="decimal" w:pos="286"/>
              </w:tabs>
              <w:jc w:val="center"/>
              <w:rPr>
                <w:color w:val="000000"/>
                <w:sz w:val="14"/>
                <w:szCs w:val="16"/>
              </w:rPr>
            </w:pPr>
            <w:r>
              <w:rPr>
                <w:color w:val="000000"/>
                <w:sz w:val="14"/>
                <w:szCs w:val="16"/>
              </w:rPr>
              <w:t>0,0</w:t>
            </w:r>
          </w:p>
        </w:tc>
        <w:tc>
          <w:tcPr>
            <w:tcW w:w="248" w:type="pct"/>
            <w:vAlign w:val="bottom"/>
          </w:tcPr>
          <w:p w:rsidR="00000000" w:rsidRDefault="00000000">
            <w:pPr>
              <w:tabs>
                <w:tab w:val="decimal" w:pos="298"/>
              </w:tabs>
              <w:jc w:val="center"/>
              <w:rPr>
                <w:color w:val="000000"/>
                <w:sz w:val="14"/>
                <w:szCs w:val="16"/>
              </w:rPr>
            </w:pPr>
            <w:r>
              <w:rPr>
                <w:color w:val="000000"/>
                <w:sz w:val="14"/>
                <w:szCs w:val="16"/>
              </w:rPr>
              <w:t>0</w:t>
            </w:r>
          </w:p>
        </w:tc>
        <w:tc>
          <w:tcPr>
            <w:tcW w:w="249" w:type="pct"/>
            <w:vAlign w:val="bottom"/>
          </w:tcPr>
          <w:p w:rsidR="00000000" w:rsidRDefault="00000000">
            <w:pPr>
              <w:tabs>
                <w:tab w:val="decimal" w:pos="312"/>
              </w:tabs>
              <w:jc w:val="center"/>
              <w:rPr>
                <w:color w:val="000000"/>
                <w:sz w:val="14"/>
                <w:szCs w:val="16"/>
              </w:rPr>
            </w:pPr>
            <w:r>
              <w:rPr>
                <w:color w:val="000000"/>
                <w:sz w:val="14"/>
                <w:szCs w:val="16"/>
              </w:rPr>
              <w:t>0,0</w:t>
            </w:r>
          </w:p>
        </w:tc>
        <w:tc>
          <w:tcPr>
            <w:tcW w:w="248" w:type="pct"/>
            <w:vAlign w:val="bottom"/>
          </w:tcPr>
          <w:p w:rsidR="00000000" w:rsidRDefault="00000000">
            <w:pPr>
              <w:tabs>
                <w:tab w:val="decimal" w:pos="324"/>
              </w:tabs>
              <w:jc w:val="center"/>
              <w:rPr>
                <w:color w:val="000000"/>
                <w:sz w:val="14"/>
                <w:szCs w:val="16"/>
              </w:rPr>
            </w:pPr>
            <w:r>
              <w:rPr>
                <w:color w:val="000000"/>
                <w:sz w:val="14"/>
                <w:szCs w:val="16"/>
              </w:rPr>
              <w:t>0</w:t>
            </w:r>
          </w:p>
        </w:tc>
        <w:tc>
          <w:tcPr>
            <w:tcW w:w="249" w:type="pct"/>
            <w:vAlign w:val="bottom"/>
          </w:tcPr>
          <w:p w:rsidR="00000000" w:rsidRDefault="00000000">
            <w:pPr>
              <w:tabs>
                <w:tab w:val="decimal" w:pos="338"/>
              </w:tabs>
              <w:jc w:val="center"/>
              <w:rPr>
                <w:color w:val="000000"/>
                <w:sz w:val="14"/>
                <w:szCs w:val="16"/>
              </w:rPr>
            </w:pPr>
            <w:r>
              <w:rPr>
                <w:color w:val="000000"/>
                <w:sz w:val="14"/>
                <w:szCs w:val="16"/>
              </w:rPr>
              <w:t>0,0</w:t>
            </w:r>
          </w:p>
        </w:tc>
        <w:tc>
          <w:tcPr>
            <w:tcW w:w="248" w:type="pct"/>
            <w:vAlign w:val="bottom"/>
          </w:tcPr>
          <w:p w:rsidR="00000000" w:rsidRDefault="00000000">
            <w:pPr>
              <w:tabs>
                <w:tab w:val="decimal" w:pos="350"/>
              </w:tabs>
              <w:jc w:val="center"/>
              <w:rPr>
                <w:color w:val="000000"/>
                <w:sz w:val="14"/>
                <w:szCs w:val="16"/>
              </w:rPr>
            </w:pPr>
            <w:r>
              <w:rPr>
                <w:color w:val="000000"/>
                <w:sz w:val="14"/>
                <w:szCs w:val="16"/>
              </w:rPr>
              <w:t>0</w:t>
            </w:r>
          </w:p>
        </w:tc>
        <w:tc>
          <w:tcPr>
            <w:tcW w:w="249" w:type="pct"/>
            <w:vAlign w:val="bottom"/>
          </w:tcPr>
          <w:p w:rsidR="00000000" w:rsidRDefault="00000000">
            <w:pPr>
              <w:tabs>
                <w:tab w:val="decimal" w:pos="282"/>
              </w:tabs>
              <w:jc w:val="center"/>
              <w:rPr>
                <w:color w:val="000000"/>
                <w:sz w:val="14"/>
                <w:szCs w:val="16"/>
              </w:rPr>
            </w:pPr>
            <w:r>
              <w:rPr>
                <w:color w:val="000000"/>
                <w:sz w:val="14"/>
                <w:szCs w:val="16"/>
              </w:rPr>
              <w:t>0,0</w:t>
            </w:r>
          </w:p>
        </w:tc>
        <w:tc>
          <w:tcPr>
            <w:tcW w:w="248" w:type="pct"/>
            <w:vAlign w:val="bottom"/>
          </w:tcPr>
          <w:p w:rsidR="00000000" w:rsidRDefault="00000000">
            <w:pPr>
              <w:tabs>
                <w:tab w:val="decimal" w:pos="181"/>
              </w:tabs>
              <w:jc w:val="center"/>
              <w:rPr>
                <w:color w:val="000000"/>
                <w:sz w:val="14"/>
                <w:szCs w:val="16"/>
              </w:rPr>
            </w:pPr>
            <w:r>
              <w:rPr>
                <w:color w:val="000000"/>
                <w:sz w:val="14"/>
                <w:szCs w:val="16"/>
              </w:rPr>
              <w:t>0</w:t>
            </w:r>
          </w:p>
        </w:tc>
        <w:tc>
          <w:tcPr>
            <w:tcW w:w="249" w:type="pct"/>
            <w:vAlign w:val="bottom"/>
          </w:tcPr>
          <w:p w:rsidR="00000000" w:rsidRDefault="00000000">
            <w:pPr>
              <w:tabs>
                <w:tab w:val="decimal" w:pos="296"/>
              </w:tabs>
              <w:jc w:val="center"/>
              <w:rPr>
                <w:color w:val="000000"/>
                <w:sz w:val="14"/>
                <w:szCs w:val="16"/>
              </w:rPr>
            </w:pPr>
            <w:r>
              <w:rPr>
                <w:color w:val="000000"/>
                <w:sz w:val="14"/>
                <w:szCs w:val="16"/>
              </w:rPr>
              <w:t>0,0</w:t>
            </w:r>
          </w:p>
        </w:tc>
        <w:tc>
          <w:tcPr>
            <w:tcW w:w="248" w:type="pct"/>
            <w:vAlign w:val="bottom"/>
          </w:tcPr>
          <w:p w:rsidR="00000000" w:rsidRDefault="00000000">
            <w:pPr>
              <w:tabs>
                <w:tab w:val="decimal" w:pos="282"/>
              </w:tabs>
              <w:jc w:val="center"/>
              <w:rPr>
                <w:color w:val="000000"/>
                <w:sz w:val="14"/>
                <w:szCs w:val="16"/>
              </w:rPr>
            </w:pPr>
            <w:r>
              <w:rPr>
                <w:color w:val="000000"/>
                <w:sz w:val="14"/>
                <w:szCs w:val="16"/>
              </w:rPr>
              <w:t>0</w:t>
            </w:r>
          </w:p>
        </w:tc>
        <w:tc>
          <w:tcPr>
            <w:tcW w:w="237" w:type="pct"/>
            <w:vAlign w:val="bottom"/>
          </w:tcPr>
          <w:p w:rsidR="00000000" w:rsidRDefault="00000000">
            <w:pPr>
              <w:tabs>
                <w:tab w:val="decimal" w:pos="296"/>
              </w:tabs>
              <w:jc w:val="center"/>
              <w:rPr>
                <w:color w:val="000000"/>
                <w:sz w:val="14"/>
                <w:szCs w:val="16"/>
              </w:rPr>
            </w:pPr>
            <w:r>
              <w:rPr>
                <w:color w:val="000000"/>
                <w:sz w:val="14"/>
                <w:szCs w:val="16"/>
              </w:rPr>
              <w:t>0,0</w:t>
            </w:r>
          </w:p>
        </w:tc>
      </w:tr>
      <w:tr w:rsidR="00000000">
        <w:tblPrEx>
          <w:tblCellMar>
            <w:top w:w="0" w:type="dxa"/>
            <w:bottom w:w="0" w:type="dxa"/>
          </w:tblCellMar>
        </w:tblPrEx>
        <w:tc>
          <w:tcPr>
            <w:tcW w:w="1024" w:type="pct"/>
          </w:tcPr>
          <w:p w:rsidR="00000000" w:rsidRDefault="00000000">
            <w:pPr>
              <w:tabs>
                <w:tab w:val="left" w:pos="154"/>
              </w:tabs>
              <w:autoSpaceDE w:val="0"/>
              <w:autoSpaceDN w:val="0"/>
              <w:adjustRightInd w:val="0"/>
              <w:rPr>
                <w:sz w:val="14"/>
              </w:rPr>
            </w:pPr>
            <w:r>
              <w:rPr>
                <w:sz w:val="14"/>
              </w:rPr>
              <w:t>6.</w:t>
            </w:r>
            <w:r>
              <w:rPr>
                <w:sz w:val="14"/>
              </w:rPr>
              <w:tab/>
              <w:t>СПИД</w:t>
            </w:r>
          </w:p>
        </w:tc>
        <w:tc>
          <w:tcPr>
            <w:tcW w:w="255" w:type="pct"/>
            <w:vAlign w:val="bottom"/>
          </w:tcPr>
          <w:p w:rsidR="00000000" w:rsidRDefault="00000000">
            <w:pPr>
              <w:tabs>
                <w:tab w:val="decimal" w:pos="332"/>
              </w:tabs>
              <w:jc w:val="center"/>
              <w:rPr>
                <w:color w:val="000000"/>
                <w:sz w:val="14"/>
                <w:szCs w:val="16"/>
              </w:rPr>
            </w:pPr>
            <w:r>
              <w:rPr>
                <w:color w:val="000000"/>
                <w:sz w:val="14"/>
                <w:szCs w:val="16"/>
              </w:rPr>
              <w:t>0</w:t>
            </w:r>
          </w:p>
        </w:tc>
        <w:tc>
          <w:tcPr>
            <w:tcW w:w="262" w:type="pct"/>
            <w:vAlign w:val="bottom"/>
          </w:tcPr>
          <w:p w:rsidR="00000000" w:rsidRDefault="00000000">
            <w:pPr>
              <w:tabs>
                <w:tab w:val="decimal" w:pos="289"/>
              </w:tabs>
              <w:jc w:val="center"/>
              <w:rPr>
                <w:color w:val="000000"/>
                <w:sz w:val="14"/>
                <w:szCs w:val="16"/>
              </w:rPr>
            </w:pPr>
            <w:r>
              <w:rPr>
                <w:color w:val="000000"/>
                <w:sz w:val="14"/>
                <w:szCs w:val="16"/>
              </w:rPr>
              <w:t>0,0</w:t>
            </w:r>
          </w:p>
        </w:tc>
        <w:tc>
          <w:tcPr>
            <w:tcW w:w="240" w:type="pct"/>
            <w:vAlign w:val="bottom"/>
          </w:tcPr>
          <w:p w:rsidR="00000000" w:rsidRDefault="00000000">
            <w:pPr>
              <w:tabs>
                <w:tab w:val="decimal" w:pos="162"/>
              </w:tabs>
              <w:jc w:val="center"/>
              <w:rPr>
                <w:color w:val="000000"/>
                <w:sz w:val="14"/>
                <w:szCs w:val="16"/>
              </w:rPr>
            </w:pPr>
            <w:r>
              <w:rPr>
                <w:color w:val="000000"/>
                <w:sz w:val="14"/>
                <w:szCs w:val="16"/>
              </w:rPr>
              <w:t>0</w:t>
            </w:r>
          </w:p>
        </w:tc>
        <w:tc>
          <w:tcPr>
            <w:tcW w:w="271" w:type="pct"/>
            <w:vAlign w:val="bottom"/>
          </w:tcPr>
          <w:p w:rsidR="00000000" w:rsidRDefault="00000000">
            <w:pPr>
              <w:tabs>
                <w:tab w:val="decimal" w:pos="380"/>
              </w:tabs>
              <w:jc w:val="center"/>
              <w:rPr>
                <w:color w:val="000000"/>
                <w:sz w:val="14"/>
                <w:szCs w:val="16"/>
              </w:rPr>
            </w:pPr>
            <w:r>
              <w:rPr>
                <w:color w:val="000000"/>
                <w:sz w:val="14"/>
                <w:szCs w:val="16"/>
              </w:rPr>
              <w:t>0</w:t>
            </w:r>
          </w:p>
        </w:tc>
        <w:tc>
          <w:tcPr>
            <w:tcW w:w="226" w:type="pct"/>
            <w:vAlign w:val="bottom"/>
          </w:tcPr>
          <w:p w:rsidR="00000000" w:rsidRDefault="00000000">
            <w:pPr>
              <w:tabs>
                <w:tab w:val="decimal" w:pos="181"/>
              </w:tabs>
              <w:jc w:val="center"/>
              <w:rPr>
                <w:color w:val="000000"/>
                <w:sz w:val="14"/>
                <w:szCs w:val="16"/>
              </w:rPr>
            </w:pPr>
            <w:r>
              <w:rPr>
                <w:color w:val="000000"/>
                <w:sz w:val="14"/>
                <w:szCs w:val="16"/>
              </w:rPr>
              <w:t>0</w:t>
            </w:r>
          </w:p>
        </w:tc>
        <w:tc>
          <w:tcPr>
            <w:tcW w:w="249" w:type="pct"/>
            <w:vAlign w:val="bottom"/>
          </w:tcPr>
          <w:p w:rsidR="00000000" w:rsidRDefault="00000000">
            <w:pPr>
              <w:tabs>
                <w:tab w:val="decimal" w:pos="286"/>
              </w:tabs>
              <w:jc w:val="center"/>
              <w:rPr>
                <w:color w:val="000000"/>
                <w:sz w:val="14"/>
                <w:szCs w:val="16"/>
              </w:rPr>
            </w:pPr>
            <w:r>
              <w:rPr>
                <w:color w:val="000000"/>
                <w:sz w:val="14"/>
                <w:szCs w:val="16"/>
              </w:rPr>
              <w:t>0</w:t>
            </w:r>
          </w:p>
        </w:tc>
        <w:tc>
          <w:tcPr>
            <w:tcW w:w="248" w:type="pct"/>
            <w:vAlign w:val="bottom"/>
          </w:tcPr>
          <w:p w:rsidR="00000000" w:rsidRDefault="00000000">
            <w:pPr>
              <w:tabs>
                <w:tab w:val="decimal" w:pos="298"/>
              </w:tabs>
              <w:jc w:val="center"/>
              <w:rPr>
                <w:color w:val="000000"/>
                <w:sz w:val="14"/>
                <w:szCs w:val="16"/>
              </w:rPr>
            </w:pPr>
            <w:r>
              <w:rPr>
                <w:color w:val="000000"/>
                <w:sz w:val="14"/>
                <w:szCs w:val="16"/>
              </w:rPr>
              <w:t>0</w:t>
            </w:r>
          </w:p>
        </w:tc>
        <w:tc>
          <w:tcPr>
            <w:tcW w:w="249" w:type="pct"/>
            <w:vAlign w:val="bottom"/>
          </w:tcPr>
          <w:p w:rsidR="00000000" w:rsidRDefault="00000000">
            <w:pPr>
              <w:tabs>
                <w:tab w:val="decimal" w:pos="312"/>
              </w:tabs>
              <w:jc w:val="center"/>
              <w:rPr>
                <w:color w:val="000000"/>
                <w:sz w:val="14"/>
                <w:szCs w:val="16"/>
              </w:rPr>
            </w:pPr>
            <w:r>
              <w:rPr>
                <w:color w:val="000000"/>
                <w:sz w:val="14"/>
                <w:szCs w:val="16"/>
              </w:rPr>
              <w:t>0</w:t>
            </w:r>
          </w:p>
        </w:tc>
        <w:tc>
          <w:tcPr>
            <w:tcW w:w="248" w:type="pct"/>
            <w:vAlign w:val="bottom"/>
          </w:tcPr>
          <w:p w:rsidR="00000000" w:rsidRDefault="00000000">
            <w:pPr>
              <w:tabs>
                <w:tab w:val="decimal" w:pos="324"/>
              </w:tabs>
              <w:jc w:val="center"/>
              <w:rPr>
                <w:color w:val="000000"/>
                <w:sz w:val="14"/>
                <w:szCs w:val="16"/>
              </w:rPr>
            </w:pPr>
            <w:r>
              <w:rPr>
                <w:color w:val="000000"/>
                <w:sz w:val="14"/>
                <w:szCs w:val="16"/>
              </w:rPr>
              <w:t>0</w:t>
            </w:r>
          </w:p>
        </w:tc>
        <w:tc>
          <w:tcPr>
            <w:tcW w:w="249" w:type="pct"/>
            <w:vAlign w:val="bottom"/>
          </w:tcPr>
          <w:p w:rsidR="00000000" w:rsidRDefault="00000000">
            <w:pPr>
              <w:tabs>
                <w:tab w:val="decimal" w:pos="338"/>
              </w:tabs>
              <w:jc w:val="center"/>
              <w:rPr>
                <w:color w:val="000000"/>
                <w:sz w:val="14"/>
                <w:szCs w:val="16"/>
              </w:rPr>
            </w:pPr>
            <w:r>
              <w:rPr>
                <w:color w:val="000000"/>
                <w:sz w:val="14"/>
                <w:szCs w:val="16"/>
              </w:rPr>
              <w:t>0</w:t>
            </w:r>
          </w:p>
        </w:tc>
        <w:tc>
          <w:tcPr>
            <w:tcW w:w="248" w:type="pct"/>
            <w:vAlign w:val="bottom"/>
          </w:tcPr>
          <w:p w:rsidR="00000000" w:rsidRDefault="00000000">
            <w:pPr>
              <w:tabs>
                <w:tab w:val="decimal" w:pos="350"/>
              </w:tabs>
              <w:jc w:val="center"/>
              <w:rPr>
                <w:color w:val="000000"/>
                <w:sz w:val="14"/>
                <w:szCs w:val="16"/>
              </w:rPr>
            </w:pPr>
            <w:r>
              <w:rPr>
                <w:color w:val="000000"/>
                <w:sz w:val="14"/>
                <w:szCs w:val="16"/>
              </w:rPr>
              <w:t>2</w:t>
            </w:r>
          </w:p>
        </w:tc>
        <w:tc>
          <w:tcPr>
            <w:tcW w:w="249" w:type="pct"/>
            <w:vAlign w:val="bottom"/>
          </w:tcPr>
          <w:p w:rsidR="00000000" w:rsidRDefault="00000000">
            <w:pPr>
              <w:tabs>
                <w:tab w:val="decimal" w:pos="282"/>
              </w:tabs>
              <w:jc w:val="center"/>
              <w:rPr>
                <w:color w:val="000000"/>
                <w:sz w:val="14"/>
                <w:szCs w:val="16"/>
              </w:rPr>
            </w:pPr>
            <w:r>
              <w:rPr>
                <w:color w:val="000000"/>
                <w:sz w:val="14"/>
                <w:szCs w:val="16"/>
              </w:rPr>
              <w:t>2,4</w:t>
            </w:r>
          </w:p>
        </w:tc>
        <w:tc>
          <w:tcPr>
            <w:tcW w:w="248" w:type="pct"/>
            <w:vAlign w:val="bottom"/>
          </w:tcPr>
          <w:p w:rsidR="00000000" w:rsidRDefault="00000000">
            <w:pPr>
              <w:tabs>
                <w:tab w:val="decimal" w:pos="181"/>
              </w:tabs>
              <w:jc w:val="center"/>
              <w:rPr>
                <w:color w:val="000000"/>
                <w:sz w:val="14"/>
                <w:szCs w:val="16"/>
              </w:rPr>
            </w:pPr>
            <w:r>
              <w:rPr>
                <w:color w:val="000000"/>
                <w:sz w:val="14"/>
                <w:szCs w:val="16"/>
              </w:rPr>
              <w:t>0</w:t>
            </w:r>
          </w:p>
        </w:tc>
        <w:tc>
          <w:tcPr>
            <w:tcW w:w="249" w:type="pct"/>
            <w:vAlign w:val="bottom"/>
          </w:tcPr>
          <w:p w:rsidR="00000000" w:rsidRDefault="00000000">
            <w:pPr>
              <w:tabs>
                <w:tab w:val="decimal" w:pos="296"/>
              </w:tabs>
              <w:jc w:val="center"/>
              <w:rPr>
                <w:color w:val="000000"/>
                <w:sz w:val="14"/>
                <w:szCs w:val="16"/>
              </w:rPr>
            </w:pPr>
            <w:r>
              <w:rPr>
                <w:color w:val="000000"/>
                <w:sz w:val="14"/>
                <w:szCs w:val="16"/>
              </w:rPr>
              <w:t>0,0</w:t>
            </w:r>
          </w:p>
        </w:tc>
        <w:tc>
          <w:tcPr>
            <w:tcW w:w="248" w:type="pct"/>
            <w:vAlign w:val="bottom"/>
          </w:tcPr>
          <w:p w:rsidR="00000000" w:rsidRDefault="00000000">
            <w:pPr>
              <w:tabs>
                <w:tab w:val="decimal" w:pos="282"/>
              </w:tabs>
              <w:jc w:val="center"/>
              <w:rPr>
                <w:color w:val="000000"/>
                <w:sz w:val="14"/>
                <w:szCs w:val="16"/>
              </w:rPr>
            </w:pPr>
            <w:r>
              <w:rPr>
                <w:color w:val="000000"/>
                <w:sz w:val="14"/>
                <w:szCs w:val="16"/>
              </w:rPr>
              <w:t>0</w:t>
            </w:r>
          </w:p>
        </w:tc>
        <w:tc>
          <w:tcPr>
            <w:tcW w:w="237" w:type="pct"/>
            <w:vAlign w:val="bottom"/>
          </w:tcPr>
          <w:p w:rsidR="00000000" w:rsidRDefault="00000000">
            <w:pPr>
              <w:tabs>
                <w:tab w:val="decimal" w:pos="296"/>
              </w:tabs>
              <w:jc w:val="center"/>
              <w:rPr>
                <w:color w:val="000000"/>
                <w:sz w:val="14"/>
                <w:szCs w:val="16"/>
              </w:rPr>
            </w:pPr>
            <w:r>
              <w:rPr>
                <w:color w:val="000000"/>
                <w:sz w:val="14"/>
                <w:szCs w:val="16"/>
              </w:rPr>
              <w:t>0,0</w:t>
            </w:r>
          </w:p>
        </w:tc>
      </w:tr>
      <w:tr w:rsidR="00000000">
        <w:tblPrEx>
          <w:tblCellMar>
            <w:top w:w="0" w:type="dxa"/>
            <w:bottom w:w="0" w:type="dxa"/>
          </w:tblCellMar>
        </w:tblPrEx>
        <w:tc>
          <w:tcPr>
            <w:tcW w:w="1024" w:type="pct"/>
          </w:tcPr>
          <w:p w:rsidR="00000000" w:rsidRDefault="00000000">
            <w:pPr>
              <w:tabs>
                <w:tab w:val="left" w:pos="154"/>
              </w:tabs>
              <w:autoSpaceDE w:val="0"/>
              <w:autoSpaceDN w:val="0"/>
              <w:adjustRightInd w:val="0"/>
              <w:rPr>
                <w:sz w:val="14"/>
              </w:rPr>
            </w:pPr>
            <w:r>
              <w:rPr>
                <w:sz w:val="14"/>
              </w:rPr>
              <w:t>7.</w:t>
            </w:r>
            <w:r>
              <w:rPr>
                <w:sz w:val="14"/>
              </w:rPr>
              <w:tab/>
              <w:t xml:space="preserve">Прочие осложнения в </w:t>
            </w:r>
            <w:r>
              <w:rPr>
                <w:sz w:val="14"/>
              </w:rPr>
              <w:tab/>
              <w:t>период беременности, родов и послеродовой период</w:t>
            </w:r>
          </w:p>
        </w:tc>
        <w:tc>
          <w:tcPr>
            <w:tcW w:w="255" w:type="pct"/>
            <w:vAlign w:val="bottom"/>
          </w:tcPr>
          <w:p w:rsidR="00000000" w:rsidRDefault="00000000">
            <w:pPr>
              <w:tabs>
                <w:tab w:val="decimal" w:pos="332"/>
              </w:tabs>
              <w:jc w:val="center"/>
              <w:rPr>
                <w:color w:val="000000"/>
                <w:sz w:val="14"/>
                <w:szCs w:val="16"/>
              </w:rPr>
            </w:pPr>
            <w:r>
              <w:rPr>
                <w:color w:val="000000"/>
                <w:sz w:val="14"/>
                <w:szCs w:val="16"/>
              </w:rPr>
              <w:t>21</w:t>
            </w:r>
          </w:p>
        </w:tc>
        <w:tc>
          <w:tcPr>
            <w:tcW w:w="262" w:type="pct"/>
            <w:vAlign w:val="bottom"/>
          </w:tcPr>
          <w:p w:rsidR="00000000" w:rsidRDefault="00000000">
            <w:pPr>
              <w:tabs>
                <w:tab w:val="decimal" w:pos="289"/>
              </w:tabs>
              <w:jc w:val="center"/>
              <w:rPr>
                <w:color w:val="000000"/>
                <w:sz w:val="14"/>
                <w:szCs w:val="16"/>
              </w:rPr>
            </w:pPr>
            <w:r>
              <w:rPr>
                <w:color w:val="000000"/>
                <w:sz w:val="14"/>
                <w:szCs w:val="16"/>
              </w:rPr>
              <w:t>23,8</w:t>
            </w:r>
          </w:p>
        </w:tc>
        <w:tc>
          <w:tcPr>
            <w:tcW w:w="240" w:type="pct"/>
            <w:vAlign w:val="bottom"/>
          </w:tcPr>
          <w:p w:rsidR="00000000" w:rsidRDefault="00000000">
            <w:pPr>
              <w:tabs>
                <w:tab w:val="decimal" w:pos="162"/>
              </w:tabs>
              <w:jc w:val="center"/>
              <w:rPr>
                <w:color w:val="000000"/>
                <w:sz w:val="14"/>
                <w:szCs w:val="16"/>
              </w:rPr>
            </w:pPr>
            <w:r>
              <w:rPr>
                <w:color w:val="000000"/>
                <w:sz w:val="14"/>
                <w:szCs w:val="16"/>
              </w:rPr>
              <w:t>15</w:t>
            </w:r>
          </w:p>
        </w:tc>
        <w:tc>
          <w:tcPr>
            <w:tcW w:w="271" w:type="pct"/>
            <w:vAlign w:val="bottom"/>
          </w:tcPr>
          <w:p w:rsidR="00000000" w:rsidRDefault="00000000">
            <w:pPr>
              <w:tabs>
                <w:tab w:val="decimal" w:pos="380"/>
              </w:tabs>
              <w:jc w:val="center"/>
              <w:rPr>
                <w:color w:val="000000"/>
                <w:sz w:val="14"/>
                <w:szCs w:val="16"/>
              </w:rPr>
            </w:pPr>
            <w:r>
              <w:rPr>
                <w:color w:val="000000"/>
                <w:sz w:val="14"/>
                <w:szCs w:val="16"/>
              </w:rPr>
              <w:t>17,0</w:t>
            </w:r>
          </w:p>
        </w:tc>
        <w:tc>
          <w:tcPr>
            <w:tcW w:w="226" w:type="pct"/>
            <w:vAlign w:val="bottom"/>
          </w:tcPr>
          <w:p w:rsidR="00000000" w:rsidRDefault="00000000">
            <w:pPr>
              <w:tabs>
                <w:tab w:val="decimal" w:pos="181"/>
              </w:tabs>
              <w:jc w:val="center"/>
              <w:rPr>
                <w:color w:val="000000"/>
                <w:sz w:val="14"/>
                <w:szCs w:val="16"/>
              </w:rPr>
            </w:pPr>
            <w:r>
              <w:rPr>
                <w:color w:val="000000"/>
                <w:sz w:val="14"/>
                <w:szCs w:val="16"/>
              </w:rPr>
              <w:t>20</w:t>
            </w:r>
          </w:p>
        </w:tc>
        <w:tc>
          <w:tcPr>
            <w:tcW w:w="249" w:type="pct"/>
            <w:vAlign w:val="bottom"/>
          </w:tcPr>
          <w:p w:rsidR="00000000" w:rsidRDefault="00000000">
            <w:pPr>
              <w:tabs>
                <w:tab w:val="decimal" w:pos="286"/>
              </w:tabs>
              <w:jc w:val="center"/>
              <w:rPr>
                <w:color w:val="000000"/>
                <w:sz w:val="14"/>
                <w:szCs w:val="16"/>
              </w:rPr>
            </w:pPr>
            <w:r>
              <w:rPr>
                <w:color w:val="000000"/>
                <w:sz w:val="14"/>
                <w:szCs w:val="16"/>
              </w:rPr>
              <w:t>23,1</w:t>
            </w:r>
          </w:p>
        </w:tc>
        <w:tc>
          <w:tcPr>
            <w:tcW w:w="248" w:type="pct"/>
            <w:vAlign w:val="bottom"/>
          </w:tcPr>
          <w:p w:rsidR="00000000" w:rsidRDefault="00000000">
            <w:pPr>
              <w:tabs>
                <w:tab w:val="decimal" w:pos="298"/>
              </w:tabs>
              <w:jc w:val="center"/>
              <w:rPr>
                <w:color w:val="000000"/>
                <w:sz w:val="14"/>
                <w:szCs w:val="16"/>
              </w:rPr>
            </w:pPr>
            <w:r>
              <w:rPr>
                <w:color w:val="000000"/>
                <w:sz w:val="14"/>
                <w:szCs w:val="16"/>
              </w:rPr>
              <w:t>20</w:t>
            </w:r>
          </w:p>
        </w:tc>
        <w:tc>
          <w:tcPr>
            <w:tcW w:w="249" w:type="pct"/>
            <w:vAlign w:val="bottom"/>
          </w:tcPr>
          <w:p w:rsidR="00000000" w:rsidRDefault="00000000">
            <w:pPr>
              <w:tabs>
                <w:tab w:val="decimal" w:pos="312"/>
              </w:tabs>
              <w:jc w:val="center"/>
              <w:rPr>
                <w:color w:val="000000"/>
                <w:sz w:val="14"/>
                <w:szCs w:val="16"/>
              </w:rPr>
            </w:pPr>
            <w:r>
              <w:rPr>
                <w:color w:val="000000"/>
                <w:sz w:val="14"/>
                <w:szCs w:val="16"/>
              </w:rPr>
              <w:t>22,2</w:t>
            </w:r>
          </w:p>
        </w:tc>
        <w:tc>
          <w:tcPr>
            <w:tcW w:w="248" w:type="pct"/>
            <w:vAlign w:val="bottom"/>
          </w:tcPr>
          <w:p w:rsidR="00000000" w:rsidRDefault="00000000">
            <w:pPr>
              <w:tabs>
                <w:tab w:val="decimal" w:pos="324"/>
              </w:tabs>
              <w:jc w:val="center"/>
              <w:rPr>
                <w:color w:val="000000"/>
                <w:sz w:val="14"/>
                <w:szCs w:val="16"/>
              </w:rPr>
            </w:pPr>
            <w:r>
              <w:rPr>
                <w:color w:val="000000"/>
                <w:sz w:val="14"/>
                <w:szCs w:val="16"/>
              </w:rPr>
              <w:t>32</w:t>
            </w:r>
          </w:p>
        </w:tc>
        <w:tc>
          <w:tcPr>
            <w:tcW w:w="249" w:type="pct"/>
            <w:vAlign w:val="bottom"/>
          </w:tcPr>
          <w:p w:rsidR="00000000" w:rsidRDefault="00000000">
            <w:pPr>
              <w:tabs>
                <w:tab w:val="decimal" w:pos="338"/>
              </w:tabs>
              <w:jc w:val="center"/>
              <w:rPr>
                <w:color w:val="000000"/>
                <w:sz w:val="14"/>
                <w:szCs w:val="16"/>
              </w:rPr>
            </w:pPr>
            <w:r>
              <w:rPr>
                <w:color w:val="000000"/>
                <w:sz w:val="14"/>
                <w:szCs w:val="16"/>
              </w:rPr>
              <w:t>37,2</w:t>
            </w:r>
          </w:p>
        </w:tc>
        <w:tc>
          <w:tcPr>
            <w:tcW w:w="248" w:type="pct"/>
            <w:vAlign w:val="bottom"/>
          </w:tcPr>
          <w:p w:rsidR="00000000" w:rsidRDefault="00000000">
            <w:pPr>
              <w:tabs>
                <w:tab w:val="decimal" w:pos="350"/>
              </w:tabs>
              <w:jc w:val="center"/>
              <w:rPr>
                <w:color w:val="000000"/>
                <w:sz w:val="14"/>
                <w:szCs w:val="16"/>
              </w:rPr>
            </w:pPr>
            <w:r>
              <w:rPr>
                <w:color w:val="000000"/>
                <w:sz w:val="14"/>
                <w:szCs w:val="16"/>
              </w:rPr>
              <w:t>25</w:t>
            </w:r>
          </w:p>
        </w:tc>
        <w:tc>
          <w:tcPr>
            <w:tcW w:w="249" w:type="pct"/>
            <w:vAlign w:val="bottom"/>
          </w:tcPr>
          <w:p w:rsidR="00000000" w:rsidRDefault="00000000">
            <w:pPr>
              <w:tabs>
                <w:tab w:val="decimal" w:pos="282"/>
              </w:tabs>
              <w:jc w:val="center"/>
              <w:rPr>
                <w:color w:val="000000"/>
                <w:sz w:val="14"/>
                <w:szCs w:val="16"/>
              </w:rPr>
            </w:pPr>
            <w:r>
              <w:rPr>
                <w:color w:val="000000"/>
                <w:sz w:val="14"/>
                <w:szCs w:val="16"/>
              </w:rPr>
              <w:t>29,8</w:t>
            </w:r>
          </w:p>
        </w:tc>
        <w:tc>
          <w:tcPr>
            <w:tcW w:w="248" w:type="pct"/>
            <w:vAlign w:val="bottom"/>
          </w:tcPr>
          <w:p w:rsidR="00000000" w:rsidRDefault="00000000">
            <w:pPr>
              <w:tabs>
                <w:tab w:val="decimal" w:pos="181"/>
              </w:tabs>
              <w:jc w:val="center"/>
              <w:rPr>
                <w:color w:val="000000"/>
                <w:sz w:val="14"/>
                <w:szCs w:val="16"/>
              </w:rPr>
            </w:pPr>
            <w:r>
              <w:rPr>
                <w:color w:val="000000"/>
                <w:sz w:val="14"/>
                <w:szCs w:val="16"/>
              </w:rPr>
              <w:t>31</w:t>
            </w:r>
          </w:p>
        </w:tc>
        <w:tc>
          <w:tcPr>
            <w:tcW w:w="249" w:type="pct"/>
            <w:vAlign w:val="bottom"/>
          </w:tcPr>
          <w:p w:rsidR="00000000" w:rsidRDefault="00000000">
            <w:pPr>
              <w:tabs>
                <w:tab w:val="decimal" w:pos="296"/>
              </w:tabs>
              <w:jc w:val="center"/>
              <w:rPr>
                <w:color w:val="000000"/>
                <w:sz w:val="14"/>
                <w:szCs w:val="16"/>
              </w:rPr>
            </w:pPr>
            <w:r>
              <w:rPr>
                <w:color w:val="000000"/>
                <w:sz w:val="14"/>
                <w:szCs w:val="16"/>
              </w:rPr>
              <w:t>34,4</w:t>
            </w:r>
          </w:p>
        </w:tc>
        <w:tc>
          <w:tcPr>
            <w:tcW w:w="248" w:type="pct"/>
            <w:vAlign w:val="bottom"/>
          </w:tcPr>
          <w:p w:rsidR="00000000" w:rsidRDefault="00000000">
            <w:pPr>
              <w:tabs>
                <w:tab w:val="decimal" w:pos="282"/>
              </w:tabs>
              <w:jc w:val="center"/>
              <w:rPr>
                <w:color w:val="000000"/>
                <w:sz w:val="14"/>
                <w:szCs w:val="16"/>
              </w:rPr>
            </w:pPr>
            <w:r>
              <w:rPr>
                <w:color w:val="000000"/>
                <w:sz w:val="14"/>
                <w:szCs w:val="16"/>
              </w:rPr>
              <w:t>39</w:t>
            </w:r>
          </w:p>
        </w:tc>
        <w:tc>
          <w:tcPr>
            <w:tcW w:w="237" w:type="pct"/>
            <w:vAlign w:val="bottom"/>
          </w:tcPr>
          <w:p w:rsidR="00000000" w:rsidRDefault="00000000">
            <w:pPr>
              <w:tabs>
                <w:tab w:val="decimal" w:pos="296"/>
              </w:tabs>
              <w:jc w:val="center"/>
              <w:rPr>
                <w:color w:val="000000"/>
                <w:sz w:val="14"/>
                <w:szCs w:val="16"/>
              </w:rPr>
            </w:pPr>
            <w:r>
              <w:rPr>
                <w:color w:val="000000"/>
                <w:sz w:val="14"/>
                <w:szCs w:val="16"/>
              </w:rPr>
              <w:t>45,0</w:t>
            </w:r>
          </w:p>
        </w:tc>
      </w:tr>
      <w:tr w:rsidR="00000000">
        <w:tblPrEx>
          <w:tblCellMar>
            <w:top w:w="0" w:type="dxa"/>
            <w:bottom w:w="0" w:type="dxa"/>
          </w:tblCellMar>
        </w:tblPrEx>
        <w:tc>
          <w:tcPr>
            <w:tcW w:w="1024" w:type="pct"/>
            <w:vAlign w:val="center"/>
          </w:tcPr>
          <w:p w:rsidR="00000000" w:rsidRDefault="00000000">
            <w:pPr>
              <w:tabs>
                <w:tab w:val="left" w:pos="207"/>
              </w:tabs>
              <w:autoSpaceDE w:val="0"/>
              <w:autoSpaceDN w:val="0"/>
              <w:adjustRightInd w:val="0"/>
              <w:rPr>
                <w:b/>
                <w:bCs/>
                <w:sz w:val="14"/>
              </w:rPr>
            </w:pPr>
            <w:r>
              <w:rPr>
                <w:sz w:val="14"/>
              </w:rPr>
              <w:tab/>
            </w:r>
            <w:r>
              <w:rPr>
                <w:b/>
                <w:bCs/>
                <w:sz w:val="14"/>
              </w:rPr>
              <w:t>Итого</w:t>
            </w:r>
          </w:p>
        </w:tc>
        <w:tc>
          <w:tcPr>
            <w:tcW w:w="255" w:type="pct"/>
            <w:vAlign w:val="bottom"/>
          </w:tcPr>
          <w:p w:rsidR="00000000" w:rsidRDefault="00000000">
            <w:pPr>
              <w:tabs>
                <w:tab w:val="decimal" w:pos="332"/>
              </w:tabs>
              <w:jc w:val="center"/>
              <w:rPr>
                <w:color w:val="000000"/>
                <w:sz w:val="14"/>
                <w:szCs w:val="16"/>
              </w:rPr>
            </w:pPr>
            <w:r>
              <w:rPr>
                <w:color w:val="000000"/>
                <w:sz w:val="14"/>
                <w:szCs w:val="16"/>
              </w:rPr>
              <w:t>109</w:t>
            </w:r>
          </w:p>
        </w:tc>
        <w:tc>
          <w:tcPr>
            <w:tcW w:w="262" w:type="pct"/>
            <w:vAlign w:val="bottom"/>
          </w:tcPr>
          <w:p w:rsidR="00000000" w:rsidRDefault="00000000">
            <w:pPr>
              <w:tabs>
                <w:tab w:val="decimal" w:pos="289"/>
              </w:tabs>
              <w:jc w:val="center"/>
              <w:rPr>
                <w:color w:val="000000"/>
                <w:sz w:val="14"/>
                <w:szCs w:val="16"/>
              </w:rPr>
            </w:pPr>
            <w:r>
              <w:rPr>
                <w:color w:val="000000"/>
                <w:sz w:val="14"/>
                <w:szCs w:val="16"/>
              </w:rPr>
              <w:t>123,3</w:t>
            </w:r>
          </w:p>
        </w:tc>
        <w:tc>
          <w:tcPr>
            <w:tcW w:w="240" w:type="pct"/>
            <w:vAlign w:val="bottom"/>
          </w:tcPr>
          <w:p w:rsidR="00000000" w:rsidRDefault="00000000">
            <w:pPr>
              <w:tabs>
                <w:tab w:val="decimal" w:pos="162"/>
              </w:tabs>
              <w:jc w:val="center"/>
              <w:rPr>
                <w:color w:val="000000"/>
                <w:sz w:val="14"/>
                <w:szCs w:val="16"/>
              </w:rPr>
            </w:pPr>
            <w:r>
              <w:rPr>
                <w:color w:val="000000"/>
                <w:sz w:val="14"/>
                <w:szCs w:val="16"/>
              </w:rPr>
              <w:t>90</w:t>
            </w:r>
          </w:p>
        </w:tc>
        <w:tc>
          <w:tcPr>
            <w:tcW w:w="271" w:type="pct"/>
            <w:vAlign w:val="bottom"/>
          </w:tcPr>
          <w:p w:rsidR="00000000" w:rsidRDefault="00000000">
            <w:pPr>
              <w:tabs>
                <w:tab w:val="decimal" w:pos="380"/>
              </w:tabs>
              <w:jc w:val="center"/>
              <w:rPr>
                <w:color w:val="000000"/>
                <w:sz w:val="14"/>
                <w:szCs w:val="16"/>
              </w:rPr>
            </w:pPr>
            <w:r>
              <w:rPr>
                <w:color w:val="000000"/>
                <w:sz w:val="14"/>
                <w:szCs w:val="16"/>
              </w:rPr>
              <w:t>101,8</w:t>
            </w:r>
          </w:p>
        </w:tc>
        <w:tc>
          <w:tcPr>
            <w:tcW w:w="226" w:type="pct"/>
            <w:vAlign w:val="bottom"/>
          </w:tcPr>
          <w:p w:rsidR="00000000" w:rsidRDefault="00000000">
            <w:pPr>
              <w:tabs>
                <w:tab w:val="decimal" w:pos="181"/>
              </w:tabs>
              <w:jc w:val="center"/>
              <w:rPr>
                <w:color w:val="000000"/>
                <w:sz w:val="14"/>
                <w:szCs w:val="16"/>
              </w:rPr>
            </w:pPr>
            <w:r>
              <w:rPr>
                <w:color w:val="000000"/>
                <w:sz w:val="14"/>
                <w:szCs w:val="16"/>
              </w:rPr>
              <w:t>96</w:t>
            </w:r>
          </w:p>
        </w:tc>
        <w:tc>
          <w:tcPr>
            <w:tcW w:w="249" w:type="pct"/>
            <w:vAlign w:val="bottom"/>
          </w:tcPr>
          <w:p w:rsidR="00000000" w:rsidRDefault="00000000">
            <w:pPr>
              <w:tabs>
                <w:tab w:val="decimal" w:pos="286"/>
              </w:tabs>
              <w:jc w:val="center"/>
              <w:rPr>
                <w:color w:val="000000"/>
                <w:sz w:val="14"/>
                <w:szCs w:val="16"/>
              </w:rPr>
            </w:pPr>
            <w:r>
              <w:rPr>
                <w:color w:val="000000"/>
                <w:sz w:val="14"/>
                <w:szCs w:val="16"/>
              </w:rPr>
              <w:t>110,9</w:t>
            </w:r>
          </w:p>
        </w:tc>
        <w:tc>
          <w:tcPr>
            <w:tcW w:w="248" w:type="pct"/>
            <w:vAlign w:val="bottom"/>
          </w:tcPr>
          <w:p w:rsidR="00000000" w:rsidRDefault="00000000">
            <w:pPr>
              <w:tabs>
                <w:tab w:val="decimal" w:pos="298"/>
              </w:tabs>
              <w:jc w:val="center"/>
              <w:rPr>
                <w:color w:val="000000"/>
                <w:sz w:val="14"/>
                <w:szCs w:val="16"/>
              </w:rPr>
            </w:pPr>
            <w:r>
              <w:rPr>
                <w:color w:val="000000"/>
                <w:sz w:val="14"/>
                <w:szCs w:val="16"/>
              </w:rPr>
              <w:t>103</w:t>
            </w:r>
          </w:p>
        </w:tc>
        <w:tc>
          <w:tcPr>
            <w:tcW w:w="249" w:type="pct"/>
            <w:vAlign w:val="bottom"/>
          </w:tcPr>
          <w:p w:rsidR="00000000" w:rsidRDefault="00000000">
            <w:pPr>
              <w:tabs>
                <w:tab w:val="decimal" w:pos="312"/>
              </w:tabs>
              <w:jc w:val="center"/>
              <w:rPr>
                <w:color w:val="000000"/>
                <w:sz w:val="14"/>
                <w:szCs w:val="16"/>
              </w:rPr>
            </w:pPr>
            <w:r>
              <w:rPr>
                <w:color w:val="000000"/>
                <w:sz w:val="14"/>
                <w:szCs w:val="16"/>
              </w:rPr>
              <w:t>114,4</w:t>
            </w:r>
          </w:p>
        </w:tc>
        <w:tc>
          <w:tcPr>
            <w:tcW w:w="248" w:type="pct"/>
            <w:vAlign w:val="bottom"/>
          </w:tcPr>
          <w:p w:rsidR="00000000" w:rsidRDefault="00000000">
            <w:pPr>
              <w:tabs>
                <w:tab w:val="decimal" w:pos="324"/>
              </w:tabs>
              <w:jc w:val="center"/>
              <w:rPr>
                <w:color w:val="000000"/>
                <w:sz w:val="14"/>
                <w:szCs w:val="16"/>
              </w:rPr>
            </w:pPr>
            <w:r>
              <w:rPr>
                <w:color w:val="000000"/>
                <w:sz w:val="14"/>
                <w:szCs w:val="16"/>
              </w:rPr>
              <w:t>141</w:t>
            </w:r>
          </w:p>
        </w:tc>
        <w:tc>
          <w:tcPr>
            <w:tcW w:w="249" w:type="pct"/>
            <w:vAlign w:val="bottom"/>
          </w:tcPr>
          <w:p w:rsidR="00000000" w:rsidRDefault="00000000">
            <w:pPr>
              <w:tabs>
                <w:tab w:val="decimal" w:pos="338"/>
              </w:tabs>
              <w:jc w:val="center"/>
              <w:rPr>
                <w:color w:val="000000"/>
                <w:sz w:val="14"/>
                <w:szCs w:val="16"/>
              </w:rPr>
            </w:pPr>
            <w:r>
              <w:rPr>
                <w:color w:val="000000"/>
                <w:sz w:val="14"/>
                <w:szCs w:val="16"/>
              </w:rPr>
              <w:t>164</w:t>
            </w:r>
          </w:p>
        </w:tc>
        <w:tc>
          <w:tcPr>
            <w:tcW w:w="248" w:type="pct"/>
            <w:vAlign w:val="bottom"/>
          </w:tcPr>
          <w:p w:rsidR="00000000" w:rsidRDefault="00000000">
            <w:pPr>
              <w:tabs>
                <w:tab w:val="decimal" w:pos="350"/>
              </w:tabs>
              <w:jc w:val="center"/>
              <w:rPr>
                <w:color w:val="000000"/>
                <w:sz w:val="14"/>
                <w:szCs w:val="16"/>
              </w:rPr>
            </w:pPr>
            <w:r>
              <w:rPr>
                <w:color w:val="000000"/>
                <w:sz w:val="14"/>
                <w:szCs w:val="16"/>
              </w:rPr>
              <w:t>134</w:t>
            </w:r>
          </w:p>
        </w:tc>
        <w:tc>
          <w:tcPr>
            <w:tcW w:w="249" w:type="pct"/>
            <w:vAlign w:val="bottom"/>
          </w:tcPr>
          <w:p w:rsidR="00000000" w:rsidRDefault="00000000">
            <w:pPr>
              <w:tabs>
                <w:tab w:val="decimal" w:pos="282"/>
              </w:tabs>
              <w:jc w:val="center"/>
              <w:rPr>
                <w:color w:val="000000"/>
                <w:sz w:val="14"/>
                <w:szCs w:val="16"/>
              </w:rPr>
            </w:pPr>
            <w:r>
              <w:rPr>
                <w:color w:val="000000"/>
                <w:sz w:val="14"/>
                <w:szCs w:val="16"/>
              </w:rPr>
              <w:t>159,7</w:t>
            </w:r>
          </w:p>
        </w:tc>
        <w:tc>
          <w:tcPr>
            <w:tcW w:w="248" w:type="pct"/>
            <w:vAlign w:val="bottom"/>
          </w:tcPr>
          <w:p w:rsidR="00000000" w:rsidRDefault="00000000">
            <w:pPr>
              <w:tabs>
                <w:tab w:val="decimal" w:pos="181"/>
              </w:tabs>
              <w:jc w:val="center"/>
              <w:rPr>
                <w:color w:val="000000"/>
                <w:sz w:val="14"/>
                <w:szCs w:val="16"/>
              </w:rPr>
            </w:pPr>
            <w:r>
              <w:rPr>
                <w:color w:val="000000"/>
                <w:sz w:val="14"/>
                <w:szCs w:val="16"/>
              </w:rPr>
              <w:t>164</w:t>
            </w:r>
          </w:p>
        </w:tc>
        <w:tc>
          <w:tcPr>
            <w:tcW w:w="249" w:type="pct"/>
            <w:vAlign w:val="bottom"/>
          </w:tcPr>
          <w:p w:rsidR="00000000" w:rsidRDefault="00000000">
            <w:pPr>
              <w:tabs>
                <w:tab w:val="decimal" w:pos="296"/>
              </w:tabs>
              <w:jc w:val="center"/>
              <w:rPr>
                <w:color w:val="000000"/>
                <w:sz w:val="14"/>
                <w:szCs w:val="16"/>
              </w:rPr>
            </w:pPr>
            <w:r>
              <w:rPr>
                <w:color w:val="000000"/>
                <w:sz w:val="14"/>
                <w:szCs w:val="16"/>
              </w:rPr>
              <w:t>182,1</w:t>
            </w:r>
          </w:p>
        </w:tc>
        <w:tc>
          <w:tcPr>
            <w:tcW w:w="248" w:type="pct"/>
            <w:vAlign w:val="bottom"/>
          </w:tcPr>
          <w:p w:rsidR="00000000" w:rsidRDefault="00000000">
            <w:pPr>
              <w:tabs>
                <w:tab w:val="decimal" w:pos="282"/>
              </w:tabs>
              <w:jc w:val="center"/>
              <w:rPr>
                <w:color w:val="000000"/>
                <w:sz w:val="14"/>
                <w:szCs w:val="16"/>
              </w:rPr>
            </w:pPr>
            <w:r>
              <w:rPr>
                <w:color w:val="000000"/>
                <w:sz w:val="14"/>
                <w:szCs w:val="16"/>
              </w:rPr>
              <w:t>151</w:t>
            </w:r>
          </w:p>
        </w:tc>
        <w:tc>
          <w:tcPr>
            <w:tcW w:w="237" w:type="pct"/>
            <w:vAlign w:val="bottom"/>
          </w:tcPr>
          <w:p w:rsidR="00000000" w:rsidRDefault="00000000">
            <w:pPr>
              <w:tabs>
                <w:tab w:val="decimal" w:pos="296"/>
              </w:tabs>
              <w:jc w:val="center"/>
              <w:rPr>
                <w:color w:val="000000"/>
                <w:sz w:val="14"/>
                <w:szCs w:val="16"/>
              </w:rPr>
            </w:pPr>
            <w:r>
              <w:rPr>
                <w:color w:val="000000"/>
                <w:sz w:val="14"/>
                <w:szCs w:val="16"/>
              </w:rPr>
              <w:t>174,1</w:t>
            </w:r>
          </w:p>
        </w:tc>
      </w:tr>
      <w:tr w:rsidR="00000000">
        <w:tblPrEx>
          <w:tblCellMar>
            <w:top w:w="0" w:type="dxa"/>
            <w:bottom w:w="0" w:type="dxa"/>
          </w:tblCellMar>
        </w:tblPrEx>
        <w:trPr>
          <w:cantSplit/>
        </w:trPr>
        <w:tc>
          <w:tcPr>
            <w:tcW w:w="1024" w:type="pct"/>
            <w:vAlign w:val="center"/>
          </w:tcPr>
          <w:p w:rsidR="00000000" w:rsidRDefault="00000000">
            <w:pPr>
              <w:tabs>
                <w:tab w:val="left" w:pos="207"/>
              </w:tabs>
              <w:autoSpaceDE w:val="0"/>
              <w:autoSpaceDN w:val="0"/>
              <w:adjustRightInd w:val="0"/>
              <w:rPr>
                <w:sz w:val="14"/>
              </w:rPr>
            </w:pPr>
          </w:p>
        </w:tc>
        <w:tc>
          <w:tcPr>
            <w:tcW w:w="517" w:type="pct"/>
            <w:gridSpan w:val="2"/>
            <w:vAlign w:val="bottom"/>
          </w:tcPr>
          <w:p w:rsidR="00000000" w:rsidRDefault="00000000">
            <w:pPr>
              <w:tabs>
                <w:tab w:val="decimal" w:pos="289"/>
              </w:tabs>
              <w:jc w:val="center"/>
              <w:rPr>
                <w:b/>
                <w:bCs/>
                <w:color w:val="000000"/>
                <w:sz w:val="14"/>
                <w:szCs w:val="16"/>
              </w:rPr>
            </w:pPr>
            <w:r>
              <w:rPr>
                <w:b/>
                <w:bCs/>
                <w:color w:val="000000"/>
                <w:sz w:val="14"/>
                <w:szCs w:val="16"/>
              </w:rPr>
              <w:t>1996</w:t>
            </w:r>
            <w:r>
              <w:rPr>
                <w:b/>
                <w:bCs/>
                <w:sz w:val="14"/>
              </w:rPr>
              <w:t xml:space="preserve"> год</w:t>
            </w:r>
          </w:p>
        </w:tc>
        <w:tc>
          <w:tcPr>
            <w:tcW w:w="511" w:type="pct"/>
            <w:gridSpan w:val="2"/>
            <w:vAlign w:val="bottom"/>
          </w:tcPr>
          <w:p w:rsidR="00000000" w:rsidRDefault="00000000">
            <w:pPr>
              <w:tabs>
                <w:tab w:val="decimal" w:pos="245"/>
              </w:tabs>
              <w:jc w:val="center"/>
              <w:rPr>
                <w:color w:val="000000"/>
                <w:sz w:val="14"/>
                <w:szCs w:val="16"/>
              </w:rPr>
            </w:pPr>
            <w:r>
              <w:rPr>
                <w:b/>
                <w:bCs/>
                <w:sz w:val="14"/>
              </w:rPr>
              <w:t>1997 год</w:t>
            </w:r>
          </w:p>
        </w:tc>
        <w:tc>
          <w:tcPr>
            <w:tcW w:w="475" w:type="pct"/>
            <w:gridSpan w:val="2"/>
            <w:vAlign w:val="bottom"/>
          </w:tcPr>
          <w:p w:rsidR="00000000" w:rsidRDefault="00000000">
            <w:pPr>
              <w:tabs>
                <w:tab w:val="decimal" w:pos="255"/>
              </w:tabs>
              <w:jc w:val="center"/>
              <w:rPr>
                <w:color w:val="000000"/>
                <w:sz w:val="14"/>
                <w:szCs w:val="16"/>
              </w:rPr>
            </w:pPr>
            <w:r>
              <w:rPr>
                <w:b/>
                <w:bCs/>
                <w:sz w:val="14"/>
              </w:rPr>
              <w:t>1998 год</w:t>
            </w:r>
          </w:p>
        </w:tc>
        <w:tc>
          <w:tcPr>
            <w:tcW w:w="497" w:type="pct"/>
            <w:gridSpan w:val="2"/>
            <w:vAlign w:val="bottom"/>
          </w:tcPr>
          <w:p w:rsidR="00000000" w:rsidRDefault="00000000">
            <w:pPr>
              <w:tabs>
                <w:tab w:val="decimal" w:pos="249"/>
              </w:tabs>
              <w:jc w:val="center"/>
              <w:rPr>
                <w:color w:val="000000"/>
                <w:sz w:val="14"/>
                <w:szCs w:val="16"/>
              </w:rPr>
            </w:pPr>
            <w:r>
              <w:rPr>
                <w:b/>
                <w:bCs/>
                <w:sz w:val="14"/>
              </w:rPr>
              <w:t>1999 год</w:t>
            </w:r>
          </w:p>
        </w:tc>
        <w:tc>
          <w:tcPr>
            <w:tcW w:w="497" w:type="pct"/>
            <w:gridSpan w:val="2"/>
            <w:vAlign w:val="bottom"/>
          </w:tcPr>
          <w:p w:rsidR="00000000" w:rsidRDefault="00000000">
            <w:pPr>
              <w:tabs>
                <w:tab w:val="decimal" w:pos="244"/>
              </w:tabs>
              <w:jc w:val="center"/>
              <w:rPr>
                <w:color w:val="000000"/>
                <w:sz w:val="14"/>
                <w:szCs w:val="16"/>
              </w:rPr>
            </w:pPr>
            <w:r>
              <w:rPr>
                <w:b/>
                <w:bCs/>
                <w:sz w:val="14"/>
              </w:rPr>
              <w:t>2000 год</w:t>
            </w:r>
          </w:p>
        </w:tc>
        <w:tc>
          <w:tcPr>
            <w:tcW w:w="497" w:type="pct"/>
            <w:gridSpan w:val="2"/>
            <w:vAlign w:val="bottom"/>
          </w:tcPr>
          <w:p w:rsidR="00000000" w:rsidRDefault="00000000">
            <w:pPr>
              <w:tabs>
                <w:tab w:val="decimal" w:pos="282"/>
              </w:tabs>
              <w:jc w:val="center"/>
              <w:rPr>
                <w:color w:val="000000"/>
                <w:sz w:val="14"/>
                <w:szCs w:val="16"/>
              </w:rPr>
            </w:pPr>
            <w:r>
              <w:rPr>
                <w:b/>
                <w:bCs/>
                <w:sz w:val="14"/>
              </w:rPr>
              <w:t>2001 год</w:t>
            </w:r>
          </w:p>
        </w:tc>
        <w:tc>
          <w:tcPr>
            <w:tcW w:w="497" w:type="pct"/>
            <w:gridSpan w:val="2"/>
            <w:vAlign w:val="bottom"/>
          </w:tcPr>
          <w:p w:rsidR="00000000" w:rsidRDefault="00000000">
            <w:pPr>
              <w:tabs>
                <w:tab w:val="decimal" w:pos="260"/>
              </w:tabs>
              <w:jc w:val="center"/>
              <w:rPr>
                <w:color w:val="000000"/>
                <w:sz w:val="14"/>
                <w:szCs w:val="16"/>
              </w:rPr>
            </w:pPr>
            <w:r>
              <w:rPr>
                <w:b/>
                <w:bCs/>
                <w:sz w:val="14"/>
              </w:rPr>
              <w:t>2002 год</w:t>
            </w:r>
          </w:p>
        </w:tc>
        <w:tc>
          <w:tcPr>
            <w:tcW w:w="485" w:type="pct"/>
            <w:gridSpan w:val="2"/>
            <w:vAlign w:val="bottom"/>
          </w:tcPr>
          <w:p w:rsidR="00000000" w:rsidRDefault="00000000">
            <w:pPr>
              <w:tabs>
                <w:tab w:val="decimal" w:pos="260"/>
              </w:tabs>
              <w:jc w:val="center"/>
              <w:rPr>
                <w:color w:val="000000"/>
                <w:sz w:val="14"/>
                <w:szCs w:val="16"/>
              </w:rPr>
            </w:pPr>
            <w:r>
              <w:rPr>
                <w:b/>
                <w:bCs/>
                <w:sz w:val="14"/>
              </w:rPr>
              <w:t>2003 год</w:t>
            </w:r>
          </w:p>
        </w:tc>
      </w:tr>
      <w:tr w:rsidR="00000000">
        <w:tblPrEx>
          <w:tblCellMar>
            <w:top w:w="0" w:type="dxa"/>
            <w:bottom w:w="0" w:type="dxa"/>
          </w:tblCellMar>
        </w:tblPrEx>
        <w:trPr>
          <w:cantSplit/>
        </w:trPr>
        <w:tc>
          <w:tcPr>
            <w:tcW w:w="1024" w:type="pct"/>
            <w:vAlign w:val="center"/>
          </w:tcPr>
          <w:p w:rsidR="00000000" w:rsidRDefault="00000000">
            <w:pPr>
              <w:tabs>
                <w:tab w:val="left" w:pos="207"/>
              </w:tabs>
              <w:autoSpaceDE w:val="0"/>
              <w:autoSpaceDN w:val="0"/>
              <w:adjustRightInd w:val="0"/>
              <w:rPr>
                <w:sz w:val="14"/>
              </w:rPr>
            </w:pPr>
            <w:r>
              <w:rPr>
                <w:sz w:val="14"/>
              </w:rPr>
              <w:t>Живорождений</w:t>
            </w:r>
          </w:p>
        </w:tc>
        <w:tc>
          <w:tcPr>
            <w:tcW w:w="517" w:type="pct"/>
            <w:gridSpan w:val="2"/>
            <w:vAlign w:val="bottom"/>
          </w:tcPr>
          <w:p w:rsidR="00000000" w:rsidRDefault="00000000">
            <w:pPr>
              <w:tabs>
                <w:tab w:val="decimal" w:pos="289"/>
              </w:tabs>
              <w:jc w:val="center"/>
              <w:rPr>
                <w:color w:val="000000"/>
                <w:sz w:val="14"/>
                <w:szCs w:val="16"/>
              </w:rPr>
            </w:pPr>
            <w:r>
              <w:rPr>
                <w:sz w:val="14"/>
              </w:rPr>
              <w:t>88 438</w:t>
            </w:r>
          </w:p>
        </w:tc>
        <w:tc>
          <w:tcPr>
            <w:tcW w:w="511" w:type="pct"/>
            <w:gridSpan w:val="2"/>
            <w:vAlign w:val="bottom"/>
          </w:tcPr>
          <w:p w:rsidR="00000000" w:rsidRDefault="00000000">
            <w:pPr>
              <w:tabs>
                <w:tab w:val="decimal" w:pos="245"/>
              </w:tabs>
              <w:jc w:val="center"/>
              <w:rPr>
                <w:color w:val="000000"/>
                <w:sz w:val="14"/>
                <w:szCs w:val="16"/>
              </w:rPr>
            </w:pPr>
            <w:r>
              <w:rPr>
                <w:color w:val="000000"/>
                <w:sz w:val="14"/>
                <w:szCs w:val="16"/>
              </w:rPr>
              <w:t>88 422</w:t>
            </w:r>
          </w:p>
        </w:tc>
        <w:tc>
          <w:tcPr>
            <w:tcW w:w="475" w:type="pct"/>
            <w:gridSpan w:val="2"/>
            <w:vAlign w:val="bottom"/>
          </w:tcPr>
          <w:p w:rsidR="00000000" w:rsidRDefault="00000000">
            <w:pPr>
              <w:tabs>
                <w:tab w:val="decimal" w:pos="255"/>
              </w:tabs>
              <w:jc w:val="center"/>
              <w:rPr>
                <w:color w:val="000000"/>
                <w:sz w:val="14"/>
                <w:szCs w:val="16"/>
              </w:rPr>
            </w:pPr>
            <w:r>
              <w:rPr>
                <w:color w:val="000000"/>
                <w:sz w:val="14"/>
                <w:szCs w:val="16"/>
              </w:rPr>
              <w:t>86 596</w:t>
            </w:r>
          </w:p>
        </w:tc>
        <w:tc>
          <w:tcPr>
            <w:tcW w:w="497" w:type="pct"/>
            <w:gridSpan w:val="2"/>
            <w:vAlign w:val="bottom"/>
          </w:tcPr>
          <w:p w:rsidR="00000000" w:rsidRDefault="00000000">
            <w:pPr>
              <w:tabs>
                <w:tab w:val="decimal" w:pos="255"/>
              </w:tabs>
              <w:jc w:val="center"/>
              <w:rPr>
                <w:color w:val="000000"/>
                <w:sz w:val="14"/>
                <w:szCs w:val="16"/>
              </w:rPr>
            </w:pPr>
            <w:r>
              <w:rPr>
                <w:color w:val="000000"/>
                <w:sz w:val="14"/>
                <w:szCs w:val="16"/>
              </w:rPr>
              <w:t>90 007</w:t>
            </w:r>
          </w:p>
        </w:tc>
        <w:tc>
          <w:tcPr>
            <w:tcW w:w="497" w:type="pct"/>
            <w:gridSpan w:val="2"/>
            <w:vAlign w:val="bottom"/>
          </w:tcPr>
          <w:p w:rsidR="00000000" w:rsidRDefault="00000000">
            <w:pPr>
              <w:tabs>
                <w:tab w:val="decimal" w:pos="249"/>
              </w:tabs>
              <w:jc w:val="center"/>
              <w:rPr>
                <w:color w:val="000000"/>
                <w:sz w:val="14"/>
                <w:szCs w:val="16"/>
              </w:rPr>
            </w:pPr>
            <w:r>
              <w:rPr>
                <w:sz w:val="14"/>
              </w:rPr>
              <w:t>86 000</w:t>
            </w:r>
          </w:p>
        </w:tc>
        <w:tc>
          <w:tcPr>
            <w:tcW w:w="497" w:type="pct"/>
            <w:gridSpan w:val="2"/>
            <w:vAlign w:val="bottom"/>
          </w:tcPr>
          <w:p w:rsidR="00000000" w:rsidRDefault="00000000">
            <w:pPr>
              <w:tabs>
                <w:tab w:val="decimal" w:pos="244"/>
              </w:tabs>
              <w:jc w:val="center"/>
              <w:rPr>
                <w:color w:val="000000"/>
                <w:sz w:val="14"/>
                <w:szCs w:val="16"/>
              </w:rPr>
            </w:pPr>
            <w:r>
              <w:rPr>
                <w:sz w:val="14"/>
              </w:rPr>
              <w:t>83 919</w:t>
            </w:r>
          </w:p>
        </w:tc>
        <w:tc>
          <w:tcPr>
            <w:tcW w:w="497" w:type="pct"/>
            <w:gridSpan w:val="2"/>
            <w:vAlign w:val="bottom"/>
          </w:tcPr>
          <w:p w:rsidR="00000000" w:rsidRDefault="00000000">
            <w:pPr>
              <w:tabs>
                <w:tab w:val="decimal" w:pos="282"/>
              </w:tabs>
              <w:jc w:val="center"/>
              <w:rPr>
                <w:color w:val="000000"/>
                <w:sz w:val="14"/>
                <w:szCs w:val="16"/>
              </w:rPr>
            </w:pPr>
            <w:r>
              <w:rPr>
                <w:sz w:val="14"/>
              </w:rPr>
              <w:t>90 085</w:t>
            </w:r>
          </w:p>
        </w:tc>
        <w:tc>
          <w:tcPr>
            <w:tcW w:w="485" w:type="pct"/>
            <w:gridSpan w:val="2"/>
            <w:vAlign w:val="bottom"/>
          </w:tcPr>
          <w:p w:rsidR="00000000" w:rsidRDefault="00000000">
            <w:pPr>
              <w:tabs>
                <w:tab w:val="decimal" w:pos="181"/>
              </w:tabs>
              <w:jc w:val="center"/>
              <w:rPr>
                <w:color w:val="000000"/>
                <w:sz w:val="14"/>
                <w:szCs w:val="16"/>
              </w:rPr>
            </w:pPr>
            <w:r>
              <w:rPr>
                <w:color w:val="000000"/>
                <w:sz w:val="14"/>
                <w:szCs w:val="16"/>
              </w:rPr>
              <w:t>86 739</w:t>
            </w:r>
          </w:p>
        </w:tc>
      </w:tr>
    </w:tbl>
    <w:p w:rsidR="00000000" w:rsidRDefault="00000000">
      <w:pPr>
        <w:spacing w:line="240" w:lineRule="auto"/>
      </w:pPr>
    </w:p>
    <w:p w:rsidR="00000000" w:rsidRDefault="00000000">
      <w:r>
        <w:rPr>
          <w:i/>
          <w:iCs/>
        </w:rPr>
        <w:t xml:space="preserve">Источник:  </w:t>
      </w:r>
      <w:r>
        <w:t xml:space="preserve">Показатели смертности.  </w:t>
      </w:r>
      <w:r>
        <w:rPr>
          <w:kern w:val="2"/>
        </w:rPr>
        <w:t>Департамент биостатистики МЗСО</w:t>
      </w:r>
      <w:r>
        <w:t>.</w:t>
      </w:r>
    </w:p>
    <w:p w:rsidR="00000000" w:rsidRDefault="00000000"/>
    <w:p w:rsidR="00000000" w:rsidRDefault="00000000">
      <w:pPr>
        <w:jc w:val="center"/>
        <w:rPr>
          <w:b/>
          <w:bCs/>
        </w:rPr>
      </w:pPr>
      <w:r>
        <w:rPr>
          <w:b/>
          <w:bCs/>
        </w:rPr>
        <w:t>Случаи смерти матерей в разбивке по санитарным регионам, 2001-2005 годы</w:t>
      </w:r>
    </w:p>
    <w:p w:rsidR="00000000" w:rsidRDefault="00000000">
      <w:pPr>
        <w:rPr>
          <w:b/>
          <w:bCs/>
          <w:sz w:val="20"/>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27"/>
        <w:gridCol w:w="1122"/>
        <w:gridCol w:w="982"/>
        <w:gridCol w:w="982"/>
        <w:gridCol w:w="982"/>
        <w:gridCol w:w="982"/>
        <w:gridCol w:w="1605"/>
      </w:tblGrid>
      <w:tr w:rsidR="00000000">
        <w:trPr>
          <w:cantSplit/>
          <w:tblHeader/>
        </w:trPr>
        <w:tc>
          <w:tcPr>
            <w:tcW w:w="2127"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4"/>
              </w:rPr>
            </w:pPr>
            <w:r>
              <w:rPr>
                <w:b/>
                <w:bCs/>
                <w:sz w:val="20"/>
              </w:rPr>
              <w:t>Санитарный район</w:t>
            </w:r>
          </w:p>
        </w:tc>
        <w:tc>
          <w:tcPr>
            <w:tcW w:w="6655" w:type="dxa"/>
            <w:gridSpan w:val="6"/>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szCs w:val="24"/>
                <w:lang w:val="es-ES"/>
              </w:rPr>
            </w:pPr>
            <w:r>
              <w:rPr>
                <w:b/>
                <w:bCs/>
                <w:sz w:val="20"/>
              </w:rPr>
              <w:t>Случаи смерти матерей</w:t>
            </w:r>
          </w:p>
        </w:tc>
      </w:tr>
      <w:tr w:rsidR="00000000">
        <w:trPr>
          <w:cantSplit/>
          <w:tblHeader/>
        </w:trPr>
        <w:tc>
          <w:tcPr>
            <w:tcW w:w="2127"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4"/>
                <w:lang w:val="es-ES"/>
              </w:rPr>
            </w:pP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szCs w:val="24"/>
              </w:rPr>
            </w:pPr>
            <w:r>
              <w:rPr>
                <w:b/>
                <w:bCs/>
                <w:sz w:val="20"/>
              </w:rPr>
              <w:t>2001 год</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szCs w:val="24"/>
                <w:lang w:val="es-ES"/>
              </w:rPr>
            </w:pPr>
            <w:r>
              <w:rPr>
                <w:b/>
                <w:bCs/>
                <w:sz w:val="20"/>
              </w:rPr>
              <w:t>2002 год</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szCs w:val="24"/>
                <w:lang w:val="es-ES"/>
              </w:rPr>
            </w:pPr>
            <w:r>
              <w:rPr>
                <w:b/>
                <w:bCs/>
                <w:sz w:val="20"/>
              </w:rPr>
              <w:t>2003 год</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szCs w:val="24"/>
                <w:lang w:val="es-ES"/>
              </w:rPr>
            </w:pPr>
            <w:r>
              <w:rPr>
                <w:b/>
                <w:bCs/>
                <w:sz w:val="20"/>
              </w:rPr>
              <w:t>2004 год</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szCs w:val="24"/>
                <w:lang w:val="es-ES"/>
              </w:rPr>
            </w:pPr>
            <w:r>
              <w:rPr>
                <w:b/>
                <w:bCs/>
                <w:sz w:val="20"/>
              </w:rPr>
              <w:t>2005 год</w:t>
            </w:r>
          </w:p>
        </w:tc>
        <w:tc>
          <w:tcPr>
            <w:tcW w:w="1605"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szCs w:val="24"/>
                <w:lang w:val="es-ES"/>
              </w:rPr>
            </w:pPr>
            <w:r>
              <w:rPr>
                <w:b/>
                <w:bCs/>
                <w:sz w:val="20"/>
              </w:rPr>
              <w:t>2003-2005 годы</w:t>
            </w:r>
          </w:p>
        </w:tc>
      </w:tr>
      <w:tr w:rsidR="00000000">
        <w:tc>
          <w:tcPr>
            <w:tcW w:w="212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Консепсьон</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10</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12</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10</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11</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5</w:t>
            </w:r>
          </w:p>
        </w:tc>
        <w:tc>
          <w:tcPr>
            <w:tcW w:w="16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26</w:t>
            </w:r>
          </w:p>
        </w:tc>
      </w:tr>
      <w:tr w:rsidR="00000000">
        <w:tc>
          <w:tcPr>
            <w:tcW w:w="212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Сан-Педро</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7</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14</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17</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20</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14</w:t>
            </w:r>
          </w:p>
        </w:tc>
        <w:tc>
          <w:tcPr>
            <w:tcW w:w="16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51</w:t>
            </w:r>
          </w:p>
        </w:tc>
      </w:tr>
      <w:tr w:rsidR="00000000">
        <w:tc>
          <w:tcPr>
            <w:tcW w:w="212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Кордильера</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2</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6</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6</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6</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10</w:t>
            </w:r>
          </w:p>
        </w:tc>
        <w:tc>
          <w:tcPr>
            <w:tcW w:w="16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22</w:t>
            </w:r>
          </w:p>
        </w:tc>
      </w:tr>
      <w:tr w:rsidR="00000000">
        <w:tc>
          <w:tcPr>
            <w:tcW w:w="212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rPr>
            </w:pPr>
            <w:r>
              <w:rPr>
                <w:sz w:val="20"/>
                <w:szCs w:val="16"/>
              </w:rPr>
              <w:t>Гуаира</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2</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5</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2</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6</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3</w:t>
            </w:r>
          </w:p>
        </w:tc>
        <w:tc>
          <w:tcPr>
            <w:tcW w:w="16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11</w:t>
            </w:r>
          </w:p>
        </w:tc>
      </w:tr>
      <w:tr w:rsidR="00000000">
        <w:tc>
          <w:tcPr>
            <w:tcW w:w="212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Каагуасу</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11</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13</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20</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19</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11</w:t>
            </w:r>
          </w:p>
        </w:tc>
        <w:tc>
          <w:tcPr>
            <w:tcW w:w="16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50</w:t>
            </w:r>
          </w:p>
        </w:tc>
      </w:tr>
      <w:tr w:rsidR="00000000">
        <w:tc>
          <w:tcPr>
            <w:tcW w:w="212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rPr>
            </w:pPr>
            <w:r>
              <w:rPr>
                <w:sz w:val="20"/>
                <w:szCs w:val="16"/>
              </w:rPr>
              <w:t>Каасапа</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5</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8</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7</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5</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4</w:t>
            </w:r>
          </w:p>
        </w:tc>
        <w:tc>
          <w:tcPr>
            <w:tcW w:w="16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16</w:t>
            </w:r>
          </w:p>
        </w:tc>
      </w:tr>
      <w:tr w:rsidR="00000000">
        <w:tc>
          <w:tcPr>
            <w:tcW w:w="212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Итапуа</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13</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14</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12</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10</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11</w:t>
            </w:r>
          </w:p>
        </w:tc>
        <w:tc>
          <w:tcPr>
            <w:tcW w:w="16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33</w:t>
            </w:r>
          </w:p>
        </w:tc>
      </w:tr>
      <w:tr w:rsidR="00000000">
        <w:tc>
          <w:tcPr>
            <w:tcW w:w="212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Мисьонес</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4</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3</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w:t>
            </w:r>
          </w:p>
        </w:tc>
        <w:tc>
          <w:tcPr>
            <w:tcW w:w="16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5</w:t>
            </w:r>
          </w:p>
        </w:tc>
      </w:tr>
      <w:tr w:rsidR="00000000">
        <w:tc>
          <w:tcPr>
            <w:tcW w:w="212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Парагуари</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11</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9</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4</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7</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10</w:t>
            </w:r>
          </w:p>
        </w:tc>
        <w:tc>
          <w:tcPr>
            <w:tcW w:w="16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21</w:t>
            </w:r>
          </w:p>
        </w:tc>
      </w:tr>
      <w:tr w:rsidR="00000000">
        <w:tc>
          <w:tcPr>
            <w:tcW w:w="212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Альто-Парана</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25</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17</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18</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10</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14</w:t>
            </w:r>
          </w:p>
        </w:tc>
        <w:tc>
          <w:tcPr>
            <w:tcW w:w="16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42</w:t>
            </w:r>
          </w:p>
        </w:tc>
      </w:tr>
      <w:tr w:rsidR="00000000">
        <w:tc>
          <w:tcPr>
            <w:tcW w:w="212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Сентраль</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28</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32</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31</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28</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26</w:t>
            </w:r>
          </w:p>
        </w:tc>
        <w:tc>
          <w:tcPr>
            <w:tcW w:w="16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85</w:t>
            </w:r>
          </w:p>
        </w:tc>
      </w:tr>
      <w:tr w:rsidR="00000000">
        <w:tc>
          <w:tcPr>
            <w:tcW w:w="212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Ниембуку</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0</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2</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w:t>
            </w:r>
          </w:p>
        </w:tc>
        <w:tc>
          <w:tcPr>
            <w:tcW w:w="16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4</w:t>
            </w:r>
          </w:p>
        </w:tc>
      </w:tr>
      <w:tr w:rsidR="00000000">
        <w:tc>
          <w:tcPr>
            <w:tcW w:w="212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Амамбай</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2</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4</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4</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3</w:t>
            </w:r>
          </w:p>
        </w:tc>
        <w:tc>
          <w:tcPr>
            <w:tcW w:w="16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8</w:t>
            </w:r>
          </w:p>
        </w:tc>
      </w:tr>
      <w:tr w:rsidR="00000000">
        <w:tc>
          <w:tcPr>
            <w:tcW w:w="212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Канендию</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7</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7</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5</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8</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5</w:t>
            </w:r>
          </w:p>
        </w:tc>
        <w:tc>
          <w:tcPr>
            <w:tcW w:w="16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18</w:t>
            </w:r>
          </w:p>
        </w:tc>
      </w:tr>
      <w:tr w:rsidR="00000000">
        <w:tc>
          <w:tcPr>
            <w:tcW w:w="212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Пресиденте-Аес</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6</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4</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3</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5</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6</w:t>
            </w:r>
          </w:p>
        </w:tc>
        <w:tc>
          <w:tcPr>
            <w:tcW w:w="16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14</w:t>
            </w:r>
          </w:p>
        </w:tc>
      </w:tr>
      <w:tr w:rsidR="00000000">
        <w:tc>
          <w:tcPr>
            <w:tcW w:w="212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rPr>
            </w:pPr>
            <w:r>
              <w:rPr>
                <w:sz w:val="20"/>
                <w:szCs w:val="16"/>
              </w:rPr>
              <w:t>Альто-Парагвай</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2</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0</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2</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2</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0</w:t>
            </w:r>
          </w:p>
        </w:tc>
        <w:tc>
          <w:tcPr>
            <w:tcW w:w="16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4</w:t>
            </w:r>
          </w:p>
        </w:tc>
      </w:tr>
      <w:tr w:rsidR="00000000">
        <w:tc>
          <w:tcPr>
            <w:tcW w:w="212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Бокерон</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0</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2</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2</w:t>
            </w:r>
          </w:p>
        </w:tc>
        <w:tc>
          <w:tcPr>
            <w:tcW w:w="16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4</w:t>
            </w:r>
          </w:p>
        </w:tc>
      </w:tr>
      <w:tr w:rsidR="00000000">
        <w:tc>
          <w:tcPr>
            <w:tcW w:w="2127"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0"/>
                <w:szCs w:val="16"/>
                <w:lang w:val="es-ES"/>
              </w:rPr>
            </w:pPr>
            <w:r>
              <w:rPr>
                <w:kern w:val="2"/>
                <w:sz w:val="20"/>
              </w:rPr>
              <w:t>Асунсьон</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2</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12</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9</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9</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8</w:t>
            </w:r>
          </w:p>
        </w:tc>
        <w:tc>
          <w:tcPr>
            <w:tcW w:w="16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26</w:t>
            </w:r>
          </w:p>
        </w:tc>
      </w:tr>
      <w:tr w:rsidR="00000000">
        <w:tc>
          <w:tcPr>
            <w:tcW w:w="2127" w:type="dxa"/>
            <w:tcBorders>
              <w:top w:val="single" w:sz="4" w:space="0" w:color="auto"/>
              <w:left w:val="single" w:sz="4" w:space="0" w:color="auto"/>
              <w:bottom w:val="single" w:sz="4" w:space="0" w:color="auto"/>
              <w:right w:val="single" w:sz="4" w:space="0" w:color="auto"/>
            </w:tcBorders>
            <w:vAlign w:val="bottom"/>
          </w:tcPr>
          <w:p w:rsidR="00000000" w:rsidRDefault="00000000">
            <w:pPr>
              <w:rPr>
                <w:color w:val="FF0000"/>
                <w:sz w:val="20"/>
                <w:szCs w:val="16"/>
                <w:lang w:val="es-ES"/>
              </w:rPr>
            </w:pPr>
            <w:r>
              <w:rPr>
                <w:sz w:val="20"/>
                <w:szCs w:val="16"/>
              </w:rPr>
              <w:t>Иностранцы</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0</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0</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0</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p>
        </w:tc>
        <w:tc>
          <w:tcPr>
            <w:tcW w:w="16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szCs w:val="16"/>
                <w:lang w:val="es-ES"/>
              </w:rPr>
            </w:pPr>
            <w:r>
              <w:rPr>
                <w:sz w:val="20"/>
                <w:szCs w:val="16"/>
              </w:rPr>
              <w:t>0</w:t>
            </w:r>
          </w:p>
        </w:tc>
      </w:tr>
      <w:tr w:rsidR="00000000">
        <w:tc>
          <w:tcPr>
            <w:tcW w:w="2127" w:type="dxa"/>
            <w:tcBorders>
              <w:top w:val="single" w:sz="4" w:space="0" w:color="auto"/>
              <w:left w:val="single" w:sz="4" w:space="0" w:color="auto"/>
              <w:bottom w:val="single" w:sz="4" w:space="0" w:color="auto"/>
              <w:right w:val="single" w:sz="4" w:space="0" w:color="auto"/>
            </w:tcBorders>
            <w:vAlign w:val="bottom"/>
          </w:tcPr>
          <w:p w:rsidR="00000000" w:rsidRDefault="00000000">
            <w:pPr>
              <w:rPr>
                <w:b/>
                <w:bCs/>
                <w:sz w:val="20"/>
                <w:szCs w:val="16"/>
              </w:rPr>
            </w:pPr>
            <w:r>
              <w:rPr>
                <w:b/>
                <w:bCs/>
                <w:sz w:val="20"/>
                <w:szCs w:val="16"/>
              </w:rPr>
              <w:tab/>
              <w:t>Итого</w:t>
            </w:r>
          </w:p>
        </w:tc>
        <w:tc>
          <w:tcPr>
            <w:tcW w:w="11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16"/>
                <w:lang w:val="es-ES"/>
              </w:rPr>
            </w:pPr>
            <w:r>
              <w:rPr>
                <w:b/>
                <w:bCs/>
                <w:sz w:val="20"/>
                <w:szCs w:val="16"/>
              </w:rPr>
              <w:t>134</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16"/>
                <w:lang w:val="es-ES"/>
              </w:rPr>
            </w:pPr>
            <w:r>
              <w:rPr>
                <w:b/>
                <w:bCs/>
                <w:sz w:val="20"/>
                <w:szCs w:val="16"/>
              </w:rPr>
              <w:t>164</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16"/>
                <w:lang w:val="es-ES"/>
              </w:rPr>
            </w:pPr>
            <w:r>
              <w:rPr>
                <w:b/>
                <w:bCs/>
                <w:sz w:val="20"/>
                <w:szCs w:val="16"/>
              </w:rPr>
              <w:t>151</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16"/>
                <w:lang w:val="es-ES"/>
              </w:rPr>
            </w:pPr>
            <w:r>
              <w:rPr>
                <w:b/>
                <w:bCs/>
                <w:sz w:val="20"/>
                <w:szCs w:val="16"/>
              </w:rPr>
              <w:t>155</w:t>
            </w:r>
          </w:p>
        </w:tc>
        <w:tc>
          <w:tcPr>
            <w:tcW w:w="9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16"/>
                <w:lang w:val="es-ES"/>
              </w:rPr>
            </w:pPr>
            <w:r>
              <w:rPr>
                <w:b/>
                <w:bCs/>
                <w:sz w:val="20"/>
                <w:szCs w:val="16"/>
              </w:rPr>
              <w:t>134</w:t>
            </w:r>
          </w:p>
        </w:tc>
        <w:tc>
          <w:tcPr>
            <w:tcW w:w="16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16"/>
                <w:lang w:val="es-ES"/>
              </w:rPr>
            </w:pPr>
            <w:r>
              <w:rPr>
                <w:b/>
                <w:bCs/>
                <w:sz w:val="20"/>
                <w:szCs w:val="16"/>
              </w:rPr>
              <w:t>440</w:t>
            </w:r>
          </w:p>
        </w:tc>
      </w:tr>
    </w:tbl>
    <w:p w:rsidR="00000000" w:rsidRDefault="00000000">
      <w:pPr>
        <w:rPr>
          <w:i/>
          <w:iCs/>
          <w:sz w:val="20"/>
        </w:rPr>
      </w:pPr>
    </w:p>
    <w:p w:rsidR="00000000" w:rsidRDefault="00000000">
      <w:pPr>
        <w:spacing w:line="240" w:lineRule="auto"/>
      </w:pPr>
      <w:r>
        <w:rPr>
          <w:i/>
          <w:iCs/>
        </w:rPr>
        <w:t xml:space="preserve">Источник:  </w:t>
      </w:r>
      <w:r>
        <w:t xml:space="preserve">Свидетельства о регистрации смерти.  </w:t>
      </w:r>
      <w:r>
        <w:rPr>
          <w:kern w:val="2"/>
        </w:rPr>
        <w:t>Департамент биостатистики МЗСО</w:t>
      </w:r>
      <w:r>
        <w:t>.</w:t>
      </w:r>
    </w:p>
    <w:p w:rsidR="00000000" w:rsidRDefault="00000000"/>
    <w:p w:rsidR="00000000" w:rsidRDefault="00000000">
      <w:r>
        <w:t>509.</w:t>
      </w:r>
      <w:r>
        <w:tab/>
        <w:t>В 2002 году были зарегистрированы 164 случая материнской смертности на 100 000 живорождений.  В 2003 году предварительные данные свидетельствуют о 150 случаях материнской смертности на 100 000 живорождений.  Анализ материнской смертности в последние годы показывает некоторое ее снижение, а также улучшение в вопросах учета соответствующей информации.</w:t>
      </w:r>
    </w:p>
    <w:p w:rsidR="00000000" w:rsidRDefault="00000000">
      <w:pPr>
        <w:tabs>
          <w:tab w:val="left" w:pos="540"/>
        </w:tabs>
      </w:pPr>
    </w:p>
    <w:p w:rsidR="00000000" w:rsidRDefault="00000000">
      <w:r>
        <w:t>510.</w:t>
      </w:r>
      <w:r>
        <w:tab/>
        <w:t xml:space="preserve">Наиболее частая причина материнской смертности, зарегистрированной в 2003 году, связана с кровотечением вследствие произведенного аборта.  Тем не менее от года к году наблюдается значительный разброс в причинах смерти, и в последнее время большой процент занимают инфекции, связанные с сепсисом. </w:t>
      </w:r>
    </w:p>
    <w:p w:rsidR="00000000" w:rsidRDefault="00000000">
      <w:pPr>
        <w:tabs>
          <w:tab w:val="left" w:pos="540"/>
        </w:tabs>
      </w:pPr>
    </w:p>
    <w:p w:rsidR="00000000" w:rsidRDefault="00000000">
      <w:pPr>
        <w:rPr>
          <w:lang w:val="en-US"/>
        </w:rPr>
      </w:pPr>
      <w:r>
        <w:t>511.</w:t>
      </w:r>
      <w:r>
        <w:tab/>
        <w:t>На протяжении многих лет аборт остается основным фактором материнской смертности и является причиной смерти каждой четвертой или пятой роженицы из десяти умерших.  Не исключено, что этот показатель в действительности еще выше ввиду недостатков в учете, а также из-за сокрытия таких случаев, поскольку они подпадают под уголовное преследование.</w:t>
      </w:r>
    </w:p>
    <w:p w:rsidR="00000000" w:rsidRDefault="00000000">
      <w:pPr>
        <w:rPr>
          <w:lang w:val="en-US"/>
        </w:rPr>
      </w:pPr>
    </w:p>
    <w:p w:rsidR="00000000" w:rsidRDefault="00000000">
      <w:pPr>
        <w:rPr>
          <w:lang w:val="en-US"/>
        </w:rPr>
      </w:pPr>
      <w:r>
        <w:object w:dxaOrig="6480" w:dyaOrig="4860">
          <v:shape id="_x0000_i1053" type="#_x0000_t75" style="width:392.25pt;height:324.75pt" o:ole="">
            <v:imagedata r:id="rId107" o:title=""/>
            <w10:bordertop type="single" width="4"/>
            <w10:borderleft type="single" width="4"/>
            <w10:borderbottom type="single" width="4"/>
            <w10:borderright type="single" width="4"/>
          </v:shape>
          <o:OLEObject Type="Embed" ProgID="PowerPoint.Slide.8" ShapeID="_x0000_i1053" DrawAspect="Content" ObjectID="_1394904876" r:id="rId108"/>
        </w:object>
      </w:r>
    </w:p>
    <w:p w:rsidR="00000000" w:rsidRDefault="00000000">
      <w:pPr>
        <w:rPr>
          <w:lang w:val="en-US"/>
        </w:rPr>
      </w:pPr>
    </w:p>
    <w:p w:rsidR="00000000" w:rsidRDefault="00000000">
      <w:r>
        <w:t>512.</w:t>
      </w:r>
      <w:r>
        <w:tab/>
        <w:t>Что касается территориального распределения, то наибольший процент смертей среди рожениц приходится на департаменты Сентраль, Столичный и Альто-Парана.</w:t>
      </w:r>
    </w:p>
    <w:p w:rsidR="00000000" w:rsidRDefault="00000000">
      <w:pPr>
        <w:tabs>
          <w:tab w:val="left" w:pos="540"/>
        </w:tabs>
      </w:pPr>
    </w:p>
    <w:bookmarkStart w:id="188" w:name="_MON_1169614125"/>
    <w:bookmarkStart w:id="189" w:name="_MON_1234686707"/>
    <w:bookmarkStart w:id="190" w:name="_MON_1234696356"/>
    <w:bookmarkStart w:id="191" w:name="_MON_1234701253"/>
    <w:bookmarkStart w:id="192" w:name="_MON_1234701458"/>
    <w:bookmarkStart w:id="193" w:name="_MON_1234701845"/>
    <w:bookmarkStart w:id="194" w:name="_MON_1234702123"/>
    <w:bookmarkStart w:id="195" w:name="_MON_1234702306"/>
    <w:bookmarkStart w:id="196" w:name="_MON_1236057828"/>
    <w:bookmarkStart w:id="197" w:name="_MON_1236058247"/>
    <w:bookmarkStart w:id="198" w:name="_MON_1236058334"/>
    <w:bookmarkStart w:id="199" w:name="_MON_1246274070"/>
    <w:bookmarkStart w:id="200" w:name="_MON_1246275029"/>
    <w:bookmarkStart w:id="201" w:name="_MON_1246275424"/>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rsidR="00000000" w:rsidRDefault="00000000">
      <w:pPr>
        <w:pBdr>
          <w:top w:val="single" w:sz="4" w:space="1" w:color="auto"/>
          <w:left w:val="single" w:sz="4" w:space="4" w:color="auto"/>
          <w:bottom w:val="single" w:sz="4" w:space="1" w:color="auto"/>
          <w:right w:val="single" w:sz="4" w:space="4" w:color="auto"/>
        </w:pBdr>
        <w:jc w:val="center"/>
      </w:pPr>
      <w:r>
        <w:object w:dxaOrig="2768" w:dyaOrig="2075">
          <v:shape id="_x0000_i1054" type="#_x0000_t75" style="width:309pt;height:228.75pt" o:ole="">
            <v:imagedata r:id="rId109" o:title=""/>
          </v:shape>
          <o:OLEObject Type="Embed" ProgID="PowerPoint.Slide.8" ShapeID="_x0000_i1054" DrawAspect="Content" ObjectID="_1394904877" r:id="rId110"/>
        </w:object>
      </w:r>
    </w:p>
    <w:p w:rsidR="00000000" w:rsidRDefault="00000000"/>
    <w:p w:rsidR="00000000" w:rsidRDefault="00000000">
      <w:r>
        <w:t>513.</w:t>
      </w:r>
      <w:r>
        <w:tab/>
        <w:t xml:space="preserve">Для материнской смертности среди подростков характерны те же причины, при этом смертность вследствие инфекций и абортов в совокупности превышает 50%. </w:t>
      </w:r>
    </w:p>
    <w:p w:rsidR="00000000" w:rsidRDefault="00000000">
      <w:pPr>
        <w:tabs>
          <w:tab w:val="left" w:pos="540"/>
        </w:tabs>
      </w:pPr>
    </w:p>
    <w:p w:rsidR="00000000" w:rsidRDefault="00000000">
      <w:pPr>
        <w:rPr>
          <w:b/>
        </w:rPr>
      </w:pPr>
      <w:r>
        <w:rPr>
          <w:b/>
        </w:rPr>
        <w:t>6.</w:t>
      </w:r>
      <w:r>
        <w:rPr>
          <w:b/>
        </w:rPr>
        <w:tab/>
        <w:t>Доступ к услугам здравоохранения для уязвимых групп</w:t>
      </w:r>
    </w:p>
    <w:p w:rsidR="00000000" w:rsidRDefault="00000000">
      <w:pPr>
        <w:tabs>
          <w:tab w:val="left" w:pos="540"/>
        </w:tabs>
      </w:pPr>
    </w:p>
    <w:p w:rsidR="00000000" w:rsidRDefault="00000000">
      <w:pPr>
        <w:rPr>
          <w:bCs/>
        </w:rPr>
      </w:pPr>
      <w:r>
        <w:t>514.</w:t>
      </w:r>
      <w:r>
        <w:tab/>
        <w:t>Услуги в области здравоохранения могут быть приближены к населению скорее через увеличение числа врачей и больничных коек в расчете на одного жителя, нежели посредством увеличения количества самих медицинских учреждений, поскольку последний показатель включает широкое разнообразие учреждений самого различного масштаба и уровня оказания медпомощи.  В этом отношении, по данным м</w:t>
      </w:r>
      <w:r>
        <w:rPr>
          <w:bCs/>
        </w:rPr>
        <w:t>инистерства здравоохранения и социального обеспечения, в расчете на каждые 10 000 жителей среднее количество врачей составляет 4,0, а число койко-мест - 6,7.  Применительно к регионам и различным социальным слоям эти показатели весьма отличаются.  Так, если в Асунсьоне на 10 000 жителей приходится 19,5 врачей, то в остальной части страны их число едва достигает 2.  Кроме того, на население с высокими доходами приходится в три раза больше врачей на одного жителя, чем на бедные слои населения.  В то же время в расчете на душу населения численность медицинских работников, не имеющих квалификации врачей (медсестры, акушерки, фельдшеры, включая сельских практикантов-стажеров), примерно совпадает с численностью дипломированных специалистов.  С этой точки зрения, в Асунсьоне имеется вдвое больше таких медработников среднего звена, чем на остальной территории страны.  Аналогичная картина наблюдается и применительно к наиболее богатому и наиболее бедному слоям населения.  Что касается количества больничных коек, можно указать, что в расчете на каждые 10 000 жителей среднее число койко-мест равняется 6,7, однако их распределение весьма неравномерно в зависимости от региона и группы населения.  В то время как на 10 000 жителей в Асунсьоне насчитывается 20,9 коек, в остальных департаментах страны их в среднем около пяти.  Это означает, что население с самыми высокими доходами (5-я квинтиль) имеет на 65% койко-мест на одного жителя больше, чем население с самыми низкими доходами (1</w:t>
      </w:r>
      <w:r>
        <w:rPr>
          <w:bCs/>
        </w:rPr>
        <w:noBreakHyphen/>
        <w:t>я квинтиль).  Наряду с этим, в 91 округе страны (40% общего количества округов) численность койко-мест в расчете на 10 000 жителей не достигает и 3,8 - а это затрагивает интересы почти половины населения страны.</w:t>
      </w:r>
    </w:p>
    <w:p w:rsidR="00000000" w:rsidRDefault="00000000">
      <w:pPr>
        <w:rPr>
          <w:sz w:val="20"/>
          <w:lang w:val="es-ES"/>
        </w:rPr>
      </w:pPr>
    </w:p>
    <w:p w:rsidR="00000000" w:rsidRDefault="00000000">
      <w:r>
        <w:t>515.</w:t>
      </w:r>
      <w:r>
        <w:tab/>
        <w:t>Из общего числа заболевших или пострадавших в результате несчастных случаев (37,8% всего населения) в то или иное медицинское учреждение обращаются 48,6%.  При этом на государственные и частные больницы, госпитали, клиники, медпункты, центры или диспансеры приходится 76,6% всех обращений;  в остальных же случаях обращаются в аптеку, к знахарю или в другие места.</w:t>
      </w:r>
    </w:p>
    <w:p w:rsidR="00000000" w:rsidRDefault="00000000"/>
    <w:p w:rsidR="00000000" w:rsidRDefault="00000000">
      <w:r>
        <w:t>516.</w:t>
      </w:r>
      <w:r>
        <w:tab/>
        <w:t>Наиболее уязвимые группы составляют коренные народности, крестьянское население, жители городских окраин и отдаленных сельских районов, а в самих этих группах наиболее уязвимы женщины и дети обоих полов.  Смертность и заболеваемость среди коренного населения трудно анализировать, поскольку ни в истории болезни, ни в свидетельстве о смерти не указывается, что данный человек принадлежит к коренной народности.</w:t>
      </w:r>
    </w:p>
    <w:p w:rsidR="00000000" w:rsidRDefault="00000000"/>
    <w:p w:rsidR="00000000" w:rsidRDefault="00000000">
      <w:r>
        <w:t>517.</w:t>
      </w:r>
      <w:r>
        <w:tab/>
        <w:t>Для улучшения положения уязвимых групп разработаны формы обслуживания и механизмы адресного охвата конкретных групп населения, исходя из критериев равенства и справедливости:  это жители городских окраин, семьи, находящиеся в условиях нищеты, крестьянские поселения и места проживания городской бедноты, коренные общины, жители приграничных районов и мигранты.</w:t>
      </w:r>
    </w:p>
    <w:p w:rsidR="00000000" w:rsidRDefault="00000000"/>
    <w:p w:rsidR="00000000" w:rsidRDefault="00000000">
      <w:r>
        <w:t>518.</w:t>
      </w:r>
      <w:r>
        <w:tab/>
        <w:t>Отдельные мероприятия, программы и стратегии, направленные на улучшение положения уязвимых групп, предусматривают комплексное обслуживание посредством расширения и универсализации обеспечения и поставок, а также рационального использования медикаментов.</w:t>
      </w:r>
    </w:p>
    <w:p w:rsidR="00000000" w:rsidRDefault="00000000"/>
    <w:p w:rsidR="00000000" w:rsidRDefault="00000000">
      <w:r>
        <w:t>519.</w:t>
      </w:r>
      <w:r>
        <w:tab/>
        <w:t>Борьба с материнской смертностью ведется по следующим направлениям:</w:t>
      </w:r>
    </w:p>
    <w:p w:rsidR="00000000" w:rsidRDefault="00000000"/>
    <w:p w:rsidR="00000000" w:rsidRDefault="00000000">
      <w:pPr>
        <w:ind w:left="1134" w:hanging="1134"/>
      </w:pPr>
      <w:r>
        <w:tab/>
        <w:t>-</w:t>
      </w:r>
      <w:r>
        <w:tab/>
        <w:t>Национальный план по охране сексуального и репродуктивного здоровья на 2003-2008 годы;</w:t>
      </w:r>
    </w:p>
    <w:p w:rsidR="00000000" w:rsidRDefault="00000000"/>
    <w:p w:rsidR="00000000" w:rsidRDefault="00000000">
      <w:r>
        <w:tab/>
        <w:t>-</w:t>
      </w:r>
      <w:r>
        <w:tab/>
        <w:t>Национальный план комплексной охраны детства в рамках стратегии AИЕПИ;</w:t>
      </w:r>
    </w:p>
    <w:p w:rsidR="00000000" w:rsidRDefault="00000000"/>
    <w:p w:rsidR="00000000" w:rsidRDefault="00000000">
      <w:r>
        <w:tab/>
        <w:t>-</w:t>
      </w:r>
      <w:r>
        <w:tab/>
        <w:t>Национальный план комплексной помощи подросткам;</w:t>
      </w:r>
    </w:p>
    <w:p w:rsidR="00000000" w:rsidRDefault="00000000"/>
    <w:p w:rsidR="00000000" w:rsidRDefault="00000000">
      <w:r>
        <w:tab/>
        <w:t>-</w:t>
      </w:r>
      <w:r>
        <w:tab/>
        <w:t>Национальная политика комплексной охраны здоровья женщин;</w:t>
      </w:r>
    </w:p>
    <w:p w:rsidR="00000000" w:rsidRDefault="00000000"/>
    <w:p w:rsidR="00000000" w:rsidRDefault="00000000">
      <w:r>
        <w:tab/>
        <w:t>-</w:t>
      </w:r>
      <w:r>
        <w:tab/>
        <w:t>Правила помощи при беременности, родах и в послеродовой период;</w:t>
      </w:r>
    </w:p>
    <w:p w:rsidR="00000000" w:rsidRDefault="00000000"/>
    <w:p w:rsidR="00000000" w:rsidRDefault="00000000">
      <w:r>
        <w:tab/>
        <w:t>-</w:t>
      </w:r>
      <w:r>
        <w:tab/>
        <w:t>распределение родовых комплектов;</w:t>
      </w:r>
    </w:p>
    <w:p w:rsidR="00000000" w:rsidRDefault="00000000"/>
    <w:p w:rsidR="00000000" w:rsidRDefault="00000000">
      <w:r>
        <w:tab/>
        <w:t>-</w:t>
      </w:r>
      <w:r>
        <w:tab/>
        <w:t>Правила и приемы помощи при акушерских осложнениях;</w:t>
      </w:r>
    </w:p>
    <w:p w:rsidR="00000000" w:rsidRDefault="00000000"/>
    <w:p w:rsidR="00000000" w:rsidRDefault="00000000">
      <w:pPr>
        <w:ind w:left="1134" w:hanging="1134"/>
      </w:pPr>
      <w:r>
        <w:tab/>
        <w:t>-</w:t>
      </w:r>
      <w:r>
        <w:tab/>
        <w:t>Правила диагностики и лечения инфекционных заболеваний, передаваемых половым путем;</w:t>
      </w:r>
    </w:p>
    <w:p w:rsidR="00000000" w:rsidRDefault="00000000"/>
    <w:p w:rsidR="00000000" w:rsidRDefault="00000000">
      <w:pPr>
        <w:ind w:left="1134" w:hanging="1134"/>
      </w:pPr>
      <w:r>
        <w:tab/>
        <w:t>-</w:t>
      </w:r>
      <w:r>
        <w:tab/>
        <w:t>Национальная комиссия по эпидемиологическому надзору за охраной здоровья и материнской смертностью (ЭНЗМС);</w:t>
      </w:r>
    </w:p>
    <w:p w:rsidR="00000000" w:rsidRDefault="00000000"/>
    <w:p w:rsidR="00000000" w:rsidRDefault="00000000">
      <w:r>
        <w:tab/>
        <w:t>-</w:t>
      </w:r>
      <w:r>
        <w:tab/>
        <w:t>Расширенная программа иммунизации (AИЕПИ);</w:t>
      </w:r>
    </w:p>
    <w:p w:rsidR="00000000" w:rsidRDefault="00000000"/>
    <w:p w:rsidR="00000000" w:rsidRDefault="00000000">
      <w:r>
        <w:tab/>
        <w:t>-</w:t>
      </w:r>
      <w:r>
        <w:tab/>
        <w:t>борьба с метаксемическими болезнями.</w:t>
      </w:r>
    </w:p>
    <w:p w:rsidR="00000000" w:rsidRDefault="00000000"/>
    <w:p w:rsidR="00000000" w:rsidRDefault="00000000">
      <w:r>
        <w:t>520.</w:t>
      </w:r>
      <w:r>
        <w:tab/>
        <w:t>Хотя результаты принимаемых в области здравоохранения мер нельзя оценить немедленно, уже можно отметить небольшое снижение уровней материнской и детской смертности.  Расширился доступ к медицинскому обслуживанию;  в 2005 году охват прививками пятивалентной вакциной младенцев до 1 года составил 86% (127 465 младенцев до 1 года получили третью дозу пятивалентной вакцины);  в 2005 году охват прививками вакциной SPR младенцев обоих полов в возрасте до 1 года составил 91% (130 295 младенцев мужского и женского пола в возрасте 1 года привиты вакциной SPR);  в рамках Национальной кампании вакцинации прививки вакциной SR были сделаны 100% населения в возрасте от 5 до 39 лет (3 761 308 вакцинированных).</w:t>
      </w:r>
    </w:p>
    <w:p w:rsidR="00000000" w:rsidRDefault="00000000"/>
    <w:p w:rsidR="00000000" w:rsidRDefault="00000000">
      <w:r>
        <w:t>521.</w:t>
      </w:r>
      <w:r>
        <w:tab/>
        <w:t>Среди мер, принимаемых для снижения количества смертей рожденных после кесарева сечения и детской смертности и для обеспечения здорового развития ребенка, можно назвать осуществление Национальной программы страхования матери и ребенка (ПНАМИ) в качестве стратегии, объединяющей охрану здоровья и обеспечение равного доступа к медицинскому обслуживанию;  распределение родовых комплектов;  программу "Специализированный акушерский уход и забота о новорожденных (КОНЕ)";  и расширение охвата соответствующей иммунизацией.</w:t>
      </w:r>
    </w:p>
    <w:p w:rsidR="00000000" w:rsidRDefault="00000000"/>
    <w:p w:rsidR="00000000" w:rsidRDefault="00000000">
      <w:pPr>
        <w:keepLines/>
      </w:pPr>
      <w:r>
        <w:t>522.</w:t>
      </w:r>
      <w:r>
        <w:tab/>
        <w:t xml:space="preserve">Помимо этого, </w:t>
      </w:r>
      <w:r>
        <w:rPr>
          <w:bCs/>
        </w:rPr>
        <w:t>Секретариат по делам женщин</w:t>
      </w:r>
      <w:r>
        <w:t>, вместе с м</w:t>
      </w:r>
      <w:r>
        <w:rPr>
          <w:bCs/>
        </w:rPr>
        <w:t>инистерством здравоохранения и социального обеспечения</w:t>
      </w:r>
      <w:r>
        <w:t xml:space="preserve">, способствовал проведению тематических семинаров для разработки совместных межведомственных мер в отношении предупреждения и борьбы с сифилисом и ВИЧ/СПИДом у беременных женщин.  Удалось добиться бесплатности анализов и лечения сифилиса и ВИЧ/СПИДа для беременных женщин.  </w:t>
      </w:r>
      <w:r>
        <w:rPr>
          <w:bCs/>
        </w:rPr>
        <w:t>Секретариат по делам женщин,</w:t>
      </w:r>
      <w:r>
        <w:t xml:space="preserve"> при поддержке организаций международного сотрудничества, добился включения гендерной тематики в важные программы и директивы министерства здравоохранения, а также </w:t>
      </w:r>
      <w:r>
        <w:rPr>
          <w:bCs/>
        </w:rPr>
        <w:t>Национального совета по охране сексуального и репродуктивного здоровья</w:t>
      </w:r>
      <w:r>
        <w:t>.  В настоящее время разработана Национальная политика здоровья (на 2005-2008 годы) "Строим вместе политику государства:  здоровье для всех по справедливости", базирующаяся на принципах социального, этнического, культурного и гендерного равенства, а также равенства поколений без какой-либо дискриминации.</w:t>
      </w:r>
    </w:p>
    <w:p w:rsidR="00000000" w:rsidRDefault="00000000"/>
    <w:p w:rsidR="00000000" w:rsidRDefault="00000000">
      <w:r>
        <w:t>523.</w:t>
      </w:r>
      <w:r>
        <w:tab/>
        <w:t>Важно отметить, что в большинстве разработанных м</w:t>
      </w:r>
      <w:r>
        <w:rPr>
          <w:bCs/>
        </w:rPr>
        <w:t>инистерством здравоохранения и социального обеспечения</w:t>
      </w:r>
      <w:r>
        <w:t xml:space="preserve"> планов и программ имеются разделы, посвященные гендерной тематике.</w:t>
      </w:r>
    </w:p>
    <w:p w:rsidR="00000000" w:rsidRDefault="00000000"/>
    <w:p w:rsidR="00000000" w:rsidRDefault="00000000">
      <w:pPr>
        <w:rPr>
          <w:b/>
          <w:bCs/>
        </w:rPr>
      </w:pPr>
      <w:r>
        <w:rPr>
          <w:b/>
        </w:rPr>
        <w:t>7.</w:t>
      </w:r>
      <w:r>
        <w:rPr>
          <w:b/>
        </w:rPr>
        <w:tab/>
        <w:t>Г</w:t>
      </w:r>
      <w:r>
        <w:rPr>
          <w:b/>
          <w:bCs/>
        </w:rPr>
        <w:t>игиена окружающей среды</w:t>
      </w:r>
    </w:p>
    <w:p w:rsidR="00000000" w:rsidRDefault="00000000">
      <w:pPr>
        <w:rPr>
          <w:b/>
        </w:rPr>
      </w:pPr>
    </w:p>
    <w:p w:rsidR="00000000" w:rsidRDefault="00000000">
      <w:r>
        <w:t>524.</w:t>
      </w:r>
      <w:r>
        <w:tab/>
        <w:t>Помимо действующего санитарного кодекса, в муниципальном законодательстве предусмотрены положения, регулирующие определенные параметры, гарантирующие здоровую среду для трудовой деятельности.</w:t>
      </w:r>
    </w:p>
    <w:p w:rsidR="00000000" w:rsidRDefault="00000000"/>
    <w:p w:rsidR="00000000" w:rsidRDefault="00000000">
      <w:r>
        <w:t>525.</w:t>
      </w:r>
      <w:r>
        <w:tab/>
        <w:t>С другой стороны, перед созданным в 2004 году Национальной службой санитарии окружающей среды (СЕНАСА) поставлена задача защищать здоровье населения от нежелательного или чрезмерного воздействия физических, химических и биологических факторов, не зависящих исключительно от личного решения.  Среди направлений его деятельности следует отметить следующие:  безопасное водоснабжение, канализация и ассенизация, оздоровление среды обитания, гигиена природной среды.</w:t>
      </w:r>
    </w:p>
    <w:p w:rsidR="00000000" w:rsidRDefault="00000000"/>
    <w:p w:rsidR="00000000" w:rsidRDefault="00000000">
      <w:pPr>
        <w:ind w:left="567" w:hanging="567"/>
        <w:rPr>
          <w:b/>
        </w:rPr>
      </w:pPr>
      <w:r>
        <w:rPr>
          <w:b/>
        </w:rPr>
        <w:t>8.</w:t>
      </w:r>
      <w:r>
        <w:rPr>
          <w:b/>
        </w:rPr>
        <w:tab/>
        <w:t>Борьба с эпидемическими и эндемическими болезнями, с профессиональными и другими заболеваниями</w:t>
      </w:r>
    </w:p>
    <w:p w:rsidR="00000000" w:rsidRDefault="00000000">
      <w:pPr>
        <w:rPr>
          <w:b/>
        </w:rPr>
      </w:pPr>
    </w:p>
    <w:p w:rsidR="00000000" w:rsidRDefault="00000000">
      <w:r>
        <w:t>526.</w:t>
      </w:r>
      <w:r>
        <w:tab/>
        <w:t>Посредством различных программ правительство осуществляет контроль за ведущейся в стране борьбой с эндемическими болезнями.  Ниже излагаются некоторые ключевые сведения по этим болезням.</w:t>
      </w:r>
    </w:p>
    <w:p w:rsidR="00000000" w:rsidRDefault="00000000"/>
    <w:p w:rsidR="00000000" w:rsidRDefault="00000000">
      <w:pPr>
        <w:keepNext/>
        <w:spacing w:line="216" w:lineRule="auto"/>
        <w:rPr>
          <w:b/>
        </w:rPr>
      </w:pPr>
      <w:r>
        <w:rPr>
          <w:b/>
        </w:rPr>
        <w:tab/>
        <w:t>8.1</w:t>
      </w:r>
      <w:r>
        <w:rPr>
          <w:b/>
        </w:rPr>
        <w:tab/>
        <w:t>Болотная лихорадка или малярия</w:t>
      </w:r>
    </w:p>
    <w:p w:rsidR="00000000" w:rsidRDefault="00000000">
      <w:pPr>
        <w:keepNext/>
        <w:spacing w:line="216" w:lineRule="auto"/>
        <w:rPr>
          <w:b/>
          <w:sz w:val="16"/>
        </w:rPr>
      </w:pPr>
    </w:p>
    <w:p w:rsidR="00000000" w:rsidRDefault="00000000">
      <w:pPr>
        <w:keepNext/>
      </w:pPr>
      <w:r>
        <w:t>527.</w:t>
      </w:r>
      <w:r>
        <w:tab/>
        <w:t>В историческом плане малярия характеризуется неустойчивыми циклическими колебаниями.  Это можно наблюдать при сравнении данных за восьмидесятые годы с данными на конец девяностых годов минувшего столетия.  Число зарегистрированных случаев заболевания сократилось с 5 247 в 1989 году (год эпидемии) до 567 в 1997 году (уменьшение на 89,2%).  В девяностые годы число случаев значительно снижается - до средней цифры 1 000 в год, а начиная с 1995 года отмечается заметное сокращение числа случаев;  в этот период за год выявляются в среднем 600 случаев этой болезни.</w:t>
      </w:r>
    </w:p>
    <w:p w:rsidR="00000000" w:rsidRDefault="00000000">
      <w:pPr>
        <w:rPr>
          <w:sz w:val="20"/>
        </w:rPr>
      </w:pPr>
    </w:p>
    <w:p w:rsidR="00000000" w:rsidRDefault="00000000">
      <w:r>
        <w:t>528.</w:t>
      </w:r>
      <w:r>
        <w:tab/>
        <w:t>Вместе с тем, в 1998 году имел место значительный рост - 2 091 случай, который в 1999 году даже приобрел характер эпидемии, достигнув 9 946 случаев.  Эпидемия продолжалась до августа 2000 года, в котором было зарегистрировано 6 853 случаев.  Начиная с 1999 года, используется новая стратегия борьбы с малярией, в рамках которой основное внимание уделяется ускоренной диагностике и немедленному лечению заболевших, в дополнение к опылению соответствующих ареалов и зон.  В 2001 году число заболевших составило 2 710 человек, а в 2002 году было отмечено 2 778 случаев, что эквивалентно сокращению на 77,1% числа случаев за четырехлетний период.</w:t>
      </w:r>
    </w:p>
    <w:p w:rsidR="00000000" w:rsidRDefault="00000000">
      <w:pPr>
        <w:rPr>
          <w:sz w:val="20"/>
        </w:rPr>
      </w:pPr>
    </w:p>
    <w:p w:rsidR="00000000" w:rsidRDefault="00000000">
      <w:r>
        <w:t>529.</w:t>
      </w:r>
      <w:r>
        <w:tab/>
        <w:t xml:space="preserve">В 2003 году было зарегистрировано 1 235 случаев, а в 2004 году - 694 случая заболевания.  Данные по годам, представленные в Эндемическом справочнике, свидетельствуют о тенденции к снижению числа зарегистрированных случаев после большой эпидемии 1999 года.  При этом среднемесячные показатели составили:  571 случай в 2000 году, 226 - в 2001 году, 231 - в 2002 году, 116 - в 2003 и 58 - в 2004 году.  75% случаев появления малярии за последние пять лет приходятся на сельские районы в Альто-Парана, </w:t>
      </w:r>
      <w:r>
        <w:rPr>
          <w:szCs w:val="24"/>
        </w:rPr>
        <w:t>Каагуасу</w:t>
      </w:r>
      <w:r>
        <w:t xml:space="preserve"> и Канендию в центральной и восточной частях страны (отдельные случаи отмечались в соседних зонах).</w:t>
      </w:r>
    </w:p>
    <w:p w:rsidR="00000000" w:rsidRDefault="00000000">
      <w:pPr>
        <w:spacing w:line="216" w:lineRule="auto"/>
        <w:rPr>
          <w:sz w:val="20"/>
        </w:rPr>
      </w:pPr>
    </w:p>
    <w:p w:rsidR="00000000" w:rsidRDefault="00000000">
      <w:pPr>
        <w:spacing w:line="216" w:lineRule="auto"/>
        <w:jc w:val="center"/>
        <w:rPr>
          <w:rFonts w:eastAsia="Batang"/>
          <w:b/>
          <w:bCs/>
          <w:lang w:eastAsia="ko-KR"/>
        </w:rPr>
      </w:pPr>
      <w:r>
        <w:rPr>
          <w:rFonts w:eastAsia="Batang"/>
          <w:b/>
          <w:bCs/>
          <w:lang w:eastAsia="ko-KR"/>
        </w:rPr>
        <w:t>Таблица</w:t>
      </w:r>
    </w:p>
    <w:p w:rsidR="00000000" w:rsidRDefault="00000000">
      <w:pPr>
        <w:spacing w:line="216" w:lineRule="auto"/>
        <w:jc w:val="center"/>
        <w:rPr>
          <w:rFonts w:eastAsia="Batang"/>
          <w:sz w:val="16"/>
          <w:lang w:eastAsia="ko-KR"/>
        </w:rPr>
      </w:pPr>
    </w:p>
    <w:p w:rsidR="00000000" w:rsidRDefault="00000000">
      <w:pPr>
        <w:spacing w:line="216" w:lineRule="auto"/>
        <w:jc w:val="center"/>
        <w:rPr>
          <w:rFonts w:eastAsia="Batang"/>
          <w:color w:val="333333"/>
          <w:lang w:eastAsia="ko-KR"/>
        </w:rPr>
      </w:pPr>
      <w:r>
        <w:rPr>
          <w:rFonts w:eastAsia="Batang"/>
          <w:color w:val="333333"/>
          <w:lang w:eastAsia="ko-KR"/>
        </w:rPr>
        <w:t>Выявленные случаи малярии в разбивке по возрастным группам, 1999-2004 годы</w:t>
      </w:r>
    </w:p>
    <w:p w:rsidR="00000000" w:rsidRDefault="00000000">
      <w:pPr>
        <w:spacing w:line="216" w:lineRule="auto"/>
        <w:jc w:val="center"/>
        <w:rPr>
          <w:rFonts w:ascii="Arial" w:eastAsia="Batang" w:hAnsi="Arial" w:cs="Arial"/>
          <w:color w:val="333333"/>
          <w:sz w:val="16"/>
          <w:lang w:eastAsia="ko-K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0"/>
        <w:gridCol w:w="922"/>
        <w:gridCol w:w="806"/>
        <w:gridCol w:w="804"/>
        <w:gridCol w:w="806"/>
        <w:gridCol w:w="806"/>
        <w:gridCol w:w="806"/>
        <w:gridCol w:w="806"/>
        <w:gridCol w:w="720"/>
        <w:gridCol w:w="887"/>
        <w:gridCol w:w="1283"/>
      </w:tblGrid>
      <w:tr w:rsidR="00000000">
        <w:tblPrEx>
          <w:tblCellMar>
            <w:top w:w="0" w:type="dxa"/>
            <w:bottom w:w="0" w:type="dxa"/>
          </w:tblCellMar>
        </w:tblPrEx>
        <w:trPr>
          <w:cantSplit/>
        </w:trPr>
        <w:tc>
          <w:tcPr>
            <w:tcW w:w="473" w:type="pct"/>
            <w:vMerge w:val="restart"/>
            <w:vAlign w:val="center"/>
          </w:tcPr>
          <w:p w:rsidR="00000000" w:rsidRDefault="00000000">
            <w:pPr>
              <w:jc w:val="center"/>
              <w:rPr>
                <w:b/>
                <w:bCs/>
                <w:color w:val="333333"/>
                <w:sz w:val="22"/>
              </w:rPr>
            </w:pPr>
            <w:r>
              <w:rPr>
                <w:b/>
                <w:bCs/>
                <w:color w:val="333333"/>
                <w:sz w:val="22"/>
              </w:rPr>
              <w:t>Годы</w:t>
            </w:r>
          </w:p>
        </w:tc>
        <w:tc>
          <w:tcPr>
            <w:tcW w:w="450" w:type="pct"/>
            <w:vMerge w:val="restart"/>
            <w:vAlign w:val="center"/>
          </w:tcPr>
          <w:p w:rsidR="00000000" w:rsidRDefault="00000000">
            <w:pPr>
              <w:jc w:val="center"/>
              <w:rPr>
                <w:b/>
                <w:bCs/>
                <w:color w:val="333333"/>
                <w:sz w:val="22"/>
              </w:rPr>
            </w:pPr>
            <w:r>
              <w:rPr>
                <w:b/>
                <w:bCs/>
                <w:color w:val="333333"/>
                <w:sz w:val="22"/>
              </w:rPr>
              <w:t xml:space="preserve">Число случаев </w:t>
            </w:r>
          </w:p>
        </w:tc>
        <w:tc>
          <w:tcPr>
            <w:tcW w:w="4077" w:type="pct"/>
            <w:gridSpan w:val="9"/>
            <w:vAlign w:val="center"/>
          </w:tcPr>
          <w:p w:rsidR="00000000" w:rsidRDefault="00000000">
            <w:pPr>
              <w:jc w:val="center"/>
              <w:rPr>
                <w:b/>
                <w:bCs/>
                <w:color w:val="333333"/>
                <w:sz w:val="22"/>
              </w:rPr>
            </w:pPr>
            <w:r>
              <w:rPr>
                <w:b/>
                <w:bCs/>
                <w:color w:val="333333"/>
                <w:sz w:val="22"/>
              </w:rPr>
              <w:t>Возрастные группы</w:t>
            </w:r>
          </w:p>
        </w:tc>
      </w:tr>
      <w:tr w:rsidR="00000000">
        <w:tblPrEx>
          <w:tblCellMar>
            <w:top w:w="0" w:type="dxa"/>
            <w:bottom w:w="0" w:type="dxa"/>
          </w:tblCellMar>
        </w:tblPrEx>
        <w:trPr>
          <w:cantSplit/>
        </w:trPr>
        <w:tc>
          <w:tcPr>
            <w:tcW w:w="473" w:type="pct"/>
            <w:vMerge/>
          </w:tcPr>
          <w:p w:rsidR="00000000" w:rsidRDefault="00000000">
            <w:pPr>
              <w:jc w:val="center"/>
              <w:rPr>
                <w:b/>
                <w:bCs/>
                <w:color w:val="333333"/>
                <w:sz w:val="22"/>
              </w:rPr>
            </w:pPr>
          </w:p>
        </w:tc>
        <w:tc>
          <w:tcPr>
            <w:tcW w:w="450" w:type="pct"/>
            <w:vMerge/>
          </w:tcPr>
          <w:p w:rsidR="00000000" w:rsidRDefault="00000000">
            <w:pPr>
              <w:jc w:val="center"/>
              <w:rPr>
                <w:b/>
                <w:bCs/>
                <w:color w:val="333333"/>
                <w:sz w:val="22"/>
              </w:rPr>
            </w:pPr>
          </w:p>
        </w:tc>
        <w:tc>
          <w:tcPr>
            <w:tcW w:w="449" w:type="pct"/>
            <w:vAlign w:val="bottom"/>
          </w:tcPr>
          <w:p w:rsidR="00000000" w:rsidRDefault="00000000">
            <w:pPr>
              <w:jc w:val="center"/>
              <w:rPr>
                <w:rFonts w:eastAsia="Batang"/>
                <w:b/>
                <w:bCs/>
                <w:color w:val="333333"/>
                <w:sz w:val="22"/>
                <w:szCs w:val="16"/>
                <w:lang w:eastAsia="ko-KR"/>
              </w:rPr>
            </w:pPr>
            <w:r>
              <w:rPr>
                <w:rFonts w:eastAsia="Batang"/>
                <w:b/>
                <w:bCs/>
                <w:color w:val="333333"/>
                <w:sz w:val="22"/>
                <w:szCs w:val="16"/>
                <w:lang w:eastAsia="ko-KR"/>
              </w:rPr>
              <w:t>&lt; 1</w:t>
            </w:r>
          </w:p>
        </w:tc>
        <w:tc>
          <w:tcPr>
            <w:tcW w:w="448" w:type="pct"/>
            <w:vAlign w:val="bottom"/>
          </w:tcPr>
          <w:p w:rsidR="00000000" w:rsidRDefault="00000000">
            <w:pPr>
              <w:jc w:val="center"/>
              <w:rPr>
                <w:rFonts w:eastAsia="Batang"/>
                <w:b/>
                <w:bCs/>
                <w:color w:val="333333"/>
                <w:sz w:val="22"/>
                <w:szCs w:val="16"/>
                <w:lang w:eastAsia="ko-KR"/>
              </w:rPr>
            </w:pPr>
            <w:r>
              <w:rPr>
                <w:rFonts w:eastAsia="Batang"/>
                <w:b/>
                <w:bCs/>
                <w:color w:val="333333"/>
                <w:sz w:val="22"/>
                <w:szCs w:val="16"/>
                <w:lang w:eastAsia="ko-KR"/>
              </w:rPr>
              <w:t>1-4</w:t>
            </w:r>
          </w:p>
        </w:tc>
        <w:tc>
          <w:tcPr>
            <w:tcW w:w="449" w:type="pct"/>
            <w:vAlign w:val="bottom"/>
          </w:tcPr>
          <w:p w:rsidR="00000000" w:rsidRDefault="00000000">
            <w:pPr>
              <w:jc w:val="center"/>
              <w:rPr>
                <w:rFonts w:eastAsia="Batang"/>
                <w:b/>
                <w:bCs/>
                <w:color w:val="333333"/>
                <w:sz w:val="22"/>
                <w:szCs w:val="16"/>
                <w:lang w:eastAsia="ko-KR"/>
              </w:rPr>
            </w:pPr>
            <w:r>
              <w:rPr>
                <w:rFonts w:eastAsia="Batang"/>
                <w:b/>
                <w:bCs/>
                <w:color w:val="333333"/>
                <w:sz w:val="22"/>
                <w:szCs w:val="16"/>
                <w:lang w:eastAsia="ko-KR"/>
              </w:rPr>
              <w:t>5-14</w:t>
            </w:r>
          </w:p>
        </w:tc>
        <w:tc>
          <w:tcPr>
            <w:tcW w:w="449" w:type="pct"/>
            <w:vAlign w:val="bottom"/>
          </w:tcPr>
          <w:p w:rsidR="00000000" w:rsidRDefault="00000000">
            <w:pPr>
              <w:jc w:val="center"/>
              <w:rPr>
                <w:rFonts w:eastAsia="Batang"/>
                <w:b/>
                <w:bCs/>
                <w:color w:val="333333"/>
                <w:sz w:val="22"/>
                <w:szCs w:val="16"/>
                <w:lang w:eastAsia="ko-KR"/>
              </w:rPr>
            </w:pPr>
            <w:r>
              <w:rPr>
                <w:rFonts w:eastAsia="Batang"/>
                <w:b/>
                <w:bCs/>
                <w:color w:val="333333"/>
                <w:sz w:val="22"/>
                <w:szCs w:val="16"/>
                <w:lang w:eastAsia="ko-KR"/>
              </w:rPr>
              <w:t>15-19</w:t>
            </w:r>
          </w:p>
        </w:tc>
        <w:tc>
          <w:tcPr>
            <w:tcW w:w="449" w:type="pct"/>
            <w:vAlign w:val="bottom"/>
          </w:tcPr>
          <w:p w:rsidR="00000000" w:rsidRDefault="00000000">
            <w:pPr>
              <w:jc w:val="center"/>
              <w:rPr>
                <w:rFonts w:eastAsia="Batang"/>
                <w:b/>
                <w:bCs/>
                <w:color w:val="333333"/>
                <w:sz w:val="22"/>
                <w:szCs w:val="16"/>
                <w:lang w:eastAsia="ko-KR"/>
              </w:rPr>
            </w:pPr>
            <w:r>
              <w:rPr>
                <w:rFonts w:eastAsia="Batang"/>
                <w:b/>
                <w:bCs/>
                <w:color w:val="333333"/>
                <w:sz w:val="22"/>
                <w:szCs w:val="16"/>
                <w:lang w:eastAsia="ko-KR"/>
              </w:rPr>
              <w:t>20-39</w:t>
            </w:r>
          </w:p>
        </w:tc>
        <w:tc>
          <w:tcPr>
            <w:tcW w:w="449" w:type="pct"/>
            <w:vAlign w:val="bottom"/>
          </w:tcPr>
          <w:p w:rsidR="00000000" w:rsidRDefault="00000000">
            <w:pPr>
              <w:jc w:val="center"/>
              <w:rPr>
                <w:rFonts w:eastAsia="Batang"/>
                <w:b/>
                <w:bCs/>
                <w:color w:val="333333"/>
                <w:sz w:val="22"/>
                <w:szCs w:val="16"/>
                <w:lang w:eastAsia="ko-KR"/>
              </w:rPr>
            </w:pPr>
            <w:r>
              <w:rPr>
                <w:rFonts w:eastAsia="Batang"/>
                <w:b/>
                <w:bCs/>
                <w:color w:val="333333"/>
                <w:sz w:val="22"/>
                <w:szCs w:val="16"/>
                <w:lang w:eastAsia="ko-KR"/>
              </w:rPr>
              <w:t>40-49</w:t>
            </w:r>
          </w:p>
        </w:tc>
        <w:tc>
          <w:tcPr>
            <w:tcW w:w="404" w:type="pct"/>
            <w:vAlign w:val="bottom"/>
          </w:tcPr>
          <w:p w:rsidR="00000000" w:rsidRDefault="00000000">
            <w:pPr>
              <w:jc w:val="center"/>
              <w:rPr>
                <w:rFonts w:eastAsia="Batang"/>
                <w:b/>
                <w:bCs/>
                <w:color w:val="333333"/>
                <w:sz w:val="22"/>
                <w:szCs w:val="16"/>
                <w:lang w:eastAsia="ko-KR"/>
              </w:rPr>
            </w:pPr>
            <w:r>
              <w:rPr>
                <w:rFonts w:eastAsia="Batang"/>
                <w:b/>
                <w:bCs/>
                <w:color w:val="333333"/>
                <w:sz w:val="22"/>
                <w:szCs w:val="16"/>
                <w:lang w:eastAsia="ko-KR"/>
              </w:rPr>
              <w:t>50-59</w:t>
            </w:r>
          </w:p>
        </w:tc>
        <w:tc>
          <w:tcPr>
            <w:tcW w:w="492" w:type="pct"/>
            <w:vAlign w:val="bottom"/>
          </w:tcPr>
          <w:p w:rsidR="00000000" w:rsidRDefault="00000000">
            <w:pPr>
              <w:jc w:val="center"/>
              <w:rPr>
                <w:rFonts w:eastAsia="Batang"/>
                <w:b/>
                <w:bCs/>
                <w:color w:val="333333"/>
                <w:sz w:val="22"/>
                <w:szCs w:val="16"/>
                <w:lang w:eastAsia="ko-KR"/>
              </w:rPr>
            </w:pPr>
            <w:r>
              <w:rPr>
                <w:rFonts w:eastAsia="Batang"/>
                <w:b/>
                <w:bCs/>
                <w:color w:val="333333"/>
                <w:sz w:val="22"/>
                <w:szCs w:val="16"/>
                <w:lang w:eastAsia="ko-KR"/>
              </w:rPr>
              <w:t>60 и старше</w:t>
            </w:r>
          </w:p>
        </w:tc>
        <w:tc>
          <w:tcPr>
            <w:tcW w:w="490" w:type="pct"/>
            <w:vAlign w:val="bottom"/>
          </w:tcPr>
          <w:p w:rsidR="00000000" w:rsidRDefault="00000000">
            <w:pPr>
              <w:jc w:val="center"/>
              <w:rPr>
                <w:rFonts w:eastAsia="Batang"/>
                <w:b/>
                <w:bCs/>
                <w:color w:val="333333"/>
                <w:sz w:val="22"/>
                <w:szCs w:val="16"/>
                <w:lang w:eastAsia="ko-KR"/>
              </w:rPr>
            </w:pPr>
            <w:r>
              <w:rPr>
                <w:rFonts w:eastAsia="Batang"/>
                <w:b/>
                <w:bCs/>
                <w:color w:val="333333"/>
                <w:sz w:val="22"/>
                <w:szCs w:val="16"/>
                <w:lang w:eastAsia="ko-KR"/>
              </w:rPr>
              <w:t>Неизвестно</w:t>
            </w:r>
          </w:p>
        </w:tc>
      </w:tr>
      <w:tr w:rsidR="00000000">
        <w:tblPrEx>
          <w:tblCellMar>
            <w:top w:w="0" w:type="dxa"/>
            <w:bottom w:w="0" w:type="dxa"/>
          </w:tblCellMar>
        </w:tblPrEx>
        <w:tc>
          <w:tcPr>
            <w:tcW w:w="473" w:type="pct"/>
          </w:tcPr>
          <w:p w:rsidR="00000000" w:rsidRDefault="00000000">
            <w:pPr>
              <w:jc w:val="center"/>
              <w:rPr>
                <w:rFonts w:eastAsia="Batang"/>
                <w:color w:val="333333"/>
                <w:szCs w:val="16"/>
                <w:lang w:eastAsia="ko-KR"/>
              </w:rPr>
            </w:pPr>
            <w:r>
              <w:rPr>
                <w:rFonts w:eastAsia="Batang"/>
                <w:color w:val="333333"/>
                <w:szCs w:val="16"/>
                <w:lang w:eastAsia="ko-KR"/>
              </w:rPr>
              <w:t>1999</w:t>
            </w:r>
          </w:p>
        </w:tc>
        <w:tc>
          <w:tcPr>
            <w:tcW w:w="450" w:type="pct"/>
            <w:vAlign w:val="bottom"/>
          </w:tcPr>
          <w:p w:rsidR="00000000" w:rsidRDefault="00000000">
            <w:pPr>
              <w:jc w:val="center"/>
              <w:rPr>
                <w:rFonts w:eastAsia="Batang"/>
                <w:color w:val="333333"/>
                <w:szCs w:val="16"/>
                <w:lang w:eastAsia="ko-KR"/>
              </w:rPr>
            </w:pPr>
            <w:r>
              <w:rPr>
                <w:rFonts w:eastAsia="Batang"/>
                <w:color w:val="333333"/>
                <w:szCs w:val="16"/>
                <w:lang w:eastAsia="ko-KR"/>
              </w:rPr>
              <w:t>9 946</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127</w:t>
            </w:r>
          </w:p>
        </w:tc>
        <w:tc>
          <w:tcPr>
            <w:tcW w:w="448" w:type="pct"/>
            <w:vAlign w:val="bottom"/>
          </w:tcPr>
          <w:p w:rsidR="00000000" w:rsidRDefault="00000000">
            <w:pPr>
              <w:jc w:val="center"/>
              <w:rPr>
                <w:rFonts w:eastAsia="Batang"/>
                <w:color w:val="333333"/>
                <w:szCs w:val="16"/>
                <w:lang w:eastAsia="ko-KR"/>
              </w:rPr>
            </w:pPr>
            <w:r>
              <w:rPr>
                <w:rFonts w:eastAsia="Batang"/>
                <w:color w:val="333333"/>
                <w:szCs w:val="16"/>
                <w:lang w:eastAsia="ko-KR"/>
              </w:rPr>
              <w:t>961</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2 297</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1 123</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3 245</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1 082</w:t>
            </w:r>
          </w:p>
        </w:tc>
        <w:tc>
          <w:tcPr>
            <w:tcW w:w="404" w:type="pct"/>
            <w:vAlign w:val="bottom"/>
          </w:tcPr>
          <w:p w:rsidR="00000000" w:rsidRDefault="00000000">
            <w:pPr>
              <w:jc w:val="center"/>
              <w:rPr>
                <w:rFonts w:eastAsia="Batang"/>
                <w:color w:val="333333"/>
                <w:szCs w:val="16"/>
                <w:lang w:eastAsia="ko-KR"/>
              </w:rPr>
            </w:pPr>
            <w:r>
              <w:rPr>
                <w:rFonts w:eastAsia="Batang"/>
                <w:color w:val="333333"/>
                <w:szCs w:val="16"/>
                <w:lang w:eastAsia="ko-KR"/>
              </w:rPr>
              <w:t>546</w:t>
            </w:r>
          </w:p>
        </w:tc>
        <w:tc>
          <w:tcPr>
            <w:tcW w:w="492" w:type="pct"/>
            <w:vAlign w:val="bottom"/>
          </w:tcPr>
          <w:p w:rsidR="00000000" w:rsidRDefault="00000000">
            <w:pPr>
              <w:jc w:val="center"/>
              <w:rPr>
                <w:rFonts w:eastAsia="Batang"/>
                <w:color w:val="333333"/>
                <w:szCs w:val="16"/>
                <w:lang w:eastAsia="ko-KR"/>
              </w:rPr>
            </w:pPr>
            <w:r>
              <w:rPr>
                <w:rFonts w:eastAsia="Batang"/>
                <w:color w:val="333333"/>
                <w:szCs w:val="16"/>
                <w:lang w:eastAsia="ko-KR"/>
              </w:rPr>
              <w:t>327</w:t>
            </w:r>
          </w:p>
        </w:tc>
        <w:tc>
          <w:tcPr>
            <w:tcW w:w="490" w:type="pct"/>
            <w:vAlign w:val="bottom"/>
          </w:tcPr>
          <w:p w:rsidR="00000000" w:rsidRDefault="00000000">
            <w:pPr>
              <w:jc w:val="center"/>
              <w:rPr>
                <w:rFonts w:eastAsia="Batang"/>
                <w:color w:val="333333"/>
                <w:szCs w:val="16"/>
                <w:lang w:eastAsia="ko-KR"/>
              </w:rPr>
            </w:pPr>
            <w:r>
              <w:rPr>
                <w:rFonts w:eastAsia="Batang"/>
                <w:color w:val="333333"/>
                <w:szCs w:val="16"/>
                <w:lang w:eastAsia="ko-KR"/>
              </w:rPr>
              <w:t>238</w:t>
            </w:r>
          </w:p>
        </w:tc>
      </w:tr>
      <w:tr w:rsidR="00000000">
        <w:tblPrEx>
          <w:tblCellMar>
            <w:top w:w="0" w:type="dxa"/>
            <w:bottom w:w="0" w:type="dxa"/>
          </w:tblCellMar>
        </w:tblPrEx>
        <w:tc>
          <w:tcPr>
            <w:tcW w:w="473" w:type="pct"/>
          </w:tcPr>
          <w:p w:rsidR="00000000" w:rsidRDefault="00000000">
            <w:pPr>
              <w:jc w:val="center"/>
              <w:rPr>
                <w:rFonts w:eastAsia="Batang"/>
                <w:color w:val="333333"/>
                <w:szCs w:val="16"/>
                <w:lang w:eastAsia="ko-KR"/>
              </w:rPr>
            </w:pPr>
            <w:r>
              <w:rPr>
                <w:rFonts w:eastAsia="Batang"/>
                <w:color w:val="333333"/>
                <w:szCs w:val="16"/>
                <w:lang w:eastAsia="ko-KR"/>
              </w:rPr>
              <w:t>2000</w:t>
            </w:r>
          </w:p>
        </w:tc>
        <w:tc>
          <w:tcPr>
            <w:tcW w:w="450" w:type="pct"/>
            <w:vAlign w:val="bottom"/>
          </w:tcPr>
          <w:p w:rsidR="00000000" w:rsidRDefault="00000000">
            <w:pPr>
              <w:jc w:val="center"/>
              <w:rPr>
                <w:rFonts w:eastAsia="Batang"/>
                <w:color w:val="333333"/>
                <w:szCs w:val="16"/>
                <w:lang w:eastAsia="ko-KR"/>
              </w:rPr>
            </w:pPr>
            <w:r>
              <w:rPr>
                <w:rFonts w:eastAsia="Batang"/>
                <w:color w:val="333333"/>
                <w:szCs w:val="16"/>
                <w:lang w:eastAsia="ko-KR"/>
              </w:rPr>
              <w:t>6 853</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60</w:t>
            </w:r>
          </w:p>
        </w:tc>
        <w:tc>
          <w:tcPr>
            <w:tcW w:w="448" w:type="pct"/>
            <w:vAlign w:val="bottom"/>
          </w:tcPr>
          <w:p w:rsidR="00000000" w:rsidRDefault="00000000">
            <w:pPr>
              <w:jc w:val="center"/>
              <w:rPr>
                <w:rFonts w:eastAsia="Batang"/>
                <w:color w:val="333333"/>
                <w:szCs w:val="16"/>
                <w:lang w:eastAsia="ko-KR"/>
              </w:rPr>
            </w:pPr>
            <w:r>
              <w:rPr>
                <w:rFonts w:eastAsia="Batang"/>
                <w:color w:val="333333"/>
                <w:szCs w:val="16"/>
                <w:lang w:eastAsia="ko-KR"/>
              </w:rPr>
              <w:t>718</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1 768</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809</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2 222</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677</w:t>
            </w:r>
          </w:p>
        </w:tc>
        <w:tc>
          <w:tcPr>
            <w:tcW w:w="404" w:type="pct"/>
            <w:vAlign w:val="bottom"/>
          </w:tcPr>
          <w:p w:rsidR="00000000" w:rsidRDefault="00000000">
            <w:pPr>
              <w:jc w:val="center"/>
              <w:rPr>
                <w:rFonts w:eastAsia="Batang"/>
                <w:color w:val="333333"/>
                <w:szCs w:val="16"/>
                <w:lang w:eastAsia="ko-KR"/>
              </w:rPr>
            </w:pPr>
            <w:r>
              <w:rPr>
                <w:rFonts w:eastAsia="Batang"/>
                <w:color w:val="333333"/>
                <w:szCs w:val="16"/>
                <w:lang w:eastAsia="ko-KR"/>
              </w:rPr>
              <w:t>348</w:t>
            </w:r>
          </w:p>
        </w:tc>
        <w:tc>
          <w:tcPr>
            <w:tcW w:w="492" w:type="pct"/>
            <w:vAlign w:val="bottom"/>
          </w:tcPr>
          <w:p w:rsidR="00000000" w:rsidRDefault="00000000">
            <w:pPr>
              <w:jc w:val="center"/>
              <w:rPr>
                <w:rFonts w:eastAsia="Batang"/>
                <w:color w:val="333333"/>
                <w:szCs w:val="16"/>
                <w:lang w:eastAsia="ko-KR"/>
              </w:rPr>
            </w:pPr>
            <w:r>
              <w:rPr>
                <w:rFonts w:eastAsia="Batang"/>
                <w:color w:val="333333"/>
                <w:szCs w:val="16"/>
                <w:lang w:eastAsia="ko-KR"/>
              </w:rPr>
              <w:t>195</w:t>
            </w:r>
          </w:p>
        </w:tc>
        <w:tc>
          <w:tcPr>
            <w:tcW w:w="490" w:type="pct"/>
            <w:vAlign w:val="bottom"/>
          </w:tcPr>
          <w:p w:rsidR="00000000" w:rsidRDefault="00000000">
            <w:pPr>
              <w:jc w:val="center"/>
              <w:rPr>
                <w:rFonts w:eastAsia="Batang"/>
                <w:color w:val="333333"/>
                <w:szCs w:val="16"/>
                <w:lang w:eastAsia="ko-KR"/>
              </w:rPr>
            </w:pPr>
            <w:r>
              <w:rPr>
                <w:rFonts w:eastAsia="Batang"/>
                <w:color w:val="333333"/>
                <w:szCs w:val="16"/>
                <w:lang w:eastAsia="ko-KR"/>
              </w:rPr>
              <w:t>56</w:t>
            </w:r>
          </w:p>
        </w:tc>
      </w:tr>
      <w:tr w:rsidR="00000000">
        <w:tblPrEx>
          <w:tblCellMar>
            <w:top w:w="0" w:type="dxa"/>
            <w:bottom w:w="0" w:type="dxa"/>
          </w:tblCellMar>
        </w:tblPrEx>
        <w:tc>
          <w:tcPr>
            <w:tcW w:w="473" w:type="pct"/>
          </w:tcPr>
          <w:p w:rsidR="00000000" w:rsidRDefault="00000000">
            <w:pPr>
              <w:jc w:val="center"/>
              <w:rPr>
                <w:rFonts w:eastAsia="Batang"/>
                <w:color w:val="333333"/>
                <w:szCs w:val="16"/>
                <w:lang w:eastAsia="ko-KR"/>
              </w:rPr>
            </w:pPr>
            <w:r>
              <w:rPr>
                <w:rFonts w:eastAsia="Batang"/>
                <w:color w:val="333333"/>
                <w:szCs w:val="16"/>
                <w:lang w:eastAsia="ko-KR"/>
              </w:rPr>
              <w:t>2001</w:t>
            </w:r>
          </w:p>
        </w:tc>
        <w:tc>
          <w:tcPr>
            <w:tcW w:w="450" w:type="pct"/>
            <w:vAlign w:val="bottom"/>
          </w:tcPr>
          <w:p w:rsidR="00000000" w:rsidRDefault="00000000">
            <w:pPr>
              <w:jc w:val="center"/>
              <w:rPr>
                <w:rFonts w:eastAsia="Batang"/>
                <w:color w:val="333333"/>
                <w:szCs w:val="16"/>
                <w:lang w:eastAsia="ko-KR"/>
              </w:rPr>
            </w:pPr>
            <w:r>
              <w:rPr>
                <w:rFonts w:eastAsia="Batang"/>
                <w:color w:val="333333"/>
                <w:szCs w:val="16"/>
                <w:lang w:eastAsia="ko-KR"/>
              </w:rPr>
              <w:t>2 710</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23</w:t>
            </w:r>
          </w:p>
        </w:tc>
        <w:tc>
          <w:tcPr>
            <w:tcW w:w="448" w:type="pct"/>
            <w:vAlign w:val="bottom"/>
          </w:tcPr>
          <w:p w:rsidR="00000000" w:rsidRDefault="00000000">
            <w:pPr>
              <w:jc w:val="center"/>
              <w:rPr>
                <w:rFonts w:eastAsia="Batang"/>
                <w:color w:val="333333"/>
                <w:szCs w:val="16"/>
                <w:lang w:eastAsia="ko-KR"/>
              </w:rPr>
            </w:pPr>
            <w:r>
              <w:rPr>
                <w:rFonts w:eastAsia="Batang"/>
                <w:color w:val="333333"/>
                <w:szCs w:val="16"/>
                <w:lang w:eastAsia="ko-KR"/>
              </w:rPr>
              <w:t>319</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684</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336</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858</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259</w:t>
            </w:r>
          </w:p>
        </w:tc>
        <w:tc>
          <w:tcPr>
            <w:tcW w:w="404" w:type="pct"/>
            <w:vAlign w:val="bottom"/>
          </w:tcPr>
          <w:p w:rsidR="00000000" w:rsidRDefault="00000000">
            <w:pPr>
              <w:jc w:val="center"/>
              <w:rPr>
                <w:rFonts w:eastAsia="Batang"/>
                <w:color w:val="333333"/>
                <w:szCs w:val="16"/>
                <w:lang w:eastAsia="ko-KR"/>
              </w:rPr>
            </w:pPr>
            <w:r>
              <w:rPr>
                <w:rFonts w:eastAsia="Batang"/>
                <w:color w:val="333333"/>
                <w:szCs w:val="16"/>
                <w:lang w:eastAsia="ko-KR"/>
              </w:rPr>
              <w:t>131</w:t>
            </w:r>
          </w:p>
        </w:tc>
        <w:tc>
          <w:tcPr>
            <w:tcW w:w="492" w:type="pct"/>
            <w:vAlign w:val="bottom"/>
          </w:tcPr>
          <w:p w:rsidR="00000000" w:rsidRDefault="00000000">
            <w:pPr>
              <w:jc w:val="center"/>
              <w:rPr>
                <w:rFonts w:eastAsia="Batang"/>
                <w:color w:val="333333"/>
                <w:szCs w:val="16"/>
                <w:lang w:eastAsia="ko-KR"/>
              </w:rPr>
            </w:pPr>
            <w:r>
              <w:rPr>
                <w:rFonts w:eastAsia="Batang"/>
                <w:color w:val="333333"/>
                <w:szCs w:val="16"/>
                <w:lang w:eastAsia="ko-KR"/>
              </w:rPr>
              <w:t>88</w:t>
            </w:r>
          </w:p>
        </w:tc>
        <w:tc>
          <w:tcPr>
            <w:tcW w:w="490" w:type="pct"/>
            <w:vAlign w:val="bottom"/>
          </w:tcPr>
          <w:p w:rsidR="00000000" w:rsidRDefault="00000000">
            <w:pPr>
              <w:jc w:val="center"/>
              <w:rPr>
                <w:rFonts w:eastAsia="Batang"/>
                <w:color w:val="333333"/>
                <w:szCs w:val="16"/>
                <w:lang w:eastAsia="ko-KR"/>
              </w:rPr>
            </w:pPr>
            <w:r>
              <w:rPr>
                <w:rFonts w:eastAsia="Batang"/>
                <w:color w:val="333333"/>
                <w:szCs w:val="16"/>
                <w:lang w:eastAsia="ko-KR"/>
              </w:rPr>
              <w:t>12</w:t>
            </w:r>
          </w:p>
        </w:tc>
      </w:tr>
      <w:tr w:rsidR="00000000">
        <w:tblPrEx>
          <w:tblCellMar>
            <w:top w:w="0" w:type="dxa"/>
            <w:bottom w:w="0" w:type="dxa"/>
          </w:tblCellMar>
        </w:tblPrEx>
        <w:tc>
          <w:tcPr>
            <w:tcW w:w="473" w:type="pct"/>
          </w:tcPr>
          <w:p w:rsidR="00000000" w:rsidRDefault="00000000">
            <w:pPr>
              <w:jc w:val="center"/>
              <w:rPr>
                <w:rFonts w:eastAsia="Batang"/>
                <w:color w:val="333333"/>
                <w:szCs w:val="16"/>
                <w:lang w:eastAsia="ko-KR"/>
              </w:rPr>
            </w:pPr>
            <w:r>
              <w:rPr>
                <w:rFonts w:eastAsia="Batang"/>
                <w:color w:val="333333"/>
                <w:szCs w:val="16"/>
                <w:lang w:eastAsia="ko-KR"/>
              </w:rPr>
              <w:t>2002</w:t>
            </w:r>
          </w:p>
        </w:tc>
        <w:tc>
          <w:tcPr>
            <w:tcW w:w="450" w:type="pct"/>
            <w:vAlign w:val="bottom"/>
          </w:tcPr>
          <w:p w:rsidR="00000000" w:rsidRDefault="00000000">
            <w:pPr>
              <w:jc w:val="center"/>
              <w:rPr>
                <w:rFonts w:eastAsia="Batang"/>
                <w:color w:val="333333"/>
                <w:szCs w:val="16"/>
                <w:lang w:eastAsia="ko-KR"/>
              </w:rPr>
            </w:pPr>
            <w:r>
              <w:rPr>
                <w:rFonts w:eastAsia="Batang"/>
                <w:color w:val="333333"/>
                <w:szCs w:val="16"/>
                <w:lang w:eastAsia="ko-KR"/>
              </w:rPr>
              <w:t>2 778</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41</w:t>
            </w:r>
          </w:p>
        </w:tc>
        <w:tc>
          <w:tcPr>
            <w:tcW w:w="448" w:type="pct"/>
            <w:vAlign w:val="bottom"/>
          </w:tcPr>
          <w:p w:rsidR="00000000" w:rsidRDefault="00000000">
            <w:pPr>
              <w:jc w:val="center"/>
              <w:rPr>
                <w:rFonts w:eastAsia="Batang"/>
                <w:color w:val="333333"/>
                <w:szCs w:val="16"/>
                <w:lang w:eastAsia="ko-KR"/>
              </w:rPr>
            </w:pPr>
            <w:r>
              <w:rPr>
                <w:rFonts w:eastAsia="Batang"/>
                <w:color w:val="333333"/>
                <w:szCs w:val="16"/>
                <w:lang w:eastAsia="ko-KR"/>
              </w:rPr>
              <w:t>277</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628</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363</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924</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289</w:t>
            </w:r>
          </w:p>
        </w:tc>
        <w:tc>
          <w:tcPr>
            <w:tcW w:w="404" w:type="pct"/>
            <w:vAlign w:val="bottom"/>
          </w:tcPr>
          <w:p w:rsidR="00000000" w:rsidRDefault="00000000">
            <w:pPr>
              <w:jc w:val="center"/>
              <w:rPr>
                <w:rFonts w:eastAsia="Batang"/>
                <w:color w:val="333333"/>
                <w:szCs w:val="16"/>
                <w:lang w:eastAsia="ko-KR"/>
              </w:rPr>
            </w:pPr>
            <w:r>
              <w:rPr>
                <w:rFonts w:eastAsia="Batang"/>
                <w:color w:val="333333"/>
                <w:szCs w:val="16"/>
                <w:lang w:eastAsia="ko-KR"/>
              </w:rPr>
              <w:t>161</w:t>
            </w:r>
          </w:p>
        </w:tc>
        <w:tc>
          <w:tcPr>
            <w:tcW w:w="492" w:type="pct"/>
            <w:vAlign w:val="bottom"/>
          </w:tcPr>
          <w:p w:rsidR="00000000" w:rsidRDefault="00000000">
            <w:pPr>
              <w:jc w:val="center"/>
              <w:rPr>
                <w:rFonts w:eastAsia="Batang"/>
                <w:color w:val="333333"/>
                <w:szCs w:val="16"/>
                <w:lang w:eastAsia="ko-KR"/>
              </w:rPr>
            </w:pPr>
            <w:r>
              <w:rPr>
                <w:rFonts w:eastAsia="Batang"/>
                <w:color w:val="333333"/>
                <w:szCs w:val="16"/>
                <w:lang w:eastAsia="ko-KR"/>
              </w:rPr>
              <w:t>92</w:t>
            </w:r>
          </w:p>
        </w:tc>
        <w:tc>
          <w:tcPr>
            <w:tcW w:w="490" w:type="pct"/>
            <w:vAlign w:val="bottom"/>
          </w:tcPr>
          <w:p w:rsidR="00000000" w:rsidRDefault="00000000">
            <w:pPr>
              <w:jc w:val="center"/>
              <w:rPr>
                <w:rFonts w:eastAsia="Batang"/>
                <w:color w:val="333333"/>
                <w:szCs w:val="16"/>
                <w:lang w:eastAsia="ko-KR"/>
              </w:rPr>
            </w:pPr>
            <w:r>
              <w:rPr>
                <w:rFonts w:eastAsia="Batang"/>
                <w:color w:val="333333"/>
                <w:szCs w:val="16"/>
                <w:lang w:eastAsia="ko-KR"/>
              </w:rPr>
              <w:t>3</w:t>
            </w:r>
          </w:p>
        </w:tc>
      </w:tr>
      <w:tr w:rsidR="00000000">
        <w:tblPrEx>
          <w:tblCellMar>
            <w:top w:w="0" w:type="dxa"/>
            <w:bottom w:w="0" w:type="dxa"/>
          </w:tblCellMar>
        </w:tblPrEx>
        <w:tc>
          <w:tcPr>
            <w:tcW w:w="473" w:type="pct"/>
          </w:tcPr>
          <w:p w:rsidR="00000000" w:rsidRDefault="00000000">
            <w:pPr>
              <w:jc w:val="center"/>
              <w:rPr>
                <w:rFonts w:eastAsia="Batang"/>
                <w:color w:val="333333"/>
                <w:szCs w:val="16"/>
                <w:lang w:eastAsia="ko-KR"/>
              </w:rPr>
            </w:pPr>
            <w:r>
              <w:rPr>
                <w:rFonts w:eastAsia="Batang"/>
                <w:color w:val="333333"/>
                <w:szCs w:val="16"/>
                <w:lang w:eastAsia="ko-KR"/>
              </w:rPr>
              <w:t>2003</w:t>
            </w:r>
          </w:p>
        </w:tc>
        <w:tc>
          <w:tcPr>
            <w:tcW w:w="450" w:type="pct"/>
            <w:vAlign w:val="bottom"/>
          </w:tcPr>
          <w:p w:rsidR="00000000" w:rsidRDefault="00000000">
            <w:pPr>
              <w:jc w:val="center"/>
              <w:rPr>
                <w:rFonts w:eastAsia="Batang"/>
                <w:color w:val="333333"/>
                <w:szCs w:val="16"/>
                <w:lang w:eastAsia="ko-KR"/>
              </w:rPr>
            </w:pPr>
            <w:r>
              <w:rPr>
                <w:rFonts w:eastAsia="Batang"/>
                <w:color w:val="333333"/>
                <w:szCs w:val="16"/>
                <w:lang w:eastAsia="ko-KR"/>
              </w:rPr>
              <w:t>1 392</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13</w:t>
            </w:r>
          </w:p>
        </w:tc>
        <w:tc>
          <w:tcPr>
            <w:tcW w:w="448" w:type="pct"/>
            <w:vAlign w:val="bottom"/>
          </w:tcPr>
          <w:p w:rsidR="00000000" w:rsidRDefault="00000000">
            <w:pPr>
              <w:jc w:val="center"/>
              <w:rPr>
                <w:rFonts w:eastAsia="Batang"/>
                <w:color w:val="333333"/>
                <w:szCs w:val="16"/>
                <w:lang w:eastAsia="ko-KR"/>
              </w:rPr>
            </w:pPr>
            <w:r>
              <w:rPr>
                <w:rFonts w:eastAsia="Batang"/>
                <w:color w:val="333333"/>
                <w:szCs w:val="16"/>
                <w:lang w:eastAsia="ko-KR"/>
              </w:rPr>
              <w:t>156</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286</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158</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633</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80</w:t>
            </w:r>
          </w:p>
        </w:tc>
        <w:tc>
          <w:tcPr>
            <w:tcW w:w="404" w:type="pct"/>
            <w:vAlign w:val="bottom"/>
          </w:tcPr>
          <w:p w:rsidR="00000000" w:rsidRDefault="00000000">
            <w:pPr>
              <w:jc w:val="center"/>
              <w:rPr>
                <w:rFonts w:eastAsia="Batang"/>
                <w:color w:val="333333"/>
                <w:szCs w:val="16"/>
                <w:lang w:eastAsia="ko-KR"/>
              </w:rPr>
            </w:pPr>
            <w:r>
              <w:rPr>
                <w:rFonts w:eastAsia="Batang"/>
                <w:color w:val="333333"/>
                <w:szCs w:val="16"/>
                <w:lang w:eastAsia="ko-KR"/>
              </w:rPr>
              <w:t>61</w:t>
            </w:r>
          </w:p>
        </w:tc>
        <w:tc>
          <w:tcPr>
            <w:tcW w:w="492" w:type="pct"/>
            <w:vAlign w:val="bottom"/>
          </w:tcPr>
          <w:p w:rsidR="00000000" w:rsidRDefault="00000000">
            <w:pPr>
              <w:jc w:val="center"/>
              <w:rPr>
                <w:rFonts w:eastAsia="Batang"/>
                <w:color w:val="333333"/>
                <w:szCs w:val="16"/>
                <w:lang w:eastAsia="ko-KR"/>
              </w:rPr>
            </w:pPr>
            <w:r>
              <w:rPr>
                <w:rFonts w:eastAsia="Batang"/>
                <w:color w:val="333333"/>
                <w:szCs w:val="16"/>
                <w:lang w:eastAsia="ko-KR"/>
              </w:rPr>
              <w:t>0</w:t>
            </w:r>
          </w:p>
        </w:tc>
        <w:tc>
          <w:tcPr>
            <w:tcW w:w="490" w:type="pct"/>
            <w:vAlign w:val="bottom"/>
          </w:tcPr>
          <w:p w:rsidR="00000000" w:rsidRDefault="00000000">
            <w:pPr>
              <w:jc w:val="center"/>
              <w:rPr>
                <w:rFonts w:eastAsia="Batang"/>
                <w:color w:val="333333"/>
                <w:szCs w:val="16"/>
                <w:lang w:eastAsia="ko-KR"/>
              </w:rPr>
            </w:pPr>
            <w:r>
              <w:rPr>
                <w:rFonts w:eastAsia="Batang"/>
                <w:color w:val="333333"/>
                <w:szCs w:val="16"/>
                <w:lang w:eastAsia="ko-KR"/>
              </w:rPr>
              <w:t>5</w:t>
            </w:r>
          </w:p>
        </w:tc>
      </w:tr>
      <w:tr w:rsidR="00000000">
        <w:tblPrEx>
          <w:tblCellMar>
            <w:top w:w="0" w:type="dxa"/>
            <w:bottom w:w="0" w:type="dxa"/>
          </w:tblCellMar>
        </w:tblPrEx>
        <w:tc>
          <w:tcPr>
            <w:tcW w:w="473" w:type="pct"/>
          </w:tcPr>
          <w:p w:rsidR="00000000" w:rsidRDefault="00000000">
            <w:pPr>
              <w:jc w:val="center"/>
              <w:rPr>
                <w:rFonts w:eastAsia="Batang"/>
                <w:color w:val="333333"/>
                <w:szCs w:val="16"/>
                <w:lang w:eastAsia="ko-KR"/>
              </w:rPr>
            </w:pPr>
            <w:r>
              <w:rPr>
                <w:rFonts w:eastAsia="Batang"/>
                <w:color w:val="333333"/>
                <w:szCs w:val="16"/>
                <w:lang w:eastAsia="ko-KR"/>
              </w:rPr>
              <w:t>2004</w:t>
            </w:r>
          </w:p>
        </w:tc>
        <w:tc>
          <w:tcPr>
            <w:tcW w:w="450" w:type="pct"/>
            <w:vAlign w:val="bottom"/>
          </w:tcPr>
          <w:p w:rsidR="00000000" w:rsidRDefault="00000000">
            <w:pPr>
              <w:jc w:val="center"/>
              <w:rPr>
                <w:rFonts w:eastAsia="Batang"/>
                <w:color w:val="333333"/>
                <w:szCs w:val="16"/>
                <w:lang w:eastAsia="ko-KR"/>
              </w:rPr>
            </w:pPr>
            <w:r>
              <w:rPr>
                <w:rFonts w:eastAsia="Batang"/>
                <w:color w:val="333333"/>
                <w:szCs w:val="16"/>
                <w:lang w:eastAsia="ko-KR"/>
              </w:rPr>
              <w:t>694</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5</w:t>
            </w:r>
          </w:p>
        </w:tc>
        <w:tc>
          <w:tcPr>
            <w:tcW w:w="448" w:type="pct"/>
            <w:vAlign w:val="bottom"/>
          </w:tcPr>
          <w:p w:rsidR="00000000" w:rsidRDefault="00000000">
            <w:pPr>
              <w:jc w:val="center"/>
              <w:rPr>
                <w:rFonts w:eastAsia="Batang"/>
                <w:color w:val="333333"/>
                <w:szCs w:val="16"/>
                <w:lang w:eastAsia="ko-KR"/>
              </w:rPr>
            </w:pPr>
            <w:r>
              <w:rPr>
                <w:rFonts w:eastAsia="Batang"/>
                <w:color w:val="333333"/>
                <w:szCs w:val="16"/>
                <w:lang w:eastAsia="ko-KR"/>
              </w:rPr>
              <w:t>59</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139</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80</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251</w:t>
            </w:r>
          </w:p>
        </w:tc>
        <w:tc>
          <w:tcPr>
            <w:tcW w:w="449" w:type="pct"/>
            <w:vAlign w:val="bottom"/>
          </w:tcPr>
          <w:p w:rsidR="00000000" w:rsidRDefault="00000000">
            <w:pPr>
              <w:jc w:val="center"/>
              <w:rPr>
                <w:rFonts w:eastAsia="Batang"/>
                <w:color w:val="333333"/>
                <w:szCs w:val="16"/>
                <w:lang w:eastAsia="ko-KR"/>
              </w:rPr>
            </w:pPr>
            <w:r>
              <w:rPr>
                <w:rFonts w:eastAsia="Batang"/>
                <w:color w:val="333333"/>
                <w:szCs w:val="16"/>
                <w:lang w:eastAsia="ko-KR"/>
              </w:rPr>
              <w:t>92</w:t>
            </w:r>
          </w:p>
        </w:tc>
        <w:tc>
          <w:tcPr>
            <w:tcW w:w="404" w:type="pct"/>
            <w:vAlign w:val="bottom"/>
          </w:tcPr>
          <w:p w:rsidR="00000000" w:rsidRDefault="00000000">
            <w:pPr>
              <w:jc w:val="center"/>
              <w:rPr>
                <w:rFonts w:eastAsia="Batang"/>
                <w:color w:val="333333"/>
                <w:szCs w:val="16"/>
                <w:lang w:eastAsia="ko-KR"/>
              </w:rPr>
            </w:pPr>
            <w:r>
              <w:rPr>
                <w:rFonts w:eastAsia="Batang"/>
                <w:color w:val="333333"/>
                <w:szCs w:val="16"/>
                <w:lang w:eastAsia="ko-KR"/>
              </w:rPr>
              <w:t>40</w:t>
            </w:r>
          </w:p>
        </w:tc>
        <w:tc>
          <w:tcPr>
            <w:tcW w:w="492" w:type="pct"/>
            <w:vAlign w:val="bottom"/>
          </w:tcPr>
          <w:p w:rsidR="00000000" w:rsidRDefault="00000000">
            <w:pPr>
              <w:jc w:val="center"/>
              <w:rPr>
                <w:rFonts w:eastAsia="Batang"/>
                <w:color w:val="333333"/>
                <w:szCs w:val="16"/>
                <w:lang w:eastAsia="ko-KR"/>
              </w:rPr>
            </w:pPr>
            <w:r>
              <w:rPr>
                <w:rFonts w:eastAsia="Batang"/>
                <w:color w:val="333333"/>
                <w:szCs w:val="16"/>
                <w:lang w:eastAsia="ko-KR"/>
              </w:rPr>
              <w:t>23</w:t>
            </w:r>
          </w:p>
        </w:tc>
        <w:tc>
          <w:tcPr>
            <w:tcW w:w="490" w:type="pct"/>
            <w:vAlign w:val="bottom"/>
          </w:tcPr>
          <w:p w:rsidR="00000000" w:rsidRDefault="00000000">
            <w:pPr>
              <w:jc w:val="center"/>
              <w:rPr>
                <w:rFonts w:eastAsia="Batang"/>
                <w:color w:val="333333"/>
                <w:szCs w:val="16"/>
                <w:lang w:eastAsia="ko-KR"/>
              </w:rPr>
            </w:pPr>
            <w:r>
              <w:rPr>
                <w:rFonts w:eastAsia="Batang"/>
                <w:color w:val="333333"/>
                <w:szCs w:val="16"/>
                <w:lang w:eastAsia="ko-KR"/>
              </w:rPr>
              <w:t>5</w:t>
            </w:r>
          </w:p>
        </w:tc>
      </w:tr>
    </w:tbl>
    <w:p w:rsidR="00000000" w:rsidRDefault="00000000">
      <w:pPr>
        <w:spacing w:line="216" w:lineRule="auto"/>
        <w:rPr>
          <w:i/>
          <w:iCs/>
          <w:color w:val="333333"/>
          <w:sz w:val="16"/>
        </w:rPr>
      </w:pPr>
    </w:p>
    <w:p w:rsidR="00000000" w:rsidRDefault="00000000">
      <w:pPr>
        <w:spacing w:line="216" w:lineRule="auto"/>
      </w:pPr>
      <w:r>
        <w:rPr>
          <w:i/>
          <w:iCs/>
        </w:rPr>
        <w:t>Источник</w:t>
      </w:r>
      <w:r>
        <w:rPr>
          <w:i/>
          <w:iCs/>
          <w:color w:val="333333"/>
        </w:rPr>
        <w:t xml:space="preserve">:  </w:t>
      </w:r>
      <w:r>
        <w:rPr>
          <w:color w:val="333333"/>
        </w:rPr>
        <w:t xml:space="preserve">Отдел статистики - </w:t>
      </w:r>
      <w:r>
        <w:t>СЕНЕПА</w:t>
      </w:r>
      <w:r>
        <w:rPr>
          <w:color w:val="333333"/>
        </w:rPr>
        <w:t>.</w:t>
      </w:r>
    </w:p>
    <w:p w:rsidR="00000000" w:rsidRDefault="00000000">
      <w:pPr>
        <w:rPr>
          <w:sz w:val="20"/>
        </w:rPr>
      </w:pPr>
    </w:p>
    <w:p w:rsidR="00000000" w:rsidRDefault="00000000">
      <w:r>
        <w:t>530.</w:t>
      </w:r>
      <w:r>
        <w:tab/>
        <w:t>Сравнение данных по годам (2003-2004 годы) свидетельствует о заметном снижении заболеваемости как по числу случаев, так и по годовому паразитному индексу (ГПИ);  уменьшение составило 44% по случаям, а по ГПИ - с 0,89 до 0,44.  В 2004 году наибольший процент случаев пришелся на лиц мужского пола (68%), что соответствует тенденции, отмечавшейся в предшествующие годы.  Из возрастных групп самое большое число случаев приходится на лиц старше 20 лет (60%).  В то же время, обращает на себя внимание то обстоятельство, что 20% случаев приходится на возрастную группу 4-15 лет.</w:t>
      </w:r>
    </w:p>
    <w:p w:rsidR="00000000" w:rsidRDefault="00000000"/>
    <w:p w:rsidR="00000000" w:rsidRDefault="00000000">
      <w:pPr>
        <w:spacing w:line="240" w:lineRule="auto"/>
        <w:jc w:val="center"/>
        <w:rPr>
          <w:b/>
          <w:bCs/>
        </w:rPr>
      </w:pPr>
      <w:r>
        <w:rPr>
          <w:b/>
          <w:bCs/>
        </w:rPr>
        <w:t>Тенденция борьбы с болотной лихорадкой</w:t>
      </w:r>
      <w:r>
        <w:rPr>
          <w:b/>
          <w:bCs/>
        </w:rPr>
        <w:br/>
        <w:t>Парагвай, 1999-2004 годы</w:t>
      </w:r>
    </w:p>
    <w:p w:rsidR="00000000" w:rsidRDefault="00000000">
      <w:pPr>
        <w:spacing w:line="240" w:lineRule="auto"/>
        <w:jc w:val="center"/>
        <w:rPr>
          <w:b/>
          <w:bCs/>
        </w:rPr>
      </w:pPr>
    </w:p>
    <w:p w:rsidR="00000000" w:rsidRDefault="00000000">
      <w:pPr>
        <w:keepNext/>
      </w:pPr>
      <w:r>
        <w:rPr>
          <w:noProof/>
          <w:sz w:val="20"/>
          <w:lang w:eastAsia="ru-RU"/>
        </w:rPr>
        <w:pict>
          <v:shape id="_x0000_s2106" type="#_x0000_t75" style="position:absolute;margin-left:0;margin-top:-8.9pt;width:411.2pt;height:279.35pt;z-index:32;visibility:visible;mso-wrap-edited:f;mso-position-horizontal:center">
            <v:imagedata r:id="rId111" o:title=""/>
            <w10:wrap type="topAndBottom"/>
            <w10:anchorlock/>
          </v:shape>
          <o:OLEObject Type="Embed" ProgID="Word.Picture.8" ShapeID="_x0000_s2106" DrawAspect="Content" ObjectID="_1394904885" r:id="rId112"/>
        </w:pict>
      </w:r>
      <w:r>
        <w:tab/>
      </w:r>
      <w:r>
        <w:rPr>
          <w:i/>
          <w:iCs/>
        </w:rPr>
        <w:t>Источник</w:t>
      </w:r>
      <w:r>
        <w:t>:  Отдел статистики - СЕНЕПА.</w:t>
      </w:r>
    </w:p>
    <w:p w:rsidR="00000000" w:rsidRDefault="00000000"/>
    <w:p w:rsidR="00000000" w:rsidRDefault="00000000">
      <w:r>
        <w:t>531.</w:t>
      </w:r>
      <w:r>
        <w:tab/>
        <w:t>Наконец, следует отметить, что целью программы является сокращение числа случаев малярии в эндемических зонах на основе эпидемиологической стратификации риска заболевания в неблагополучных в этом отношении географических районах.  Данная стратегия основана на:</w:t>
      </w:r>
    </w:p>
    <w:p w:rsidR="00000000" w:rsidRDefault="00000000"/>
    <w:p w:rsidR="00000000" w:rsidRDefault="00000000">
      <w:pPr>
        <w:rPr>
          <w:bCs/>
        </w:rPr>
      </w:pPr>
      <w:r>
        <w:rPr>
          <w:bCs/>
        </w:rPr>
        <w:tab/>
        <w:t>a)</w:t>
      </w:r>
      <w:r>
        <w:rPr>
          <w:bCs/>
        </w:rPr>
        <w:tab/>
      </w:r>
      <w:r>
        <w:t>эпидемиологическом подходе с учетом степени рисков</w:t>
      </w:r>
      <w:r>
        <w:rPr>
          <w:bCs/>
        </w:rPr>
        <w:t>:</w:t>
      </w:r>
    </w:p>
    <w:p w:rsidR="00000000" w:rsidRDefault="00000000">
      <w:pPr>
        <w:rPr>
          <w:bCs/>
        </w:rPr>
      </w:pPr>
    </w:p>
    <w:p w:rsidR="00000000" w:rsidRDefault="00000000">
      <w:pPr>
        <w:ind w:left="1701" w:hanging="1701"/>
      </w:pPr>
      <w:r>
        <w:tab/>
      </w:r>
      <w:r>
        <w:tab/>
        <w:t>-</w:t>
      </w:r>
      <w:r>
        <w:tab/>
        <w:t>стратификация по уровням заболеваемости малярией в масштабах департаментов и округов;</w:t>
      </w:r>
    </w:p>
    <w:p w:rsidR="00000000" w:rsidRDefault="00000000"/>
    <w:p w:rsidR="00000000" w:rsidRDefault="00000000">
      <w:r>
        <w:tab/>
      </w:r>
      <w:r>
        <w:tab/>
        <w:t>-</w:t>
      </w:r>
      <w:r>
        <w:tab/>
        <w:t>определение объектов контроля с учетом местной обстановки;</w:t>
      </w:r>
    </w:p>
    <w:p w:rsidR="00000000" w:rsidRDefault="00000000"/>
    <w:p w:rsidR="00000000" w:rsidRDefault="00000000">
      <w:r>
        <w:tab/>
      </w:r>
      <w:r>
        <w:tab/>
        <w:t>-</w:t>
      </w:r>
      <w:r>
        <w:tab/>
        <w:t>принятие соответствующих мер на местном уровне;</w:t>
      </w:r>
    </w:p>
    <w:p w:rsidR="00000000" w:rsidRDefault="00000000"/>
    <w:p w:rsidR="00000000" w:rsidRDefault="00000000">
      <w:pPr>
        <w:rPr>
          <w:bCs/>
        </w:rPr>
      </w:pPr>
      <w:r>
        <w:rPr>
          <w:bCs/>
        </w:rPr>
        <w:tab/>
        <w:t>b)</w:t>
      </w:r>
      <w:r>
        <w:rPr>
          <w:bCs/>
        </w:rPr>
        <w:tab/>
        <w:t>оказании первоочередной помощи больному:</w:t>
      </w:r>
    </w:p>
    <w:p w:rsidR="00000000" w:rsidRDefault="00000000"/>
    <w:p w:rsidR="00000000" w:rsidRDefault="00000000">
      <w:r>
        <w:tab/>
      </w:r>
      <w:r>
        <w:tab/>
        <w:t>-</w:t>
      </w:r>
      <w:r>
        <w:tab/>
        <w:t>ускоренный и точный диагноз:  клинический и паразитологический;</w:t>
      </w:r>
    </w:p>
    <w:p w:rsidR="00000000" w:rsidRDefault="00000000"/>
    <w:p w:rsidR="00000000" w:rsidRDefault="00000000">
      <w:r>
        <w:tab/>
      </w:r>
      <w:r>
        <w:tab/>
        <w:t>-</w:t>
      </w:r>
      <w:r>
        <w:tab/>
        <w:t>своевременное и полное лечение;</w:t>
      </w:r>
    </w:p>
    <w:p w:rsidR="00000000" w:rsidRDefault="00000000"/>
    <w:p w:rsidR="00000000" w:rsidRDefault="00000000">
      <w:pPr>
        <w:keepNext/>
        <w:rPr>
          <w:bCs/>
        </w:rPr>
      </w:pPr>
      <w:r>
        <w:rPr>
          <w:bCs/>
        </w:rPr>
        <w:tab/>
        <w:t>c)</w:t>
      </w:r>
      <w:r>
        <w:rPr>
          <w:bCs/>
        </w:rPr>
        <w:tab/>
        <w:t>осуществлении комплексного контроля:</w:t>
      </w:r>
    </w:p>
    <w:p w:rsidR="00000000" w:rsidRDefault="00000000">
      <w:pPr>
        <w:keepNext/>
        <w:rPr>
          <w:bCs/>
        </w:rPr>
      </w:pPr>
    </w:p>
    <w:p w:rsidR="00000000" w:rsidRDefault="00000000">
      <w:pPr>
        <w:ind w:left="1701" w:hanging="1701"/>
        <w:rPr>
          <w:color w:val="333333"/>
          <w:sz w:val="20"/>
        </w:rPr>
      </w:pPr>
      <w:r>
        <w:tab/>
      </w:r>
      <w:r>
        <w:tab/>
        <w:t>-</w:t>
      </w:r>
      <w:r>
        <w:tab/>
        <w:t>комбинированное применение меp борьбы против местных факторов заражения</w:t>
      </w:r>
      <w:r>
        <w:rPr>
          <w:color w:val="333333"/>
          <w:sz w:val="20"/>
        </w:rPr>
        <w:t>.</w:t>
      </w:r>
    </w:p>
    <w:p w:rsidR="00000000" w:rsidRDefault="00000000">
      <w:pPr>
        <w:rPr>
          <w:color w:val="333333"/>
          <w:sz w:val="20"/>
        </w:rPr>
      </w:pPr>
    </w:p>
    <w:p w:rsidR="00000000" w:rsidRDefault="00000000">
      <w:pPr>
        <w:rPr>
          <w:b/>
        </w:rPr>
      </w:pPr>
      <w:r>
        <w:rPr>
          <w:b/>
        </w:rPr>
        <w:tab/>
        <w:t>8.2</w:t>
      </w:r>
      <w:r>
        <w:rPr>
          <w:b/>
        </w:rPr>
        <w:tab/>
        <w:t>Лихорадка денге</w:t>
      </w:r>
    </w:p>
    <w:p w:rsidR="00000000" w:rsidRDefault="00000000">
      <w:pPr>
        <w:rPr>
          <w:b/>
        </w:rPr>
      </w:pPr>
    </w:p>
    <w:p w:rsidR="00000000" w:rsidRDefault="00000000">
      <w:r>
        <w:t>532.</w:t>
      </w:r>
      <w:r>
        <w:tab/>
        <w:t>Программа борьбы с переносчиками возбудителя денге в Парагвае основывается, начиная с 1997 года, на целях, намеченных странами региона в Континентальном плане, предусматривающем усиление действий по искоренению популяций комаров аedes aegypti при поддержке общин, с тем чтобы уровни заражения не превышали 1%, что позволит, тем самым, добиться прекращения циркуляции вируса денге в регионе МЕРКОСУР и не допустить эпидемий неконтролируемого масштаба.  В рамках этого Континентального плана определены главные направления деятельности, причем основное внимание уделяется уничтожению рассадников комаров аedes aegypti с участием граждан и с использованием при этом не только традиционных способов химической борьбы, применявшихся до сих пор.  Для проведения этих мероприятий совместно с общиной решающую и определяющую роль играют организации "Энтомологический контроль" и "Содействие здравоохранению".</w:t>
      </w:r>
    </w:p>
    <w:p w:rsidR="00000000" w:rsidRDefault="00000000"/>
    <w:p w:rsidR="00000000" w:rsidRDefault="00000000">
      <w:r>
        <w:t>533.</w:t>
      </w:r>
      <w:r>
        <w:tab/>
        <w:t>В 2001 году открылись новые перспективы по реализации программ, предусматривающих более комплексный подход к решению проблемы денге на базе политики содействия развитию здравоохранения.  Национальная программа борьбы с денге осуществляется под эгидой Главного управления контроля в области здравоохранения в соответствии с постановлением S.G. 597/2000.  Прежде всего она призвана объединить усилия всех институционных учреждений государственного сектора (Центральной лаборатории, санитарных районов, служб здравоохранения, организаций по эпидемиологического контролю, содействию здравоохранению, борьбе с переносчиками инфекции и других), а также заведений частного сектора, деятельность которых направлена на уменьшение риска распространения этой возвратной патологии.  В данной связи следует отметить, что Национальная служба по искоренению малярии (СЕНЕПА) является составной частью усилий, предпринимаемых для борьбы с переносчиками инфекции.  В настоящее время разработанная этой Службой техническая информация, а также налаженная по линии Программы борьбы с переносчиками возбудителя денге деятельность по борьбе с переносчиками служат главными опорами упомянутой Национальной программы.</w:t>
      </w:r>
    </w:p>
    <w:p w:rsidR="00000000" w:rsidRDefault="00000000"/>
    <w:p w:rsidR="00000000" w:rsidRDefault="00000000">
      <w:pPr>
        <w:rPr>
          <w:b/>
        </w:rPr>
      </w:pPr>
      <w:r>
        <w:rPr>
          <w:b/>
        </w:rPr>
        <w:tab/>
        <w:t>8.3</w:t>
      </w:r>
      <w:r>
        <w:rPr>
          <w:b/>
        </w:rPr>
        <w:tab/>
        <w:t>Болезнь Чагаса</w:t>
      </w:r>
    </w:p>
    <w:p w:rsidR="00000000" w:rsidRDefault="00000000">
      <w:pPr>
        <w:rPr>
          <w:b/>
        </w:rPr>
      </w:pPr>
    </w:p>
    <w:p w:rsidR="00000000" w:rsidRDefault="00000000">
      <w:r>
        <w:t>534.</w:t>
      </w:r>
      <w:r>
        <w:tab/>
        <w:t>Программой предусмотрено введение трех видов энтомологического контроля:  1)  подготовка лидеров общин;  2)  активное участие школ;  3)  активный контроль, вертикальный и выборочный, с уделением особого внимания зараженным местностям, выявленным при проведении энтомологических разведок, предваряющих химическую обработку.</w:t>
      </w:r>
    </w:p>
    <w:p w:rsidR="00000000" w:rsidRDefault="00000000"/>
    <w:p w:rsidR="00000000" w:rsidRDefault="00000000">
      <w:r>
        <w:t>535.</w:t>
      </w:r>
      <w:r>
        <w:tab/>
        <w:t>Начиная с 1999 года, отмечается повышение внимания к созданию базы энтомологических данных в связи с проведением топографических съемок домов и выведением переменных, позволяющих рассчитать все обычно используемые показатели, такие, как зараженность (отнесенная к внутренним помещениям дома и к пространству вокруг дома), природная инфекция, колонизация, скученность.  Это представляет собой большой прогресс для анализа и обработки результатов.</w:t>
      </w:r>
    </w:p>
    <w:p w:rsidR="00000000" w:rsidRDefault="00000000"/>
    <w:p w:rsidR="00000000" w:rsidRDefault="00000000">
      <w:r>
        <w:t>536.</w:t>
      </w:r>
      <w:r>
        <w:tab/>
        <w:t>Разработаны методологические коррективы, позволяющие рационально использовать ресурсы, что обеспечивает преемственность в осуществлении последовательности мероприятий контроля на эндемических территориях, классифицированных по степени риска.  Кроме того, систематизирование сбора данных о зараженности до и после опыления (орошения) с отбором проб после химической обработки жилищ позволяет совершенствовать энтомологические исследования и определять условия риска для выявления присутствия триатоминов даже в условиях низкой плотности.</w:t>
      </w:r>
    </w:p>
    <w:p w:rsidR="00000000" w:rsidRDefault="00000000"/>
    <w:p w:rsidR="00000000" w:rsidRDefault="00000000">
      <w:r>
        <w:t>537.</w:t>
      </w:r>
      <w:r>
        <w:tab/>
        <w:t xml:space="preserve">В эндемических зонах Парагвая широко распространена инвазия жилищ носителями </w:t>
      </w:r>
      <w:r>
        <w:rPr>
          <w:i/>
          <w:iCs/>
        </w:rPr>
        <w:t>Triatoma infestans</w:t>
      </w:r>
      <w:r>
        <w:t xml:space="preserve">.  В то же время в 2002 году удалось добиться прекращения заражения этими носителями в департаменте </w:t>
      </w:r>
      <w:r>
        <w:rPr>
          <w:kern w:val="2"/>
        </w:rPr>
        <w:t>Амамбай</w:t>
      </w:r>
      <w:r>
        <w:t xml:space="preserve"> (международная сертификация).  Была разработана стратегия осуществления косвенного контроля за проводимыми мероприятиями, что позволит поддерживать существующую эпидемиологическую обстановку и продвигаться к конечной цели:  искоренению носителей </w:t>
      </w:r>
      <w:r>
        <w:rPr>
          <w:i/>
          <w:iCs/>
        </w:rPr>
        <w:t>Triatoma infestans</w:t>
      </w:r>
      <w:r>
        <w:t>.</w:t>
      </w:r>
    </w:p>
    <w:p w:rsidR="00000000" w:rsidRDefault="00000000"/>
    <w:p w:rsidR="00000000" w:rsidRDefault="00000000">
      <w:r>
        <w:t>538.</w:t>
      </w:r>
      <w:r>
        <w:tab/>
        <w:t>Роль общин в данной работе обеспечивается через совместное участие в Программе борьбы за искоренения болезни Чагаса в Парагвае и по линии систем образования в департаментах.  Проводятся соответствующие операции контроля, в ходе которых как учащиеся, так и представители общин привлекаются к выявлению очагов и улучшению условий в жилищах.  Это является результатом деятельности подготовленных лидеров общин, активного выборочного контроля и школьного мероприятия "Неделя Чагаса".</w:t>
      </w:r>
    </w:p>
    <w:p w:rsidR="00000000" w:rsidRDefault="00000000"/>
    <w:p w:rsidR="00000000" w:rsidRDefault="00000000">
      <w:pPr>
        <w:rPr>
          <w:b/>
        </w:rPr>
      </w:pPr>
      <w:r>
        <w:rPr>
          <w:b/>
        </w:rPr>
        <w:tab/>
        <w:t>8.4</w:t>
      </w:r>
      <w:r>
        <w:rPr>
          <w:b/>
        </w:rPr>
        <w:tab/>
        <w:t>Желтая лихорадка</w:t>
      </w:r>
    </w:p>
    <w:p w:rsidR="00000000" w:rsidRDefault="00000000"/>
    <w:p w:rsidR="00000000" w:rsidRDefault="00000000">
      <w:r>
        <w:t>539.</w:t>
      </w:r>
      <w:r>
        <w:tab/>
        <w:t xml:space="preserve">За последние десять лет случаев заболевания желтой лихорадкой не отмечалось.  Однако в стране поддерживается состояние эпидемиологической готовности в связи с высоким уровнем заражения переносчиком </w:t>
      </w:r>
      <w:r>
        <w:rPr>
          <w:i/>
          <w:iCs/>
        </w:rPr>
        <w:t>аedes aegypti</w:t>
      </w:r>
      <w:r>
        <w:t xml:space="preserve"> и со случаями этой болезни в приграничных странах.  Эпидемиологическая обстановка с желтой лихорадкой в странах, граничащих с Парагваем, и показатель заражения переносчиком </w:t>
      </w:r>
      <w:r>
        <w:rPr>
          <w:i/>
          <w:iCs/>
        </w:rPr>
        <w:t>аedes aegypti</w:t>
      </w:r>
      <w:r>
        <w:t>, превышающий 5%, свидетельствуют о том, что существует большой риск распространения заболевания и возможного появления случаев городской желтой лихорадки.  Пока ни одного подозрительного случая не зарегистрировано.  Система контроля предусматривает немедленное оповещение и взятие проб в подозрительном случае, а диагностику осуществляет Центральная лаборатория системы здравоохранения, при этом с 2001 года используется серологический анализ по методу "ELISA IgM".</w:t>
      </w:r>
    </w:p>
    <w:p w:rsidR="00000000" w:rsidRDefault="00000000"/>
    <w:p w:rsidR="00000000" w:rsidRDefault="00000000">
      <w:r>
        <w:t>540.</w:t>
      </w:r>
      <w:r>
        <w:tab/>
        <w:t>В 2001 году м</w:t>
      </w:r>
      <w:r>
        <w:rPr>
          <w:bCs/>
        </w:rPr>
        <w:t>инистерство здравоохранения и социального обеспечения</w:t>
      </w:r>
      <w:r>
        <w:t xml:space="preserve"> начало проводить в жизнь поэтапный план вакцинации против желтой лихорадки, главной целью которого является предупреждение появления этой болезни в Парагвае.  Вакцинации подлежат все лица старше 1 года, при этом принимаются во внимание зоны риска и наличие вакцины.</w:t>
      </w:r>
    </w:p>
    <w:p w:rsidR="00000000" w:rsidRDefault="00000000"/>
    <w:p w:rsidR="00000000" w:rsidRDefault="00000000">
      <w:r>
        <w:t>541.</w:t>
      </w:r>
      <w:r>
        <w:tab/>
        <w:t xml:space="preserve">На первом этапе предусматривалась вакцинация 280 000 жителей районов, граничащих с эндемическими странами (Бокерон, </w:t>
      </w:r>
      <w:r>
        <w:rPr>
          <w:kern w:val="2"/>
        </w:rPr>
        <w:t>Альто-Парагвай</w:t>
      </w:r>
      <w:r>
        <w:t xml:space="preserve">, северная часть департамента </w:t>
      </w:r>
      <w:r>
        <w:rPr>
          <w:kern w:val="2"/>
        </w:rPr>
        <w:t>Пресиденте-Аес</w:t>
      </w:r>
      <w:r>
        <w:t xml:space="preserve"> и Амамбай), и всех тех жителей страны, которые направляются в эндемические зоны.  С 2002 года вакцинацией охвачено население департаментов Консепсьон, Каненди и Альто-Парана.  С целью активизации усилий по предупреждению желтой лихорадки в 2003 году было вакцинировано все детское население в возрасте от 1 года до 4 лет;  вакцинация осуществлялась в рамках кампании по искоренению оспы, проводимой в семи приграничных департаментах.</w:t>
      </w:r>
    </w:p>
    <w:p w:rsidR="00000000" w:rsidRDefault="00000000"/>
    <w:p w:rsidR="00000000" w:rsidRDefault="00000000">
      <w:pPr>
        <w:keepLines/>
      </w:pPr>
      <w:r>
        <w:t>542.</w:t>
      </w:r>
      <w:r>
        <w:tab/>
        <w:t>Охват вакцинацией против желтой лихорадки неоднороден для различных санитарных районов, включенных в подготовленный план.  В то же время, с учетом взятых международных обязательств, была проведена оценка достигнутых результатов, были скорректированы цели и стратегия кампании в соответствии с обстановкой и степенью риска в каждом из затрагиваемых районов. Охват вакцинацией районов, включенных в план, можно оценить по следующей таблице.</w:t>
      </w:r>
    </w:p>
    <w:p w:rsidR="00000000" w:rsidRDefault="00000000"/>
    <w:p w:rsidR="00000000" w:rsidRDefault="00000000">
      <w:pPr>
        <w:jc w:val="center"/>
        <w:rPr>
          <w:color w:val="333333"/>
        </w:rPr>
      </w:pPr>
      <w:r>
        <w:rPr>
          <w:b/>
          <w:bCs/>
        </w:rPr>
        <w:t>Охват вакцинацией против желтой лихорадки</w:t>
      </w:r>
      <w:r>
        <w:rPr>
          <w:b/>
          <w:bCs/>
          <w:color w:val="333333"/>
        </w:rPr>
        <w:t xml:space="preserve"> в Парагвае</w:t>
      </w:r>
      <w:r>
        <w:rPr>
          <w:b/>
          <w:bCs/>
          <w:color w:val="333333"/>
        </w:rPr>
        <w:br/>
        <w:t xml:space="preserve">в разбивке по </w:t>
      </w:r>
      <w:r>
        <w:rPr>
          <w:b/>
          <w:bCs/>
        </w:rPr>
        <w:t>санитарным районам</w:t>
      </w:r>
      <w:r>
        <w:rPr>
          <w:b/>
          <w:bCs/>
          <w:color w:val="333333"/>
        </w:rPr>
        <w:t>, 2001-2004 годы</w:t>
      </w:r>
    </w:p>
    <w:p w:rsidR="00000000" w:rsidRDefault="00000000">
      <w:pPr>
        <w:jc w:val="center"/>
        <w:rPr>
          <w:color w:val="33333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c>
          <w:tcPr>
            <w:tcW w:w="2373" w:type="dxa"/>
            <w:vAlign w:val="center"/>
          </w:tcPr>
          <w:p w:rsidR="00000000" w:rsidRDefault="00000000">
            <w:pPr>
              <w:jc w:val="center"/>
              <w:rPr>
                <w:b/>
                <w:bCs/>
              </w:rPr>
            </w:pPr>
            <w:r>
              <w:rPr>
                <w:b/>
                <w:bCs/>
              </w:rPr>
              <w:t>Район</w:t>
            </w:r>
          </w:p>
        </w:tc>
        <w:tc>
          <w:tcPr>
            <w:tcW w:w="2374" w:type="dxa"/>
            <w:vAlign w:val="center"/>
          </w:tcPr>
          <w:p w:rsidR="00000000" w:rsidRDefault="00000000">
            <w:pPr>
              <w:jc w:val="center"/>
              <w:rPr>
                <w:b/>
                <w:bCs/>
              </w:rPr>
            </w:pPr>
            <w:r>
              <w:rPr>
                <w:b/>
                <w:bCs/>
              </w:rPr>
              <w:t>Население</w:t>
            </w:r>
          </w:p>
        </w:tc>
        <w:tc>
          <w:tcPr>
            <w:tcW w:w="2374" w:type="dxa"/>
            <w:vAlign w:val="center"/>
          </w:tcPr>
          <w:p w:rsidR="00000000" w:rsidRDefault="00000000">
            <w:pPr>
              <w:jc w:val="center"/>
              <w:rPr>
                <w:b/>
                <w:bCs/>
              </w:rPr>
            </w:pPr>
            <w:r>
              <w:rPr>
                <w:b/>
                <w:bCs/>
              </w:rPr>
              <w:t>Количество доз вакцины</w:t>
            </w:r>
          </w:p>
        </w:tc>
        <w:tc>
          <w:tcPr>
            <w:tcW w:w="2374" w:type="dxa"/>
            <w:vAlign w:val="center"/>
          </w:tcPr>
          <w:p w:rsidR="00000000" w:rsidRDefault="00000000">
            <w:pPr>
              <w:jc w:val="center"/>
              <w:rPr>
                <w:b/>
                <w:bCs/>
              </w:rPr>
            </w:pPr>
            <w:r>
              <w:rPr>
                <w:b/>
                <w:bCs/>
              </w:rPr>
              <w:t>Целевые показатели</w:t>
            </w:r>
            <w:r>
              <w:rPr>
                <w:b/>
                <w:bCs/>
              </w:rPr>
              <w:br/>
              <w:t>(в %)</w:t>
            </w:r>
          </w:p>
        </w:tc>
      </w:tr>
      <w:tr w:rsidR="00000000">
        <w:tblPrEx>
          <w:tblCellMar>
            <w:top w:w="0" w:type="dxa"/>
            <w:bottom w:w="0" w:type="dxa"/>
          </w:tblCellMar>
        </w:tblPrEx>
        <w:tc>
          <w:tcPr>
            <w:tcW w:w="2373" w:type="dxa"/>
          </w:tcPr>
          <w:p w:rsidR="00000000" w:rsidRDefault="00000000">
            <w:r>
              <w:t>Бокерон</w:t>
            </w:r>
          </w:p>
        </w:tc>
        <w:tc>
          <w:tcPr>
            <w:tcW w:w="2374" w:type="dxa"/>
            <w:vAlign w:val="bottom"/>
          </w:tcPr>
          <w:p w:rsidR="00000000" w:rsidRDefault="00000000">
            <w:pPr>
              <w:tabs>
                <w:tab w:val="clear" w:pos="1134"/>
                <w:tab w:val="clear" w:pos="1701"/>
                <w:tab w:val="clear" w:pos="2268"/>
              </w:tabs>
              <w:ind w:right="779"/>
              <w:jc w:val="right"/>
              <w:rPr>
                <w:color w:val="333333"/>
                <w:szCs w:val="18"/>
              </w:rPr>
            </w:pPr>
            <w:r>
              <w:rPr>
                <w:color w:val="333333"/>
                <w:szCs w:val="18"/>
              </w:rPr>
              <w:t>32 345</w:t>
            </w:r>
          </w:p>
        </w:tc>
        <w:tc>
          <w:tcPr>
            <w:tcW w:w="2374" w:type="dxa"/>
            <w:vAlign w:val="bottom"/>
          </w:tcPr>
          <w:p w:rsidR="00000000" w:rsidRDefault="00000000">
            <w:pPr>
              <w:tabs>
                <w:tab w:val="clear" w:pos="1701"/>
                <w:tab w:val="clear" w:pos="2268"/>
              </w:tabs>
              <w:ind w:right="744"/>
              <w:jc w:val="right"/>
              <w:rPr>
                <w:color w:val="333333"/>
                <w:szCs w:val="18"/>
              </w:rPr>
            </w:pPr>
            <w:r>
              <w:rPr>
                <w:color w:val="333333"/>
                <w:szCs w:val="18"/>
              </w:rPr>
              <w:t>39 579</w:t>
            </w:r>
          </w:p>
        </w:tc>
        <w:tc>
          <w:tcPr>
            <w:tcW w:w="2374" w:type="dxa"/>
            <w:vAlign w:val="bottom"/>
          </w:tcPr>
          <w:p w:rsidR="00000000" w:rsidRDefault="00000000">
            <w:pPr>
              <w:tabs>
                <w:tab w:val="clear" w:pos="1701"/>
                <w:tab w:val="clear" w:pos="2268"/>
              </w:tabs>
              <w:ind w:right="991"/>
              <w:jc w:val="right"/>
              <w:rPr>
                <w:color w:val="333333"/>
                <w:szCs w:val="18"/>
              </w:rPr>
            </w:pPr>
            <w:r>
              <w:rPr>
                <w:color w:val="333333"/>
                <w:szCs w:val="18"/>
              </w:rPr>
              <w:t>82</w:t>
            </w:r>
          </w:p>
        </w:tc>
      </w:tr>
      <w:tr w:rsidR="00000000">
        <w:tblPrEx>
          <w:tblCellMar>
            <w:top w:w="0" w:type="dxa"/>
            <w:bottom w:w="0" w:type="dxa"/>
          </w:tblCellMar>
        </w:tblPrEx>
        <w:tc>
          <w:tcPr>
            <w:tcW w:w="2373" w:type="dxa"/>
          </w:tcPr>
          <w:p w:rsidR="00000000" w:rsidRDefault="00000000">
            <w:r>
              <w:t>Альто-Парагвай</w:t>
            </w:r>
          </w:p>
        </w:tc>
        <w:tc>
          <w:tcPr>
            <w:tcW w:w="2374" w:type="dxa"/>
            <w:vAlign w:val="bottom"/>
          </w:tcPr>
          <w:p w:rsidR="00000000" w:rsidRDefault="00000000">
            <w:pPr>
              <w:tabs>
                <w:tab w:val="clear" w:pos="1134"/>
                <w:tab w:val="clear" w:pos="1701"/>
                <w:tab w:val="clear" w:pos="2268"/>
              </w:tabs>
              <w:ind w:right="779"/>
              <w:jc w:val="right"/>
              <w:rPr>
                <w:color w:val="333333"/>
                <w:szCs w:val="18"/>
              </w:rPr>
            </w:pPr>
            <w:r>
              <w:rPr>
                <w:color w:val="333333"/>
                <w:szCs w:val="18"/>
              </w:rPr>
              <w:t>9 136</w:t>
            </w:r>
          </w:p>
        </w:tc>
        <w:tc>
          <w:tcPr>
            <w:tcW w:w="2374" w:type="dxa"/>
            <w:vAlign w:val="bottom"/>
          </w:tcPr>
          <w:p w:rsidR="00000000" w:rsidRDefault="00000000">
            <w:pPr>
              <w:tabs>
                <w:tab w:val="clear" w:pos="1701"/>
                <w:tab w:val="clear" w:pos="2268"/>
              </w:tabs>
              <w:ind w:right="744"/>
              <w:jc w:val="right"/>
              <w:rPr>
                <w:color w:val="333333"/>
                <w:szCs w:val="18"/>
              </w:rPr>
            </w:pPr>
            <w:r>
              <w:rPr>
                <w:color w:val="333333"/>
                <w:szCs w:val="18"/>
              </w:rPr>
              <w:t>11 228</w:t>
            </w:r>
          </w:p>
        </w:tc>
        <w:tc>
          <w:tcPr>
            <w:tcW w:w="2374" w:type="dxa"/>
            <w:vAlign w:val="bottom"/>
          </w:tcPr>
          <w:p w:rsidR="00000000" w:rsidRDefault="00000000">
            <w:pPr>
              <w:tabs>
                <w:tab w:val="clear" w:pos="1701"/>
                <w:tab w:val="clear" w:pos="2268"/>
              </w:tabs>
              <w:ind w:right="991"/>
              <w:jc w:val="right"/>
              <w:rPr>
                <w:color w:val="333333"/>
                <w:szCs w:val="18"/>
              </w:rPr>
            </w:pPr>
            <w:r>
              <w:rPr>
                <w:color w:val="333333"/>
                <w:szCs w:val="18"/>
              </w:rPr>
              <w:t>81</w:t>
            </w:r>
          </w:p>
        </w:tc>
      </w:tr>
      <w:tr w:rsidR="00000000">
        <w:tblPrEx>
          <w:tblCellMar>
            <w:top w:w="0" w:type="dxa"/>
            <w:bottom w:w="0" w:type="dxa"/>
          </w:tblCellMar>
        </w:tblPrEx>
        <w:tc>
          <w:tcPr>
            <w:tcW w:w="2373" w:type="dxa"/>
          </w:tcPr>
          <w:p w:rsidR="00000000" w:rsidRDefault="00000000">
            <w:r>
              <w:rPr>
                <w:kern w:val="2"/>
              </w:rPr>
              <w:t>Пресиденте-Аес</w:t>
            </w:r>
          </w:p>
        </w:tc>
        <w:tc>
          <w:tcPr>
            <w:tcW w:w="2374" w:type="dxa"/>
            <w:vAlign w:val="bottom"/>
          </w:tcPr>
          <w:p w:rsidR="00000000" w:rsidRDefault="00000000">
            <w:pPr>
              <w:tabs>
                <w:tab w:val="clear" w:pos="1134"/>
                <w:tab w:val="clear" w:pos="1701"/>
                <w:tab w:val="clear" w:pos="2268"/>
              </w:tabs>
              <w:ind w:right="779"/>
              <w:jc w:val="right"/>
              <w:rPr>
                <w:color w:val="333333"/>
                <w:szCs w:val="18"/>
              </w:rPr>
            </w:pPr>
            <w:r>
              <w:rPr>
                <w:color w:val="333333"/>
                <w:szCs w:val="18"/>
              </w:rPr>
              <w:t>26 121</w:t>
            </w:r>
          </w:p>
        </w:tc>
        <w:tc>
          <w:tcPr>
            <w:tcW w:w="2374" w:type="dxa"/>
            <w:vAlign w:val="bottom"/>
          </w:tcPr>
          <w:p w:rsidR="00000000" w:rsidRDefault="00000000">
            <w:pPr>
              <w:tabs>
                <w:tab w:val="clear" w:pos="1701"/>
                <w:tab w:val="clear" w:pos="2268"/>
              </w:tabs>
              <w:ind w:right="744"/>
              <w:jc w:val="right"/>
              <w:rPr>
                <w:color w:val="333333"/>
                <w:szCs w:val="18"/>
              </w:rPr>
            </w:pPr>
            <w:r>
              <w:rPr>
                <w:color w:val="333333"/>
                <w:szCs w:val="18"/>
              </w:rPr>
              <w:t>86 295</w:t>
            </w:r>
          </w:p>
        </w:tc>
        <w:tc>
          <w:tcPr>
            <w:tcW w:w="2374" w:type="dxa"/>
            <w:vAlign w:val="bottom"/>
          </w:tcPr>
          <w:p w:rsidR="00000000" w:rsidRDefault="00000000">
            <w:pPr>
              <w:tabs>
                <w:tab w:val="clear" w:pos="1701"/>
                <w:tab w:val="clear" w:pos="2268"/>
              </w:tabs>
              <w:ind w:right="991"/>
              <w:jc w:val="right"/>
              <w:rPr>
                <w:color w:val="333333"/>
                <w:szCs w:val="18"/>
              </w:rPr>
            </w:pPr>
            <w:r>
              <w:rPr>
                <w:color w:val="333333"/>
                <w:szCs w:val="18"/>
              </w:rPr>
              <w:t>30</w:t>
            </w:r>
          </w:p>
        </w:tc>
      </w:tr>
      <w:tr w:rsidR="00000000">
        <w:tblPrEx>
          <w:tblCellMar>
            <w:top w:w="0" w:type="dxa"/>
            <w:bottom w:w="0" w:type="dxa"/>
          </w:tblCellMar>
        </w:tblPrEx>
        <w:tc>
          <w:tcPr>
            <w:tcW w:w="2373" w:type="dxa"/>
          </w:tcPr>
          <w:p w:rsidR="00000000" w:rsidRDefault="00000000">
            <w:r>
              <w:t>Консепсьон</w:t>
            </w:r>
          </w:p>
        </w:tc>
        <w:tc>
          <w:tcPr>
            <w:tcW w:w="2374" w:type="dxa"/>
            <w:vAlign w:val="bottom"/>
          </w:tcPr>
          <w:p w:rsidR="00000000" w:rsidRDefault="00000000">
            <w:pPr>
              <w:tabs>
                <w:tab w:val="clear" w:pos="1134"/>
                <w:tab w:val="clear" w:pos="1701"/>
                <w:tab w:val="clear" w:pos="2268"/>
              </w:tabs>
              <w:ind w:right="779"/>
              <w:jc w:val="right"/>
              <w:rPr>
                <w:color w:val="333333"/>
                <w:szCs w:val="18"/>
              </w:rPr>
            </w:pPr>
            <w:r>
              <w:rPr>
                <w:color w:val="333333"/>
                <w:szCs w:val="18"/>
              </w:rPr>
              <w:t>31 812</w:t>
            </w:r>
          </w:p>
        </w:tc>
        <w:tc>
          <w:tcPr>
            <w:tcW w:w="2374" w:type="dxa"/>
            <w:vAlign w:val="bottom"/>
          </w:tcPr>
          <w:p w:rsidR="00000000" w:rsidRDefault="00000000">
            <w:pPr>
              <w:tabs>
                <w:tab w:val="clear" w:pos="1701"/>
                <w:tab w:val="clear" w:pos="2268"/>
              </w:tabs>
              <w:ind w:right="744"/>
              <w:jc w:val="right"/>
              <w:rPr>
                <w:color w:val="333333"/>
                <w:szCs w:val="18"/>
              </w:rPr>
            </w:pPr>
            <w:r>
              <w:rPr>
                <w:color w:val="333333"/>
                <w:szCs w:val="18"/>
              </w:rPr>
              <w:t>191 226</w:t>
            </w:r>
          </w:p>
        </w:tc>
        <w:tc>
          <w:tcPr>
            <w:tcW w:w="2374" w:type="dxa"/>
            <w:vAlign w:val="bottom"/>
          </w:tcPr>
          <w:p w:rsidR="00000000" w:rsidRDefault="00000000">
            <w:pPr>
              <w:tabs>
                <w:tab w:val="clear" w:pos="1701"/>
                <w:tab w:val="clear" w:pos="2268"/>
              </w:tabs>
              <w:ind w:right="991"/>
              <w:jc w:val="right"/>
              <w:rPr>
                <w:color w:val="333333"/>
                <w:szCs w:val="18"/>
              </w:rPr>
            </w:pPr>
            <w:r>
              <w:rPr>
                <w:color w:val="333333"/>
                <w:szCs w:val="18"/>
              </w:rPr>
              <w:t>17</w:t>
            </w:r>
          </w:p>
        </w:tc>
      </w:tr>
      <w:tr w:rsidR="00000000">
        <w:tblPrEx>
          <w:tblCellMar>
            <w:top w:w="0" w:type="dxa"/>
            <w:bottom w:w="0" w:type="dxa"/>
          </w:tblCellMar>
        </w:tblPrEx>
        <w:tc>
          <w:tcPr>
            <w:tcW w:w="2373" w:type="dxa"/>
          </w:tcPr>
          <w:p w:rsidR="00000000" w:rsidRDefault="00000000">
            <w:r>
              <w:t>Амамбай</w:t>
            </w:r>
          </w:p>
        </w:tc>
        <w:tc>
          <w:tcPr>
            <w:tcW w:w="2374" w:type="dxa"/>
            <w:vAlign w:val="bottom"/>
          </w:tcPr>
          <w:p w:rsidR="00000000" w:rsidRDefault="00000000">
            <w:pPr>
              <w:tabs>
                <w:tab w:val="clear" w:pos="1134"/>
                <w:tab w:val="clear" w:pos="1701"/>
                <w:tab w:val="clear" w:pos="2268"/>
              </w:tabs>
              <w:ind w:right="779"/>
              <w:jc w:val="right"/>
              <w:rPr>
                <w:color w:val="333333"/>
                <w:szCs w:val="18"/>
              </w:rPr>
            </w:pPr>
            <w:r>
              <w:rPr>
                <w:color w:val="333333"/>
                <w:szCs w:val="18"/>
              </w:rPr>
              <w:t>16 383</w:t>
            </w:r>
          </w:p>
        </w:tc>
        <w:tc>
          <w:tcPr>
            <w:tcW w:w="2374" w:type="dxa"/>
            <w:vAlign w:val="bottom"/>
          </w:tcPr>
          <w:p w:rsidR="00000000" w:rsidRDefault="00000000">
            <w:pPr>
              <w:tabs>
                <w:tab w:val="clear" w:pos="1701"/>
                <w:tab w:val="clear" w:pos="2268"/>
              </w:tabs>
              <w:ind w:right="744"/>
              <w:jc w:val="right"/>
              <w:rPr>
                <w:color w:val="333333"/>
                <w:szCs w:val="18"/>
              </w:rPr>
            </w:pPr>
            <w:r>
              <w:rPr>
                <w:color w:val="333333"/>
                <w:szCs w:val="18"/>
              </w:rPr>
              <w:t>110 782</w:t>
            </w:r>
          </w:p>
        </w:tc>
        <w:tc>
          <w:tcPr>
            <w:tcW w:w="2374" w:type="dxa"/>
            <w:vAlign w:val="bottom"/>
          </w:tcPr>
          <w:p w:rsidR="00000000" w:rsidRDefault="00000000">
            <w:pPr>
              <w:tabs>
                <w:tab w:val="clear" w:pos="1701"/>
                <w:tab w:val="clear" w:pos="2268"/>
              </w:tabs>
              <w:ind w:right="991"/>
              <w:jc w:val="right"/>
              <w:rPr>
                <w:color w:val="333333"/>
                <w:szCs w:val="18"/>
              </w:rPr>
            </w:pPr>
            <w:r>
              <w:rPr>
                <w:color w:val="333333"/>
                <w:szCs w:val="18"/>
              </w:rPr>
              <w:t>15</w:t>
            </w:r>
          </w:p>
        </w:tc>
      </w:tr>
      <w:tr w:rsidR="00000000">
        <w:tblPrEx>
          <w:tblCellMar>
            <w:top w:w="0" w:type="dxa"/>
            <w:bottom w:w="0" w:type="dxa"/>
          </w:tblCellMar>
        </w:tblPrEx>
        <w:tc>
          <w:tcPr>
            <w:tcW w:w="2373" w:type="dxa"/>
          </w:tcPr>
          <w:p w:rsidR="00000000" w:rsidRDefault="00000000">
            <w:r>
              <w:t>Каненди</w:t>
            </w:r>
          </w:p>
        </w:tc>
        <w:tc>
          <w:tcPr>
            <w:tcW w:w="2374" w:type="dxa"/>
            <w:vAlign w:val="bottom"/>
          </w:tcPr>
          <w:p w:rsidR="00000000" w:rsidRDefault="00000000">
            <w:pPr>
              <w:tabs>
                <w:tab w:val="clear" w:pos="1134"/>
                <w:tab w:val="clear" w:pos="1701"/>
                <w:tab w:val="clear" w:pos="2268"/>
              </w:tabs>
              <w:ind w:right="779"/>
              <w:jc w:val="right"/>
              <w:rPr>
                <w:color w:val="333333"/>
                <w:szCs w:val="18"/>
              </w:rPr>
            </w:pPr>
            <w:r>
              <w:rPr>
                <w:color w:val="333333"/>
                <w:szCs w:val="18"/>
              </w:rPr>
              <w:t>24 630</w:t>
            </w:r>
          </w:p>
        </w:tc>
        <w:tc>
          <w:tcPr>
            <w:tcW w:w="2374" w:type="dxa"/>
            <w:vAlign w:val="bottom"/>
          </w:tcPr>
          <w:p w:rsidR="00000000" w:rsidRDefault="00000000">
            <w:pPr>
              <w:tabs>
                <w:tab w:val="clear" w:pos="1701"/>
                <w:tab w:val="clear" w:pos="2268"/>
              </w:tabs>
              <w:ind w:right="744"/>
              <w:jc w:val="right"/>
              <w:rPr>
                <w:color w:val="333333"/>
                <w:szCs w:val="18"/>
              </w:rPr>
            </w:pPr>
            <w:r>
              <w:rPr>
                <w:color w:val="333333"/>
                <w:szCs w:val="18"/>
              </w:rPr>
              <w:t>153 292</w:t>
            </w:r>
          </w:p>
        </w:tc>
        <w:tc>
          <w:tcPr>
            <w:tcW w:w="2374" w:type="dxa"/>
            <w:vAlign w:val="bottom"/>
          </w:tcPr>
          <w:p w:rsidR="00000000" w:rsidRDefault="00000000">
            <w:pPr>
              <w:tabs>
                <w:tab w:val="clear" w:pos="1701"/>
                <w:tab w:val="clear" w:pos="2268"/>
              </w:tabs>
              <w:ind w:right="991"/>
              <w:jc w:val="right"/>
              <w:rPr>
                <w:color w:val="333333"/>
                <w:szCs w:val="18"/>
              </w:rPr>
            </w:pPr>
            <w:r>
              <w:rPr>
                <w:color w:val="333333"/>
                <w:szCs w:val="18"/>
              </w:rPr>
              <w:t>16</w:t>
            </w:r>
          </w:p>
        </w:tc>
      </w:tr>
      <w:tr w:rsidR="00000000">
        <w:tblPrEx>
          <w:tblCellMar>
            <w:top w:w="0" w:type="dxa"/>
            <w:bottom w:w="0" w:type="dxa"/>
          </w:tblCellMar>
        </w:tblPrEx>
        <w:tc>
          <w:tcPr>
            <w:tcW w:w="2373" w:type="dxa"/>
          </w:tcPr>
          <w:p w:rsidR="00000000" w:rsidRDefault="00000000">
            <w:r>
              <w:t>Альто-Парана</w:t>
            </w:r>
          </w:p>
        </w:tc>
        <w:tc>
          <w:tcPr>
            <w:tcW w:w="2374" w:type="dxa"/>
            <w:vAlign w:val="bottom"/>
          </w:tcPr>
          <w:p w:rsidR="00000000" w:rsidRDefault="00000000">
            <w:pPr>
              <w:tabs>
                <w:tab w:val="clear" w:pos="1134"/>
                <w:tab w:val="clear" w:pos="1701"/>
                <w:tab w:val="clear" w:pos="2268"/>
              </w:tabs>
              <w:ind w:right="779"/>
              <w:jc w:val="right"/>
              <w:rPr>
                <w:color w:val="333333"/>
                <w:szCs w:val="18"/>
              </w:rPr>
            </w:pPr>
            <w:r>
              <w:rPr>
                <w:color w:val="333333"/>
                <w:szCs w:val="18"/>
              </w:rPr>
              <w:t>59 745</w:t>
            </w:r>
          </w:p>
        </w:tc>
        <w:tc>
          <w:tcPr>
            <w:tcW w:w="2374" w:type="dxa"/>
            <w:vAlign w:val="bottom"/>
          </w:tcPr>
          <w:p w:rsidR="00000000" w:rsidRDefault="00000000">
            <w:pPr>
              <w:tabs>
                <w:tab w:val="clear" w:pos="1701"/>
                <w:tab w:val="clear" w:pos="2268"/>
              </w:tabs>
              <w:ind w:right="744"/>
              <w:jc w:val="right"/>
              <w:rPr>
                <w:color w:val="333333"/>
                <w:szCs w:val="18"/>
              </w:rPr>
            </w:pPr>
            <w:r>
              <w:rPr>
                <w:color w:val="333333"/>
                <w:szCs w:val="18"/>
              </w:rPr>
              <w:t>598 613</w:t>
            </w:r>
          </w:p>
        </w:tc>
        <w:tc>
          <w:tcPr>
            <w:tcW w:w="2374" w:type="dxa"/>
            <w:vAlign w:val="bottom"/>
          </w:tcPr>
          <w:p w:rsidR="00000000" w:rsidRDefault="00000000">
            <w:pPr>
              <w:tabs>
                <w:tab w:val="clear" w:pos="1701"/>
                <w:tab w:val="clear" w:pos="2268"/>
              </w:tabs>
              <w:ind w:right="991"/>
              <w:jc w:val="right"/>
              <w:rPr>
                <w:color w:val="333333"/>
                <w:szCs w:val="18"/>
              </w:rPr>
            </w:pPr>
            <w:r>
              <w:rPr>
                <w:color w:val="333333"/>
                <w:szCs w:val="18"/>
              </w:rPr>
              <w:t>10</w:t>
            </w:r>
          </w:p>
        </w:tc>
      </w:tr>
      <w:tr w:rsidR="00000000">
        <w:tblPrEx>
          <w:tblCellMar>
            <w:top w:w="0" w:type="dxa"/>
            <w:bottom w:w="0" w:type="dxa"/>
          </w:tblCellMar>
        </w:tblPrEx>
        <w:tc>
          <w:tcPr>
            <w:tcW w:w="2373" w:type="dxa"/>
          </w:tcPr>
          <w:p w:rsidR="00000000" w:rsidRDefault="00000000">
            <w:pPr>
              <w:rPr>
                <w:b/>
                <w:bCs/>
              </w:rPr>
            </w:pPr>
            <w:r>
              <w:rPr>
                <w:b/>
                <w:bCs/>
              </w:rPr>
              <w:tab/>
              <w:t>Всего</w:t>
            </w:r>
          </w:p>
        </w:tc>
        <w:tc>
          <w:tcPr>
            <w:tcW w:w="2374" w:type="dxa"/>
          </w:tcPr>
          <w:p w:rsidR="00000000" w:rsidRDefault="00000000">
            <w:pPr>
              <w:tabs>
                <w:tab w:val="clear" w:pos="1134"/>
                <w:tab w:val="clear" w:pos="1701"/>
                <w:tab w:val="clear" w:pos="2268"/>
              </w:tabs>
              <w:ind w:right="779"/>
              <w:jc w:val="right"/>
              <w:rPr>
                <w:b/>
                <w:bCs/>
                <w:color w:val="333333"/>
                <w:szCs w:val="18"/>
              </w:rPr>
            </w:pPr>
            <w:r>
              <w:rPr>
                <w:b/>
                <w:bCs/>
                <w:color w:val="333333"/>
                <w:szCs w:val="18"/>
              </w:rPr>
              <w:fldChar w:fldCharType="begin"/>
            </w:r>
            <w:r>
              <w:rPr>
                <w:b/>
                <w:bCs/>
                <w:color w:val="333333"/>
                <w:szCs w:val="18"/>
              </w:rPr>
              <w:instrText xml:space="preserve"> =SUM(ABOVE) </w:instrText>
            </w:r>
            <w:r>
              <w:rPr>
                <w:b/>
                <w:bCs/>
                <w:color w:val="333333"/>
                <w:szCs w:val="18"/>
              </w:rPr>
              <w:fldChar w:fldCharType="separate"/>
            </w:r>
            <w:r>
              <w:rPr>
                <w:b/>
                <w:bCs/>
                <w:color w:val="333333"/>
                <w:szCs w:val="18"/>
              </w:rPr>
              <w:t>200 172</w:t>
            </w:r>
            <w:r>
              <w:rPr>
                <w:b/>
                <w:bCs/>
                <w:color w:val="333333"/>
                <w:szCs w:val="18"/>
              </w:rPr>
              <w:fldChar w:fldCharType="end"/>
            </w:r>
          </w:p>
        </w:tc>
        <w:tc>
          <w:tcPr>
            <w:tcW w:w="2374" w:type="dxa"/>
          </w:tcPr>
          <w:p w:rsidR="00000000" w:rsidRDefault="00000000">
            <w:pPr>
              <w:tabs>
                <w:tab w:val="clear" w:pos="1701"/>
                <w:tab w:val="clear" w:pos="2268"/>
              </w:tabs>
              <w:ind w:right="744"/>
              <w:jc w:val="right"/>
              <w:rPr>
                <w:b/>
                <w:bCs/>
                <w:color w:val="333333"/>
                <w:szCs w:val="18"/>
              </w:rPr>
            </w:pPr>
            <w:r>
              <w:rPr>
                <w:b/>
                <w:bCs/>
                <w:color w:val="333333"/>
                <w:szCs w:val="18"/>
              </w:rPr>
              <w:fldChar w:fldCharType="begin"/>
            </w:r>
            <w:r>
              <w:rPr>
                <w:b/>
                <w:bCs/>
                <w:color w:val="333333"/>
                <w:szCs w:val="18"/>
              </w:rPr>
              <w:instrText xml:space="preserve"> =SUM(ABOVE) </w:instrText>
            </w:r>
            <w:r>
              <w:rPr>
                <w:b/>
                <w:bCs/>
                <w:color w:val="333333"/>
                <w:szCs w:val="18"/>
              </w:rPr>
              <w:fldChar w:fldCharType="separate"/>
            </w:r>
            <w:r>
              <w:rPr>
                <w:b/>
                <w:bCs/>
                <w:color w:val="333333"/>
                <w:szCs w:val="18"/>
              </w:rPr>
              <w:t>1 191 015</w:t>
            </w:r>
            <w:r>
              <w:rPr>
                <w:b/>
                <w:bCs/>
                <w:color w:val="333333"/>
                <w:szCs w:val="18"/>
              </w:rPr>
              <w:fldChar w:fldCharType="end"/>
            </w:r>
          </w:p>
        </w:tc>
        <w:tc>
          <w:tcPr>
            <w:tcW w:w="2374" w:type="dxa"/>
          </w:tcPr>
          <w:p w:rsidR="00000000" w:rsidRDefault="00000000">
            <w:pPr>
              <w:tabs>
                <w:tab w:val="clear" w:pos="1701"/>
                <w:tab w:val="clear" w:pos="2268"/>
              </w:tabs>
              <w:ind w:right="991"/>
              <w:jc w:val="right"/>
              <w:rPr>
                <w:b/>
                <w:bCs/>
                <w:color w:val="333333"/>
                <w:szCs w:val="18"/>
              </w:rPr>
            </w:pPr>
            <w:r>
              <w:rPr>
                <w:b/>
                <w:bCs/>
                <w:color w:val="333333"/>
                <w:szCs w:val="18"/>
              </w:rPr>
              <w:t>17</w:t>
            </w:r>
          </w:p>
        </w:tc>
      </w:tr>
    </w:tbl>
    <w:p w:rsidR="00000000" w:rsidRDefault="00000000"/>
    <w:p w:rsidR="00000000" w:rsidRDefault="00000000">
      <w:r>
        <w:t>543.</w:t>
      </w:r>
      <w:r>
        <w:tab/>
        <w:t>Для контроля этой работы в настоящее время разрабатывается система контроля фебрильно-иктерического синдрома в центрах наблюдения и осуществляется энтомологический надзор и борьба с эпизоотиями в районе Чако.  В Парагвае выполняется предусмотренное международными обязательствами требование о вакцинации против желтой лихорадки иммигрантов из эндемических зон.</w:t>
      </w:r>
    </w:p>
    <w:p w:rsidR="00000000" w:rsidRDefault="00000000"/>
    <w:p w:rsidR="00000000" w:rsidRDefault="00000000">
      <w:r>
        <w:t>544.</w:t>
      </w:r>
      <w:r>
        <w:tab/>
        <w:t>Подписано двустороннее соглашение между Парагваем и Боливией по активизации профилактики и борьбы с желтой лихорадкой в районе границы, предусматривающее обеспечение каждой стороной 100-процентного охвата вакцинацией приграничных муниципий, обмен данными о вакцинации в этих муниципиях, усиление контроля и стандартизацию карточки извещения.</w:t>
      </w:r>
    </w:p>
    <w:p w:rsidR="00000000" w:rsidRDefault="00000000"/>
    <w:p w:rsidR="00000000" w:rsidRDefault="00000000">
      <w:pPr>
        <w:rPr>
          <w:b/>
          <w:bCs/>
        </w:rPr>
      </w:pPr>
      <w:r>
        <w:rPr>
          <w:color w:val="333333"/>
        </w:rPr>
        <w:tab/>
      </w:r>
      <w:r>
        <w:rPr>
          <w:b/>
          <w:bCs/>
        </w:rPr>
        <w:t>8.5</w:t>
      </w:r>
      <w:r>
        <w:rPr>
          <w:b/>
          <w:bCs/>
        </w:rPr>
        <w:tab/>
        <w:t>Холера</w:t>
      </w:r>
    </w:p>
    <w:p w:rsidR="00000000" w:rsidRDefault="00000000">
      <w:pPr>
        <w:rPr>
          <w:b/>
          <w:bCs/>
        </w:rPr>
      </w:pPr>
    </w:p>
    <w:p w:rsidR="00000000" w:rsidRDefault="00000000">
      <w:r>
        <w:t>545.</w:t>
      </w:r>
      <w:r>
        <w:tab/>
        <w:t>На сегодняшний день в Парагвае отмечены четыре случая холеры, из которых три были завезены из Аргентины.  Диагноз был подтвержден лабораторией Института им. Карлоса Х. Малбиана в Буэнос-Айресе.  Взятые пробы показали наличие вибриона холеры 01, биотип ЭЛЬ-ТОР, серотип "Инаба".  В результате исследования был сделан вывод о том, что вспышка началась, вероятно, после употребления зараженных продуктов питания.</w:t>
      </w:r>
    </w:p>
    <w:p w:rsidR="00000000" w:rsidRDefault="00000000"/>
    <w:p w:rsidR="00000000" w:rsidRDefault="00000000">
      <w:r>
        <w:t>546.</w:t>
      </w:r>
      <w:r>
        <w:tab/>
        <w:t>Выявленные случаи были отдельными, не связанными с каким-либо источником заражения.  Три случая, завезенные извне, связаны с больным, проживающим в городских условиях, т.е. пользующимся питьевой водой и канализацией.  Случай заболевания местного жителя был зарегистрирован в населенном пункте Сан-Антонио, в 22 км от Асунсьона.  Заболевшим оказался мужчина, по роду занятий - рыбак на реке Парагвай.  В 1999 году было объявлено о нависшей опасности проникновения в страну холеры, в связи со вспышкой заболевания, возникшей в Паранагуа, свободном порту Парагвая в Бразилии.</w:t>
      </w:r>
    </w:p>
    <w:p w:rsidR="00000000" w:rsidRDefault="00000000"/>
    <w:p w:rsidR="00000000" w:rsidRDefault="00000000">
      <w:r>
        <w:t>547.</w:t>
      </w:r>
      <w:r>
        <w:tab/>
        <w:t>По общему признанию, процент диарей у детей в возрасте до 5 лет не превышает 20</w:t>
      </w:r>
      <w:r>
        <w:noBreakHyphen/>
        <w:t>30% от общего количества диарей.  При еженедельном наблюдении этого соотношения (диарей у взрослых и у детей моложе 5 лет) можно заметить, что пропорциональное увеличение диарей у лиц старше 5 лет происходит за две или три недели до появления признаков заболевания холерой.</w:t>
      </w:r>
    </w:p>
    <w:p w:rsidR="00000000" w:rsidRDefault="00000000"/>
    <w:p w:rsidR="00000000" w:rsidRDefault="00000000">
      <w:pPr>
        <w:keepNext/>
        <w:rPr>
          <w:b/>
        </w:rPr>
      </w:pPr>
      <w:r>
        <w:rPr>
          <w:b/>
        </w:rPr>
        <w:tab/>
        <w:t>8.5</w:t>
      </w:r>
      <w:r>
        <w:rPr>
          <w:b/>
        </w:rPr>
        <w:tab/>
        <w:t xml:space="preserve">Борьба с другими болезнями </w:t>
      </w:r>
    </w:p>
    <w:p w:rsidR="00000000" w:rsidRDefault="00000000">
      <w:pPr>
        <w:keepNext/>
        <w:rPr>
          <w:b/>
        </w:rPr>
      </w:pPr>
    </w:p>
    <w:p w:rsidR="00000000" w:rsidRDefault="00000000">
      <w:r>
        <w:t>548.</w:t>
      </w:r>
      <w:r>
        <w:tab/>
        <w:t>Что касается санитарного надзора за другими болезнями, то следует упомянуть реализуемую программу Комплексного контроля за птичьим гриппом и инфлюэнцей у людей (2005 год), а также начало осуществления Национальной программы надзора за внутрибольничными инфекциями и борьбы с ними (2005 год).</w:t>
      </w:r>
    </w:p>
    <w:p w:rsidR="00000000" w:rsidRDefault="00000000"/>
    <w:p w:rsidR="00000000" w:rsidRDefault="00000000">
      <w:pPr>
        <w:rPr>
          <w:b/>
          <w:bCs/>
        </w:rPr>
      </w:pPr>
      <w:r>
        <w:rPr>
          <w:b/>
        </w:rPr>
        <w:t>9.</w:t>
      </w:r>
      <w:r>
        <w:rPr>
          <w:b/>
        </w:rPr>
        <w:tab/>
      </w:r>
      <w:r>
        <w:rPr>
          <w:b/>
          <w:bCs/>
        </w:rPr>
        <w:t>Санитарное просвещение</w:t>
      </w:r>
    </w:p>
    <w:p w:rsidR="00000000" w:rsidRDefault="00000000">
      <w:pPr>
        <w:rPr>
          <w:b/>
        </w:rPr>
      </w:pPr>
    </w:p>
    <w:p w:rsidR="00000000" w:rsidRDefault="00000000">
      <w:r>
        <w:t>549.</w:t>
      </w:r>
      <w:r>
        <w:tab/>
        <w:t>Одним из механизмов привития навыков и привычек к здоровому образу жизни, которые благоприятствуют сохранению и укреплению здоровья и созданию нормальных условий жизни, является осуществление программ и кампаний за здоровые муниципии, здоровые школы, здоровые жилища, здоровые рынки, здоровые тюрьмы, здоровый транспорт, организованные системы производства, здоровые рабочие места и т.д.</w:t>
      </w:r>
    </w:p>
    <w:p w:rsidR="00000000" w:rsidRDefault="00000000"/>
    <w:p w:rsidR="00000000" w:rsidRDefault="00000000">
      <w:r>
        <w:t>550.</w:t>
      </w:r>
      <w:r>
        <w:tab/>
        <w:t>Помимо этого, пропагандируются здоровый образ жизни, способствующий устранению факторов риска, отрицательно влияющих на население, здоровое питание, занятия физическими упражнениями, борьба с вредными привычками и насилием, воспитание духовных ценностей, забота о сохранности окружающей среды, обеспечение психического здоровья.  В программах формального образования также учитываются факторы, обеспечивающие защиту здоровья, контроль за ростом и развитием школьников и подростков.</w:t>
      </w:r>
    </w:p>
    <w:p w:rsidR="00000000" w:rsidRDefault="00000000"/>
    <w:p w:rsidR="00000000" w:rsidRDefault="00000000">
      <w:r>
        <w:t>551.</w:t>
      </w:r>
      <w:r>
        <w:tab/>
        <w:t>С 2004 года проводятся семинары и занятия по повышению квалификации для руководителей программ по борьбе с наиболее опасными заразными заболеваниями (ЗПП/ВИЧ/СПИД, болезнь Чагаса, туберкулез) и иммунизации матери и ребенка, как в столице, так и по всей стране.  На данный момент проведено 5 семинаров, в которых участвовало 37 человек.</w:t>
      </w:r>
    </w:p>
    <w:p w:rsidR="00000000" w:rsidRDefault="00000000"/>
    <w:p w:rsidR="00000000" w:rsidRDefault="00000000">
      <w:r>
        <w:t>552.</w:t>
      </w:r>
      <w:r>
        <w:tab/>
        <w:t xml:space="preserve">Недавно начала проводиться информационно-пропагандистская кампания под девизом "Не игнорируй СПИД, останови СПИД, сдержим обещание", ориентированная главным образом на женщин.  Национальная программа борьбы против СПИДа в полной мере учитывает феминизацию ВИЧ/СПИДа, а посему в планы семинаров по предупреждению данной болезни были включены т.н. "гендерные модули", при активном участии </w:t>
      </w:r>
      <w:r>
        <w:rPr>
          <w:bCs/>
        </w:rPr>
        <w:t>в работе</w:t>
      </w:r>
      <w:r>
        <w:t xml:space="preserve"> по привитию новых культурных моделей поведения</w:t>
      </w:r>
      <w:r>
        <w:rPr>
          <w:bCs/>
        </w:rPr>
        <w:t xml:space="preserve"> Секретариата по делам женщин</w:t>
      </w:r>
      <w:r>
        <w:t>.</w:t>
      </w:r>
    </w:p>
    <w:p w:rsidR="00000000" w:rsidRDefault="00000000"/>
    <w:p w:rsidR="00000000" w:rsidRDefault="00000000">
      <w:pPr>
        <w:rPr>
          <w:b/>
        </w:rPr>
      </w:pPr>
      <w:r>
        <w:rPr>
          <w:b/>
        </w:rPr>
        <w:t>Статья 13</w:t>
      </w:r>
    </w:p>
    <w:p w:rsidR="00000000" w:rsidRDefault="00000000">
      <w:pPr>
        <w:rPr>
          <w:b/>
        </w:rPr>
      </w:pPr>
    </w:p>
    <w:p w:rsidR="00000000" w:rsidRDefault="00000000">
      <w:pPr>
        <w:jc w:val="center"/>
        <w:rPr>
          <w:b/>
          <w:szCs w:val="22"/>
        </w:rPr>
      </w:pPr>
      <w:r>
        <w:rPr>
          <w:b/>
          <w:szCs w:val="22"/>
        </w:rPr>
        <w:t>A.</w:t>
      </w:r>
      <w:r>
        <w:rPr>
          <w:b/>
          <w:szCs w:val="22"/>
        </w:rPr>
        <w:tab/>
        <w:t>Право на образование</w:t>
      </w:r>
    </w:p>
    <w:p w:rsidR="00000000" w:rsidRDefault="00000000">
      <w:pPr>
        <w:rPr>
          <w:b/>
          <w:szCs w:val="22"/>
        </w:rPr>
      </w:pPr>
    </w:p>
    <w:p w:rsidR="00000000" w:rsidRDefault="00000000">
      <w:pPr>
        <w:rPr>
          <w:szCs w:val="22"/>
        </w:rPr>
      </w:pPr>
      <w:r>
        <w:rPr>
          <w:szCs w:val="22"/>
        </w:rPr>
        <w:t>553.</w:t>
      </w:r>
      <w:r>
        <w:rPr>
          <w:szCs w:val="22"/>
        </w:rPr>
        <w:tab/>
        <w:t xml:space="preserve">Прежде всего важно отметить, что статья 76 Конституция страны четно предусматривает следующее:  "Базовое школьное образование является обязательным.  В государственных школах обучение бесплатное.  </w:t>
      </w:r>
      <w:r>
        <w:rPr>
          <w:kern w:val="2"/>
        </w:rPr>
        <w:t>Государство содействует получению среднего, технического, сельскохозяйственного, промышленного и высшего или университетского образования, а также проведению научно-технических исследований</w:t>
      </w:r>
      <w:r>
        <w:rPr>
          <w:szCs w:val="22"/>
        </w:rPr>
        <w:t xml:space="preserve">.  Организация системы образования является одной из основных обязанностей государства, при участии различных образовательных структур.  Эта система включает государственный и частный сектора, а также школьную и внешкольную сферы".  Аналогичным образом, в статье 73 национальной Конституции закрепляется и раскрывается право каждого человека </w:t>
      </w:r>
      <w:r>
        <w:rPr>
          <w:kern w:val="2"/>
        </w:rPr>
        <w:t>на полное и непрерывное образование</w:t>
      </w:r>
      <w:r>
        <w:rPr>
          <w:szCs w:val="22"/>
        </w:rPr>
        <w:t xml:space="preserve"> (…), а также оговариваются цели и задачи образования.</w:t>
      </w:r>
    </w:p>
    <w:p w:rsidR="00000000" w:rsidRDefault="00000000">
      <w:pPr>
        <w:rPr>
          <w:szCs w:val="22"/>
        </w:rPr>
      </w:pPr>
    </w:p>
    <w:p w:rsidR="00000000" w:rsidRDefault="00000000">
      <w:pPr>
        <w:rPr>
          <w:color w:val="000000"/>
        </w:rPr>
      </w:pPr>
      <w:r>
        <w:rPr>
          <w:color w:val="000000"/>
        </w:rPr>
        <w:t>554.</w:t>
      </w:r>
      <w:r>
        <w:rPr>
          <w:color w:val="000000"/>
        </w:rPr>
        <w:tab/>
        <w:t xml:space="preserve">Согласно статье 4 </w:t>
      </w:r>
      <w:r>
        <w:rPr>
          <w:bCs/>
          <w:color w:val="000000"/>
        </w:rPr>
        <w:t>Всеобщего закона об образовании</w:t>
      </w:r>
      <w:r>
        <w:rPr>
          <w:color w:val="000000"/>
        </w:rPr>
        <w:t xml:space="preserve"> (№ 1264), "</w:t>
      </w:r>
      <w:r>
        <w:t xml:space="preserve"> Государство обязано гарантировать всему населению страны доступ к образованию и создать условия для подлинного равенства возможностей</w:t>
      </w:r>
      <w:r>
        <w:rPr>
          <w:color w:val="000000"/>
        </w:rPr>
        <w:t>.  Национальная система образования финансируется главным образом из средств общего государственного бюджета".</w:t>
      </w:r>
    </w:p>
    <w:p w:rsidR="00000000" w:rsidRDefault="00000000">
      <w:pPr>
        <w:rPr>
          <w:color w:val="000000"/>
        </w:rPr>
      </w:pPr>
    </w:p>
    <w:p w:rsidR="00000000" w:rsidRDefault="00000000">
      <w:r>
        <w:t>555.</w:t>
      </w:r>
      <w:r>
        <w:tab/>
        <w:t>В статье 18 этого Закона устанавливаются "функции государства в сфере образования", которые осуществляет министерство просвещения и культуры.</w:t>
      </w:r>
    </w:p>
    <w:p w:rsidR="00000000" w:rsidRDefault="00000000"/>
    <w:p w:rsidR="00000000" w:rsidRDefault="00000000">
      <w:pPr>
        <w:rPr>
          <w:color w:val="000000"/>
        </w:rPr>
      </w:pPr>
      <w:r>
        <w:rPr>
          <w:color w:val="000000"/>
        </w:rPr>
        <w:t>556.</w:t>
      </w:r>
      <w:r>
        <w:rPr>
          <w:color w:val="000000"/>
        </w:rPr>
        <w:tab/>
        <w:t xml:space="preserve">В отношении формы передачи государством функции обеспечения образования можно сослаться на следующие статьи </w:t>
      </w:r>
      <w:r>
        <w:rPr>
          <w:bCs/>
          <w:color w:val="000000"/>
        </w:rPr>
        <w:t>Всеобщего закона об образовании</w:t>
      </w:r>
      <w:r>
        <w:rPr>
          <w:color w:val="000000"/>
        </w:rPr>
        <w:t xml:space="preserve"> (№ 1264):</w:t>
      </w:r>
    </w:p>
    <w:p w:rsidR="00000000" w:rsidRDefault="00000000">
      <w:pPr>
        <w:rPr>
          <w:color w:val="000000"/>
        </w:rPr>
      </w:pPr>
    </w:p>
    <w:p w:rsidR="00000000" w:rsidRDefault="00000000">
      <w:pPr>
        <w:ind w:left="567" w:hanging="567"/>
        <w:rPr>
          <w:color w:val="000000"/>
        </w:rPr>
      </w:pPr>
      <w:r>
        <w:rPr>
          <w:b/>
          <w:color w:val="000000"/>
        </w:rPr>
        <w:t>-</w:t>
      </w:r>
      <w:r>
        <w:rPr>
          <w:b/>
          <w:color w:val="000000"/>
        </w:rPr>
        <w:tab/>
        <w:t>Статья 12:</w:t>
      </w:r>
      <w:r>
        <w:rPr>
          <w:color w:val="000000"/>
        </w:rPr>
        <w:t xml:space="preserve">  </w:t>
      </w:r>
      <w:r>
        <w:rPr>
          <w:szCs w:val="22"/>
        </w:rPr>
        <w:t>Организация национальной системы образования является обязанностью государства, при участии различных образовательных структур.  Эта система включает государственный и частный сектора, а также школьную и внешкольную сферы</w:t>
      </w:r>
      <w:r>
        <w:rPr>
          <w:color w:val="000000"/>
        </w:rPr>
        <w:t>.</w:t>
      </w:r>
    </w:p>
    <w:p w:rsidR="00000000" w:rsidRDefault="00000000">
      <w:pPr>
        <w:rPr>
          <w:color w:val="000000"/>
        </w:rPr>
      </w:pPr>
    </w:p>
    <w:p w:rsidR="00000000" w:rsidRDefault="00000000">
      <w:pPr>
        <w:ind w:left="567" w:hanging="567"/>
      </w:pPr>
      <w:r>
        <w:rPr>
          <w:b/>
          <w:bCs/>
          <w:szCs w:val="22"/>
        </w:rPr>
        <w:t>-</w:t>
      </w:r>
      <w:r>
        <w:rPr>
          <w:b/>
          <w:bCs/>
          <w:szCs w:val="22"/>
        </w:rPr>
        <w:tab/>
      </w:r>
      <w:r>
        <w:rPr>
          <w:b/>
          <w:color w:val="000000"/>
        </w:rPr>
        <w:t>Статья</w:t>
      </w:r>
      <w:r>
        <w:rPr>
          <w:b/>
          <w:bCs/>
          <w:szCs w:val="22"/>
        </w:rPr>
        <w:t xml:space="preserve"> 20:</w:t>
      </w:r>
      <w:r>
        <w:rPr>
          <w:bCs/>
          <w:szCs w:val="22"/>
        </w:rPr>
        <w:t xml:space="preserve">  </w:t>
      </w:r>
      <w:r>
        <w:t>Министерство просвещения и культуры, органы управления, муниципии и образовательные структуры должны обеспечивать качество образования</w:t>
      </w:r>
      <w:r>
        <w:rPr>
          <w:color w:val="000000"/>
        </w:rPr>
        <w:t>.  С этой целью систематически и постоянно проводится оценка системы и образовательных процессов</w:t>
      </w:r>
      <w:r>
        <w:t>.</w:t>
      </w:r>
    </w:p>
    <w:p w:rsidR="00000000" w:rsidRDefault="00000000">
      <w:pPr>
        <w:rPr>
          <w:color w:val="000000"/>
        </w:rPr>
      </w:pPr>
    </w:p>
    <w:p w:rsidR="00000000" w:rsidRDefault="00000000">
      <w:pPr>
        <w:ind w:left="567" w:hanging="567"/>
        <w:rPr>
          <w:color w:val="000000"/>
        </w:rPr>
      </w:pPr>
      <w:r>
        <w:rPr>
          <w:b/>
          <w:color w:val="000000"/>
        </w:rPr>
        <w:t>-</w:t>
      </w:r>
      <w:r>
        <w:rPr>
          <w:b/>
          <w:color w:val="000000"/>
        </w:rPr>
        <w:tab/>
        <w:t>Статья 109</w:t>
      </w:r>
      <w:r>
        <w:rPr>
          <w:color w:val="000000"/>
        </w:rPr>
        <w:t xml:space="preserve">:  На </w:t>
      </w:r>
      <w:r>
        <w:t>министерство просвещения и культуры</w:t>
      </w:r>
      <w:r>
        <w:rPr>
          <w:color w:val="000000"/>
        </w:rPr>
        <w:t xml:space="preserve"> возлагается ответственность за контроль организации обучения в государственных и частных образовательных учреждениях.  Надзор осуществляется контрольными инспекторами при административной поддержке и содействии технических специалистов и педагогов.</w:t>
      </w:r>
    </w:p>
    <w:p w:rsidR="00000000" w:rsidRDefault="00000000">
      <w:pPr>
        <w:rPr>
          <w:color w:val="000000"/>
        </w:rPr>
      </w:pPr>
    </w:p>
    <w:p w:rsidR="00000000" w:rsidRDefault="00000000">
      <w:pPr>
        <w:ind w:left="567" w:hanging="567"/>
        <w:rPr>
          <w:color w:val="000000"/>
        </w:rPr>
      </w:pPr>
      <w:r>
        <w:rPr>
          <w:b/>
          <w:color w:val="000000"/>
        </w:rPr>
        <w:t>-</w:t>
      </w:r>
      <w:r>
        <w:rPr>
          <w:b/>
          <w:color w:val="000000"/>
        </w:rPr>
        <w:tab/>
        <w:t>Статья 112:</w:t>
      </w:r>
      <w:r>
        <w:rPr>
          <w:color w:val="000000"/>
        </w:rPr>
        <w:t xml:space="preserve">  </w:t>
      </w:r>
      <w:r>
        <w:t>Министерство просвещения и культуры</w:t>
      </w:r>
      <w:r>
        <w:rPr>
          <w:color w:val="000000"/>
        </w:rPr>
        <w:t xml:space="preserve"> и органы управления департаментов и муниципий координируют деятельность учреждений образования и культуры, подведомственных им в соответствии с их юрисдикцией, руководствуясь положениями настоящего закона.</w:t>
      </w:r>
    </w:p>
    <w:p w:rsidR="00000000" w:rsidRDefault="00000000">
      <w:pPr>
        <w:rPr>
          <w:color w:val="000000"/>
        </w:rPr>
      </w:pPr>
    </w:p>
    <w:p w:rsidR="00000000" w:rsidRDefault="00000000">
      <w:pPr>
        <w:ind w:left="567" w:hanging="567"/>
        <w:rPr>
          <w:color w:val="000000"/>
        </w:rPr>
      </w:pPr>
      <w:r>
        <w:rPr>
          <w:b/>
          <w:color w:val="000000"/>
        </w:rPr>
        <w:t>-</w:t>
      </w:r>
      <w:r>
        <w:rPr>
          <w:b/>
          <w:color w:val="000000"/>
        </w:rPr>
        <w:tab/>
        <w:t xml:space="preserve">Статья </w:t>
      </w:r>
      <w:r>
        <w:rPr>
          <w:b/>
          <w:bCs/>
          <w:color w:val="000000"/>
        </w:rPr>
        <w:t>113</w:t>
      </w:r>
      <w:r>
        <w:rPr>
          <w:color w:val="000000"/>
        </w:rPr>
        <w:t xml:space="preserve">:  </w:t>
      </w:r>
      <w:r>
        <w:t>Министерство просвещения и культуры</w:t>
      </w:r>
      <w:r>
        <w:rPr>
          <w:color w:val="000000"/>
        </w:rPr>
        <w:t xml:space="preserve"> создает </w:t>
      </w:r>
      <w:r>
        <w:rPr>
          <w:bCs/>
          <w:color w:val="000000"/>
        </w:rPr>
        <w:t>региональные советы</w:t>
      </w:r>
      <w:r>
        <w:rPr>
          <w:color w:val="000000"/>
        </w:rPr>
        <w:t xml:space="preserve"> по вопросам образования во всех департаментах страны во взаимодействии с соответствующими органами управлениями.  </w:t>
      </w:r>
      <w:r>
        <w:t>Министерство просвещения и культуры</w:t>
      </w:r>
      <w:r>
        <w:rPr>
          <w:color w:val="000000"/>
        </w:rPr>
        <w:t xml:space="preserve"> регламентирует аспекты, связанные с управлением  школой, применительно к государственным учебным заведениям.  Что касается частных учебных заведений, то оно договаривается с ними по тем вопросам, которые, согласно действующему законодательству, требуют утверждения министерства.  Министерство назначает сроки приема и определяет количество обучающихся в государственных учебных заведениях, годовой учебный план и ежедневный распорядок дня для различных смен, устанавливает периоды учебы и каникул.  Всегда должны учитываться различные обстоятельства, характеристики производственных циклов и время сбора урожая сельскохозяйственных культур в департаментах.</w:t>
      </w:r>
    </w:p>
    <w:p w:rsidR="00000000" w:rsidRDefault="00000000">
      <w:pPr>
        <w:rPr>
          <w:color w:val="000000"/>
        </w:rPr>
      </w:pPr>
    </w:p>
    <w:p w:rsidR="00000000" w:rsidRDefault="00000000">
      <w:pPr>
        <w:ind w:left="567" w:hanging="567"/>
        <w:rPr>
          <w:color w:val="000000"/>
        </w:rPr>
      </w:pPr>
      <w:r>
        <w:rPr>
          <w:b/>
          <w:color w:val="000000"/>
        </w:rPr>
        <w:t>-</w:t>
      </w:r>
      <w:r>
        <w:rPr>
          <w:b/>
          <w:color w:val="000000"/>
        </w:rPr>
        <w:tab/>
        <w:t>Статья 117</w:t>
      </w:r>
      <w:r>
        <w:rPr>
          <w:bCs/>
          <w:color w:val="000000"/>
        </w:rPr>
        <w:t>:</w:t>
      </w:r>
      <w:r>
        <w:rPr>
          <w:color w:val="000000"/>
        </w:rPr>
        <w:t xml:space="preserve">  </w:t>
      </w:r>
      <w:r>
        <w:t>Министерство просвещения и культуры</w:t>
      </w:r>
      <w:r>
        <w:rPr>
          <w:color w:val="000000"/>
        </w:rPr>
        <w:t xml:space="preserve"> намечает общие направления процесса обучения, определяет необходимые минимумы программных требований в масштабах страны.  При принятии своих решений министерство должно учитывать децентрализацию, необходимость обоснования учебных программ и права образовательных структур.  При разработке планов и программ министерство консультируется с органами управления департаментов, а также с государственными и частными учебными заведениями.</w:t>
      </w:r>
    </w:p>
    <w:p w:rsidR="00000000" w:rsidRDefault="00000000">
      <w:pPr>
        <w:rPr>
          <w:color w:val="000000"/>
        </w:rPr>
      </w:pPr>
    </w:p>
    <w:p w:rsidR="00000000" w:rsidRDefault="00000000">
      <w:pPr>
        <w:ind w:left="567" w:hanging="567"/>
        <w:rPr>
          <w:color w:val="000000"/>
        </w:rPr>
      </w:pPr>
      <w:r>
        <w:rPr>
          <w:b/>
          <w:color w:val="000000"/>
        </w:rPr>
        <w:t>-</w:t>
      </w:r>
      <w:r>
        <w:rPr>
          <w:b/>
          <w:color w:val="000000"/>
        </w:rPr>
        <w:tab/>
        <w:t>Статья</w:t>
      </w:r>
      <w:r>
        <w:rPr>
          <w:color w:val="000000"/>
        </w:rPr>
        <w:t xml:space="preserve"> </w:t>
      </w:r>
      <w:r>
        <w:rPr>
          <w:b/>
          <w:bCs/>
          <w:color w:val="000000"/>
        </w:rPr>
        <w:t>118</w:t>
      </w:r>
      <w:r>
        <w:rPr>
          <w:color w:val="000000"/>
        </w:rPr>
        <w:t xml:space="preserve">:  </w:t>
      </w:r>
      <w:r>
        <w:t>Министерство просвещения и культуры</w:t>
      </w:r>
      <w:r>
        <w:rPr>
          <w:color w:val="000000"/>
        </w:rPr>
        <w:t xml:space="preserve"> устанавливает соответствующие системы оценки применительно как к общему, так и специальному образованию.  В его задачу входит контроль за достижением целей образования и за его качеством.</w:t>
      </w:r>
    </w:p>
    <w:p w:rsidR="00000000" w:rsidRDefault="00000000">
      <w:pPr>
        <w:rPr>
          <w:szCs w:val="22"/>
        </w:rPr>
      </w:pPr>
    </w:p>
    <w:p w:rsidR="00000000" w:rsidRDefault="00000000">
      <w:pPr>
        <w:rPr>
          <w:b/>
          <w:bCs/>
          <w:spacing w:val="2"/>
        </w:rPr>
      </w:pPr>
      <w:r>
        <w:rPr>
          <w:b/>
          <w:bCs/>
          <w:spacing w:val="2"/>
        </w:rPr>
        <w:t>1.</w:t>
      </w:r>
      <w:r>
        <w:rPr>
          <w:b/>
          <w:bCs/>
          <w:spacing w:val="2"/>
        </w:rPr>
        <w:tab/>
        <w:t>Среднее образование</w:t>
      </w:r>
    </w:p>
    <w:p w:rsidR="00000000" w:rsidRDefault="00000000">
      <w:pPr>
        <w:rPr>
          <w:b/>
          <w:bCs/>
        </w:rPr>
      </w:pPr>
    </w:p>
    <w:p w:rsidR="00000000" w:rsidRDefault="00000000">
      <w:pPr>
        <w:rPr>
          <w:bCs/>
          <w:szCs w:val="22"/>
        </w:rPr>
      </w:pPr>
      <w:r>
        <w:rPr>
          <w:bCs/>
          <w:szCs w:val="22"/>
        </w:rPr>
        <w:t>557.</w:t>
      </w:r>
      <w:r>
        <w:rPr>
          <w:bCs/>
          <w:szCs w:val="22"/>
        </w:rPr>
        <w:tab/>
        <w:t>Примерно 80% общего числа получающих среднее образование (среднее, техническое и специальное) приходится на официальный сектор, т.е. финансируется из общегосударственного бюджета.  В государственных колледжах системы среднего образования не вносят ежемесячную плату, за исключением уплаты некоторых сборов (например, лицензионный, экзаменационный) и других добровольных взносов (предназначенных для покрытия различных статей расходов, а именно:  техническое содержание и ремонт, закупка материалов, оргтехники и т.п.).  Сборы варьируют в зависимости от типа учебного заведения, в котором обучается ученик (ученица), и их размер не является чрезмерным.</w:t>
      </w:r>
    </w:p>
    <w:p w:rsidR="00000000" w:rsidRDefault="00000000">
      <w:pPr>
        <w:rPr>
          <w:bCs/>
          <w:szCs w:val="22"/>
        </w:rPr>
      </w:pPr>
    </w:p>
    <w:p w:rsidR="00000000" w:rsidRDefault="00000000">
      <w:pPr>
        <w:rPr>
          <w:b/>
          <w:bCs/>
          <w:szCs w:val="22"/>
        </w:rPr>
      </w:pPr>
      <w:r>
        <w:rPr>
          <w:b/>
          <w:bCs/>
          <w:szCs w:val="22"/>
        </w:rPr>
        <w:t>2.</w:t>
      </w:r>
      <w:r>
        <w:rPr>
          <w:b/>
          <w:bCs/>
          <w:szCs w:val="22"/>
        </w:rPr>
        <w:tab/>
        <w:t>Доступность образования для взрослых</w:t>
      </w:r>
    </w:p>
    <w:p w:rsidR="00000000" w:rsidRDefault="00000000">
      <w:pPr>
        <w:rPr>
          <w:b/>
          <w:bCs/>
          <w:szCs w:val="22"/>
        </w:rPr>
      </w:pPr>
    </w:p>
    <w:p w:rsidR="00000000" w:rsidRDefault="00000000">
      <w:pPr>
        <w:rPr>
          <w:szCs w:val="22"/>
        </w:rPr>
      </w:pPr>
      <w:r>
        <w:rPr>
          <w:szCs w:val="22"/>
        </w:rPr>
        <w:t>558.</w:t>
      </w:r>
      <w:r>
        <w:rPr>
          <w:szCs w:val="22"/>
        </w:rPr>
        <w:tab/>
        <w:t xml:space="preserve">Создание при </w:t>
      </w:r>
      <w:r>
        <w:t>министерстве просвещения и культуры</w:t>
      </w:r>
      <w:r>
        <w:rPr>
          <w:szCs w:val="22"/>
        </w:rPr>
        <w:t xml:space="preserve"> соответствующей управленческой структуры, занимающейся вопросами базовой подготовки молодежи и взрослых жителей страны (Главное управление непрерывного образования), и налаживание ее работы предполагает создание центра повышения квалификации, филиалов, оснащение необходимым оборудованием, создание и функционирование системы организации, управления и подготовки людских ресурсов, технического и административного персонала.</w:t>
      </w:r>
    </w:p>
    <w:p w:rsidR="00000000" w:rsidRDefault="00000000">
      <w:pPr>
        <w:rPr>
          <w:szCs w:val="22"/>
        </w:rPr>
      </w:pPr>
    </w:p>
    <w:p w:rsidR="00000000" w:rsidRDefault="00000000">
      <w:pPr>
        <w:rPr>
          <w:szCs w:val="22"/>
        </w:rPr>
      </w:pPr>
      <w:r>
        <w:rPr>
          <w:szCs w:val="22"/>
        </w:rPr>
        <w:t>559.</w:t>
      </w:r>
      <w:r>
        <w:rPr>
          <w:szCs w:val="22"/>
        </w:rPr>
        <w:tab/>
        <w:t>В числе таких мероприятий можно назвать разработку и внедрение - в рамках реформы образования в Парагвае - соответствующей педагогической модели, пригодной для базового образования молодежи и взрослых, включающей определение направлений обучения и разработку необходимых учебных материалов, а также подготовку руководителей обучения (координаторов в департаментах, контролеров и инспекторов по образованию, а также преподавателей).</w:t>
      </w:r>
    </w:p>
    <w:p w:rsidR="00000000" w:rsidRDefault="00000000">
      <w:pPr>
        <w:rPr>
          <w:szCs w:val="22"/>
        </w:rPr>
      </w:pPr>
    </w:p>
    <w:p w:rsidR="00000000" w:rsidRDefault="00000000">
      <w:pPr>
        <w:rPr>
          <w:szCs w:val="22"/>
        </w:rPr>
      </w:pPr>
      <w:r>
        <w:rPr>
          <w:szCs w:val="22"/>
        </w:rPr>
        <w:t>560.</w:t>
      </w:r>
      <w:r>
        <w:rPr>
          <w:szCs w:val="22"/>
        </w:rPr>
        <w:tab/>
        <w:t>Программа "ПРОДЕПА КО'Е ПЬЯХУ" ("Парагвай - новый рассвет") предоставляет возможность получить образование лицам старше 15 лет, которые не учились или не закончили базовое обучение и проживают в сельской местности либо на городских окраинах в условиях бедности или крайней нищеты.</w:t>
      </w:r>
    </w:p>
    <w:p w:rsidR="00000000" w:rsidRDefault="00000000">
      <w:pPr>
        <w:rPr>
          <w:szCs w:val="22"/>
        </w:rPr>
      </w:pPr>
    </w:p>
    <w:p w:rsidR="00000000" w:rsidRDefault="00000000">
      <w:pPr>
        <w:rPr>
          <w:b/>
          <w:bCs/>
        </w:rPr>
      </w:pPr>
      <w:r>
        <w:rPr>
          <w:b/>
          <w:bCs/>
        </w:rPr>
        <w:t>3.</w:t>
      </w:r>
      <w:r>
        <w:rPr>
          <w:b/>
          <w:bCs/>
        </w:rPr>
        <w:tab/>
        <w:t>Проблемы с реализацией права на образование</w:t>
      </w:r>
    </w:p>
    <w:p w:rsidR="00000000" w:rsidRDefault="00000000">
      <w:pPr>
        <w:rPr>
          <w:b/>
          <w:bCs/>
        </w:rPr>
      </w:pPr>
    </w:p>
    <w:p w:rsidR="00000000" w:rsidRDefault="00000000">
      <w:pPr>
        <w:rPr>
          <w:szCs w:val="22"/>
        </w:rPr>
      </w:pPr>
      <w:r>
        <w:rPr>
          <w:szCs w:val="22"/>
        </w:rPr>
        <w:t>561.</w:t>
      </w:r>
      <w:r>
        <w:rPr>
          <w:szCs w:val="22"/>
        </w:rPr>
        <w:tab/>
        <w:t>Начатая в 1994 году реформа образования прeдусматривает в качестве первоочередной стратегии в образовательном секторе демократизацию образования и определяет два главных направления деятельности:  базовое школьное образование (БШО) и общее базовое образование (ОБО).  Первое направление включает дифференцированный подход к школам с большим контингентом учащихся и осуществление программы постепенного расширения возможностей обучения на втором и третьем циклах, а также комплекс мер по укреплению управления школами и участию образовательного сообщества в проводимой реформе.</w:t>
      </w:r>
    </w:p>
    <w:p w:rsidR="00000000" w:rsidRDefault="00000000">
      <w:pPr>
        <w:rPr>
          <w:szCs w:val="22"/>
        </w:rPr>
      </w:pPr>
    </w:p>
    <w:p w:rsidR="00000000" w:rsidRDefault="00000000">
      <w:pPr>
        <w:rPr>
          <w:szCs w:val="22"/>
        </w:rPr>
      </w:pPr>
      <w:r>
        <w:rPr>
          <w:szCs w:val="22"/>
        </w:rPr>
        <w:t>562.</w:t>
      </w:r>
      <w:r>
        <w:rPr>
          <w:szCs w:val="22"/>
        </w:rPr>
        <w:tab/>
        <w:t>Наиболее значительным достижением в этом отношении является увеличение процента охвата для двух первых циклов базового школьного образования, который в 2004 году составил 97%.  Вместе с тем, за этот же период процент охвата школьным образованием для третьего цикла равнялся только 54%.</w:t>
      </w:r>
    </w:p>
    <w:p w:rsidR="00000000" w:rsidRDefault="00000000">
      <w:pPr>
        <w:rPr>
          <w:szCs w:val="22"/>
        </w:rPr>
      </w:pPr>
    </w:p>
    <w:p w:rsidR="00000000" w:rsidRDefault="00000000">
      <w:pPr>
        <w:rPr>
          <w:szCs w:val="22"/>
        </w:rPr>
      </w:pPr>
      <w:r>
        <w:rPr>
          <w:szCs w:val="22"/>
        </w:rPr>
        <w:t>563.</w:t>
      </w:r>
      <w:r>
        <w:rPr>
          <w:szCs w:val="22"/>
        </w:rPr>
        <w:tab/>
        <w:t>Несмотря на предпринятые усилия и достигнутый прогресс в проведении реформы, трудности в плане обеспечении всеобщей доступности базового школьного образования продолжают сохраняться.  Эти трудности можно разделить на внутренние и внешние.  К внешним относятся:  растущая бедность, связанная с систематическим снижением ВВП в период 1990-2001 годов, безработица (видимая и скрытая) и частичная безработица, затрагивающая, главным образом, женщин и жителей сельской местности, уровень которой в 2001 году составил 15,9%, географический разброс населения, внутренняя миграция в города в поисках лучшей работы.</w:t>
      </w:r>
    </w:p>
    <w:p w:rsidR="00000000" w:rsidRDefault="00000000">
      <w:pPr>
        <w:rPr>
          <w:szCs w:val="22"/>
        </w:rPr>
      </w:pPr>
    </w:p>
    <w:p w:rsidR="00000000" w:rsidRDefault="00000000">
      <w:pPr>
        <w:rPr>
          <w:szCs w:val="22"/>
        </w:rPr>
      </w:pPr>
      <w:r>
        <w:rPr>
          <w:szCs w:val="22"/>
        </w:rPr>
        <w:t>564.</w:t>
      </w:r>
      <w:r>
        <w:rPr>
          <w:szCs w:val="22"/>
        </w:rPr>
        <w:tab/>
        <w:t xml:space="preserve">Бюджетные же ограничения вызывают трудности в основном со строительством и ремонтом классов, с обеспечением учебниками и учебными пособиями, а также с привлечением преподавателей для новых отделений, и порождают нехватку подготовленных учителей для преподавания на циклах более высокого уровня (более 90% бюджета министерства </w:t>
      </w:r>
      <w:r>
        <w:t>просвещения</w:t>
      </w:r>
      <w:r>
        <w:rPr>
          <w:szCs w:val="22"/>
        </w:rPr>
        <w:t xml:space="preserve"> и культуры предназначается на выплату зарплаты, и остается мало средств для инвестирования в инфраструктуру и на другие расходы, связанные с функционированием школ, а также на эффективное управление Национальной системой образования).</w:t>
      </w:r>
    </w:p>
    <w:p w:rsidR="00000000" w:rsidRDefault="00000000">
      <w:pPr>
        <w:rPr>
          <w:szCs w:val="22"/>
        </w:rPr>
      </w:pPr>
    </w:p>
    <w:p w:rsidR="00000000" w:rsidRDefault="00000000">
      <w:pPr>
        <w:rPr>
          <w:b/>
          <w:szCs w:val="22"/>
        </w:rPr>
      </w:pPr>
      <w:r>
        <w:rPr>
          <w:b/>
          <w:szCs w:val="22"/>
        </w:rPr>
        <w:tab/>
        <w:t>3.1</w:t>
      </w:r>
      <w:r>
        <w:rPr>
          <w:b/>
          <w:szCs w:val="22"/>
        </w:rPr>
        <w:tab/>
        <w:t>Конкретные меры</w:t>
      </w:r>
    </w:p>
    <w:p w:rsidR="00000000" w:rsidRDefault="00000000">
      <w:pPr>
        <w:rPr>
          <w:b/>
          <w:szCs w:val="22"/>
        </w:rPr>
      </w:pPr>
    </w:p>
    <w:p w:rsidR="00000000" w:rsidRDefault="00000000">
      <w:pPr>
        <w:rPr>
          <w:szCs w:val="22"/>
        </w:rPr>
      </w:pPr>
      <w:r>
        <w:rPr>
          <w:szCs w:val="22"/>
        </w:rPr>
        <w:t>565.</w:t>
      </w:r>
      <w:r>
        <w:rPr>
          <w:szCs w:val="22"/>
        </w:rPr>
        <w:tab/>
        <w:t>Основными мерами, направленными на смягчение последствий этих трудностей и на обеспечение охвата образованием и удержание детей школьного возраста в системе образования, являются разработка и осуществление различных программ и планов.</w:t>
      </w:r>
    </w:p>
    <w:p w:rsidR="00000000" w:rsidRDefault="00000000">
      <w:pPr>
        <w:rPr>
          <w:szCs w:val="22"/>
        </w:rPr>
      </w:pPr>
    </w:p>
    <w:p w:rsidR="00000000" w:rsidRDefault="00000000">
      <w:pPr>
        <w:tabs>
          <w:tab w:val="left" w:pos="1496"/>
        </w:tabs>
        <w:ind w:left="1496" w:hanging="1496"/>
        <w:rPr>
          <w:szCs w:val="22"/>
        </w:rPr>
      </w:pPr>
      <w:r>
        <w:rPr>
          <w:b/>
          <w:szCs w:val="22"/>
        </w:rPr>
        <w:tab/>
        <w:t>3.1.1</w:t>
      </w:r>
      <w:r>
        <w:rPr>
          <w:b/>
          <w:szCs w:val="22"/>
        </w:rPr>
        <w:tab/>
      </w:r>
      <w:r>
        <w:rPr>
          <w:b/>
          <w:szCs w:val="22"/>
        </w:rPr>
        <w:tab/>
        <w:t>Программа "Эскуэла Вива Экокатува"</w:t>
      </w:r>
      <w:r>
        <w:t xml:space="preserve"> для активизации реформы базового школьного образования</w:t>
      </w:r>
      <w:r>
        <w:rPr>
          <w:szCs w:val="22"/>
        </w:rPr>
        <w:t>.</w:t>
      </w:r>
    </w:p>
    <w:p w:rsidR="00000000" w:rsidRDefault="00000000">
      <w:pPr>
        <w:tabs>
          <w:tab w:val="left" w:pos="1496"/>
        </w:tabs>
        <w:rPr>
          <w:szCs w:val="22"/>
        </w:rPr>
      </w:pPr>
    </w:p>
    <w:p w:rsidR="00000000" w:rsidRDefault="00000000">
      <w:pPr>
        <w:rPr>
          <w:b/>
          <w:szCs w:val="22"/>
        </w:rPr>
      </w:pPr>
      <w:r>
        <w:rPr>
          <w:b/>
          <w:szCs w:val="22"/>
        </w:rPr>
        <w:tab/>
      </w:r>
      <w:r>
        <w:rPr>
          <w:b/>
          <w:szCs w:val="22"/>
        </w:rPr>
        <w:tab/>
        <w:t>Общая цель</w:t>
      </w:r>
    </w:p>
    <w:p w:rsidR="00000000" w:rsidRDefault="00000000">
      <w:pPr>
        <w:rPr>
          <w:b/>
          <w:szCs w:val="22"/>
        </w:rPr>
      </w:pPr>
    </w:p>
    <w:p w:rsidR="00000000" w:rsidRDefault="00000000">
      <w:pPr>
        <w:rPr>
          <w:szCs w:val="22"/>
        </w:rPr>
      </w:pPr>
      <w:r>
        <w:rPr>
          <w:szCs w:val="22"/>
        </w:rPr>
        <w:tab/>
        <w:t xml:space="preserve">Общей целью программы является улучшение качества и повышение доступности </w:t>
      </w:r>
      <w:r>
        <w:t>базового школьного образования</w:t>
      </w:r>
      <w:r>
        <w:rPr>
          <w:szCs w:val="22"/>
        </w:rPr>
        <w:t xml:space="preserve"> в Парагвае, что должно способствовать снижению уровня бедности населения и ускорению социально-экономического развития страны.</w:t>
      </w:r>
    </w:p>
    <w:p w:rsidR="00000000" w:rsidRDefault="00000000">
      <w:pPr>
        <w:rPr>
          <w:szCs w:val="22"/>
        </w:rPr>
      </w:pPr>
    </w:p>
    <w:p w:rsidR="00000000" w:rsidRDefault="00000000">
      <w:pPr>
        <w:rPr>
          <w:b/>
          <w:szCs w:val="22"/>
        </w:rPr>
      </w:pPr>
      <w:r>
        <w:rPr>
          <w:b/>
          <w:szCs w:val="22"/>
        </w:rPr>
        <w:tab/>
      </w:r>
      <w:r>
        <w:rPr>
          <w:b/>
          <w:szCs w:val="22"/>
        </w:rPr>
        <w:tab/>
        <w:t>Конкретные цели</w:t>
      </w:r>
    </w:p>
    <w:p w:rsidR="00000000" w:rsidRDefault="00000000">
      <w:pPr>
        <w:rPr>
          <w:b/>
          <w:szCs w:val="22"/>
        </w:rPr>
      </w:pPr>
    </w:p>
    <w:p w:rsidR="00000000" w:rsidRDefault="00000000">
      <w:pPr>
        <w:ind w:left="1134" w:hanging="1134"/>
        <w:rPr>
          <w:szCs w:val="22"/>
        </w:rPr>
      </w:pPr>
      <w:r>
        <w:rPr>
          <w:szCs w:val="22"/>
        </w:rPr>
        <w:tab/>
        <w:t>-</w:t>
      </w:r>
      <w:r>
        <w:rPr>
          <w:szCs w:val="22"/>
        </w:rPr>
        <w:tab/>
        <w:t>Улучшить учебно-воспитательный процесс и управление школами, охваченными программой;</w:t>
      </w:r>
    </w:p>
    <w:p w:rsidR="00000000" w:rsidRDefault="00000000">
      <w:pPr>
        <w:rPr>
          <w:szCs w:val="22"/>
        </w:rPr>
      </w:pPr>
    </w:p>
    <w:p w:rsidR="00000000" w:rsidRDefault="00000000">
      <w:pPr>
        <w:rPr>
          <w:szCs w:val="22"/>
        </w:rPr>
      </w:pPr>
      <w:r>
        <w:rPr>
          <w:szCs w:val="22"/>
        </w:rPr>
        <w:tab/>
        <w:t>-</w:t>
      </w:r>
      <w:r>
        <w:rPr>
          <w:szCs w:val="22"/>
        </w:rPr>
        <w:tab/>
        <w:t>Уменьшить неравенство в рамках системы образования;</w:t>
      </w:r>
    </w:p>
    <w:p w:rsidR="00000000" w:rsidRDefault="00000000">
      <w:pPr>
        <w:rPr>
          <w:szCs w:val="22"/>
        </w:rPr>
      </w:pPr>
    </w:p>
    <w:p w:rsidR="00000000" w:rsidRDefault="00000000">
      <w:pPr>
        <w:rPr>
          <w:szCs w:val="22"/>
        </w:rPr>
      </w:pPr>
      <w:r>
        <w:rPr>
          <w:szCs w:val="22"/>
        </w:rPr>
        <w:tab/>
        <w:t>-</w:t>
      </w:r>
      <w:r>
        <w:rPr>
          <w:szCs w:val="22"/>
        </w:rPr>
        <w:tab/>
        <w:t>Повысить качество подготовки учителей;</w:t>
      </w:r>
    </w:p>
    <w:p w:rsidR="00000000" w:rsidRDefault="00000000">
      <w:pPr>
        <w:rPr>
          <w:szCs w:val="22"/>
        </w:rPr>
      </w:pPr>
    </w:p>
    <w:p w:rsidR="00000000" w:rsidRDefault="00000000">
      <w:pPr>
        <w:rPr>
          <w:szCs w:val="22"/>
        </w:rPr>
      </w:pPr>
      <w:r>
        <w:rPr>
          <w:szCs w:val="22"/>
        </w:rPr>
        <w:tab/>
        <w:t>-</w:t>
      </w:r>
      <w:r>
        <w:rPr>
          <w:szCs w:val="22"/>
        </w:rPr>
        <w:tab/>
        <w:t xml:space="preserve">Укрепить управление МПК (министерства </w:t>
      </w:r>
      <w:r>
        <w:t>просвещения</w:t>
      </w:r>
      <w:r>
        <w:rPr>
          <w:szCs w:val="22"/>
        </w:rPr>
        <w:t xml:space="preserve"> и культуры).</w:t>
      </w:r>
    </w:p>
    <w:p w:rsidR="00000000" w:rsidRDefault="00000000">
      <w:pPr>
        <w:rPr>
          <w:szCs w:val="22"/>
        </w:rPr>
      </w:pPr>
    </w:p>
    <w:p w:rsidR="00000000" w:rsidRDefault="00000000">
      <w:pPr>
        <w:rPr>
          <w:b/>
          <w:szCs w:val="22"/>
        </w:rPr>
      </w:pPr>
      <w:r>
        <w:rPr>
          <w:b/>
          <w:szCs w:val="22"/>
        </w:rPr>
        <w:tab/>
      </w:r>
      <w:r>
        <w:rPr>
          <w:b/>
          <w:szCs w:val="22"/>
        </w:rPr>
        <w:tab/>
        <w:t>Направления работы</w:t>
      </w:r>
    </w:p>
    <w:p w:rsidR="00000000" w:rsidRDefault="00000000">
      <w:pPr>
        <w:rPr>
          <w:b/>
          <w:szCs w:val="22"/>
        </w:rPr>
      </w:pPr>
    </w:p>
    <w:p w:rsidR="00000000" w:rsidRDefault="00000000">
      <w:pPr>
        <w:ind w:left="1134" w:hanging="1134"/>
        <w:rPr>
          <w:szCs w:val="22"/>
        </w:rPr>
      </w:pPr>
      <w:r>
        <w:rPr>
          <w:szCs w:val="22"/>
        </w:rPr>
        <w:tab/>
        <w:t>-</w:t>
      </w:r>
      <w:r>
        <w:rPr>
          <w:szCs w:val="22"/>
        </w:rPr>
        <w:tab/>
        <w:t>Проведение проверок в школах базового образования (в 150 городских школах и в 1 000 сельских школах;  там, где это особенно необходимо);</w:t>
      </w:r>
    </w:p>
    <w:p w:rsidR="00000000" w:rsidRDefault="00000000">
      <w:pPr>
        <w:ind w:left="1134" w:hanging="1134"/>
        <w:rPr>
          <w:szCs w:val="22"/>
        </w:rPr>
      </w:pPr>
    </w:p>
    <w:p w:rsidR="00000000" w:rsidRDefault="00000000">
      <w:pPr>
        <w:rPr>
          <w:szCs w:val="22"/>
        </w:rPr>
      </w:pPr>
      <w:r>
        <w:rPr>
          <w:szCs w:val="22"/>
        </w:rPr>
        <w:tab/>
        <w:t>-</w:t>
      </w:r>
      <w:r>
        <w:rPr>
          <w:szCs w:val="22"/>
        </w:rPr>
        <w:tab/>
        <w:t>Улучшение начальной подготовки учителей;</w:t>
      </w:r>
    </w:p>
    <w:p w:rsidR="00000000" w:rsidRDefault="00000000">
      <w:pPr>
        <w:rPr>
          <w:szCs w:val="22"/>
        </w:rPr>
      </w:pPr>
    </w:p>
    <w:p w:rsidR="00000000" w:rsidRDefault="00000000">
      <w:pPr>
        <w:ind w:left="1134" w:hanging="1134"/>
        <w:rPr>
          <w:szCs w:val="22"/>
        </w:rPr>
      </w:pPr>
      <w:r>
        <w:rPr>
          <w:szCs w:val="22"/>
        </w:rPr>
        <w:tab/>
        <w:t>-</w:t>
      </w:r>
      <w:r>
        <w:rPr>
          <w:szCs w:val="22"/>
        </w:rPr>
        <w:tab/>
        <w:t>Инфраструктура и оборудование для расширения третьего цикла базового школьного образования (7, 8 и 9°классы);</w:t>
      </w:r>
    </w:p>
    <w:p w:rsidR="00000000" w:rsidRDefault="00000000">
      <w:pPr>
        <w:rPr>
          <w:szCs w:val="22"/>
        </w:rPr>
      </w:pPr>
    </w:p>
    <w:p w:rsidR="00000000" w:rsidRDefault="00000000">
      <w:pPr>
        <w:rPr>
          <w:szCs w:val="22"/>
        </w:rPr>
      </w:pPr>
      <w:r>
        <w:rPr>
          <w:szCs w:val="22"/>
        </w:rPr>
        <w:tab/>
        <w:t>-</w:t>
      </w:r>
      <w:r>
        <w:rPr>
          <w:szCs w:val="22"/>
        </w:rPr>
        <w:tab/>
        <w:t>Стратегическая поддержка деятельности МПК.</w:t>
      </w:r>
    </w:p>
    <w:p w:rsidR="00000000" w:rsidRDefault="00000000"/>
    <w:p w:rsidR="00000000" w:rsidRDefault="00000000"/>
    <w:p w:rsidR="00000000" w:rsidRDefault="00000000">
      <w:pPr>
        <w:ind w:left="1701" w:hanging="1701"/>
        <w:rPr>
          <w:b/>
          <w:bCs/>
          <w:iCs/>
          <w:szCs w:val="22"/>
        </w:rPr>
      </w:pPr>
      <w:r>
        <w:rPr>
          <w:b/>
          <w:bCs/>
          <w:iCs/>
          <w:szCs w:val="22"/>
        </w:rPr>
        <w:tab/>
        <w:t>3.1.2</w:t>
      </w:r>
      <w:r>
        <w:rPr>
          <w:b/>
          <w:bCs/>
          <w:iCs/>
          <w:szCs w:val="22"/>
        </w:rPr>
        <w:tab/>
      </w:r>
      <w:r>
        <w:rPr>
          <w:b/>
          <w:bCs/>
          <w:iCs/>
          <w:szCs w:val="22"/>
        </w:rPr>
        <w:tab/>
        <w:t>Другие мероприятия, проводимые для сокращения отсева учащихся на этом уровне обучения, включают:</w:t>
      </w:r>
    </w:p>
    <w:p w:rsidR="00000000" w:rsidRDefault="00000000">
      <w:pPr>
        <w:ind w:left="2268" w:hanging="1701"/>
        <w:rPr>
          <w:b/>
          <w:bCs/>
          <w:iCs/>
          <w:szCs w:val="22"/>
        </w:rPr>
      </w:pPr>
    </w:p>
    <w:p w:rsidR="00000000" w:rsidRDefault="00000000">
      <w:pPr>
        <w:ind w:left="2268" w:hanging="1701"/>
        <w:rPr>
          <w:szCs w:val="22"/>
        </w:rPr>
      </w:pPr>
      <w:r>
        <w:rPr>
          <w:b/>
          <w:szCs w:val="22"/>
        </w:rPr>
        <w:tab/>
      </w:r>
      <w:r>
        <w:rPr>
          <w:b/>
          <w:szCs w:val="22"/>
        </w:rPr>
        <w:tab/>
        <w:t>a)</w:t>
      </w:r>
      <w:r>
        <w:rPr>
          <w:b/>
          <w:szCs w:val="22"/>
        </w:rPr>
        <w:tab/>
        <w:t xml:space="preserve">Распределение школьных комплектов </w:t>
      </w:r>
      <w:r>
        <w:rPr>
          <w:szCs w:val="22"/>
        </w:rPr>
        <w:t>в школах бедных общин в столичном округе и внутри станы.  Каждый комплект содержит:  тетради, простые карандаши, цветные карандаши, линейку, резинку, точилку, ножницы и клей.</w:t>
      </w:r>
    </w:p>
    <w:p w:rsidR="00000000" w:rsidRDefault="00000000">
      <w:pPr>
        <w:ind w:left="2268" w:hanging="1701"/>
        <w:rPr>
          <w:szCs w:val="22"/>
        </w:rPr>
      </w:pPr>
    </w:p>
    <w:p w:rsidR="00000000" w:rsidRDefault="00000000">
      <w:pPr>
        <w:ind w:left="2268" w:hanging="1701"/>
        <w:rPr>
          <w:szCs w:val="22"/>
        </w:rPr>
      </w:pPr>
      <w:r>
        <w:rPr>
          <w:b/>
          <w:szCs w:val="22"/>
        </w:rPr>
        <w:tab/>
      </w:r>
      <w:r>
        <w:rPr>
          <w:b/>
          <w:szCs w:val="22"/>
        </w:rPr>
        <w:tab/>
      </w:r>
      <w:r>
        <w:rPr>
          <w:b/>
          <w:szCs w:val="22"/>
        </w:rPr>
        <w:tab/>
        <w:t>Цель</w:t>
      </w:r>
      <w:r>
        <w:rPr>
          <w:szCs w:val="22"/>
        </w:rPr>
        <w:t>:  повысить уровень образования представителей социально ущемленных групп, содействуя созданию равных возможностей для парагвайцев в области образования.</w:t>
      </w:r>
    </w:p>
    <w:p w:rsidR="00000000" w:rsidRDefault="00000000">
      <w:pPr>
        <w:ind w:left="2268" w:hanging="1701"/>
        <w:rPr>
          <w:szCs w:val="22"/>
        </w:rPr>
      </w:pPr>
    </w:p>
    <w:p w:rsidR="00000000" w:rsidRDefault="00000000">
      <w:pPr>
        <w:ind w:left="2268" w:hanging="1701"/>
        <w:rPr>
          <w:szCs w:val="22"/>
        </w:rPr>
      </w:pPr>
      <w:r>
        <w:rPr>
          <w:b/>
          <w:szCs w:val="22"/>
        </w:rPr>
        <w:tab/>
      </w:r>
      <w:r>
        <w:rPr>
          <w:b/>
          <w:szCs w:val="22"/>
        </w:rPr>
        <w:tab/>
      </w:r>
      <w:r>
        <w:rPr>
          <w:b/>
          <w:szCs w:val="22"/>
        </w:rPr>
        <w:tab/>
        <w:t>Получатели помощи</w:t>
      </w:r>
      <w:r>
        <w:rPr>
          <w:szCs w:val="22"/>
        </w:rPr>
        <w:t xml:space="preserve">:  450 000 школьных комплектов для учащихся подготовительных классов и 1-го и 2-го циклов базового школьного образования в бедных общинах столицы, а также департаментов </w:t>
      </w:r>
      <w:r>
        <w:rPr>
          <w:kern w:val="2"/>
        </w:rPr>
        <w:t>Консепсьон, Кордильера, Гуайра, Итайпу, Мисьонес, Парагуари, Сентраль, Ньембуку, Амамбай, Пресиденте-Аес, Бокерон</w:t>
      </w:r>
      <w:r>
        <w:rPr>
          <w:szCs w:val="22"/>
        </w:rPr>
        <w:t>, Альто-Парагвай, Сан-Педро, Альто-Парана, Итапуа.</w:t>
      </w:r>
    </w:p>
    <w:p w:rsidR="00000000" w:rsidRDefault="00000000">
      <w:pPr>
        <w:ind w:left="2268" w:hanging="1701"/>
        <w:rPr>
          <w:szCs w:val="22"/>
        </w:rPr>
      </w:pPr>
    </w:p>
    <w:p w:rsidR="00000000" w:rsidRDefault="00000000">
      <w:pPr>
        <w:ind w:left="2268" w:hanging="1701"/>
      </w:pPr>
      <w:r>
        <w:rPr>
          <w:b/>
          <w:szCs w:val="22"/>
        </w:rPr>
        <w:tab/>
      </w:r>
      <w:r>
        <w:rPr>
          <w:b/>
          <w:szCs w:val="22"/>
        </w:rPr>
        <w:tab/>
        <w:t>b)</w:t>
      </w:r>
      <w:r>
        <w:rPr>
          <w:b/>
          <w:szCs w:val="22"/>
        </w:rPr>
        <w:tab/>
        <w:t xml:space="preserve">Билет учащегося:  </w:t>
      </w:r>
      <w:r>
        <w:t>с 1999 года действует система "билета учащегося", которая предусматривает скидку в 50% от стоимости проезда в общественном городском транспорте для учащихся учебных заведений базового и среднего образования</w:t>
      </w:r>
      <w:r>
        <w:rPr>
          <w:szCs w:val="22"/>
        </w:rPr>
        <w:t>.  Это является существенной помощью для тех учащихся, которым приходится пользоваться этим транспортом ежедневно для проезда к месту своей учебы и обратно</w:t>
      </w:r>
      <w:r>
        <w:t>.</w:t>
      </w:r>
    </w:p>
    <w:p w:rsidR="00000000" w:rsidRDefault="00000000">
      <w:pPr>
        <w:ind w:left="2268" w:hanging="1701"/>
      </w:pPr>
    </w:p>
    <w:p w:rsidR="00000000" w:rsidRDefault="00000000">
      <w:pPr>
        <w:ind w:left="2268" w:hanging="1701"/>
        <w:rPr>
          <w:b/>
          <w:szCs w:val="22"/>
        </w:rPr>
      </w:pPr>
      <w:r>
        <w:rPr>
          <w:b/>
          <w:szCs w:val="22"/>
        </w:rPr>
        <w:tab/>
      </w:r>
      <w:r>
        <w:rPr>
          <w:b/>
          <w:szCs w:val="22"/>
        </w:rPr>
        <w:tab/>
      </w:r>
      <w:r>
        <w:rPr>
          <w:b/>
          <w:szCs w:val="22"/>
        </w:rPr>
        <w:tab/>
        <w:t>Выдача ученических билетов</w:t>
      </w:r>
    </w:p>
    <w:p w:rsidR="00000000" w:rsidRDefault="00000000">
      <w:pPr>
        <w:ind w:left="2268" w:hanging="1701"/>
      </w:pPr>
    </w:p>
    <w:p w:rsidR="00000000" w:rsidRDefault="00000000">
      <w:pPr>
        <w:ind w:left="2268" w:hanging="1701"/>
        <w:rPr>
          <w:b/>
          <w:szCs w:val="22"/>
        </w:rPr>
      </w:pPr>
      <w:r>
        <w:rPr>
          <w:b/>
          <w:szCs w:val="22"/>
        </w:rPr>
        <w:tab/>
      </w:r>
      <w:r>
        <w:rPr>
          <w:b/>
          <w:szCs w:val="22"/>
        </w:rPr>
        <w:tab/>
      </w:r>
      <w:r>
        <w:rPr>
          <w:b/>
          <w:szCs w:val="22"/>
        </w:rPr>
        <w:tab/>
        <w:t>Задача на 2005 год:</w:t>
      </w:r>
    </w:p>
    <w:p w:rsidR="00000000" w:rsidRDefault="00000000">
      <w:pPr>
        <w:ind w:left="2268" w:hanging="1701"/>
        <w:rPr>
          <w:b/>
          <w:szCs w:val="22"/>
        </w:rPr>
      </w:pPr>
    </w:p>
    <w:p w:rsidR="00000000" w:rsidRDefault="00000000">
      <w:pPr>
        <w:ind w:left="2268" w:hanging="1701"/>
        <w:rPr>
          <w:spacing w:val="-2"/>
          <w:szCs w:val="22"/>
        </w:rPr>
      </w:pPr>
      <w:r>
        <w:rPr>
          <w:spacing w:val="-2"/>
          <w:szCs w:val="22"/>
        </w:rPr>
        <w:tab/>
      </w:r>
      <w:r>
        <w:rPr>
          <w:spacing w:val="-2"/>
          <w:szCs w:val="22"/>
        </w:rPr>
        <w:tab/>
        <w:t>-</w:t>
      </w:r>
      <w:r>
        <w:rPr>
          <w:spacing w:val="-2"/>
          <w:szCs w:val="22"/>
        </w:rPr>
        <w:tab/>
        <w:t>выдать 60 000 билетов в департаменте Сентраль, в столице и во внутренних районах страны;</w:t>
      </w:r>
    </w:p>
    <w:p w:rsidR="00000000" w:rsidRDefault="00000000">
      <w:pPr>
        <w:ind w:left="2268" w:hanging="1701"/>
        <w:rPr>
          <w:spacing w:val="-2"/>
          <w:szCs w:val="22"/>
        </w:rPr>
      </w:pPr>
    </w:p>
    <w:p w:rsidR="00000000" w:rsidRDefault="00000000">
      <w:pPr>
        <w:ind w:left="2268" w:hanging="1701"/>
        <w:rPr>
          <w:szCs w:val="22"/>
        </w:rPr>
      </w:pPr>
      <w:r>
        <w:rPr>
          <w:szCs w:val="22"/>
        </w:rPr>
        <w:tab/>
      </w:r>
      <w:r>
        <w:rPr>
          <w:szCs w:val="22"/>
        </w:rPr>
        <w:tab/>
        <w:t>-</w:t>
      </w:r>
      <w:r>
        <w:rPr>
          <w:szCs w:val="22"/>
        </w:rPr>
        <w:tab/>
        <w:t>выполнено к сентябрю:  выдано 34 248 билетов.</w:t>
      </w:r>
    </w:p>
    <w:p w:rsidR="00000000" w:rsidRDefault="00000000">
      <w:pPr>
        <w:ind w:left="2268" w:hanging="1701"/>
        <w:rPr>
          <w:szCs w:val="22"/>
        </w:rPr>
      </w:pPr>
    </w:p>
    <w:p w:rsidR="00000000" w:rsidRDefault="00000000">
      <w:pPr>
        <w:ind w:left="2268" w:hanging="1701"/>
        <w:rPr>
          <w:b/>
          <w:szCs w:val="22"/>
        </w:rPr>
      </w:pPr>
      <w:r>
        <w:rPr>
          <w:b/>
          <w:szCs w:val="22"/>
        </w:rPr>
        <w:tab/>
      </w:r>
      <w:r>
        <w:rPr>
          <w:b/>
          <w:szCs w:val="22"/>
        </w:rPr>
        <w:tab/>
        <w:t>c)</w:t>
      </w:r>
      <w:r>
        <w:rPr>
          <w:b/>
          <w:szCs w:val="22"/>
        </w:rPr>
        <w:tab/>
        <w:t>Талоны на оплату половины стоимости проезда</w:t>
      </w:r>
    </w:p>
    <w:p w:rsidR="00000000" w:rsidRDefault="00000000">
      <w:pPr>
        <w:ind w:left="2268" w:hanging="1701"/>
        <w:rPr>
          <w:b/>
          <w:szCs w:val="22"/>
        </w:rPr>
      </w:pPr>
    </w:p>
    <w:p w:rsidR="00000000" w:rsidRDefault="00000000">
      <w:pPr>
        <w:ind w:left="2268" w:hanging="1701"/>
        <w:rPr>
          <w:b/>
          <w:szCs w:val="22"/>
        </w:rPr>
      </w:pPr>
      <w:r>
        <w:rPr>
          <w:b/>
          <w:szCs w:val="22"/>
        </w:rPr>
        <w:tab/>
      </w:r>
      <w:r>
        <w:rPr>
          <w:b/>
          <w:szCs w:val="22"/>
        </w:rPr>
        <w:tab/>
        <w:t>Задача на 2005 год:</w:t>
      </w:r>
    </w:p>
    <w:p w:rsidR="00000000" w:rsidRDefault="00000000">
      <w:pPr>
        <w:ind w:left="2268" w:hanging="1701"/>
        <w:rPr>
          <w:b/>
          <w:szCs w:val="22"/>
        </w:rPr>
      </w:pPr>
    </w:p>
    <w:p w:rsidR="00000000" w:rsidRDefault="00000000">
      <w:pPr>
        <w:ind w:left="2268" w:hanging="1701"/>
        <w:rPr>
          <w:szCs w:val="22"/>
        </w:rPr>
      </w:pPr>
      <w:r>
        <w:rPr>
          <w:szCs w:val="22"/>
        </w:rPr>
        <w:tab/>
      </w:r>
      <w:r>
        <w:rPr>
          <w:szCs w:val="22"/>
        </w:rPr>
        <w:tab/>
        <w:t>-</w:t>
      </w:r>
      <w:r>
        <w:rPr>
          <w:szCs w:val="22"/>
        </w:rPr>
        <w:tab/>
        <w:t>выдать 32 400 000 талонов в год (по 60 талонов на одного ученика в месяц);</w:t>
      </w:r>
    </w:p>
    <w:p w:rsidR="00000000" w:rsidRDefault="00000000">
      <w:pPr>
        <w:ind w:left="2268" w:hanging="1701"/>
        <w:rPr>
          <w:szCs w:val="22"/>
        </w:rPr>
      </w:pPr>
    </w:p>
    <w:p w:rsidR="00000000" w:rsidRDefault="00000000">
      <w:pPr>
        <w:ind w:left="2268" w:hanging="1701"/>
        <w:rPr>
          <w:szCs w:val="22"/>
        </w:rPr>
      </w:pPr>
      <w:r>
        <w:rPr>
          <w:szCs w:val="22"/>
        </w:rPr>
        <w:tab/>
      </w:r>
      <w:r>
        <w:rPr>
          <w:szCs w:val="22"/>
        </w:rPr>
        <w:tab/>
        <w:t>-</w:t>
      </w:r>
      <w:r>
        <w:rPr>
          <w:szCs w:val="22"/>
        </w:rPr>
        <w:tab/>
        <w:t>выполнено к сентябрю:  выдано 9 646 000 талонов для 34 248 учеников.</w:t>
      </w:r>
    </w:p>
    <w:p w:rsidR="00000000" w:rsidRDefault="00000000">
      <w:pPr>
        <w:ind w:left="2268" w:hanging="1701"/>
        <w:rPr>
          <w:szCs w:val="22"/>
        </w:rPr>
      </w:pPr>
    </w:p>
    <w:p w:rsidR="00000000" w:rsidRDefault="00000000">
      <w:pPr>
        <w:rPr>
          <w:szCs w:val="22"/>
        </w:rPr>
      </w:pPr>
      <w:r>
        <w:rPr>
          <w:szCs w:val="22"/>
        </w:rPr>
        <w:t>566.</w:t>
      </w:r>
      <w:r>
        <w:rPr>
          <w:szCs w:val="22"/>
        </w:rPr>
        <w:tab/>
        <w:t>Среди макроцелей в сфере образования главной является добиться того, чтобы к 2010 году все дети в возрасте 5 лет были зачислены в дошкольные отделения (Национальный план начального образования).  В этом контексте ежегодно подготавливаются все больше и больше дошкольных отделений, чтобы добиться поставленной задачи - обеспечения 100% охвата обучением.</w:t>
      </w:r>
    </w:p>
    <w:p w:rsidR="00000000" w:rsidRDefault="00000000">
      <w:pPr>
        <w:rPr>
          <w:szCs w:val="22"/>
        </w:rPr>
      </w:pPr>
    </w:p>
    <w:p w:rsidR="00000000" w:rsidRDefault="00000000">
      <w:pPr>
        <w:rPr>
          <w:color w:val="000000"/>
        </w:rPr>
      </w:pPr>
      <w:r>
        <w:rPr>
          <w:szCs w:val="22"/>
        </w:rPr>
        <w:t>567.</w:t>
      </w:r>
      <w:r>
        <w:rPr>
          <w:szCs w:val="22"/>
        </w:rPr>
        <w:tab/>
        <w:t>Направления работы</w:t>
      </w:r>
      <w:r>
        <w:rPr>
          <w:color w:val="000000"/>
        </w:rPr>
        <w:t>:</w:t>
      </w:r>
    </w:p>
    <w:p w:rsidR="00000000" w:rsidRDefault="00000000">
      <w:pPr>
        <w:rPr>
          <w:color w:val="000000"/>
        </w:rPr>
      </w:pPr>
    </w:p>
    <w:p w:rsidR="00000000" w:rsidRDefault="00000000">
      <w:pPr>
        <w:ind w:left="1134" w:hanging="1134"/>
        <w:rPr>
          <w:color w:val="000000"/>
        </w:rPr>
      </w:pPr>
      <w:r>
        <w:rPr>
          <w:color w:val="000000"/>
        </w:rPr>
        <w:tab/>
        <w:t>-</w:t>
      </w:r>
      <w:r>
        <w:rPr>
          <w:color w:val="000000"/>
        </w:rPr>
        <w:tab/>
        <w:t>универсализация начального и базового школьного образования (84% охвата для начального, 100% охвата для 1-го и 2-го циклов и 75% - для 3-го цикла);</w:t>
      </w:r>
    </w:p>
    <w:p w:rsidR="00000000" w:rsidRDefault="00000000">
      <w:pPr>
        <w:rPr>
          <w:color w:val="000000"/>
        </w:rPr>
      </w:pPr>
    </w:p>
    <w:p w:rsidR="00000000" w:rsidRDefault="00000000">
      <w:pPr>
        <w:ind w:left="1134" w:hanging="1134"/>
        <w:rPr>
          <w:color w:val="000000"/>
        </w:rPr>
      </w:pPr>
      <w:r>
        <w:rPr>
          <w:color w:val="000000"/>
        </w:rPr>
        <w:tab/>
        <w:t>-</w:t>
      </w:r>
      <w:r>
        <w:rPr>
          <w:color w:val="000000"/>
        </w:rPr>
        <w:tab/>
        <w:t>компенсационная политика, направленная на улучшение условий получения образования малообеспеченными социальными группами и предусматривающая обеспечение учебниками, школьными принадлежностями, обедами и полдниками в школе;</w:t>
      </w:r>
    </w:p>
    <w:p w:rsidR="00000000" w:rsidRDefault="00000000">
      <w:pPr>
        <w:rPr>
          <w:color w:val="000000"/>
        </w:rPr>
      </w:pPr>
    </w:p>
    <w:p w:rsidR="00000000" w:rsidRDefault="00000000">
      <w:pPr>
        <w:rPr>
          <w:color w:val="000000"/>
        </w:rPr>
      </w:pPr>
      <w:r>
        <w:rPr>
          <w:color w:val="000000"/>
        </w:rPr>
        <w:tab/>
        <w:t>-</w:t>
      </w:r>
      <w:r>
        <w:rPr>
          <w:color w:val="000000"/>
        </w:rPr>
        <w:tab/>
        <w:t>модернизация структуры управления системой образования.</w:t>
      </w:r>
    </w:p>
    <w:p w:rsidR="00000000" w:rsidRDefault="00000000">
      <w:pPr>
        <w:rPr>
          <w:color w:val="000000"/>
        </w:rPr>
      </w:pPr>
    </w:p>
    <w:p w:rsidR="00000000" w:rsidRDefault="00000000">
      <w:pPr>
        <w:rPr>
          <w:color w:val="000000"/>
        </w:rPr>
      </w:pPr>
      <w:r>
        <w:rPr>
          <w:color w:val="000000"/>
        </w:rPr>
        <w:t>568.</w:t>
      </w:r>
      <w:r>
        <w:rPr>
          <w:color w:val="000000"/>
        </w:rPr>
        <w:tab/>
        <w:t>Другая цель заключается в том, чтобы к 2020 году обеспечить получение девятилетнего образования всеми детьми (Стратегический план - Парагвай 2020).  В настоящее время охват составляет 75%.  К 2008 году снизить до 0% число неграмотных (Стратегический план - Парагвай 2020, Национальный план ликвидации неграмотности и Целевая установка - Образование для всех).</w:t>
      </w:r>
    </w:p>
    <w:p w:rsidR="00000000" w:rsidRDefault="00000000">
      <w:pPr>
        <w:rPr>
          <w:color w:val="000000"/>
        </w:rPr>
      </w:pPr>
    </w:p>
    <w:p w:rsidR="00000000" w:rsidRDefault="00000000">
      <w:pPr>
        <w:rPr>
          <w:b/>
          <w:bCs/>
        </w:rPr>
      </w:pPr>
      <w:r>
        <w:rPr>
          <w:b/>
          <w:bCs/>
        </w:rPr>
        <w:t>4.</w:t>
      </w:r>
      <w:r>
        <w:rPr>
          <w:b/>
          <w:bCs/>
        </w:rPr>
        <w:tab/>
        <w:t>Меры, направленные на повышение уровня неграмотности</w:t>
      </w:r>
    </w:p>
    <w:p w:rsidR="00000000" w:rsidRDefault="00000000">
      <w:pPr>
        <w:rPr>
          <w:b/>
          <w:bCs/>
        </w:rPr>
      </w:pPr>
    </w:p>
    <w:p w:rsidR="00000000" w:rsidRDefault="00000000">
      <w:pPr>
        <w:rPr>
          <w:bCs/>
        </w:rPr>
      </w:pPr>
      <w:r>
        <w:rPr>
          <w:bCs/>
        </w:rPr>
        <w:t>569.</w:t>
      </w:r>
      <w:r>
        <w:rPr>
          <w:bCs/>
        </w:rPr>
        <w:tab/>
        <w:t>Среди конкретных мер, принимаемых парагвайским государством для ликвидации неграмотности, можно назвать следующие:</w:t>
      </w:r>
    </w:p>
    <w:p w:rsidR="00000000" w:rsidRDefault="00000000">
      <w:pPr>
        <w:rPr>
          <w:bCs/>
        </w:rPr>
      </w:pPr>
    </w:p>
    <w:p w:rsidR="00000000" w:rsidRDefault="00000000">
      <w:pPr>
        <w:ind w:left="1134" w:hanging="1134"/>
        <w:rPr>
          <w:b/>
          <w:bCs/>
          <w:szCs w:val="24"/>
        </w:rPr>
      </w:pPr>
      <w:r>
        <w:rPr>
          <w:b/>
          <w:bCs/>
          <w:szCs w:val="24"/>
        </w:rPr>
        <w:tab/>
        <w:t>4.1</w:t>
      </w:r>
      <w:r>
        <w:rPr>
          <w:b/>
          <w:bCs/>
          <w:szCs w:val="24"/>
        </w:rPr>
        <w:tab/>
        <w:t>Национальный план ликвидации неграмотности (на период 2004</w:t>
      </w:r>
      <w:r>
        <w:rPr>
          <w:b/>
          <w:bCs/>
          <w:szCs w:val="24"/>
        </w:rPr>
        <w:noBreakHyphen/>
        <w:t>2008 годов) - Выполняемые программы</w:t>
      </w:r>
    </w:p>
    <w:p w:rsidR="00000000" w:rsidRDefault="00000000">
      <w:pPr>
        <w:rPr>
          <w:b/>
          <w:bCs/>
          <w:szCs w:val="24"/>
        </w:rPr>
      </w:pPr>
    </w:p>
    <w:p w:rsidR="00000000" w:rsidRDefault="00000000">
      <w:pPr>
        <w:ind w:left="1701" w:hanging="1701"/>
      </w:pPr>
      <w:r>
        <w:tab/>
      </w:r>
      <w:r>
        <w:tab/>
        <w:t>-</w:t>
      </w:r>
      <w:r>
        <w:tab/>
      </w:r>
      <w:r>
        <w:rPr>
          <w:b/>
          <w:bCs/>
        </w:rPr>
        <w:t>Программа базового двуязычного образования для молодежи и взрослых</w:t>
      </w:r>
      <w:r>
        <w:t>:  в 2005 году этой программой были охвачены 26 000 молодых людей и взрослых, при этом удалось сократить неграмотность на 12,1%.</w:t>
      </w:r>
    </w:p>
    <w:p w:rsidR="00000000" w:rsidRDefault="00000000">
      <w:pPr>
        <w:ind w:left="1701" w:hanging="1701"/>
      </w:pPr>
    </w:p>
    <w:p w:rsidR="00000000" w:rsidRDefault="00000000">
      <w:pPr>
        <w:ind w:left="1701" w:hanging="1701"/>
      </w:pPr>
      <w:r>
        <w:tab/>
      </w:r>
      <w:r>
        <w:tab/>
        <w:t>-</w:t>
      </w:r>
      <w:r>
        <w:tab/>
      </w:r>
      <w:r>
        <w:rPr>
          <w:b/>
          <w:bCs/>
        </w:rPr>
        <w:t>Программа интенсивной ликвидации неграмотности (двуязычная)</w:t>
      </w:r>
      <w:r>
        <w:t>:  за четыре года (период 2002-2004 годов) зарегистрировано 65 000 учащихся.  В 2005 году этой программой были охвачены 8 000 молодых людей и взрослых, при этом неграмотность уменьшилась на 4,2%.</w:t>
      </w:r>
    </w:p>
    <w:p w:rsidR="00000000" w:rsidRDefault="00000000"/>
    <w:p w:rsidR="00000000" w:rsidRDefault="00000000">
      <w:pPr>
        <w:ind w:left="1701" w:hanging="1701"/>
      </w:pPr>
      <w:r>
        <w:tab/>
      </w:r>
      <w:r>
        <w:tab/>
        <w:t>-</w:t>
      </w:r>
      <w:r>
        <w:tab/>
      </w:r>
      <w:r>
        <w:rPr>
          <w:b/>
          <w:bCs/>
        </w:rPr>
        <w:t>Программа ликвидации неграмотности с помощью телеуроков</w:t>
      </w:r>
      <w:r>
        <w:t>:  за четыре года (период 2002-2004 годов) было зарегистрировано 45 000 учащихся.  В 2005 году этой программой были охвачены 6 000 молодых людей и взрослых, при этом неграмотность уменьшилась на 3,2%.</w:t>
      </w:r>
    </w:p>
    <w:p w:rsidR="00000000" w:rsidRDefault="00000000"/>
    <w:p w:rsidR="00000000" w:rsidRDefault="00000000">
      <w:pPr>
        <w:ind w:left="1701" w:hanging="1701"/>
        <w:rPr>
          <w:szCs w:val="22"/>
        </w:rPr>
      </w:pPr>
      <w:r>
        <w:tab/>
      </w:r>
      <w:r>
        <w:tab/>
        <w:t>-</w:t>
      </w:r>
      <w:r>
        <w:tab/>
      </w:r>
      <w:r>
        <w:rPr>
          <w:b/>
          <w:bCs/>
        </w:rPr>
        <w:t>Программа "Альфа препара ПРОДЕПА"</w:t>
      </w:r>
      <w:r>
        <w:t>:  осуществляется в сотрудничестве с педагогическими училищами по линии учреждений среднего образования.  Примерный охват:  5 000 участников.  Указанная программа предусматривает реформу обучения</w:t>
      </w:r>
      <w:r>
        <w:rPr>
          <w:szCs w:val="22"/>
        </w:rPr>
        <w:t xml:space="preserve"> и реализацию программ образования молодежи и взрослых, для которых начальное базовое образование было недоступно или которые его не закончили.  Она охватывает 185 000 молодых людей и взрослых в возрасте от 15 до 30 лет, проживающих в столице и во всех департаментах страны.</w:t>
      </w:r>
    </w:p>
    <w:p w:rsidR="00000000" w:rsidRDefault="00000000">
      <w:pPr>
        <w:rPr>
          <w:szCs w:val="22"/>
        </w:rPr>
      </w:pPr>
    </w:p>
    <w:p w:rsidR="00000000" w:rsidRDefault="00000000">
      <w:pPr>
        <w:rPr>
          <w:b/>
          <w:bCs/>
          <w:i/>
          <w:szCs w:val="22"/>
        </w:rPr>
      </w:pPr>
      <w:r>
        <w:rPr>
          <w:b/>
          <w:bCs/>
          <w:i/>
          <w:szCs w:val="22"/>
        </w:rPr>
        <w:tab/>
        <w:t>Дополнительные проекты в рамках программы ПРОДЕПА</w:t>
      </w:r>
    </w:p>
    <w:p w:rsidR="00000000" w:rsidRDefault="00000000">
      <w:pPr>
        <w:rPr>
          <w:i/>
          <w:szCs w:val="22"/>
        </w:rPr>
      </w:pPr>
    </w:p>
    <w:p w:rsidR="00000000" w:rsidRDefault="00000000">
      <w:pPr>
        <w:ind w:left="1701" w:hanging="1701"/>
      </w:pPr>
      <w:r>
        <w:tab/>
      </w:r>
      <w:r>
        <w:tab/>
        <w:t>-</w:t>
      </w:r>
      <w:r>
        <w:tab/>
        <w:t>Педагогическое обеспечение специального обучения лиц с физическими недостачами</w:t>
      </w:r>
      <w:r>
        <w:rPr>
          <w:szCs w:val="22"/>
        </w:rPr>
        <w:t>:  глухих, слепых</w:t>
      </w:r>
      <w:r>
        <w:t>, с задержкой развития и с нарушениями двигательных функций.</w:t>
      </w:r>
    </w:p>
    <w:p w:rsidR="00000000" w:rsidRDefault="00000000">
      <w:pPr>
        <w:rPr>
          <w:szCs w:val="22"/>
        </w:rPr>
      </w:pPr>
    </w:p>
    <w:p w:rsidR="00000000" w:rsidRDefault="00000000">
      <w:pPr>
        <w:ind w:left="1701" w:hanging="1701"/>
      </w:pPr>
      <w:r>
        <w:rPr>
          <w:szCs w:val="22"/>
        </w:rPr>
        <w:tab/>
      </w:r>
      <w:r>
        <w:rPr>
          <w:szCs w:val="22"/>
        </w:rPr>
        <w:tab/>
        <w:t>-</w:t>
      </w:r>
      <w:r>
        <w:rPr>
          <w:szCs w:val="22"/>
        </w:rPr>
        <w:tab/>
      </w:r>
      <w:r>
        <w:rPr>
          <w:b/>
          <w:szCs w:val="22"/>
        </w:rPr>
        <w:t>Профессиональная подготовка</w:t>
      </w:r>
      <w:r>
        <w:rPr>
          <w:szCs w:val="22"/>
        </w:rPr>
        <w:t>:</w:t>
      </w:r>
      <w:r>
        <w:rPr>
          <w:szCs w:val="18"/>
        </w:rPr>
        <w:t xml:space="preserve">  в контексте непрерывного образования </w:t>
      </w:r>
      <w:r>
        <w:t>профессиональная подготовка трактуется как направление специального обучения с упором на подготовку квалифицированных рабочих по конкретным производственным специальностям.  Соответствует уровню, следующему за школьным базовым (2-й и 3-й циклы).</w:t>
      </w:r>
    </w:p>
    <w:p w:rsidR="00000000" w:rsidRDefault="00000000">
      <w:pPr>
        <w:rPr>
          <w:szCs w:val="22"/>
        </w:rPr>
      </w:pPr>
    </w:p>
    <w:p w:rsidR="00000000" w:rsidRDefault="00000000">
      <w:pPr>
        <w:ind w:left="1701" w:hanging="1701"/>
        <w:rPr>
          <w:szCs w:val="22"/>
        </w:rPr>
      </w:pPr>
      <w:r>
        <w:rPr>
          <w:szCs w:val="22"/>
        </w:rPr>
        <w:tab/>
      </w:r>
      <w:r>
        <w:rPr>
          <w:szCs w:val="22"/>
        </w:rPr>
        <w:tab/>
        <w:t>-</w:t>
      </w:r>
      <w:r>
        <w:rPr>
          <w:szCs w:val="22"/>
        </w:rPr>
        <w:tab/>
      </w:r>
      <w:r>
        <w:rPr>
          <w:b/>
          <w:bCs/>
          <w:szCs w:val="22"/>
        </w:rPr>
        <w:t>Программа повышения рабочей квалификации</w:t>
      </w:r>
      <w:r>
        <w:rPr>
          <w:szCs w:val="22"/>
        </w:rPr>
        <w:t>:  программа, предлагаемая обучающимся в образовательных учреждениях для молодежи и взрослых, а также заинтересованным в этом жителям общины;  цель программы заключается в том, чтобы ее участники приобрели основные умения и навыки, позволяющие им устроиться на работу.  В 2005 году было зарегистрировано 20 000 участников этой программы.</w:t>
      </w:r>
    </w:p>
    <w:p w:rsidR="00000000" w:rsidRDefault="00000000"/>
    <w:p w:rsidR="00000000" w:rsidRDefault="00000000">
      <w:pPr>
        <w:ind w:left="1701" w:hanging="1701"/>
      </w:pPr>
      <w:r>
        <w:tab/>
      </w:r>
      <w:r>
        <w:tab/>
        <w:t>-</w:t>
      </w:r>
      <w:r>
        <w:tab/>
      </w:r>
      <w:r>
        <w:rPr>
          <w:b/>
          <w:bCs/>
        </w:rPr>
        <w:t>Класс наставника</w:t>
      </w:r>
      <w:r>
        <w:t>:  воспитательная работа ведется через Интернет в форме курсов с дистанционным участием учителя, предназначенных для женщин, находящихся в заключении в женском исправительном учреждении "Каса-дель-Буэн-Пастор".</w:t>
      </w:r>
    </w:p>
    <w:p w:rsidR="00000000" w:rsidRDefault="00000000"/>
    <w:p w:rsidR="00000000" w:rsidRDefault="00000000">
      <w:r>
        <w:t>570.</w:t>
      </w:r>
      <w:r>
        <w:tab/>
      </w:r>
      <w:r>
        <w:rPr>
          <w:b/>
          <w:bCs/>
        </w:rPr>
        <w:t>Проект, предусматривающий получение образования в местах лишения свободы.</w:t>
      </w:r>
      <w:r>
        <w:rPr>
          <w:szCs w:val="22"/>
        </w:rPr>
        <w:t xml:space="preserve">  Предоставляет молодежи и взрослым старше 15 лет возможность получить</w:t>
      </w:r>
      <w:r>
        <w:t xml:space="preserve"> базовое образование и рабочую специальность, что позволит им рассчитывать на улучшение качества жизни и на действенную реинтеграцию в парагвайское общество.  Проект реализуется в национальных и региональных тюрьмах, в исправительных учреждениях для несовершеннолетних и в местах заключения женщин.  Он охватывает 1 400 заключенных и участников программы ПРОДЕПА в исправительных учреждениях в департаментах Консепсьон, Амамбай, Сан-Педро, Каагуасу, Гуайра, Альто-Парана, Итапуа, Мисьонес, Кордильера, Сентраль и Асунсьон в соответствии с соглашением, подписанным между МПК и м</w:t>
      </w:r>
      <w:r>
        <w:rPr>
          <w:bCs/>
        </w:rPr>
        <w:t>инистерством юстиции и труда</w:t>
      </w:r>
      <w:r>
        <w:t>.</w:t>
      </w:r>
    </w:p>
    <w:p w:rsidR="00000000" w:rsidRDefault="00000000"/>
    <w:p w:rsidR="00000000" w:rsidRDefault="00000000">
      <w:r>
        <w:t>571.</w:t>
      </w:r>
      <w:r>
        <w:tab/>
        <w:t>В рамках программной политики, определяющей содержание образования и стратегию преподавания/обучения, в частности в сфере образования молодежи и взрослых, реформа обучения в этой подсистеме носит двуязычный характер (на основе испанского языка и языка гуарани) с учетом социолингвистических реалий страны, при этом система обучения ориентирована на развитие способностей и на улучшение возможностей получения образования, исходя из принципа равенства.  Ставится задача обеспечить активное гражданское участие и способствовать воспитанию граждан, подготовленных к жизни в условиях демократии.</w:t>
      </w:r>
    </w:p>
    <w:p w:rsidR="00000000" w:rsidRDefault="00000000"/>
    <w:p w:rsidR="00000000" w:rsidRDefault="00000000">
      <w:pPr>
        <w:keepLines/>
      </w:pPr>
      <w:r>
        <w:t>572.</w:t>
      </w:r>
      <w:r>
        <w:tab/>
        <w:t>Структура данной формы обучения предусматривает четыре цикла, каждый из которых имеет продолжительность в один учебный год, куда входит получение рабочей специальности посредством практического изучения какого-либо ремесла;  после их завершения можно получить свидетельство о базовом образовании.</w:t>
      </w:r>
    </w:p>
    <w:p w:rsidR="00000000" w:rsidRDefault="00000000"/>
    <w:p w:rsidR="00000000" w:rsidRDefault="00000000">
      <w:pPr>
        <w:jc w:val="center"/>
        <w:rPr>
          <w:b/>
          <w:bCs/>
          <w:spacing w:val="6"/>
        </w:rPr>
      </w:pPr>
      <w:r>
        <w:rPr>
          <w:b/>
          <w:bCs/>
          <w:spacing w:val="6"/>
        </w:rPr>
        <w:t>B.</w:t>
      </w:r>
      <w:r>
        <w:rPr>
          <w:b/>
          <w:bCs/>
          <w:spacing w:val="6"/>
        </w:rPr>
        <w:tab/>
        <w:t>Система образования</w:t>
      </w:r>
    </w:p>
    <w:p w:rsidR="00000000" w:rsidRDefault="00000000">
      <w:pPr>
        <w:rPr>
          <w:b/>
          <w:bCs/>
          <w:spacing w:val="6"/>
        </w:rPr>
      </w:pPr>
    </w:p>
    <w:p w:rsidR="00000000" w:rsidRDefault="00000000">
      <w:pPr>
        <w:rPr>
          <w:b/>
          <w:bCs/>
          <w:spacing w:val="6"/>
        </w:rPr>
      </w:pPr>
      <w:r>
        <w:rPr>
          <w:b/>
          <w:bCs/>
          <w:spacing w:val="6"/>
        </w:rPr>
        <w:t>1.</w:t>
      </w:r>
      <w:r>
        <w:rPr>
          <w:b/>
          <w:bCs/>
          <w:spacing w:val="6"/>
        </w:rPr>
        <w:tab/>
        <w:t>Бюджет образования</w:t>
      </w:r>
    </w:p>
    <w:p w:rsidR="00000000" w:rsidRDefault="00000000">
      <w:pPr>
        <w:rPr>
          <w:b/>
          <w:bCs/>
          <w:spacing w:val="6"/>
        </w:rPr>
      </w:pPr>
    </w:p>
    <w:p w:rsidR="00000000" w:rsidRDefault="00000000">
      <w:pPr>
        <w:rPr>
          <w:szCs w:val="22"/>
        </w:rPr>
      </w:pPr>
      <w:r>
        <w:rPr>
          <w:szCs w:val="22"/>
        </w:rPr>
        <w:t>573.</w:t>
      </w:r>
      <w:r>
        <w:rPr>
          <w:szCs w:val="22"/>
        </w:rPr>
        <w:tab/>
        <w:t xml:space="preserve">Из </w:t>
      </w:r>
      <w:r>
        <w:rPr>
          <w:bCs/>
          <w:szCs w:val="22"/>
        </w:rPr>
        <w:t>Общего бюджета расходов государства</w:t>
      </w:r>
      <w:r>
        <w:rPr>
          <w:szCs w:val="22"/>
        </w:rPr>
        <w:t xml:space="preserve"> на 2005 год 18,23% всех средств, выделенных на центральную администрацию, приходятся на министерство </w:t>
      </w:r>
      <w:r>
        <w:t>просвещения</w:t>
      </w:r>
      <w:r>
        <w:rPr>
          <w:szCs w:val="22"/>
        </w:rPr>
        <w:t xml:space="preserve"> и культуры. Следует также сослаться на статью 85 национальной Конституции Парагвая, где говориться следующее: </w:t>
      </w:r>
      <w:r>
        <w:rPr>
          <w:kern w:val="2"/>
        </w:rPr>
        <w:t xml:space="preserve"> "Ресурсы, выделяемые на образование из общего национального бюджета, должны составлять не менее 20% от общего объема средств, выделяемых на центральное управление, за исключением кредитов и пособий".</w:t>
      </w:r>
    </w:p>
    <w:p w:rsidR="00000000" w:rsidRDefault="00000000"/>
    <w:p w:rsidR="00000000" w:rsidRDefault="00000000">
      <w:pPr>
        <w:rPr>
          <w:b/>
        </w:rPr>
      </w:pPr>
      <w:r>
        <w:rPr>
          <w:b/>
        </w:rPr>
        <w:t>2.</w:t>
      </w:r>
      <w:r>
        <w:rPr>
          <w:b/>
        </w:rPr>
        <w:tab/>
        <w:t>Школьная система</w:t>
      </w:r>
    </w:p>
    <w:p w:rsidR="00000000" w:rsidRDefault="00000000">
      <w:pPr>
        <w:rPr>
          <w:b/>
        </w:rPr>
      </w:pPr>
    </w:p>
    <w:p w:rsidR="00000000" w:rsidRDefault="00000000">
      <w:pPr>
        <w:rPr>
          <w:szCs w:val="22"/>
        </w:rPr>
      </w:pPr>
      <w:r>
        <w:rPr>
          <w:szCs w:val="22"/>
        </w:rPr>
        <w:t>574.</w:t>
      </w:r>
      <w:r>
        <w:rPr>
          <w:szCs w:val="22"/>
        </w:rPr>
        <w:tab/>
        <w:t>В зависимости от типа управления различают следующие виды школ:</w:t>
      </w:r>
    </w:p>
    <w:p w:rsidR="00000000" w:rsidRDefault="00000000">
      <w:pPr>
        <w:rPr>
          <w:szCs w:val="22"/>
        </w:rPr>
      </w:pPr>
    </w:p>
    <w:p w:rsidR="00000000" w:rsidRDefault="00000000">
      <w:pPr>
        <w:ind w:left="1134" w:hanging="1134"/>
        <w:rPr>
          <w:color w:val="000000"/>
        </w:rPr>
      </w:pPr>
      <w:r>
        <w:rPr>
          <w:b/>
          <w:color w:val="000000"/>
        </w:rPr>
        <w:tab/>
        <w:t>-</w:t>
      </w:r>
      <w:r>
        <w:rPr>
          <w:b/>
          <w:color w:val="000000"/>
        </w:rPr>
        <w:tab/>
        <w:t>официальные школы</w:t>
      </w:r>
      <w:r>
        <w:rPr>
          <w:color w:val="000000"/>
        </w:rPr>
        <w:t>:  государственные, управляемые непосредственно правительством;</w:t>
      </w:r>
    </w:p>
    <w:p w:rsidR="00000000" w:rsidRDefault="00000000">
      <w:pPr>
        <w:ind w:left="1134" w:hanging="1134"/>
        <w:rPr>
          <w:color w:val="000000"/>
        </w:rPr>
      </w:pPr>
    </w:p>
    <w:p w:rsidR="00000000" w:rsidRDefault="00000000">
      <w:pPr>
        <w:ind w:left="1134" w:hanging="1134"/>
        <w:rPr>
          <w:color w:val="000000"/>
        </w:rPr>
      </w:pPr>
      <w:r>
        <w:rPr>
          <w:b/>
          <w:color w:val="000000"/>
        </w:rPr>
        <w:tab/>
        <w:t>-</w:t>
      </w:r>
      <w:r>
        <w:rPr>
          <w:b/>
          <w:color w:val="000000"/>
        </w:rPr>
        <w:tab/>
        <w:t>частные школы на дотации:</w:t>
      </w:r>
      <w:r>
        <w:rPr>
          <w:color w:val="000000"/>
        </w:rPr>
        <w:t xml:space="preserve">  управляемые частными лицами, однако преподавателям платит правительство;</w:t>
      </w:r>
    </w:p>
    <w:p w:rsidR="00000000" w:rsidRDefault="00000000">
      <w:pPr>
        <w:rPr>
          <w:color w:val="000000"/>
        </w:rPr>
      </w:pPr>
    </w:p>
    <w:p w:rsidR="00000000" w:rsidRDefault="00000000">
      <w:pPr>
        <w:rPr>
          <w:b/>
          <w:color w:val="000000"/>
        </w:rPr>
      </w:pPr>
      <w:r>
        <w:rPr>
          <w:b/>
          <w:color w:val="000000"/>
        </w:rPr>
        <w:tab/>
        <w:t>-</w:t>
      </w:r>
      <w:r>
        <w:rPr>
          <w:b/>
          <w:color w:val="000000"/>
        </w:rPr>
        <w:tab/>
        <w:t>частные школы.</w:t>
      </w:r>
    </w:p>
    <w:p w:rsidR="00000000" w:rsidRDefault="00000000">
      <w:pPr>
        <w:rPr>
          <w:bCs/>
          <w:color w:val="000000"/>
        </w:rPr>
      </w:pPr>
    </w:p>
    <w:p w:rsidR="00000000" w:rsidRDefault="00000000">
      <w:pPr>
        <w:rPr>
          <w:bCs/>
          <w:color w:val="000000"/>
        </w:rPr>
      </w:pPr>
      <w:r>
        <w:rPr>
          <w:bCs/>
          <w:color w:val="000000"/>
        </w:rPr>
        <w:t>575.</w:t>
      </w:r>
      <w:r>
        <w:rPr>
          <w:bCs/>
          <w:color w:val="000000"/>
        </w:rPr>
        <w:tab/>
        <w:t>Ниже приводятся данные об учебных центрах в разбивке по типу управления:</w:t>
      </w:r>
    </w:p>
    <w:p w:rsidR="00000000" w:rsidRDefault="00000000">
      <w:pPr>
        <w:rPr>
          <w:bCs/>
          <w:color w:val="000000"/>
        </w:rPr>
      </w:pPr>
    </w:p>
    <w:p w:rsidR="00000000" w:rsidRDefault="00000000">
      <w:pPr>
        <w:pageBreakBefore/>
        <w:jc w:val="center"/>
        <w:rPr>
          <w:b/>
          <w:bCs/>
          <w:color w:val="000000"/>
          <w:szCs w:val="18"/>
        </w:rPr>
      </w:pPr>
      <w:r>
        <w:rPr>
          <w:b/>
          <w:bCs/>
          <w:color w:val="000000"/>
          <w:szCs w:val="18"/>
        </w:rPr>
        <w:t>Доля учебных заведений в разбивке по секторам, зонам</w:t>
      </w:r>
    </w:p>
    <w:p w:rsidR="00000000" w:rsidRDefault="00000000">
      <w:pPr>
        <w:jc w:val="center"/>
        <w:rPr>
          <w:b/>
          <w:bCs/>
          <w:color w:val="000000"/>
          <w:szCs w:val="18"/>
        </w:rPr>
      </w:pPr>
      <w:r>
        <w:rPr>
          <w:b/>
          <w:bCs/>
          <w:color w:val="000000"/>
          <w:szCs w:val="18"/>
        </w:rPr>
        <w:t>и уровням образования, 2004 год</w:t>
      </w:r>
    </w:p>
    <w:p w:rsidR="00000000" w:rsidRDefault="00000000">
      <w:pPr>
        <w:jc w:val="center"/>
        <w:rPr>
          <w:color w:val="000000"/>
          <w:sz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27"/>
        <w:gridCol w:w="830"/>
        <w:gridCol w:w="585"/>
        <w:gridCol w:w="771"/>
        <w:gridCol w:w="594"/>
        <w:gridCol w:w="950"/>
        <w:gridCol w:w="530"/>
        <w:gridCol w:w="746"/>
        <w:gridCol w:w="547"/>
        <w:gridCol w:w="677"/>
        <w:gridCol w:w="607"/>
        <w:gridCol w:w="648"/>
      </w:tblGrid>
      <w:tr w:rsidR="00000000">
        <w:tblPrEx>
          <w:tblCellMar>
            <w:top w:w="0" w:type="dxa"/>
            <w:bottom w:w="0" w:type="dxa"/>
          </w:tblCellMar>
        </w:tblPrEx>
        <w:trPr>
          <w:tblHeader/>
        </w:trPr>
        <w:tc>
          <w:tcPr>
            <w:tcW w:w="1034" w:type="pct"/>
            <w:vAlign w:val="center"/>
          </w:tcPr>
          <w:p w:rsidR="00000000" w:rsidRDefault="00000000">
            <w:pPr>
              <w:jc w:val="center"/>
              <w:rPr>
                <w:b/>
                <w:bCs/>
                <w:color w:val="000000"/>
                <w:sz w:val="18"/>
              </w:rPr>
            </w:pPr>
            <w:r>
              <w:rPr>
                <w:b/>
                <w:bCs/>
                <w:color w:val="000000"/>
                <w:sz w:val="18"/>
              </w:rPr>
              <w:t>Учебные заведения</w:t>
            </w:r>
          </w:p>
        </w:tc>
        <w:tc>
          <w:tcPr>
            <w:tcW w:w="355" w:type="pct"/>
            <w:vAlign w:val="center"/>
          </w:tcPr>
          <w:p w:rsidR="00000000" w:rsidRDefault="00000000">
            <w:pPr>
              <w:jc w:val="center"/>
              <w:rPr>
                <w:b/>
                <w:bCs/>
                <w:color w:val="000000"/>
                <w:sz w:val="18"/>
              </w:rPr>
            </w:pPr>
            <w:r>
              <w:rPr>
                <w:b/>
                <w:bCs/>
                <w:color w:val="000000"/>
                <w:sz w:val="18"/>
              </w:rPr>
              <w:t>Государ-ственные</w:t>
            </w:r>
          </w:p>
        </w:tc>
        <w:tc>
          <w:tcPr>
            <w:tcW w:w="321" w:type="pct"/>
            <w:vAlign w:val="center"/>
          </w:tcPr>
          <w:p w:rsidR="00000000" w:rsidRDefault="00000000">
            <w:pPr>
              <w:jc w:val="center"/>
              <w:rPr>
                <w:b/>
                <w:bCs/>
                <w:color w:val="000000"/>
                <w:sz w:val="18"/>
              </w:rPr>
            </w:pPr>
            <w:r>
              <w:rPr>
                <w:b/>
                <w:bCs/>
                <w:color w:val="000000"/>
                <w:sz w:val="18"/>
              </w:rPr>
              <w:t>%</w:t>
            </w:r>
          </w:p>
        </w:tc>
        <w:tc>
          <w:tcPr>
            <w:tcW w:w="399" w:type="pct"/>
            <w:vAlign w:val="center"/>
          </w:tcPr>
          <w:p w:rsidR="00000000" w:rsidRDefault="00000000">
            <w:pPr>
              <w:jc w:val="center"/>
              <w:rPr>
                <w:b/>
                <w:bCs/>
                <w:color w:val="000000"/>
                <w:sz w:val="18"/>
              </w:rPr>
            </w:pPr>
            <w:r>
              <w:rPr>
                <w:b/>
                <w:bCs/>
                <w:color w:val="000000"/>
                <w:sz w:val="18"/>
              </w:rPr>
              <w:t>Частные</w:t>
            </w:r>
          </w:p>
        </w:tc>
        <w:tc>
          <w:tcPr>
            <w:tcW w:w="325" w:type="pct"/>
            <w:vAlign w:val="center"/>
          </w:tcPr>
          <w:p w:rsidR="00000000" w:rsidRDefault="00000000">
            <w:pPr>
              <w:jc w:val="center"/>
              <w:rPr>
                <w:b/>
                <w:bCs/>
                <w:color w:val="000000"/>
                <w:sz w:val="18"/>
              </w:rPr>
            </w:pPr>
            <w:r>
              <w:rPr>
                <w:b/>
                <w:bCs/>
                <w:color w:val="000000"/>
                <w:sz w:val="18"/>
              </w:rPr>
              <w:t>%</w:t>
            </w:r>
          </w:p>
        </w:tc>
        <w:tc>
          <w:tcPr>
            <w:tcW w:w="514" w:type="pct"/>
            <w:vAlign w:val="center"/>
          </w:tcPr>
          <w:p w:rsidR="00000000" w:rsidRDefault="00000000">
            <w:pPr>
              <w:jc w:val="center"/>
              <w:rPr>
                <w:b/>
                <w:bCs/>
                <w:color w:val="000000"/>
                <w:sz w:val="18"/>
              </w:rPr>
            </w:pPr>
            <w:r>
              <w:rPr>
                <w:b/>
                <w:bCs/>
                <w:color w:val="000000"/>
                <w:sz w:val="18"/>
              </w:rPr>
              <w:t>Частные на дотации</w:t>
            </w:r>
          </w:p>
        </w:tc>
        <w:tc>
          <w:tcPr>
            <w:tcW w:w="291" w:type="pct"/>
            <w:vAlign w:val="center"/>
          </w:tcPr>
          <w:p w:rsidR="00000000" w:rsidRDefault="00000000">
            <w:pPr>
              <w:jc w:val="center"/>
              <w:rPr>
                <w:b/>
                <w:bCs/>
                <w:color w:val="000000"/>
                <w:sz w:val="18"/>
              </w:rPr>
            </w:pPr>
            <w:r>
              <w:rPr>
                <w:b/>
                <w:bCs/>
                <w:color w:val="000000"/>
                <w:sz w:val="18"/>
              </w:rPr>
              <w:t>%</w:t>
            </w:r>
          </w:p>
        </w:tc>
        <w:tc>
          <w:tcPr>
            <w:tcW w:w="406" w:type="pct"/>
            <w:vAlign w:val="center"/>
          </w:tcPr>
          <w:p w:rsidR="00000000" w:rsidRDefault="00000000">
            <w:pPr>
              <w:jc w:val="center"/>
              <w:rPr>
                <w:b/>
                <w:bCs/>
                <w:color w:val="000000"/>
                <w:sz w:val="18"/>
              </w:rPr>
            </w:pPr>
            <w:r>
              <w:rPr>
                <w:b/>
                <w:bCs/>
                <w:color w:val="000000"/>
                <w:sz w:val="18"/>
              </w:rPr>
              <w:t>Город</w:t>
            </w:r>
          </w:p>
        </w:tc>
        <w:tc>
          <w:tcPr>
            <w:tcW w:w="300" w:type="pct"/>
            <w:vAlign w:val="center"/>
          </w:tcPr>
          <w:p w:rsidR="00000000" w:rsidRDefault="00000000">
            <w:pPr>
              <w:jc w:val="center"/>
              <w:rPr>
                <w:b/>
                <w:bCs/>
                <w:color w:val="000000"/>
                <w:sz w:val="18"/>
              </w:rPr>
            </w:pPr>
            <w:r>
              <w:rPr>
                <w:b/>
                <w:bCs/>
                <w:color w:val="000000"/>
                <w:sz w:val="18"/>
              </w:rPr>
              <w:t>%</w:t>
            </w:r>
          </w:p>
        </w:tc>
        <w:tc>
          <w:tcPr>
            <w:tcW w:w="369" w:type="pct"/>
            <w:vAlign w:val="center"/>
          </w:tcPr>
          <w:p w:rsidR="00000000" w:rsidRDefault="00000000">
            <w:pPr>
              <w:jc w:val="center"/>
              <w:rPr>
                <w:b/>
                <w:bCs/>
                <w:color w:val="000000"/>
                <w:sz w:val="18"/>
              </w:rPr>
            </w:pPr>
            <w:r>
              <w:rPr>
                <w:b/>
                <w:bCs/>
                <w:color w:val="000000"/>
                <w:sz w:val="18"/>
              </w:rPr>
              <w:t>Село</w:t>
            </w:r>
          </w:p>
        </w:tc>
        <w:tc>
          <w:tcPr>
            <w:tcW w:w="332" w:type="pct"/>
            <w:vAlign w:val="center"/>
          </w:tcPr>
          <w:p w:rsidR="00000000" w:rsidRDefault="00000000">
            <w:pPr>
              <w:jc w:val="center"/>
              <w:rPr>
                <w:b/>
                <w:bCs/>
                <w:color w:val="000000"/>
                <w:sz w:val="18"/>
              </w:rPr>
            </w:pPr>
            <w:r>
              <w:rPr>
                <w:b/>
                <w:bCs/>
                <w:color w:val="000000"/>
                <w:sz w:val="18"/>
              </w:rPr>
              <w:t>%</w:t>
            </w:r>
          </w:p>
        </w:tc>
        <w:tc>
          <w:tcPr>
            <w:tcW w:w="355" w:type="pct"/>
            <w:vAlign w:val="center"/>
          </w:tcPr>
          <w:p w:rsidR="00000000" w:rsidRDefault="00000000">
            <w:pPr>
              <w:jc w:val="center"/>
              <w:rPr>
                <w:b/>
                <w:bCs/>
                <w:color w:val="000000"/>
                <w:sz w:val="18"/>
              </w:rPr>
            </w:pPr>
            <w:r>
              <w:rPr>
                <w:b/>
                <w:bCs/>
                <w:color w:val="000000"/>
                <w:sz w:val="18"/>
              </w:rPr>
              <w:t>Всего</w:t>
            </w:r>
          </w:p>
        </w:tc>
      </w:tr>
      <w:tr w:rsidR="00000000">
        <w:tblPrEx>
          <w:tblCellMar>
            <w:top w:w="0" w:type="dxa"/>
            <w:bottom w:w="0" w:type="dxa"/>
          </w:tblCellMar>
        </w:tblPrEx>
        <w:tc>
          <w:tcPr>
            <w:tcW w:w="1034" w:type="pct"/>
          </w:tcPr>
          <w:p w:rsidR="00000000" w:rsidRDefault="00000000">
            <w:pPr>
              <w:rPr>
                <w:color w:val="000000"/>
                <w:sz w:val="18"/>
              </w:rPr>
            </w:pPr>
            <w:r>
              <w:rPr>
                <w:color w:val="000000"/>
                <w:sz w:val="18"/>
              </w:rPr>
              <w:t>Начальное образование</w:t>
            </w:r>
          </w:p>
        </w:tc>
        <w:tc>
          <w:tcPr>
            <w:tcW w:w="355" w:type="pct"/>
            <w:vAlign w:val="bottom"/>
          </w:tcPr>
          <w:p w:rsidR="00000000" w:rsidRDefault="00000000">
            <w:pPr>
              <w:jc w:val="center"/>
              <w:rPr>
                <w:color w:val="000000"/>
                <w:sz w:val="18"/>
              </w:rPr>
            </w:pPr>
            <w:r>
              <w:rPr>
                <w:color w:val="000000"/>
                <w:sz w:val="18"/>
              </w:rPr>
              <w:t>4 032</w:t>
            </w:r>
          </w:p>
        </w:tc>
        <w:tc>
          <w:tcPr>
            <w:tcW w:w="321" w:type="pct"/>
            <w:vAlign w:val="bottom"/>
          </w:tcPr>
          <w:p w:rsidR="00000000" w:rsidRDefault="00000000">
            <w:pPr>
              <w:jc w:val="center"/>
              <w:rPr>
                <w:color w:val="000000"/>
                <w:sz w:val="18"/>
              </w:rPr>
            </w:pPr>
            <w:r>
              <w:rPr>
                <w:color w:val="000000"/>
                <w:sz w:val="18"/>
              </w:rPr>
              <w:t>78</w:t>
            </w:r>
          </w:p>
        </w:tc>
        <w:tc>
          <w:tcPr>
            <w:tcW w:w="399" w:type="pct"/>
            <w:vAlign w:val="bottom"/>
          </w:tcPr>
          <w:p w:rsidR="00000000" w:rsidRDefault="00000000">
            <w:pPr>
              <w:jc w:val="center"/>
              <w:rPr>
                <w:color w:val="000000"/>
                <w:sz w:val="18"/>
              </w:rPr>
            </w:pPr>
            <w:r>
              <w:rPr>
                <w:color w:val="000000"/>
                <w:sz w:val="18"/>
              </w:rPr>
              <w:t>687</w:t>
            </w:r>
          </w:p>
        </w:tc>
        <w:tc>
          <w:tcPr>
            <w:tcW w:w="325" w:type="pct"/>
            <w:vAlign w:val="bottom"/>
          </w:tcPr>
          <w:p w:rsidR="00000000" w:rsidRDefault="00000000">
            <w:pPr>
              <w:jc w:val="center"/>
              <w:rPr>
                <w:color w:val="000000"/>
                <w:sz w:val="18"/>
              </w:rPr>
            </w:pPr>
            <w:r>
              <w:rPr>
                <w:color w:val="000000"/>
                <w:sz w:val="18"/>
              </w:rPr>
              <w:t>13</w:t>
            </w:r>
          </w:p>
        </w:tc>
        <w:tc>
          <w:tcPr>
            <w:tcW w:w="514" w:type="pct"/>
            <w:vAlign w:val="bottom"/>
          </w:tcPr>
          <w:p w:rsidR="00000000" w:rsidRDefault="00000000">
            <w:pPr>
              <w:jc w:val="center"/>
              <w:rPr>
                <w:color w:val="000000"/>
                <w:sz w:val="18"/>
              </w:rPr>
            </w:pPr>
            <w:r>
              <w:rPr>
                <w:color w:val="000000"/>
                <w:sz w:val="18"/>
              </w:rPr>
              <w:t>454</w:t>
            </w:r>
          </w:p>
        </w:tc>
        <w:tc>
          <w:tcPr>
            <w:tcW w:w="291" w:type="pct"/>
            <w:vAlign w:val="bottom"/>
          </w:tcPr>
          <w:p w:rsidR="00000000" w:rsidRDefault="00000000">
            <w:pPr>
              <w:jc w:val="center"/>
              <w:rPr>
                <w:color w:val="000000"/>
                <w:sz w:val="18"/>
              </w:rPr>
            </w:pPr>
            <w:r>
              <w:rPr>
                <w:color w:val="000000"/>
                <w:sz w:val="18"/>
              </w:rPr>
              <w:t>9</w:t>
            </w:r>
          </w:p>
        </w:tc>
        <w:tc>
          <w:tcPr>
            <w:tcW w:w="406" w:type="pct"/>
            <w:vAlign w:val="bottom"/>
          </w:tcPr>
          <w:p w:rsidR="00000000" w:rsidRDefault="00000000">
            <w:pPr>
              <w:jc w:val="center"/>
              <w:rPr>
                <w:color w:val="000000"/>
                <w:sz w:val="18"/>
              </w:rPr>
            </w:pPr>
            <w:r>
              <w:rPr>
                <w:color w:val="000000"/>
                <w:sz w:val="18"/>
              </w:rPr>
              <w:t>1 894</w:t>
            </w:r>
          </w:p>
        </w:tc>
        <w:tc>
          <w:tcPr>
            <w:tcW w:w="300" w:type="pct"/>
            <w:vAlign w:val="bottom"/>
          </w:tcPr>
          <w:p w:rsidR="00000000" w:rsidRDefault="00000000">
            <w:pPr>
              <w:jc w:val="center"/>
              <w:rPr>
                <w:color w:val="000000"/>
                <w:sz w:val="18"/>
              </w:rPr>
            </w:pPr>
            <w:r>
              <w:rPr>
                <w:color w:val="000000"/>
                <w:sz w:val="18"/>
              </w:rPr>
              <w:t>37</w:t>
            </w:r>
          </w:p>
        </w:tc>
        <w:tc>
          <w:tcPr>
            <w:tcW w:w="369" w:type="pct"/>
            <w:vAlign w:val="bottom"/>
          </w:tcPr>
          <w:p w:rsidR="00000000" w:rsidRDefault="00000000">
            <w:pPr>
              <w:jc w:val="center"/>
              <w:rPr>
                <w:color w:val="000000"/>
                <w:sz w:val="18"/>
              </w:rPr>
            </w:pPr>
            <w:r>
              <w:rPr>
                <w:color w:val="000000"/>
                <w:sz w:val="18"/>
              </w:rPr>
              <w:t>3 279</w:t>
            </w:r>
          </w:p>
        </w:tc>
        <w:tc>
          <w:tcPr>
            <w:tcW w:w="332" w:type="pct"/>
            <w:vAlign w:val="bottom"/>
          </w:tcPr>
          <w:p w:rsidR="00000000" w:rsidRDefault="00000000">
            <w:pPr>
              <w:jc w:val="center"/>
              <w:rPr>
                <w:color w:val="000000"/>
                <w:sz w:val="18"/>
              </w:rPr>
            </w:pPr>
            <w:r>
              <w:rPr>
                <w:color w:val="000000"/>
                <w:sz w:val="18"/>
              </w:rPr>
              <w:t>63</w:t>
            </w:r>
          </w:p>
        </w:tc>
        <w:tc>
          <w:tcPr>
            <w:tcW w:w="355" w:type="pct"/>
            <w:vAlign w:val="bottom"/>
          </w:tcPr>
          <w:p w:rsidR="00000000" w:rsidRDefault="00000000">
            <w:pPr>
              <w:jc w:val="center"/>
              <w:rPr>
                <w:color w:val="000000"/>
                <w:sz w:val="18"/>
              </w:rPr>
            </w:pPr>
            <w:r>
              <w:rPr>
                <w:color w:val="000000"/>
                <w:sz w:val="18"/>
              </w:rPr>
              <w:t>5 173</w:t>
            </w:r>
          </w:p>
        </w:tc>
      </w:tr>
      <w:tr w:rsidR="00000000">
        <w:tblPrEx>
          <w:tblCellMar>
            <w:top w:w="0" w:type="dxa"/>
            <w:bottom w:w="0" w:type="dxa"/>
          </w:tblCellMar>
        </w:tblPrEx>
        <w:tc>
          <w:tcPr>
            <w:tcW w:w="1034" w:type="pct"/>
          </w:tcPr>
          <w:p w:rsidR="00000000" w:rsidRDefault="00000000">
            <w:pPr>
              <w:spacing w:line="240" w:lineRule="auto"/>
              <w:rPr>
                <w:color w:val="000000"/>
                <w:sz w:val="18"/>
              </w:rPr>
            </w:pPr>
            <w:r>
              <w:rPr>
                <w:color w:val="000000"/>
                <w:sz w:val="18"/>
              </w:rPr>
              <w:t>Базовое школьное образование (1-й, 2-й и 3</w:t>
            </w:r>
            <w:r>
              <w:rPr>
                <w:color w:val="000000"/>
                <w:sz w:val="18"/>
              </w:rPr>
              <w:noBreakHyphen/>
              <w:t>й</w:t>
            </w:r>
            <w:r>
              <w:rPr>
                <w:color w:val="000000"/>
                <w:sz w:val="18"/>
                <w:vertAlign w:val="superscript"/>
              </w:rPr>
              <w:t> </w:t>
            </w:r>
            <w:r>
              <w:rPr>
                <w:color w:val="000000"/>
                <w:sz w:val="18"/>
              </w:rPr>
              <w:t>циклы)</w:t>
            </w:r>
          </w:p>
        </w:tc>
        <w:tc>
          <w:tcPr>
            <w:tcW w:w="355" w:type="pct"/>
            <w:vAlign w:val="bottom"/>
          </w:tcPr>
          <w:p w:rsidR="00000000" w:rsidRDefault="00000000">
            <w:pPr>
              <w:jc w:val="center"/>
              <w:rPr>
                <w:color w:val="000000"/>
                <w:sz w:val="18"/>
              </w:rPr>
            </w:pPr>
            <w:r>
              <w:rPr>
                <w:color w:val="000000"/>
                <w:sz w:val="18"/>
              </w:rPr>
              <w:t>6 920</w:t>
            </w:r>
          </w:p>
        </w:tc>
        <w:tc>
          <w:tcPr>
            <w:tcW w:w="321" w:type="pct"/>
            <w:vAlign w:val="bottom"/>
          </w:tcPr>
          <w:p w:rsidR="00000000" w:rsidRDefault="00000000">
            <w:pPr>
              <w:jc w:val="center"/>
              <w:rPr>
                <w:color w:val="000000"/>
                <w:sz w:val="18"/>
              </w:rPr>
            </w:pPr>
            <w:r>
              <w:rPr>
                <w:color w:val="000000"/>
                <w:sz w:val="18"/>
              </w:rPr>
              <w:t>85</w:t>
            </w:r>
          </w:p>
        </w:tc>
        <w:tc>
          <w:tcPr>
            <w:tcW w:w="399" w:type="pct"/>
            <w:vAlign w:val="bottom"/>
          </w:tcPr>
          <w:p w:rsidR="00000000" w:rsidRDefault="00000000">
            <w:pPr>
              <w:jc w:val="center"/>
              <w:rPr>
                <w:color w:val="000000"/>
                <w:sz w:val="18"/>
              </w:rPr>
            </w:pPr>
            <w:r>
              <w:rPr>
                <w:color w:val="000000"/>
                <w:sz w:val="18"/>
              </w:rPr>
              <w:t>646</w:t>
            </w:r>
          </w:p>
        </w:tc>
        <w:tc>
          <w:tcPr>
            <w:tcW w:w="325" w:type="pct"/>
            <w:vAlign w:val="bottom"/>
          </w:tcPr>
          <w:p w:rsidR="00000000" w:rsidRDefault="00000000">
            <w:pPr>
              <w:jc w:val="center"/>
              <w:rPr>
                <w:color w:val="000000"/>
                <w:sz w:val="18"/>
              </w:rPr>
            </w:pPr>
            <w:r>
              <w:rPr>
                <w:color w:val="000000"/>
                <w:sz w:val="18"/>
              </w:rPr>
              <w:t>8</w:t>
            </w:r>
          </w:p>
        </w:tc>
        <w:tc>
          <w:tcPr>
            <w:tcW w:w="514" w:type="pct"/>
            <w:vAlign w:val="bottom"/>
          </w:tcPr>
          <w:p w:rsidR="00000000" w:rsidRDefault="00000000">
            <w:pPr>
              <w:jc w:val="center"/>
              <w:rPr>
                <w:color w:val="000000"/>
                <w:sz w:val="18"/>
              </w:rPr>
            </w:pPr>
            <w:r>
              <w:rPr>
                <w:color w:val="000000"/>
                <w:sz w:val="18"/>
              </w:rPr>
              <w:t>590</w:t>
            </w:r>
          </w:p>
        </w:tc>
        <w:tc>
          <w:tcPr>
            <w:tcW w:w="291" w:type="pct"/>
            <w:vAlign w:val="bottom"/>
          </w:tcPr>
          <w:p w:rsidR="00000000" w:rsidRDefault="00000000">
            <w:pPr>
              <w:jc w:val="center"/>
              <w:rPr>
                <w:color w:val="000000"/>
                <w:sz w:val="18"/>
              </w:rPr>
            </w:pPr>
            <w:r>
              <w:rPr>
                <w:color w:val="000000"/>
                <w:sz w:val="18"/>
              </w:rPr>
              <w:t>7</w:t>
            </w:r>
          </w:p>
        </w:tc>
        <w:tc>
          <w:tcPr>
            <w:tcW w:w="406" w:type="pct"/>
            <w:vAlign w:val="bottom"/>
          </w:tcPr>
          <w:p w:rsidR="00000000" w:rsidRDefault="00000000">
            <w:pPr>
              <w:jc w:val="center"/>
              <w:rPr>
                <w:color w:val="000000"/>
                <w:sz w:val="18"/>
              </w:rPr>
            </w:pPr>
            <w:r>
              <w:rPr>
                <w:color w:val="000000"/>
                <w:sz w:val="18"/>
              </w:rPr>
              <w:t>2 338</w:t>
            </w:r>
          </w:p>
        </w:tc>
        <w:tc>
          <w:tcPr>
            <w:tcW w:w="300" w:type="pct"/>
            <w:vAlign w:val="bottom"/>
          </w:tcPr>
          <w:p w:rsidR="00000000" w:rsidRDefault="00000000">
            <w:pPr>
              <w:jc w:val="center"/>
              <w:rPr>
                <w:color w:val="000000"/>
                <w:sz w:val="18"/>
              </w:rPr>
            </w:pPr>
            <w:r>
              <w:rPr>
                <w:color w:val="000000"/>
                <w:sz w:val="18"/>
              </w:rPr>
              <w:t>29</w:t>
            </w:r>
          </w:p>
        </w:tc>
        <w:tc>
          <w:tcPr>
            <w:tcW w:w="369" w:type="pct"/>
            <w:vAlign w:val="bottom"/>
          </w:tcPr>
          <w:p w:rsidR="00000000" w:rsidRDefault="00000000">
            <w:pPr>
              <w:jc w:val="center"/>
              <w:rPr>
                <w:color w:val="000000"/>
                <w:sz w:val="18"/>
              </w:rPr>
            </w:pPr>
            <w:r>
              <w:rPr>
                <w:color w:val="000000"/>
                <w:sz w:val="18"/>
              </w:rPr>
              <w:t>5 818</w:t>
            </w:r>
          </w:p>
        </w:tc>
        <w:tc>
          <w:tcPr>
            <w:tcW w:w="332" w:type="pct"/>
            <w:vAlign w:val="bottom"/>
          </w:tcPr>
          <w:p w:rsidR="00000000" w:rsidRDefault="00000000">
            <w:pPr>
              <w:jc w:val="center"/>
              <w:rPr>
                <w:color w:val="000000"/>
                <w:sz w:val="18"/>
              </w:rPr>
            </w:pPr>
            <w:r>
              <w:rPr>
                <w:color w:val="000000"/>
                <w:sz w:val="18"/>
              </w:rPr>
              <w:t>71</w:t>
            </w:r>
          </w:p>
        </w:tc>
        <w:tc>
          <w:tcPr>
            <w:tcW w:w="355" w:type="pct"/>
            <w:vAlign w:val="bottom"/>
          </w:tcPr>
          <w:p w:rsidR="00000000" w:rsidRDefault="00000000">
            <w:pPr>
              <w:jc w:val="center"/>
              <w:rPr>
                <w:color w:val="000000"/>
                <w:sz w:val="18"/>
              </w:rPr>
            </w:pPr>
            <w:r>
              <w:rPr>
                <w:color w:val="000000"/>
                <w:sz w:val="18"/>
              </w:rPr>
              <w:t>8 156</w:t>
            </w:r>
          </w:p>
        </w:tc>
      </w:tr>
      <w:tr w:rsidR="00000000">
        <w:tblPrEx>
          <w:tblCellMar>
            <w:top w:w="0" w:type="dxa"/>
            <w:bottom w:w="0" w:type="dxa"/>
          </w:tblCellMar>
        </w:tblPrEx>
        <w:tc>
          <w:tcPr>
            <w:tcW w:w="1034" w:type="pct"/>
          </w:tcPr>
          <w:p w:rsidR="00000000" w:rsidRDefault="00000000">
            <w:pPr>
              <w:rPr>
                <w:color w:val="000000"/>
                <w:sz w:val="18"/>
              </w:rPr>
            </w:pPr>
            <w:r>
              <w:rPr>
                <w:color w:val="000000"/>
                <w:sz w:val="18"/>
              </w:rPr>
              <w:t>Среднее образование</w:t>
            </w:r>
          </w:p>
        </w:tc>
        <w:tc>
          <w:tcPr>
            <w:tcW w:w="355" w:type="pct"/>
            <w:vAlign w:val="bottom"/>
          </w:tcPr>
          <w:p w:rsidR="00000000" w:rsidRDefault="00000000">
            <w:pPr>
              <w:jc w:val="center"/>
              <w:rPr>
                <w:color w:val="000000"/>
                <w:sz w:val="18"/>
              </w:rPr>
            </w:pPr>
            <w:r>
              <w:rPr>
                <w:color w:val="000000"/>
                <w:sz w:val="18"/>
              </w:rPr>
              <w:t>1 521</w:t>
            </w:r>
          </w:p>
        </w:tc>
        <w:tc>
          <w:tcPr>
            <w:tcW w:w="321" w:type="pct"/>
            <w:vAlign w:val="bottom"/>
          </w:tcPr>
          <w:p w:rsidR="00000000" w:rsidRDefault="00000000">
            <w:pPr>
              <w:jc w:val="center"/>
              <w:rPr>
                <w:color w:val="000000"/>
                <w:sz w:val="18"/>
              </w:rPr>
            </w:pPr>
            <w:r>
              <w:rPr>
                <w:color w:val="000000"/>
                <w:sz w:val="18"/>
              </w:rPr>
              <w:t>76</w:t>
            </w:r>
          </w:p>
        </w:tc>
        <w:tc>
          <w:tcPr>
            <w:tcW w:w="399" w:type="pct"/>
            <w:vAlign w:val="bottom"/>
          </w:tcPr>
          <w:p w:rsidR="00000000" w:rsidRDefault="00000000">
            <w:pPr>
              <w:jc w:val="center"/>
              <w:rPr>
                <w:color w:val="000000"/>
                <w:sz w:val="18"/>
              </w:rPr>
            </w:pPr>
            <w:r>
              <w:rPr>
                <w:color w:val="000000"/>
                <w:sz w:val="18"/>
              </w:rPr>
              <w:t>304</w:t>
            </w:r>
          </w:p>
        </w:tc>
        <w:tc>
          <w:tcPr>
            <w:tcW w:w="325" w:type="pct"/>
            <w:vAlign w:val="bottom"/>
          </w:tcPr>
          <w:p w:rsidR="00000000" w:rsidRDefault="00000000">
            <w:pPr>
              <w:jc w:val="center"/>
              <w:rPr>
                <w:color w:val="000000"/>
                <w:sz w:val="18"/>
              </w:rPr>
            </w:pPr>
            <w:r>
              <w:rPr>
                <w:color w:val="000000"/>
                <w:sz w:val="18"/>
              </w:rPr>
              <w:t>15</w:t>
            </w:r>
          </w:p>
        </w:tc>
        <w:tc>
          <w:tcPr>
            <w:tcW w:w="514" w:type="pct"/>
            <w:vAlign w:val="bottom"/>
          </w:tcPr>
          <w:p w:rsidR="00000000" w:rsidRDefault="00000000">
            <w:pPr>
              <w:jc w:val="center"/>
              <w:rPr>
                <w:color w:val="000000"/>
                <w:sz w:val="18"/>
              </w:rPr>
            </w:pPr>
            <w:r>
              <w:rPr>
                <w:color w:val="000000"/>
                <w:sz w:val="18"/>
              </w:rPr>
              <w:t>189</w:t>
            </w:r>
          </w:p>
        </w:tc>
        <w:tc>
          <w:tcPr>
            <w:tcW w:w="291" w:type="pct"/>
            <w:vAlign w:val="bottom"/>
          </w:tcPr>
          <w:p w:rsidR="00000000" w:rsidRDefault="00000000">
            <w:pPr>
              <w:jc w:val="center"/>
              <w:rPr>
                <w:color w:val="000000"/>
                <w:sz w:val="18"/>
              </w:rPr>
            </w:pPr>
            <w:r>
              <w:rPr>
                <w:color w:val="000000"/>
                <w:sz w:val="18"/>
              </w:rPr>
              <w:t>9</w:t>
            </w:r>
          </w:p>
        </w:tc>
        <w:tc>
          <w:tcPr>
            <w:tcW w:w="406" w:type="pct"/>
            <w:vAlign w:val="bottom"/>
          </w:tcPr>
          <w:p w:rsidR="00000000" w:rsidRDefault="00000000">
            <w:pPr>
              <w:jc w:val="center"/>
              <w:rPr>
                <w:color w:val="000000"/>
                <w:sz w:val="18"/>
              </w:rPr>
            </w:pPr>
            <w:r>
              <w:rPr>
                <w:color w:val="000000"/>
                <w:sz w:val="18"/>
              </w:rPr>
              <w:t>987</w:t>
            </w:r>
          </w:p>
        </w:tc>
        <w:tc>
          <w:tcPr>
            <w:tcW w:w="300" w:type="pct"/>
            <w:vAlign w:val="bottom"/>
          </w:tcPr>
          <w:p w:rsidR="00000000" w:rsidRDefault="00000000">
            <w:pPr>
              <w:jc w:val="center"/>
              <w:rPr>
                <w:color w:val="000000"/>
                <w:sz w:val="18"/>
              </w:rPr>
            </w:pPr>
            <w:r>
              <w:rPr>
                <w:color w:val="000000"/>
                <w:sz w:val="18"/>
              </w:rPr>
              <w:t>49</w:t>
            </w:r>
          </w:p>
        </w:tc>
        <w:tc>
          <w:tcPr>
            <w:tcW w:w="369" w:type="pct"/>
            <w:vAlign w:val="bottom"/>
          </w:tcPr>
          <w:p w:rsidR="00000000" w:rsidRDefault="00000000">
            <w:pPr>
              <w:jc w:val="center"/>
              <w:rPr>
                <w:color w:val="000000"/>
                <w:sz w:val="18"/>
              </w:rPr>
            </w:pPr>
            <w:r>
              <w:rPr>
                <w:color w:val="000000"/>
                <w:sz w:val="18"/>
              </w:rPr>
              <w:t>1 027</w:t>
            </w:r>
          </w:p>
        </w:tc>
        <w:tc>
          <w:tcPr>
            <w:tcW w:w="332" w:type="pct"/>
            <w:vAlign w:val="bottom"/>
          </w:tcPr>
          <w:p w:rsidR="00000000" w:rsidRDefault="00000000">
            <w:pPr>
              <w:jc w:val="center"/>
              <w:rPr>
                <w:color w:val="000000"/>
                <w:sz w:val="18"/>
              </w:rPr>
            </w:pPr>
            <w:r>
              <w:rPr>
                <w:color w:val="000000"/>
                <w:sz w:val="18"/>
              </w:rPr>
              <w:t>51</w:t>
            </w:r>
          </w:p>
        </w:tc>
        <w:tc>
          <w:tcPr>
            <w:tcW w:w="355" w:type="pct"/>
            <w:vAlign w:val="bottom"/>
          </w:tcPr>
          <w:p w:rsidR="00000000" w:rsidRDefault="00000000">
            <w:pPr>
              <w:jc w:val="center"/>
              <w:rPr>
                <w:color w:val="000000"/>
                <w:sz w:val="18"/>
              </w:rPr>
            </w:pPr>
            <w:r>
              <w:rPr>
                <w:color w:val="000000"/>
                <w:sz w:val="18"/>
              </w:rPr>
              <w:t>2 014</w:t>
            </w:r>
          </w:p>
        </w:tc>
      </w:tr>
      <w:tr w:rsidR="00000000">
        <w:tblPrEx>
          <w:tblCellMar>
            <w:top w:w="0" w:type="dxa"/>
            <w:bottom w:w="0" w:type="dxa"/>
          </w:tblCellMar>
        </w:tblPrEx>
        <w:tc>
          <w:tcPr>
            <w:tcW w:w="1034" w:type="pct"/>
          </w:tcPr>
          <w:p w:rsidR="00000000" w:rsidRDefault="00000000">
            <w:pPr>
              <w:rPr>
                <w:color w:val="000000"/>
                <w:sz w:val="18"/>
              </w:rPr>
            </w:pPr>
            <w:r>
              <w:rPr>
                <w:color w:val="000000"/>
                <w:sz w:val="18"/>
              </w:rPr>
              <w:t>Профессиональная подготовка</w:t>
            </w:r>
          </w:p>
        </w:tc>
        <w:tc>
          <w:tcPr>
            <w:tcW w:w="355" w:type="pct"/>
            <w:vAlign w:val="bottom"/>
          </w:tcPr>
          <w:p w:rsidR="00000000" w:rsidRDefault="00000000">
            <w:pPr>
              <w:jc w:val="center"/>
              <w:rPr>
                <w:color w:val="000000"/>
                <w:sz w:val="18"/>
              </w:rPr>
            </w:pPr>
            <w:r>
              <w:rPr>
                <w:color w:val="000000"/>
                <w:sz w:val="18"/>
              </w:rPr>
              <w:t>11</w:t>
            </w:r>
          </w:p>
        </w:tc>
        <w:tc>
          <w:tcPr>
            <w:tcW w:w="321" w:type="pct"/>
            <w:vAlign w:val="bottom"/>
          </w:tcPr>
          <w:p w:rsidR="00000000" w:rsidRDefault="00000000">
            <w:pPr>
              <w:jc w:val="center"/>
              <w:rPr>
                <w:color w:val="000000"/>
                <w:sz w:val="18"/>
              </w:rPr>
            </w:pPr>
            <w:r>
              <w:rPr>
                <w:color w:val="000000"/>
                <w:sz w:val="18"/>
              </w:rPr>
              <w:t>58</w:t>
            </w:r>
          </w:p>
        </w:tc>
        <w:tc>
          <w:tcPr>
            <w:tcW w:w="399" w:type="pct"/>
            <w:vAlign w:val="bottom"/>
          </w:tcPr>
          <w:p w:rsidR="00000000" w:rsidRDefault="00000000">
            <w:pPr>
              <w:jc w:val="center"/>
              <w:rPr>
                <w:color w:val="000000"/>
                <w:sz w:val="18"/>
              </w:rPr>
            </w:pPr>
            <w:r>
              <w:rPr>
                <w:color w:val="000000"/>
                <w:sz w:val="18"/>
              </w:rPr>
              <w:t>3</w:t>
            </w:r>
          </w:p>
        </w:tc>
        <w:tc>
          <w:tcPr>
            <w:tcW w:w="325" w:type="pct"/>
            <w:vAlign w:val="bottom"/>
          </w:tcPr>
          <w:p w:rsidR="00000000" w:rsidRDefault="00000000">
            <w:pPr>
              <w:jc w:val="center"/>
              <w:rPr>
                <w:color w:val="000000"/>
                <w:sz w:val="18"/>
              </w:rPr>
            </w:pPr>
            <w:r>
              <w:rPr>
                <w:color w:val="000000"/>
                <w:sz w:val="18"/>
              </w:rPr>
              <w:t>16</w:t>
            </w:r>
          </w:p>
        </w:tc>
        <w:tc>
          <w:tcPr>
            <w:tcW w:w="514" w:type="pct"/>
            <w:vAlign w:val="bottom"/>
          </w:tcPr>
          <w:p w:rsidR="00000000" w:rsidRDefault="00000000">
            <w:pPr>
              <w:jc w:val="center"/>
              <w:rPr>
                <w:color w:val="000000"/>
                <w:sz w:val="18"/>
              </w:rPr>
            </w:pPr>
            <w:r>
              <w:rPr>
                <w:color w:val="000000"/>
                <w:sz w:val="18"/>
              </w:rPr>
              <w:t>5</w:t>
            </w:r>
          </w:p>
        </w:tc>
        <w:tc>
          <w:tcPr>
            <w:tcW w:w="291" w:type="pct"/>
            <w:vAlign w:val="bottom"/>
          </w:tcPr>
          <w:p w:rsidR="00000000" w:rsidRDefault="00000000">
            <w:pPr>
              <w:jc w:val="center"/>
              <w:rPr>
                <w:color w:val="000000"/>
                <w:sz w:val="18"/>
              </w:rPr>
            </w:pPr>
            <w:r>
              <w:rPr>
                <w:color w:val="000000"/>
                <w:sz w:val="18"/>
              </w:rPr>
              <w:t>26</w:t>
            </w:r>
          </w:p>
        </w:tc>
        <w:tc>
          <w:tcPr>
            <w:tcW w:w="406" w:type="pct"/>
            <w:vAlign w:val="bottom"/>
          </w:tcPr>
          <w:p w:rsidR="00000000" w:rsidRDefault="00000000">
            <w:pPr>
              <w:jc w:val="center"/>
              <w:rPr>
                <w:color w:val="000000"/>
                <w:sz w:val="18"/>
              </w:rPr>
            </w:pPr>
            <w:r>
              <w:rPr>
                <w:color w:val="000000"/>
                <w:sz w:val="18"/>
              </w:rPr>
              <w:t>16</w:t>
            </w:r>
          </w:p>
        </w:tc>
        <w:tc>
          <w:tcPr>
            <w:tcW w:w="300" w:type="pct"/>
            <w:vAlign w:val="bottom"/>
          </w:tcPr>
          <w:p w:rsidR="00000000" w:rsidRDefault="00000000">
            <w:pPr>
              <w:jc w:val="center"/>
              <w:rPr>
                <w:color w:val="000000"/>
                <w:sz w:val="18"/>
              </w:rPr>
            </w:pPr>
            <w:r>
              <w:rPr>
                <w:color w:val="000000"/>
                <w:sz w:val="18"/>
              </w:rPr>
              <w:t>84</w:t>
            </w:r>
          </w:p>
        </w:tc>
        <w:tc>
          <w:tcPr>
            <w:tcW w:w="369" w:type="pct"/>
            <w:vAlign w:val="bottom"/>
          </w:tcPr>
          <w:p w:rsidR="00000000" w:rsidRDefault="00000000">
            <w:pPr>
              <w:jc w:val="center"/>
              <w:rPr>
                <w:color w:val="000000"/>
                <w:sz w:val="18"/>
              </w:rPr>
            </w:pPr>
            <w:r>
              <w:rPr>
                <w:color w:val="000000"/>
                <w:sz w:val="18"/>
              </w:rPr>
              <w:t>3</w:t>
            </w:r>
          </w:p>
        </w:tc>
        <w:tc>
          <w:tcPr>
            <w:tcW w:w="332" w:type="pct"/>
            <w:vAlign w:val="bottom"/>
          </w:tcPr>
          <w:p w:rsidR="00000000" w:rsidRDefault="00000000">
            <w:pPr>
              <w:jc w:val="center"/>
              <w:rPr>
                <w:color w:val="000000"/>
                <w:sz w:val="18"/>
              </w:rPr>
            </w:pPr>
            <w:r>
              <w:rPr>
                <w:color w:val="000000"/>
                <w:sz w:val="18"/>
              </w:rPr>
              <w:t>16</w:t>
            </w:r>
          </w:p>
        </w:tc>
        <w:tc>
          <w:tcPr>
            <w:tcW w:w="355" w:type="pct"/>
            <w:vAlign w:val="bottom"/>
          </w:tcPr>
          <w:p w:rsidR="00000000" w:rsidRDefault="00000000">
            <w:pPr>
              <w:jc w:val="center"/>
              <w:rPr>
                <w:color w:val="000000"/>
                <w:sz w:val="18"/>
              </w:rPr>
            </w:pPr>
            <w:r>
              <w:rPr>
                <w:color w:val="000000"/>
                <w:sz w:val="18"/>
              </w:rPr>
              <w:t>19</w:t>
            </w:r>
          </w:p>
        </w:tc>
      </w:tr>
      <w:tr w:rsidR="00000000">
        <w:tblPrEx>
          <w:tblCellMar>
            <w:top w:w="0" w:type="dxa"/>
            <w:bottom w:w="0" w:type="dxa"/>
          </w:tblCellMar>
        </w:tblPrEx>
        <w:tc>
          <w:tcPr>
            <w:tcW w:w="1034" w:type="pct"/>
          </w:tcPr>
          <w:p w:rsidR="00000000" w:rsidRDefault="00000000">
            <w:pPr>
              <w:rPr>
                <w:color w:val="000000"/>
                <w:sz w:val="18"/>
              </w:rPr>
            </w:pPr>
            <w:r>
              <w:rPr>
                <w:color w:val="000000"/>
                <w:sz w:val="18"/>
              </w:rPr>
              <w:t>Подготовка педагогов</w:t>
            </w:r>
          </w:p>
        </w:tc>
        <w:tc>
          <w:tcPr>
            <w:tcW w:w="355" w:type="pct"/>
            <w:vAlign w:val="bottom"/>
          </w:tcPr>
          <w:p w:rsidR="00000000" w:rsidRDefault="00000000">
            <w:pPr>
              <w:jc w:val="center"/>
              <w:rPr>
                <w:color w:val="000000"/>
                <w:sz w:val="18"/>
              </w:rPr>
            </w:pPr>
            <w:r>
              <w:rPr>
                <w:color w:val="000000"/>
                <w:sz w:val="18"/>
              </w:rPr>
              <w:t>35</w:t>
            </w:r>
          </w:p>
        </w:tc>
        <w:tc>
          <w:tcPr>
            <w:tcW w:w="321" w:type="pct"/>
            <w:vAlign w:val="bottom"/>
          </w:tcPr>
          <w:p w:rsidR="00000000" w:rsidRDefault="00000000">
            <w:pPr>
              <w:jc w:val="center"/>
              <w:rPr>
                <w:color w:val="000000"/>
                <w:sz w:val="18"/>
              </w:rPr>
            </w:pPr>
            <w:r>
              <w:rPr>
                <w:color w:val="000000"/>
                <w:sz w:val="18"/>
              </w:rPr>
              <w:t>33</w:t>
            </w:r>
          </w:p>
        </w:tc>
        <w:tc>
          <w:tcPr>
            <w:tcW w:w="399" w:type="pct"/>
            <w:vAlign w:val="bottom"/>
          </w:tcPr>
          <w:p w:rsidR="00000000" w:rsidRDefault="00000000">
            <w:pPr>
              <w:jc w:val="center"/>
              <w:rPr>
                <w:color w:val="000000"/>
                <w:sz w:val="18"/>
              </w:rPr>
            </w:pPr>
            <w:r>
              <w:rPr>
                <w:color w:val="000000"/>
                <w:sz w:val="18"/>
              </w:rPr>
              <w:t>61</w:t>
            </w:r>
          </w:p>
        </w:tc>
        <w:tc>
          <w:tcPr>
            <w:tcW w:w="325" w:type="pct"/>
            <w:vAlign w:val="bottom"/>
          </w:tcPr>
          <w:p w:rsidR="00000000" w:rsidRDefault="00000000">
            <w:pPr>
              <w:jc w:val="center"/>
              <w:rPr>
                <w:color w:val="000000"/>
                <w:sz w:val="18"/>
              </w:rPr>
            </w:pPr>
            <w:r>
              <w:rPr>
                <w:color w:val="000000"/>
                <w:sz w:val="18"/>
              </w:rPr>
              <w:t>58</w:t>
            </w:r>
          </w:p>
        </w:tc>
        <w:tc>
          <w:tcPr>
            <w:tcW w:w="514" w:type="pct"/>
            <w:vAlign w:val="bottom"/>
          </w:tcPr>
          <w:p w:rsidR="00000000" w:rsidRDefault="00000000">
            <w:pPr>
              <w:jc w:val="center"/>
              <w:rPr>
                <w:color w:val="000000"/>
                <w:sz w:val="18"/>
              </w:rPr>
            </w:pPr>
            <w:r>
              <w:rPr>
                <w:color w:val="000000"/>
                <w:sz w:val="18"/>
              </w:rPr>
              <w:t>10</w:t>
            </w:r>
          </w:p>
        </w:tc>
        <w:tc>
          <w:tcPr>
            <w:tcW w:w="291" w:type="pct"/>
            <w:vAlign w:val="bottom"/>
          </w:tcPr>
          <w:p w:rsidR="00000000" w:rsidRDefault="00000000">
            <w:pPr>
              <w:jc w:val="center"/>
              <w:rPr>
                <w:color w:val="000000"/>
                <w:sz w:val="18"/>
              </w:rPr>
            </w:pPr>
            <w:r>
              <w:rPr>
                <w:color w:val="000000"/>
                <w:sz w:val="18"/>
              </w:rPr>
              <w:t>9</w:t>
            </w:r>
          </w:p>
        </w:tc>
        <w:tc>
          <w:tcPr>
            <w:tcW w:w="406" w:type="pct"/>
            <w:vAlign w:val="bottom"/>
          </w:tcPr>
          <w:p w:rsidR="00000000" w:rsidRDefault="00000000">
            <w:pPr>
              <w:jc w:val="center"/>
              <w:rPr>
                <w:color w:val="000000"/>
                <w:sz w:val="18"/>
              </w:rPr>
            </w:pPr>
            <w:r>
              <w:rPr>
                <w:color w:val="000000"/>
                <w:sz w:val="18"/>
              </w:rPr>
              <w:t>96</w:t>
            </w:r>
          </w:p>
        </w:tc>
        <w:tc>
          <w:tcPr>
            <w:tcW w:w="300" w:type="pct"/>
            <w:vAlign w:val="bottom"/>
          </w:tcPr>
          <w:p w:rsidR="00000000" w:rsidRDefault="00000000">
            <w:pPr>
              <w:jc w:val="center"/>
              <w:rPr>
                <w:color w:val="000000"/>
                <w:sz w:val="18"/>
              </w:rPr>
            </w:pPr>
            <w:r>
              <w:rPr>
                <w:color w:val="000000"/>
                <w:sz w:val="18"/>
              </w:rPr>
              <w:t>91</w:t>
            </w:r>
          </w:p>
        </w:tc>
        <w:tc>
          <w:tcPr>
            <w:tcW w:w="369" w:type="pct"/>
            <w:vAlign w:val="bottom"/>
          </w:tcPr>
          <w:p w:rsidR="00000000" w:rsidRDefault="00000000">
            <w:pPr>
              <w:jc w:val="center"/>
              <w:rPr>
                <w:color w:val="000000"/>
                <w:sz w:val="18"/>
              </w:rPr>
            </w:pPr>
            <w:r>
              <w:rPr>
                <w:color w:val="000000"/>
                <w:sz w:val="18"/>
              </w:rPr>
              <w:t>10</w:t>
            </w:r>
          </w:p>
        </w:tc>
        <w:tc>
          <w:tcPr>
            <w:tcW w:w="332" w:type="pct"/>
            <w:vAlign w:val="bottom"/>
          </w:tcPr>
          <w:p w:rsidR="00000000" w:rsidRDefault="00000000">
            <w:pPr>
              <w:jc w:val="center"/>
              <w:rPr>
                <w:color w:val="000000"/>
                <w:sz w:val="18"/>
              </w:rPr>
            </w:pPr>
            <w:r>
              <w:rPr>
                <w:color w:val="000000"/>
                <w:sz w:val="18"/>
              </w:rPr>
              <w:t>9</w:t>
            </w:r>
          </w:p>
        </w:tc>
        <w:tc>
          <w:tcPr>
            <w:tcW w:w="355" w:type="pct"/>
            <w:vAlign w:val="bottom"/>
          </w:tcPr>
          <w:p w:rsidR="00000000" w:rsidRDefault="00000000">
            <w:pPr>
              <w:jc w:val="center"/>
              <w:rPr>
                <w:color w:val="000000"/>
                <w:sz w:val="18"/>
              </w:rPr>
            </w:pPr>
            <w:r>
              <w:rPr>
                <w:color w:val="000000"/>
                <w:sz w:val="18"/>
              </w:rPr>
              <w:t>106</w:t>
            </w:r>
          </w:p>
        </w:tc>
      </w:tr>
      <w:tr w:rsidR="00000000">
        <w:tblPrEx>
          <w:tblCellMar>
            <w:top w:w="0" w:type="dxa"/>
            <w:bottom w:w="0" w:type="dxa"/>
          </w:tblCellMar>
        </w:tblPrEx>
        <w:tc>
          <w:tcPr>
            <w:tcW w:w="1034" w:type="pct"/>
          </w:tcPr>
          <w:p w:rsidR="00000000" w:rsidRDefault="00000000">
            <w:pPr>
              <w:rPr>
                <w:color w:val="000000"/>
                <w:sz w:val="18"/>
              </w:rPr>
            </w:pPr>
            <w:r>
              <w:rPr>
                <w:color w:val="000000"/>
                <w:sz w:val="18"/>
              </w:rPr>
              <w:t>Высшее техническое образование</w:t>
            </w:r>
          </w:p>
        </w:tc>
        <w:tc>
          <w:tcPr>
            <w:tcW w:w="355" w:type="pct"/>
            <w:vAlign w:val="bottom"/>
          </w:tcPr>
          <w:p w:rsidR="00000000" w:rsidRDefault="00000000">
            <w:pPr>
              <w:jc w:val="center"/>
              <w:rPr>
                <w:color w:val="000000"/>
                <w:sz w:val="18"/>
              </w:rPr>
            </w:pPr>
            <w:r>
              <w:rPr>
                <w:color w:val="000000"/>
                <w:sz w:val="18"/>
              </w:rPr>
              <w:t>2</w:t>
            </w:r>
          </w:p>
        </w:tc>
        <w:tc>
          <w:tcPr>
            <w:tcW w:w="321" w:type="pct"/>
            <w:vAlign w:val="bottom"/>
          </w:tcPr>
          <w:p w:rsidR="00000000" w:rsidRDefault="00000000">
            <w:pPr>
              <w:jc w:val="center"/>
              <w:rPr>
                <w:color w:val="000000"/>
                <w:sz w:val="18"/>
              </w:rPr>
            </w:pPr>
            <w:r>
              <w:rPr>
                <w:color w:val="000000"/>
                <w:sz w:val="18"/>
              </w:rPr>
              <w:t>13</w:t>
            </w:r>
          </w:p>
        </w:tc>
        <w:tc>
          <w:tcPr>
            <w:tcW w:w="399" w:type="pct"/>
            <w:vAlign w:val="bottom"/>
          </w:tcPr>
          <w:p w:rsidR="00000000" w:rsidRDefault="00000000">
            <w:pPr>
              <w:jc w:val="center"/>
              <w:rPr>
                <w:color w:val="000000"/>
                <w:sz w:val="18"/>
              </w:rPr>
            </w:pPr>
            <w:r>
              <w:rPr>
                <w:color w:val="000000"/>
                <w:sz w:val="18"/>
              </w:rPr>
              <w:t>13</w:t>
            </w:r>
          </w:p>
        </w:tc>
        <w:tc>
          <w:tcPr>
            <w:tcW w:w="325" w:type="pct"/>
            <w:vAlign w:val="bottom"/>
          </w:tcPr>
          <w:p w:rsidR="00000000" w:rsidRDefault="00000000">
            <w:pPr>
              <w:jc w:val="center"/>
              <w:rPr>
                <w:color w:val="000000"/>
                <w:sz w:val="18"/>
              </w:rPr>
            </w:pPr>
            <w:r>
              <w:rPr>
                <w:color w:val="000000"/>
                <w:sz w:val="18"/>
              </w:rPr>
              <w:t>87</w:t>
            </w:r>
          </w:p>
        </w:tc>
        <w:tc>
          <w:tcPr>
            <w:tcW w:w="514" w:type="pct"/>
            <w:vAlign w:val="bottom"/>
          </w:tcPr>
          <w:p w:rsidR="00000000" w:rsidRDefault="00000000">
            <w:pPr>
              <w:jc w:val="center"/>
              <w:rPr>
                <w:color w:val="000000"/>
                <w:sz w:val="18"/>
              </w:rPr>
            </w:pPr>
            <w:r>
              <w:rPr>
                <w:color w:val="000000"/>
                <w:sz w:val="18"/>
              </w:rPr>
              <w:t>-</w:t>
            </w:r>
          </w:p>
        </w:tc>
        <w:tc>
          <w:tcPr>
            <w:tcW w:w="291" w:type="pct"/>
            <w:vAlign w:val="bottom"/>
          </w:tcPr>
          <w:p w:rsidR="00000000" w:rsidRDefault="00000000">
            <w:pPr>
              <w:jc w:val="center"/>
              <w:rPr>
                <w:color w:val="000000"/>
                <w:sz w:val="18"/>
              </w:rPr>
            </w:pPr>
            <w:r>
              <w:rPr>
                <w:color w:val="000000"/>
                <w:sz w:val="18"/>
              </w:rPr>
              <w:t>-</w:t>
            </w:r>
          </w:p>
        </w:tc>
        <w:tc>
          <w:tcPr>
            <w:tcW w:w="406" w:type="pct"/>
            <w:vAlign w:val="bottom"/>
          </w:tcPr>
          <w:p w:rsidR="00000000" w:rsidRDefault="00000000">
            <w:pPr>
              <w:jc w:val="center"/>
              <w:rPr>
                <w:color w:val="000000"/>
                <w:sz w:val="18"/>
              </w:rPr>
            </w:pPr>
            <w:r>
              <w:rPr>
                <w:color w:val="000000"/>
                <w:sz w:val="18"/>
              </w:rPr>
              <w:t>14</w:t>
            </w:r>
          </w:p>
        </w:tc>
        <w:tc>
          <w:tcPr>
            <w:tcW w:w="300" w:type="pct"/>
            <w:vAlign w:val="bottom"/>
          </w:tcPr>
          <w:p w:rsidR="00000000" w:rsidRDefault="00000000">
            <w:pPr>
              <w:jc w:val="center"/>
              <w:rPr>
                <w:color w:val="000000"/>
                <w:sz w:val="18"/>
              </w:rPr>
            </w:pPr>
            <w:r>
              <w:rPr>
                <w:color w:val="000000"/>
                <w:sz w:val="18"/>
              </w:rPr>
              <w:t>93</w:t>
            </w:r>
          </w:p>
        </w:tc>
        <w:tc>
          <w:tcPr>
            <w:tcW w:w="369" w:type="pct"/>
            <w:vAlign w:val="bottom"/>
          </w:tcPr>
          <w:p w:rsidR="00000000" w:rsidRDefault="00000000">
            <w:pPr>
              <w:jc w:val="center"/>
              <w:rPr>
                <w:color w:val="000000"/>
                <w:sz w:val="18"/>
              </w:rPr>
            </w:pPr>
            <w:r>
              <w:rPr>
                <w:color w:val="000000"/>
                <w:sz w:val="18"/>
              </w:rPr>
              <w:t>1</w:t>
            </w:r>
          </w:p>
        </w:tc>
        <w:tc>
          <w:tcPr>
            <w:tcW w:w="332" w:type="pct"/>
            <w:vAlign w:val="bottom"/>
          </w:tcPr>
          <w:p w:rsidR="00000000" w:rsidRDefault="00000000">
            <w:pPr>
              <w:jc w:val="center"/>
              <w:rPr>
                <w:color w:val="000000"/>
                <w:sz w:val="18"/>
              </w:rPr>
            </w:pPr>
            <w:r>
              <w:rPr>
                <w:color w:val="000000"/>
                <w:sz w:val="18"/>
              </w:rPr>
              <w:t>7</w:t>
            </w:r>
          </w:p>
        </w:tc>
        <w:tc>
          <w:tcPr>
            <w:tcW w:w="355" w:type="pct"/>
            <w:vAlign w:val="bottom"/>
          </w:tcPr>
          <w:p w:rsidR="00000000" w:rsidRDefault="00000000">
            <w:pPr>
              <w:jc w:val="center"/>
              <w:rPr>
                <w:color w:val="000000"/>
                <w:sz w:val="18"/>
              </w:rPr>
            </w:pPr>
            <w:r>
              <w:rPr>
                <w:color w:val="000000"/>
                <w:sz w:val="18"/>
              </w:rPr>
              <w:t>15</w:t>
            </w:r>
          </w:p>
        </w:tc>
      </w:tr>
      <w:tr w:rsidR="00000000">
        <w:tblPrEx>
          <w:tblCellMar>
            <w:top w:w="0" w:type="dxa"/>
            <w:bottom w:w="0" w:type="dxa"/>
          </w:tblCellMar>
        </w:tblPrEx>
        <w:tc>
          <w:tcPr>
            <w:tcW w:w="1034" w:type="pct"/>
          </w:tcPr>
          <w:p w:rsidR="00000000" w:rsidRDefault="00000000">
            <w:pPr>
              <w:rPr>
                <w:color w:val="000000"/>
                <w:sz w:val="18"/>
              </w:rPr>
            </w:pPr>
            <w:r>
              <w:rPr>
                <w:color w:val="000000"/>
                <w:sz w:val="18"/>
              </w:rPr>
              <w:t>Специальное образование</w:t>
            </w:r>
          </w:p>
        </w:tc>
        <w:tc>
          <w:tcPr>
            <w:tcW w:w="355" w:type="pct"/>
            <w:vAlign w:val="bottom"/>
          </w:tcPr>
          <w:p w:rsidR="00000000" w:rsidRDefault="00000000">
            <w:pPr>
              <w:jc w:val="center"/>
              <w:rPr>
                <w:color w:val="000000"/>
                <w:sz w:val="18"/>
              </w:rPr>
            </w:pPr>
            <w:r>
              <w:rPr>
                <w:color w:val="000000"/>
                <w:sz w:val="18"/>
              </w:rPr>
              <w:t>26</w:t>
            </w:r>
          </w:p>
        </w:tc>
        <w:tc>
          <w:tcPr>
            <w:tcW w:w="321" w:type="pct"/>
            <w:vAlign w:val="bottom"/>
          </w:tcPr>
          <w:p w:rsidR="00000000" w:rsidRDefault="00000000">
            <w:pPr>
              <w:jc w:val="center"/>
              <w:rPr>
                <w:color w:val="000000"/>
                <w:sz w:val="18"/>
              </w:rPr>
            </w:pPr>
            <w:r>
              <w:rPr>
                <w:color w:val="000000"/>
                <w:sz w:val="18"/>
              </w:rPr>
              <w:t>46</w:t>
            </w:r>
          </w:p>
        </w:tc>
        <w:tc>
          <w:tcPr>
            <w:tcW w:w="399" w:type="pct"/>
            <w:vAlign w:val="bottom"/>
          </w:tcPr>
          <w:p w:rsidR="00000000" w:rsidRDefault="00000000">
            <w:pPr>
              <w:jc w:val="center"/>
              <w:rPr>
                <w:color w:val="000000"/>
                <w:sz w:val="18"/>
              </w:rPr>
            </w:pPr>
            <w:r>
              <w:rPr>
                <w:color w:val="000000"/>
                <w:sz w:val="18"/>
              </w:rPr>
              <w:t>9</w:t>
            </w:r>
          </w:p>
        </w:tc>
        <w:tc>
          <w:tcPr>
            <w:tcW w:w="325" w:type="pct"/>
            <w:vAlign w:val="bottom"/>
          </w:tcPr>
          <w:p w:rsidR="00000000" w:rsidRDefault="00000000">
            <w:pPr>
              <w:jc w:val="center"/>
              <w:rPr>
                <w:color w:val="000000"/>
                <w:sz w:val="18"/>
              </w:rPr>
            </w:pPr>
            <w:r>
              <w:rPr>
                <w:color w:val="000000"/>
                <w:sz w:val="18"/>
              </w:rPr>
              <w:t>16</w:t>
            </w:r>
          </w:p>
        </w:tc>
        <w:tc>
          <w:tcPr>
            <w:tcW w:w="514" w:type="pct"/>
            <w:vAlign w:val="bottom"/>
          </w:tcPr>
          <w:p w:rsidR="00000000" w:rsidRDefault="00000000">
            <w:pPr>
              <w:jc w:val="center"/>
              <w:rPr>
                <w:color w:val="000000"/>
                <w:sz w:val="18"/>
              </w:rPr>
            </w:pPr>
            <w:r>
              <w:rPr>
                <w:color w:val="000000"/>
                <w:sz w:val="18"/>
              </w:rPr>
              <w:t>22</w:t>
            </w:r>
          </w:p>
        </w:tc>
        <w:tc>
          <w:tcPr>
            <w:tcW w:w="291" w:type="pct"/>
            <w:vAlign w:val="bottom"/>
          </w:tcPr>
          <w:p w:rsidR="00000000" w:rsidRDefault="00000000">
            <w:pPr>
              <w:jc w:val="center"/>
              <w:rPr>
                <w:color w:val="000000"/>
                <w:sz w:val="18"/>
              </w:rPr>
            </w:pPr>
            <w:r>
              <w:rPr>
                <w:color w:val="000000"/>
                <w:sz w:val="18"/>
              </w:rPr>
              <w:t>39</w:t>
            </w:r>
          </w:p>
        </w:tc>
        <w:tc>
          <w:tcPr>
            <w:tcW w:w="406" w:type="pct"/>
            <w:vAlign w:val="bottom"/>
          </w:tcPr>
          <w:p w:rsidR="00000000" w:rsidRDefault="00000000">
            <w:pPr>
              <w:jc w:val="center"/>
              <w:rPr>
                <w:color w:val="000000"/>
                <w:sz w:val="18"/>
              </w:rPr>
            </w:pPr>
            <w:r>
              <w:rPr>
                <w:color w:val="000000"/>
                <w:sz w:val="18"/>
              </w:rPr>
              <w:t>55</w:t>
            </w:r>
          </w:p>
        </w:tc>
        <w:tc>
          <w:tcPr>
            <w:tcW w:w="300" w:type="pct"/>
            <w:vAlign w:val="bottom"/>
          </w:tcPr>
          <w:p w:rsidR="00000000" w:rsidRDefault="00000000">
            <w:pPr>
              <w:jc w:val="center"/>
              <w:rPr>
                <w:color w:val="000000"/>
                <w:sz w:val="18"/>
              </w:rPr>
            </w:pPr>
            <w:r>
              <w:rPr>
                <w:color w:val="000000"/>
                <w:sz w:val="18"/>
              </w:rPr>
              <w:t>96</w:t>
            </w:r>
          </w:p>
        </w:tc>
        <w:tc>
          <w:tcPr>
            <w:tcW w:w="369" w:type="pct"/>
            <w:vAlign w:val="bottom"/>
          </w:tcPr>
          <w:p w:rsidR="00000000" w:rsidRDefault="00000000">
            <w:pPr>
              <w:jc w:val="center"/>
              <w:rPr>
                <w:color w:val="000000"/>
                <w:sz w:val="18"/>
              </w:rPr>
            </w:pPr>
            <w:r>
              <w:rPr>
                <w:color w:val="000000"/>
                <w:sz w:val="18"/>
              </w:rPr>
              <w:t>2</w:t>
            </w:r>
          </w:p>
        </w:tc>
        <w:tc>
          <w:tcPr>
            <w:tcW w:w="332" w:type="pct"/>
            <w:vAlign w:val="bottom"/>
          </w:tcPr>
          <w:p w:rsidR="00000000" w:rsidRDefault="00000000">
            <w:pPr>
              <w:jc w:val="center"/>
              <w:rPr>
                <w:color w:val="000000"/>
                <w:sz w:val="18"/>
              </w:rPr>
            </w:pPr>
            <w:r>
              <w:rPr>
                <w:color w:val="000000"/>
                <w:sz w:val="18"/>
              </w:rPr>
              <w:t>4</w:t>
            </w:r>
          </w:p>
        </w:tc>
        <w:tc>
          <w:tcPr>
            <w:tcW w:w="355" w:type="pct"/>
            <w:vAlign w:val="bottom"/>
          </w:tcPr>
          <w:p w:rsidR="00000000" w:rsidRDefault="00000000">
            <w:pPr>
              <w:jc w:val="center"/>
              <w:rPr>
                <w:color w:val="000000"/>
                <w:sz w:val="18"/>
              </w:rPr>
            </w:pPr>
            <w:r>
              <w:rPr>
                <w:color w:val="000000"/>
                <w:sz w:val="18"/>
              </w:rPr>
              <w:t>57</w:t>
            </w:r>
          </w:p>
        </w:tc>
      </w:tr>
      <w:tr w:rsidR="00000000">
        <w:tblPrEx>
          <w:tblCellMar>
            <w:top w:w="0" w:type="dxa"/>
            <w:bottom w:w="0" w:type="dxa"/>
          </w:tblCellMar>
        </w:tblPrEx>
        <w:tc>
          <w:tcPr>
            <w:tcW w:w="1034" w:type="pct"/>
          </w:tcPr>
          <w:p w:rsidR="00000000" w:rsidRDefault="00000000">
            <w:pPr>
              <w:rPr>
                <w:color w:val="000000"/>
                <w:sz w:val="18"/>
              </w:rPr>
            </w:pPr>
            <w:r>
              <w:rPr>
                <w:color w:val="000000"/>
                <w:sz w:val="18"/>
              </w:rPr>
              <w:t>Специальное в рамках базового школьного</w:t>
            </w:r>
          </w:p>
        </w:tc>
        <w:tc>
          <w:tcPr>
            <w:tcW w:w="355" w:type="pct"/>
            <w:vAlign w:val="bottom"/>
          </w:tcPr>
          <w:p w:rsidR="00000000" w:rsidRDefault="00000000">
            <w:pPr>
              <w:jc w:val="center"/>
              <w:rPr>
                <w:color w:val="000000"/>
                <w:sz w:val="18"/>
              </w:rPr>
            </w:pPr>
            <w:r>
              <w:rPr>
                <w:color w:val="000000"/>
                <w:sz w:val="18"/>
              </w:rPr>
              <w:t>505</w:t>
            </w:r>
          </w:p>
        </w:tc>
        <w:tc>
          <w:tcPr>
            <w:tcW w:w="321" w:type="pct"/>
            <w:vAlign w:val="bottom"/>
          </w:tcPr>
          <w:p w:rsidR="00000000" w:rsidRDefault="00000000">
            <w:pPr>
              <w:jc w:val="center"/>
              <w:rPr>
                <w:color w:val="000000"/>
                <w:sz w:val="18"/>
              </w:rPr>
            </w:pPr>
            <w:r>
              <w:rPr>
                <w:color w:val="000000"/>
                <w:sz w:val="18"/>
              </w:rPr>
              <w:t>88</w:t>
            </w:r>
          </w:p>
        </w:tc>
        <w:tc>
          <w:tcPr>
            <w:tcW w:w="399" w:type="pct"/>
            <w:vAlign w:val="bottom"/>
          </w:tcPr>
          <w:p w:rsidR="00000000" w:rsidRDefault="00000000">
            <w:pPr>
              <w:jc w:val="center"/>
              <w:rPr>
                <w:color w:val="000000"/>
                <w:sz w:val="18"/>
              </w:rPr>
            </w:pPr>
            <w:r>
              <w:rPr>
                <w:color w:val="000000"/>
                <w:sz w:val="18"/>
              </w:rPr>
              <w:t>2</w:t>
            </w:r>
          </w:p>
        </w:tc>
        <w:tc>
          <w:tcPr>
            <w:tcW w:w="325" w:type="pct"/>
            <w:vAlign w:val="bottom"/>
          </w:tcPr>
          <w:p w:rsidR="00000000" w:rsidRDefault="00000000">
            <w:pPr>
              <w:jc w:val="center"/>
              <w:rPr>
                <w:color w:val="000000"/>
                <w:sz w:val="18"/>
              </w:rPr>
            </w:pPr>
            <w:r>
              <w:rPr>
                <w:color w:val="000000"/>
                <w:sz w:val="18"/>
              </w:rPr>
              <w:t>0</w:t>
            </w:r>
          </w:p>
        </w:tc>
        <w:tc>
          <w:tcPr>
            <w:tcW w:w="514" w:type="pct"/>
            <w:vAlign w:val="bottom"/>
          </w:tcPr>
          <w:p w:rsidR="00000000" w:rsidRDefault="00000000">
            <w:pPr>
              <w:jc w:val="center"/>
              <w:rPr>
                <w:color w:val="000000"/>
                <w:sz w:val="18"/>
              </w:rPr>
            </w:pPr>
            <w:r>
              <w:rPr>
                <w:color w:val="000000"/>
                <w:sz w:val="18"/>
              </w:rPr>
              <w:t>66</w:t>
            </w:r>
          </w:p>
        </w:tc>
        <w:tc>
          <w:tcPr>
            <w:tcW w:w="291" w:type="pct"/>
            <w:vAlign w:val="bottom"/>
          </w:tcPr>
          <w:p w:rsidR="00000000" w:rsidRDefault="00000000">
            <w:pPr>
              <w:jc w:val="center"/>
              <w:rPr>
                <w:color w:val="000000"/>
                <w:sz w:val="18"/>
              </w:rPr>
            </w:pPr>
            <w:r>
              <w:rPr>
                <w:color w:val="000000"/>
                <w:sz w:val="18"/>
              </w:rPr>
              <w:t>12</w:t>
            </w:r>
          </w:p>
        </w:tc>
        <w:tc>
          <w:tcPr>
            <w:tcW w:w="406" w:type="pct"/>
            <w:vAlign w:val="bottom"/>
          </w:tcPr>
          <w:p w:rsidR="00000000" w:rsidRDefault="00000000">
            <w:pPr>
              <w:jc w:val="center"/>
              <w:rPr>
                <w:color w:val="000000"/>
                <w:sz w:val="18"/>
              </w:rPr>
            </w:pPr>
            <w:r>
              <w:rPr>
                <w:color w:val="000000"/>
                <w:sz w:val="18"/>
              </w:rPr>
              <w:t>317</w:t>
            </w:r>
          </w:p>
        </w:tc>
        <w:tc>
          <w:tcPr>
            <w:tcW w:w="300" w:type="pct"/>
            <w:vAlign w:val="bottom"/>
          </w:tcPr>
          <w:p w:rsidR="00000000" w:rsidRDefault="00000000">
            <w:pPr>
              <w:jc w:val="center"/>
              <w:rPr>
                <w:color w:val="000000"/>
                <w:sz w:val="18"/>
              </w:rPr>
            </w:pPr>
            <w:r>
              <w:rPr>
                <w:color w:val="000000"/>
                <w:sz w:val="18"/>
              </w:rPr>
              <w:t>55</w:t>
            </w:r>
          </w:p>
        </w:tc>
        <w:tc>
          <w:tcPr>
            <w:tcW w:w="369" w:type="pct"/>
            <w:vAlign w:val="bottom"/>
          </w:tcPr>
          <w:p w:rsidR="00000000" w:rsidRDefault="00000000">
            <w:pPr>
              <w:jc w:val="center"/>
              <w:rPr>
                <w:color w:val="000000"/>
                <w:sz w:val="18"/>
              </w:rPr>
            </w:pPr>
            <w:r>
              <w:rPr>
                <w:color w:val="000000"/>
                <w:sz w:val="18"/>
              </w:rPr>
              <w:t>256</w:t>
            </w:r>
          </w:p>
        </w:tc>
        <w:tc>
          <w:tcPr>
            <w:tcW w:w="332" w:type="pct"/>
            <w:vAlign w:val="bottom"/>
          </w:tcPr>
          <w:p w:rsidR="00000000" w:rsidRDefault="00000000">
            <w:pPr>
              <w:jc w:val="center"/>
              <w:rPr>
                <w:color w:val="000000"/>
                <w:sz w:val="18"/>
              </w:rPr>
            </w:pPr>
            <w:r>
              <w:rPr>
                <w:color w:val="000000"/>
                <w:sz w:val="18"/>
              </w:rPr>
              <w:t>45</w:t>
            </w:r>
          </w:p>
        </w:tc>
        <w:tc>
          <w:tcPr>
            <w:tcW w:w="355" w:type="pct"/>
            <w:vAlign w:val="bottom"/>
          </w:tcPr>
          <w:p w:rsidR="00000000" w:rsidRDefault="00000000">
            <w:pPr>
              <w:jc w:val="center"/>
              <w:rPr>
                <w:color w:val="000000"/>
                <w:sz w:val="18"/>
              </w:rPr>
            </w:pPr>
            <w:r>
              <w:rPr>
                <w:color w:val="000000"/>
                <w:sz w:val="18"/>
              </w:rPr>
              <w:t>573</w:t>
            </w:r>
          </w:p>
        </w:tc>
      </w:tr>
      <w:tr w:rsidR="00000000">
        <w:tblPrEx>
          <w:tblCellMar>
            <w:top w:w="0" w:type="dxa"/>
            <w:bottom w:w="0" w:type="dxa"/>
          </w:tblCellMar>
        </w:tblPrEx>
        <w:tc>
          <w:tcPr>
            <w:tcW w:w="1034" w:type="pct"/>
          </w:tcPr>
          <w:p w:rsidR="00000000" w:rsidRDefault="00000000">
            <w:pPr>
              <w:rPr>
                <w:color w:val="000000"/>
                <w:sz w:val="18"/>
              </w:rPr>
            </w:pPr>
            <w:r>
              <w:rPr>
                <w:color w:val="000000"/>
                <w:sz w:val="18"/>
              </w:rPr>
              <w:t xml:space="preserve">Среднее специальное </w:t>
            </w:r>
          </w:p>
        </w:tc>
        <w:tc>
          <w:tcPr>
            <w:tcW w:w="355" w:type="pct"/>
            <w:vAlign w:val="bottom"/>
          </w:tcPr>
          <w:p w:rsidR="00000000" w:rsidRDefault="00000000">
            <w:pPr>
              <w:jc w:val="center"/>
              <w:rPr>
                <w:color w:val="000000"/>
                <w:sz w:val="18"/>
              </w:rPr>
            </w:pPr>
            <w:r>
              <w:rPr>
                <w:color w:val="000000"/>
                <w:sz w:val="18"/>
              </w:rPr>
              <w:t>-</w:t>
            </w:r>
          </w:p>
        </w:tc>
        <w:tc>
          <w:tcPr>
            <w:tcW w:w="321" w:type="pct"/>
            <w:vAlign w:val="bottom"/>
          </w:tcPr>
          <w:p w:rsidR="00000000" w:rsidRDefault="00000000">
            <w:pPr>
              <w:jc w:val="center"/>
              <w:rPr>
                <w:color w:val="000000"/>
                <w:sz w:val="18"/>
              </w:rPr>
            </w:pPr>
            <w:r>
              <w:rPr>
                <w:color w:val="000000"/>
                <w:sz w:val="18"/>
              </w:rPr>
              <w:t>-</w:t>
            </w:r>
          </w:p>
        </w:tc>
        <w:tc>
          <w:tcPr>
            <w:tcW w:w="399" w:type="pct"/>
            <w:vAlign w:val="bottom"/>
          </w:tcPr>
          <w:p w:rsidR="00000000" w:rsidRDefault="00000000">
            <w:pPr>
              <w:jc w:val="center"/>
              <w:rPr>
                <w:color w:val="000000"/>
                <w:sz w:val="18"/>
              </w:rPr>
            </w:pPr>
            <w:r>
              <w:rPr>
                <w:color w:val="000000"/>
                <w:sz w:val="18"/>
              </w:rPr>
              <w:t>141</w:t>
            </w:r>
          </w:p>
        </w:tc>
        <w:tc>
          <w:tcPr>
            <w:tcW w:w="325" w:type="pct"/>
            <w:vAlign w:val="bottom"/>
          </w:tcPr>
          <w:p w:rsidR="00000000" w:rsidRDefault="00000000">
            <w:pPr>
              <w:jc w:val="center"/>
              <w:rPr>
                <w:color w:val="000000"/>
                <w:sz w:val="18"/>
              </w:rPr>
            </w:pPr>
            <w:r>
              <w:rPr>
                <w:color w:val="000000"/>
                <w:sz w:val="18"/>
              </w:rPr>
              <w:t>100</w:t>
            </w:r>
          </w:p>
        </w:tc>
        <w:tc>
          <w:tcPr>
            <w:tcW w:w="514" w:type="pct"/>
            <w:vAlign w:val="bottom"/>
          </w:tcPr>
          <w:p w:rsidR="00000000" w:rsidRDefault="00000000">
            <w:pPr>
              <w:jc w:val="center"/>
              <w:rPr>
                <w:color w:val="000000"/>
                <w:sz w:val="18"/>
              </w:rPr>
            </w:pPr>
            <w:r>
              <w:rPr>
                <w:color w:val="000000"/>
                <w:sz w:val="18"/>
              </w:rPr>
              <w:t>-</w:t>
            </w:r>
          </w:p>
        </w:tc>
        <w:tc>
          <w:tcPr>
            <w:tcW w:w="291" w:type="pct"/>
            <w:vAlign w:val="bottom"/>
          </w:tcPr>
          <w:p w:rsidR="00000000" w:rsidRDefault="00000000">
            <w:pPr>
              <w:jc w:val="center"/>
              <w:rPr>
                <w:color w:val="000000"/>
                <w:sz w:val="18"/>
              </w:rPr>
            </w:pPr>
            <w:r>
              <w:rPr>
                <w:color w:val="000000"/>
                <w:sz w:val="18"/>
              </w:rPr>
              <w:t>-</w:t>
            </w:r>
          </w:p>
        </w:tc>
        <w:tc>
          <w:tcPr>
            <w:tcW w:w="406" w:type="pct"/>
            <w:vAlign w:val="bottom"/>
          </w:tcPr>
          <w:p w:rsidR="00000000" w:rsidRDefault="00000000">
            <w:pPr>
              <w:jc w:val="center"/>
              <w:rPr>
                <w:color w:val="000000"/>
                <w:sz w:val="18"/>
              </w:rPr>
            </w:pPr>
            <w:r>
              <w:rPr>
                <w:color w:val="000000"/>
                <w:sz w:val="18"/>
              </w:rPr>
              <w:t>121</w:t>
            </w:r>
          </w:p>
        </w:tc>
        <w:tc>
          <w:tcPr>
            <w:tcW w:w="300" w:type="pct"/>
            <w:vAlign w:val="bottom"/>
          </w:tcPr>
          <w:p w:rsidR="00000000" w:rsidRDefault="00000000">
            <w:pPr>
              <w:jc w:val="center"/>
              <w:rPr>
                <w:color w:val="000000"/>
                <w:sz w:val="18"/>
              </w:rPr>
            </w:pPr>
            <w:r>
              <w:rPr>
                <w:color w:val="000000"/>
                <w:sz w:val="18"/>
              </w:rPr>
              <w:t>86</w:t>
            </w:r>
          </w:p>
        </w:tc>
        <w:tc>
          <w:tcPr>
            <w:tcW w:w="369" w:type="pct"/>
            <w:vAlign w:val="bottom"/>
          </w:tcPr>
          <w:p w:rsidR="00000000" w:rsidRDefault="00000000">
            <w:pPr>
              <w:jc w:val="center"/>
              <w:rPr>
                <w:color w:val="000000"/>
                <w:sz w:val="18"/>
              </w:rPr>
            </w:pPr>
            <w:r>
              <w:rPr>
                <w:color w:val="000000"/>
                <w:sz w:val="18"/>
              </w:rPr>
              <w:t>20</w:t>
            </w:r>
          </w:p>
        </w:tc>
        <w:tc>
          <w:tcPr>
            <w:tcW w:w="332" w:type="pct"/>
            <w:vAlign w:val="bottom"/>
          </w:tcPr>
          <w:p w:rsidR="00000000" w:rsidRDefault="00000000">
            <w:pPr>
              <w:jc w:val="center"/>
              <w:rPr>
                <w:color w:val="000000"/>
                <w:sz w:val="18"/>
              </w:rPr>
            </w:pPr>
            <w:r>
              <w:rPr>
                <w:color w:val="000000"/>
                <w:sz w:val="18"/>
              </w:rPr>
              <w:t>14</w:t>
            </w:r>
          </w:p>
        </w:tc>
        <w:tc>
          <w:tcPr>
            <w:tcW w:w="355" w:type="pct"/>
            <w:vAlign w:val="bottom"/>
          </w:tcPr>
          <w:p w:rsidR="00000000" w:rsidRDefault="00000000">
            <w:pPr>
              <w:jc w:val="center"/>
              <w:rPr>
                <w:color w:val="000000"/>
                <w:sz w:val="18"/>
              </w:rPr>
            </w:pPr>
            <w:r>
              <w:rPr>
                <w:color w:val="000000"/>
                <w:sz w:val="18"/>
              </w:rPr>
              <w:t>141</w:t>
            </w:r>
          </w:p>
        </w:tc>
      </w:tr>
      <w:tr w:rsidR="00000000">
        <w:tblPrEx>
          <w:tblCellMar>
            <w:top w:w="0" w:type="dxa"/>
            <w:bottom w:w="0" w:type="dxa"/>
          </w:tblCellMar>
        </w:tblPrEx>
        <w:tc>
          <w:tcPr>
            <w:tcW w:w="1034" w:type="pct"/>
          </w:tcPr>
          <w:p w:rsidR="00000000" w:rsidRDefault="00000000">
            <w:pPr>
              <w:spacing w:line="240" w:lineRule="auto"/>
              <w:rPr>
                <w:color w:val="000000"/>
                <w:sz w:val="18"/>
              </w:rPr>
            </w:pPr>
            <w:r>
              <w:rPr>
                <w:color w:val="000000"/>
                <w:sz w:val="18"/>
              </w:rPr>
              <w:t>Образование молодежи и взрослых</w:t>
            </w:r>
          </w:p>
        </w:tc>
        <w:tc>
          <w:tcPr>
            <w:tcW w:w="355" w:type="pct"/>
            <w:vAlign w:val="bottom"/>
          </w:tcPr>
          <w:p w:rsidR="00000000" w:rsidRDefault="00000000">
            <w:pPr>
              <w:jc w:val="center"/>
              <w:rPr>
                <w:color w:val="000000"/>
                <w:sz w:val="18"/>
              </w:rPr>
            </w:pPr>
            <w:r>
              <w:rPr>
                <w:color w:val="000000"/>
                <w:sz w:val="18"/>
              </w:rPr>
              <w:t>1 047</w:t>
            </w:r>
          </w:p>
        </w:tc>
        <w:tc>
          <w:tcPr>
            <w:tcW w:w="321" w:type="pct"/>
            <w:vAlign w:val="bottom"/>
          </w:tcPr>
          <w:p w:rsidR="00000000" w:rsidRDefault="00000000">
            <w:pPr>
              <w:jc w:val="center"/>
              <w:rPr>
                <w:color w:val="000000"/>
                <w:sz w:val="18"/>
              </w:rPr>
            </w:pPr>
            <w:r>
              <w:rPr>
                <w:color w:val="000000"/>
                <w:sz w:val="18"/>
              </w:rPr>
              <w:t>70</w:t>
            </w:r>
          </w:p>
        </w:tc>
        <w:tc>
          <w:tcPr>
            <w:tcW w:w="399" w:type="pct"/>
            <w:vAlign w:val="bottom"/>
          </w:tcPr>
          <w:p w:rsidR="00000000" w:rsidRDefault="00000000">
            <w:pPr>
              <w:jc w:val="center"/>
              <w:rPr>
                <w:color w:val="000000"/>
                <w:sz w:val="18"/>
              </w:rPr>
            </w:pPr>
            <w:r>
              <w:rPr>
                <w:color w:val="000000"/>
                <w:sz w:val="18"/>
              </w:rPr>
              <w:t>414</w:t>
            </w:r>
          </w:p>
        </w:tc>
        <w:tc>
          <w:tcPr>
            <w:tcW w:w="325" w:type="pct"/>
            <w:vAlign w:val="bottom"/>
          </w:tcPr>
          <w:p w:rsidR="00000000" w:rsidRDefault="00000000">
            <w:pPr>
              <w:jc w:val="center"/>
              <w:rPr>
                <w:color w:val="000000"/>
                <w:sz w:val="18"/>
              </w:rPr>
            </w:pPr>
            <w:r>
              <w:rPr>
                <w:color w:val="000000"/>
                <w:sz w:val="18"/>
              </w:rPr>
              <w:t>28</w:t>
            </w:r>
          </w:p>
        </w:tc>
        <w:tc>
          <w:tcPr>
            <w:tcW w:w="514" w:type="pct"/>
            <w:vAlign w:val="bottom"/>
          </w:tcPr>
          <w:p w:rsidR="00000000" w:rsidRDefault="00000000">
            <w:pPr>
              <w:jc w:val="center"/>
              <w:rPr>
                <w:color w:val="000000"/>
                <w:sz w:val="18"/>
              </w:rPr>
            </w:pPr>
            <w:r>
              <w:rPr>
                <w:color w:val="000000"/>
                <w:sz w:val="18"/>
              </w:rPr>
              <w:t>33</w:t>
            </w:r>
          </w:p>
        </w:tc>
        <w:tc>
          <w:tcPr>
            <w:tcW w:w="291" w:type="pct"/>
            <w:vAlign w:val="bottom"/>
          </w:tcPr>
          <w:p w:rsidR="00000000" w:rsidRDefault="00000000">
            <w:pPr>
              <w:jc w:val="center"/>
              <w:rPr>
                <w:color w:val="000000"/>
                <w:sz w:val="18"/>
              </w:rPr>
            </w:pPr>
            <w:r>
              <w:rPr>
                <w:color w:val="000000"/>
                <w:sz w:val="18"/>
              </w:rPr>
              <w:t>2</w:t>
            </w:r>
          </w:p>
        </w:tc>
        <w:tc>
          <w:tcPr>
            <w:tcW w:w="406" w:type="pct"/>
            <w:vAlign w:val="bottom"/>
          </w:tcPr>
          <w:p w:rsidR="00000000" w:rsidRDefault="00000000">
            <w:pPr>
              <w:jc w:val="center"/>
              <w:rPr>
                <w:color w:val="000000"/>
                <w:sz w:val="18"/>
              </w:rPr>
            </w:pPr>
            <w:r>
              <w:rPr>
                <w:color w:val="000000"/>
                <w:sz w:val="18"/>
              </w:rPr>
              <w:t>706</w:t>
            </w:r>
          </w:p>
        </w:tc>
        <w:tc>
          <w:tcPr>
            <w:tcW w:w="300" w:type="pct"/>
            <w:vAlign w:val="bottom"/>
          </w:tcPr>
          <w:p w:rsidR="00000000" w:rsidRDefault="00000000">
            <w:pPr>
              <w:jc w:val="center"/>
              <w:rPr>
                <w:color w:val="000000"/>
                <w:sz w:val="18"/>
              </w:rPr>
            </w:pPr>
            <w:r>
              <w:rPr>
                <w:color w:val="000000"/>
                <w:sz w:val="18"/>
              </w:rPr>
              <w:t>47</w:t>
            </w:r>
          </w:p>
        </w:tc>
        <w:tc>
          <w:tcPr>
            <w:tcW w:w="369" w:type="pct"/>
            <w:vAlign w:val="bottom"/>
          </w:tcPr>
          <w:p w:rsidR="00000000" w:rsidRDefault="00000000">
            <w:pPr>
              <w:jc w:val="center"/>
              <w:rPr>
                <w:color w:val="000000"/>
                <w:sz w:val="18"/>
              </w:rPr>
            </w:pPr>
            <w:r>
              <w:rPr>
                <w:color w:val="000000"/>
                <w:sz w:val="18"/>
              </w:rPr>
              <w:t>788</w:t>
            </w:r>
          </w:p>
        </w:tc>
        <w:tc>
          <w:tcPr>
            <w:tcW w:w="332" w:type="pct"/>
            <w:vAlign w:val="bottom"/>
          </w:tcPr>
          <w:p w:rsidR="00000000" w:rsidRDefault="00000000">
            <w:pPr>
              <w:jc w:val="center"/>
              <w:rPr>
                <w:color w:val="000000"/>
                <w:sz w:val="18"/>
              </w:rPr>
            </w:pPr>
            <w:r>
              <w:rPr>
                <w:color w:val="000000"/>
                <w:sz w:val="18"/>
              </w:rPr>
              <w:t>53</w:t>
            </w:r>
          </w:p>
        </w:tc>
        <w:tc>
          <w:tcPr>
            <w:tcW w:w="355" w:type="pct"/>
            <w:vAlign w:val="bottom"/>
          </w:tcPr>
          <w:p w:rsidR="00000000" w:rsidRDefault="00000000">
            <w:pPr>
              <w:jc w:val="center"/>
              <w:rPr>
                <w:color w:val="000000"/>
                <w:sz w:val="18"/>
              </w:rPr>
            </w:pPr>
            <w:r>
              <w:rPr>
                <w:color w:val="000000"/>
                <w:sz w:val="18"/>
              </w:rPr>
              <w:t>1 494</w:t>
            </w:r>
          </w:p>
        </w:tc>
      </w:tr>
      <w:tr w:rsidR="00000000">
        <w:tblPrEx>
          <w:tblCellMar>
            <w:top w:w="0" w:type="dxa"/>
            <w:bottom w:w="0" w:type="dxa"/>
          </w:tblCellMar>
        </w:tblPrEx>
        <w:tc>
          <w:tcPr>
            <w:tcW w:w="1034" w:type="pct"/>
          </w:tcPr>
          <w:p w:rsidR="00000000" w:rsidRDefault="00000000">
            <w:pPr>
              <w:spacing w:line="240" w:lineRule="auto"/>
              <w:rPr>
                <w:color w:val="000000"/>
                <w:sz w:val="18"/>
              </w:rPr>
            </w:pPr>
            <w:r>
              <w:rPr>
                <w:color w:val="000000"/>
                <w:sz w:val="18"/>
              </w:rPr>
              <w:t>Профессиональное обучение</w:t>
            </w:r>
          </w:p>
        </w:tc>
        <w:tc>
          <w:tcPr>
            <w:tcW w:w="355" w:type="pct"/>
            <w:vAlign w:val="bottom"/>
          </w:tcPr>
          <w:p w:rsidR="00000000" w:rsidRDefault="00000000">
            <w:pPr>
              <w:jc w:val="center"/>
              <w:rPr>
                <w:color w:val="000000"/>
                <w:sz w:val="18"/>
              </w:rPr>
            </w:pPr>
            <w:r>
              <w:rPr>
                <w:color w:val="000000"/>
                <w:sz w:val="18"/>
              </w:rPr>
              <w:t>33</w:t>
            </w:r>
          </w:p>
        </w:tc>
        <w:tc>
          <w:tcPr>
            <w:tcW w:w="321" w:type="pct"/>
            <w:vAlign w:val="bottom"/>
          </w:tcPr>
          <w:p w:rsidR="00000000" w:rsidRDefault="00000000">
            <w:pPr>
              <w:jc w:val="center"/>
              <w:rPr>
                <w:color w:val="000000"/>
                <w:sz w:val="18"/>
              </w:rPr>
            </w:pPr>
            <w:r>
              <w:rPr>
                <w:color w:val="000000"/>
                <w:sz w:val="18"/>
              </w:rPr>
              <w:t>9</w:t>
            </w:r>
          </w:p>
        </w:tc>
        <w:tc>
          <w:tcPr>
            <w:tcW w:w="399" w:type="pct"/>
            <w:vAlign w:val="bottom"/>
          </w:tcPr>
          <w:p w:rsidR="00000000" w:rsidRDefault="00000000">
            <w:pPr>
              <w:jc w:val="center"/>
              <w:rPr>
                <w:color w:val="000000"/>
                <w:sz w:val="18"/>
              </w:rPr>
            </w:pPr>
            <w:r>
              <w:rPr>
                <w:color w:val="000000"/>
                <w:sz w:val="18"/>
              </w:rPr>
              <w:t>258</w:t>
            </w:r>
          </w:p>
        </w:tc>
        <w:tc>
          <w:tcPr>
            <w:tcW w:w="325" w:type="pct"/>
            <w:vAlign w:val="bottom"/>
          </w:tcPr>
          <w:p w:rsidR="00000000" w:rsidRDefault="00000000">
            <w:pPr>
              <w:jc w:val="center"/>
              <w:rPr>
                <w:color w:val="000000"/>
                <w:sz w:val="18"/>
              </w:rPr>
            </w:pPr>
            <w:r>
              <w:rPr>
                <w:color w:val="000000"/>
                <w:sz w:val="18"/>
              </w:rPr>
              <w:t>72</w:t>
            </w:r>
          </w:p>
        </w:tc>
        <w:tc>
          <w:tcPr>
            <w:tcW w:w="514" w:type="pct"/>
            <w:vAlign w:val="bottom"/>
          </w:tcPr>
          <w:p w:rsidR="00000000" w:rsidRDefault="00000000">
            <w:pPr>
              <w:jc w:val="center"/>
              <w:rPr>
                <w:color w:val="000000"/>
                <w:sz w:val="18"/>
              </w:rPr>
            </w:pPr>
            <w:r>
              <w:rPr>
                <w:color w:val="000000"/>
                <w:sz w:val="18"/>
              </w:rPr>
              <w:t>66</w:t>
            </w:r>
          </w:p>
        </w:tc>
        <w:tc>
          <w:tcPr>
            <w:tcW w:w="291" w:type="pct"/>
            <w:vAlign w:val="bottom"/>
          </w:tcPr>
          <w:p w:rsidR="00000000" w:rsidRDefault="00000000">
            <w:pPr>
              <w:jc w:val="center"/>
              <w:rPr>
                <w:color w:val="000000"/>
                <w:sz w:val="18"/>
              </w:rPr>
            </w:pPr>
            <w:r>
              <w:rPr>
                <w:color w:val="000000"/>
                <w:sz w:val="18"/>
              </w:rPr>
              <w:t>18</w:t>
            </w:r>
          </w:p>
        </w:tc>
        <w:tc>
          <w:tcPr>
            <w:tcW w:w="406" w:type="pct"/>
            <w:vAlign w:val="bottom"/>
          </w:tcPr>
          <w:p w:rsidR="00000000" w:rsidRDefault="00000000">
            <w:pPr>
              <w:jc w:val="center"/>
              <w:rPr>
                <w:color w:val="000000"/>
                <w:sz w:val="18"/>
              </w:rPr>
            </w:pPr>
            <w:r>
              <w:rPr>
                <w:color w:val="000000"/>
                <w:sz w:val="18"/>
              </w:rPr>
              <w:t>332</w:t>
            </w:r>
          </w:p>
        </w:tc>
        <w:tc>
          <w:tcPr>
            <w:tcW w:w="300" w:type="pct"/>
            <w:vAlign w:val="bottom"/>
          </w:tcPr>
          <w:p w:rsidR="00000000" w:rsidRDefault="00000000">
            <w:pPr>
              <w:jc w:val="center"/>
              <w:rPr>
                <w:color w:val="000000"/>
                <w:sz w:val="18"/>
              </w:rPr>
            </w:pPr>
            <w:r>
              <w:rPr>
                <w:color w:val="000000"/>
                <w:sz w:val="18"/>
              </w:rPr>
              <w:t>93</w:t>
            </w:r>
          </w:p>
        </w:tc>
        <w:tc>
          <w:tcPr>
            <w:tcW w:w="369" w:type="pct"/>
            <w:vAlign w:val="bottom"/>
          </w:tcPr>
          <w:p w:rsidR="00000000" w:rsidRDefault="00000000">
            <w:pPr>
              <w:jc w:val="center"/>
              <w:rPr>
                <w:color w:val="000000"/>
                <w:sz w:val="18"/>
              </w:rPr>
            </w:pPr>
            <w:r>
              <w:rPr>
                <w:color w:val="000000"/>
                <w:sz w:val="18"/>
              </w:rPr>
              <w:t>25</w:t>
            </w:r>
          </w:p>
        </w:tc>
        <w:tc>
          <w:tcPr>
            <w:tcW w:w="332" w:type="pct"/>
            <w:vAlign w:val="bottom"/>
          </w:tcPr>
          <w:p w:rsidR="00000000" w:rsidRDefault="00000000">
            <w:pPr>
              <w:jc w:val="center"/>
              <w:rPr>
                <w:color w:val="000000"/>
                <w:sz w:val="18"/>
              </w:rPr>
            </w:pPr>
            <w:r>
              <w:rPr>
                <w:color w:val="000000"/>
                <w:sz w:val="18"/>
              </w:rPr>
              <w:t>7</w:t>
            </w:r>
          </w:p>
        </w:tc>
        <w:tc>
          <w:tcPr>
            <w:tcW w:w="355" w:type="pct"/>
            <w:vAlign w:val="bottom"/>
          </w:tcPr>
          <w:p w:rsidR="00000000" w:rsidRDefault="00000000">
            <w:pPr>
              <w:jc w:val="center"/>
              <w:rPr>
                <w:color w:val="000000"/>
                <w:sz w:val="18"/>
              </w:rPr>
            </w:pPr>
            <w:r>
              <w:rPr>
                <w:color w:val="000000"/>
                <w:sz w:val="18"/>
              </w:rPr>
              <w:t>357</w:t>
            </w:r>
          </w:p>
        </w:tc>
      </w:tr>
    </w:tbl>
    <w:p w:rsidR="00000000" w:rsidRDefault="00000000">
      <w:pPr>
        <w:spacing w:line="216" w:lineRule="auto"/>
        <w:rPr>
          <w:i/>
          <w:iCs/>
          <w:color w:val="000000"/>
        </w:rPr>
      </w:pPr>
    </w:p>
    <w:p w:rsidR="00000000" w:rsidRDefault="00000000">
      <w:pPr>
        <w:spacing w:line="216" w:lineRule="auto"/>
        <w:rPr>
          <w:color w:val="000000"/>
        </w:rPr>
      </w:pPr>
      <w:r>
        <w:rPr>
          <w:i/>
          <w:iCs/>
        </w:rPr>
        <w:t>Источник</w:t>
      </w:r>
      <w:r>
        <w:rPr>
          <w:color w:val="000000"/>
        </w:rPr>
        <w:t>:  МПК, ГУППК.</w:t>
      </w:r>
    </w:p>
    <w:p w:rsidR="00000000" w:rsidRDefault="00000000">
      <w:pPr>
        <w:spacing w:line="216" w:lineRule="auto"/>
        <w:rPr>
          <w:color w:val="000000"/>
        </w:rPr>
      </w:pPr>
    </w:p>
    <w:p w:rsidR="00000000" w:rsidRDefault="00000000">
      <w:pPr>
        <w:rPr>
          <w:bCs/>
          <w:color w:val="000000"/>
        </w:rPr>
      </w:pPr>
      <w:r>
        <w:rPr>
          <w:i/>
          <w:iCs/>
          <w:color w:val="000000"/>
        </w:rPr>
        <w:t>Примечание</w:t>
      </w:r>
      <w:r>
        <w:rPr>
          <w:color w:val="000000"/>
        </w:rPr>
        <w:t>:  Имеются учебные заведения, предлагающие образование различных уровней и/или видов.</w:t>
      </w:r>
    </w:p>
    <w:p w:rsidR="00000000" w:rsidRDefault="00000000">
      <w:pPr>
        <w:rPr>
          <w:bCs/>
          <w:color w:val="000000"/>
        </w:rPr>
      </w:pPr>
    </w:p>
    <w:p w:rsidR="00000000" w:rsidRDefault="00000000">
      <w:pPr>
        <w:rPr>
          <w:b/>
          <w:color w:val="000000"/>
        </w:rPr>
      </w:pPr>
      <w:r>
        <w:rPr>
          <w:b/>
          <w:color w:val="000000"/>
        </w:rPr>
        <w:tab/>
        <w:t>2.1</w:t>
      </w:r>
      <w:r>
        <w:rPr>
          <w:b/>
          <w:color w:val="000000"/>
        </w:rPr>
        <w:tab/>
        <w:t>Школьное строительство</w:t>
      </w:r>
    </w:p>
    <w:p w:rsidR="00000000" w:rsidRDefault="00000000">
      <w:pPr>
        <w:rPr>
          <w:b/>
          <w:color w:val="000000"/>
        </w:rPr>
      </w:pPr>
    </w:p>
    <w:p w:rsidR="00000000" w:rsidRDefault="00000000">
      <w:pPr>
        <w:rPr>
          <w:szCs w:val="22"/>
        </w:rPr>
      </w:pPr>
      <w:r>
        <w:t>576.</w:t>
      </w:r>
      <w:r>
        <w:tab/>
        <w:t>Строятся школы различных видов и за счет различных источников финансирования;  например, строительство, осуществляемое непосредственно по линии министерства просвещения и культуры, строительство за счет средств, переданных ассоциациям школьных кооперативов (AШК), с помощью местных пожертвований или взносов (например, социальные объекты в Итайпу, отчисления из бюджета департаментов и т.д.).  Объекты строительства в текущем году перечисляются ниже</w:t>
      </w:r>
      <w:r>
        <w:rPr>
          <w:szCs w:val="22"/>
        </w:rPr>
        <w:t xml:space="preserve"> (сюда не включены объекты, построенные в Итайпу и органами управления):</w:t>
      </w:r>
    </w:p>
    <w:p w:rsidR="00000000" w:rsidRDefault="00000000">
      <w:pPr>
        <w:rPr>
          <w:szCs w:val="22"/>
        </w:rPr>
      </w:pPr>
    </w:p>
    <w:p w:rsidR="00000000" w:rsidRDefault="00000000">
      <w:pPr>
        <w:ind w:left="1134" w:hanging="1134"/>
      </w:pPr>
      <w:r>
        <w:rPr>
          <w:b/>
          <w:bCs/>
        </w:rPr>
        <w:tab/>
        <w:t>-</w:t>
      </w:r>
      <w:r>
        <w:rPr>
          <w:b/>
          <w:bCs/>
        </w:rPr>
        <w:tab/>
      </w:r>
      <w:r>
        <w:rPr>
          <w:b/>
          <w:szCs w:val="22"/>
        </w:rPr>
        <w:t xml:space="preserve">Программа </w:t>
      </w:r>
      <w:r>
        <w:rPr>
          <w:b/>
        </w:rPr>
        <w:t>активизации реформы базового школьного образования</w:t>
      </w:r>
      <w:r>
        <w:rPr>
          <w:b/>
          <w:bCs/>
        </w:rPr>
        <w:t xml:space="preserve"> - </w:t>
      </w:r>
      <w:r>
        <w:rPr>
          <w:b/>
          <w:szCs w:val="22"/>
        </w:rPr>
        <w:t>"Эскуэла Вива Экокатува"</w:t>
      </w:r>
      <w:r>
        <w:rPr>
          <w:b/>
          <w:bCs/>
        </w:rPr>
        <w:t xml:space="preserve">.  </w:t>
      </w:r>
      <w:r>
        <w:t>Обеспечивает инвестиции в инфраструктуру 130 учебных заведений на строительство и ремонт:  337 новых классов, 97 раздельных санузлов и 48 артезианских скважин.</w:t>
      </w:r>
    </w:p>
    <w:p w:rsidR="00000000" w:rsidRDefault="00000000">
      <w:pPr>
        <w:ind w:left="1134" w:hanging="1134"/>
      </w:pPr>
    </w:p>
    <w:p w:rsidR="00000000" w:rsidRDefault="00000000">
      <w:pPr>
        <w:ind w:left="1134" w:hanging="1134"/>
      </w:pPr>
      <w:r>
        <w:rPr>
          <w:b/>
          <w:bCs/>
        </w:rPr>
        <w:tab/>
        <w:t>-</w:t>
      </w:r>
      <w:r>
        <w:rPr>
          <w:b/>
          <w:bCs/>
        </w:rPr>
        <w:tab/>
        <w:t xml:space="preserve">Программа улучшения начального и дошкольного образования.  </w:t>
      </w:r>
      <w:r>
        <w:t>Предусматривается строительство 244 новых классов, оборудование 258 раздельных санузлов и 134 артезианских скважин.</w:t>
      </w:r>
    </w:p>
    <w:p w:rsidR="00000000" w:rsidRDefault="00000000"/>
    <w:p w:rsidR="00000000" w:rsidRDefault="00000000">
      <w:pPr>
        <w:ind w:left="1134" w:hanging="1134"/>
      </w:pPr>
      <w:r>
        <w:rPr>
          <w:b/>
          <w:bCs/>
        </w:rPr>
        <w:tab/>
        <w:t>-</w:t>
      </w:r>
      <w:r>
        <w:rPr>
          <w:b/>
          <w:bCs/>
        </w:rPr>
        <w:tab/>
        <w:t>Программа реформы образования с акцентом на среднее образование.</w:t>
      </w:r>
      <w:r>
        <w:t xml:space="preserve">  Началась разработка проектов для строительства трех типовых колледжей на окраинах городов в департаментах Каагуасу и Сентраль.</w:t>
      </w:r>
    </w:p>
    <w:p w:rsidR="00000000" w:rsidRDefault="00000000"/>
    <w:p w:rsidR="00000000" w:rsidRDefault="00000000">
      <w:r>
        <w:t>577.</w:t>
      </w:r>
      <w:r>
        <w:tab/>
        <w:t>За счет бюджетных средств министерства на 2005 год предусматривалось строительство 476 классов и оборудование 78 санузлов для учреждений базового и среднего школьного образования.  В 2005 году в рамках программ МПК-МБР и МПК</w:t>
      </w:r>
      <w:r>
        <w:noBreakHyphen/>
        <w:t>МБРР ассоциациям школьных кооперативов образовательных учреждений системы базового школьного образования и среднего образования были переданы средства на модернизацию инфраструктуры.  Средства, выделенные для 133 AШК базового школьного образования, составляют в среднем 18 млн. гуарани на каждый кооператив и предназначены исключительно для улучшения, поддержания или расширения материальной базы школьных учреждений (общая сумма составляет примерно 2 398 399 391 гуарани).</w:t>
      </w:r>
    </w:p>
    <w:p w:rsidR="00000000" w:rsidRDefault="00000000"/>
    <w:p w:rsidR="00000000" w:rsidRDefault="00000000">
      <w:r>
        <w:t>578.</w:t>
      </w:r>
      <w:r>
        <w:tab/>
        <w:t>В то же время средства, выделенные для 60 АШК среднего и технического образования, также составляют в среднем 18 млн. гуарани на каждый кооператив и предназначены исключительно для улучшения физической инфраструктуры (общая сумма составляет примерно 1 087 600 609 гуарани).</w:t>
      </w:r>
    </w:p>
    <w:p w:rsidR="00000000" w:rsidRDefault="00000000"/>
    <w:p w:rsidR="00000000" w:rsidRDefault="00000000">
      <w:pPr>
        <w:rPr>
          <w:b/>
          <w:bCs/>
          <w:color w:val="000000"/>
          <w:szCs w:val="28"/>
        </w:rPr>
      </w:pPr>
      <w:r>
        <w:rPr>
          <w:b/>
          <w:bCs/>
          <w:color w:val="000000"/>
          <w:szCs w:val="28"/>
        </w:rPr>
        <w:tab/>
        <w:t>2.2</w:t>
      </w:r>
      <w:r>
        <w:rPr>
          <w:b/>
          <w:bCs/>
          <w:color w:val="000000"/>
          <w:szCs w:val="28"/>
        </w:rPr>
        <w:tab/>
        <w:t>Школьный календарь</w:t>
      </w:r>
    </w:p>
    <w:p w:rsidR="00000000" w:rsidRDefault="00000000">
      <w:pPr>
        <w:rPr>
          <w:b/>
          <w:bCs/>
          <w:color w:val="000000"/>
          <w:szCs w:val="28"/>
        </w:rPr>
      </w:pPr>
    </w:p>
    <w:p w:rsidR="00000000" w:rsidRDefault="00000000">
      <w:pPr>
        <w:rPr>
          <w:color w:val="000000"/>
        </w:rPr>
      </w:pPr>
      <w:r>
        <w:rPr>
          <w:color w:val="000000"/>
        </w:rPr>
        <w:t>579.</w:t>
      </w:r>
      <w:r>
        <w:rPr>
          <w:color w:val="000000"/>
        </w:rPr>
        <w:tab/>
        <w:t xml:space="preserve">Школьный календарь устанавливается с учетом положений нижеследующих статей </w:t>
      </w:r>
      <w:r>
        <w:rPr>
          <w:bCs/>
          <w:color w:val="000000"/>
        </w:rPr>
        <w:t>Всеобщего закона об образовании</w:t>
      </w:r>
      <w:r>
        <w:rPr>
          <w:color w:val="000000"/>
        </w:rPr>
        <w:t xml:space="preserve"> (№ 1264):</w:t>
      </w:r>
    </w:p>
    <w:p w:rsidR="00000000" w:rsidRDefault="00000000">
      <w:pPr>
        <w:rPr>
          <w:color w:val="000000"/>
        </w:rPr>
      </w:pPr>
    </w:p>
    <w:p w:rsidR="00000000" w:rsidRDefault="00000000">
      <w:pPr>
        <w:ind w:left="567" w:hanging="567"/>
        <w:rPr>
          <w:color w:val="000000"/>
        </w:rPr>
      </w:pPr>
      <w:r>
        <w:rPr>
          <w:b/>
          <w:bCs/>
          <w:color w:val="000000"/>
        </w:rPr>
        <w:t>-</w:t>
      </w:r>
      <w:r>
        <w:rPr>
          <w:b/>
          <w:bCs/>
          <w:color w:val="000000"/>
        </w:rPr>
        <w:tab/>
        <w:t xml:space="preserve">Статья 114.  </w:t>
      </w:r>
      <w:r>
        <w:rPr>
          <w:color w:val="000000"/>
        </w:rPr>
        <w:t>Учебный год в системах базового школьного, среднего и профессионального образования продолжается не менее 200 рабочих дней, при этом каждый день длится не менее четырех часов.  В число рабочих дней не включаются дни экзаменов.</w:t>
      </w:r>
    </w:p>
    <w:p w:rsidR="00000000" w:rsidRDefault="00000000">
      <w:pPr>
        <w:rPr>
          <w:color w:val="000000"/>
        </w:rPr>
      </w:pPr>
    </w:p>
    <w:p w:rsidR="00000000" w:rsidRDefault="00000000">
      <w:pPr>
        <w:ind w:left="567" w:hanging="567"/>
        <w:rPr>
          <w:color w:val="000000"/>
        </w:rPr>
      </w:pPr>
      <w:r>
        <w:rPr>
          <w:b/>
          <w:bCs/>
          <w:color w:val="000000"/>
        </w:rPr>
        <w:t>-</w:t>
      </w:r>
      <w:r>
        <w:rPr>
          <w:b/>
          <w:bCs/>
          <w:color w:val="000000"/>
        </w:rPr>
        <w:tab/>
        <w:t xml:space="preserve">Статья 115.  </w:t>
      </w:r>
      <w:r>
        <w:t>Министерство просвещения и культуры</w:t>
      </w:r>
      <w:r>
        <w:rPr>
          <w:color w:val="000000"/>
        </w:rPr>
        <w:t xml:space="preserve"> регламентирует аспекты, связанные с управлением  школой, применительно к государственным учебным заведениям.  Что касается частных учебных заведений, то оно договаривается с ними по тем вопросам, которые, согласно действующему законодательству, требуют утверждения министерства.  Министерство назначает сроки приема и определяет количество обучающихся в государственных учебных заведениях, годовой учебный план и ежедневный распорядок дня для различных смен, устанавливает периоды учебы и каникул.  Всегда должны учитываться различные обстоятельства, характеристики производственных циклов и время сбора урожая сельскохозяйственных культур в департаментах.</w:t>
      </w:r>
    </w:p>
    <w:p w:rsidR="00000000" w:rsidRDefault="00000000">
      <w:pPr>
        <w:ind w:left="567" w:hanging="567"/>
        <w:rPr>
          <w:color w:val="000000"/>
        </w:rPr>
      </w:pPr>
    </w:p>
    <w:p w:rsidR="00000000" w:rsidRDefault="00000000">
      <w:pPr>
        <w:jc w:val="center"/>
        <w:rPr>
          <w:b/>
          <w:bCs/>
          <w:color w:val="000000"/>
        </w:rPr>
      </w:pPr>
      <w:r>
        <w:rPr>
          <w:b/>
          <w:bCs/>
          <w:color w:val="000000"/>
        </w:rPr>
        <w:t>Количество учебных дней</w:t>
      </w:r>
    </w:p>
    <w:p w:rsidR="00000000" w:rsidRDefault="00000000">
      <w:pPr>
        <w:jc w:val="center"/>
        <w:rPr>
          <w:color w:val="000000"/>
        </w:rPr>
      </w:pPr>
    </w:p>
    <w:tbl>
      <w:tblPr>
        <w:tblW w:w="0" w:type="auto"/>
        <w:jc w:val="center"/>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33"/>
        <w:gridCol w:w="5104"/>
      </w:tblGrid>
      <w:tr w:rsidR="00000000">
        <w:tblPrEx>
          <w:tblCellMar>
            <w:top w:w="0" w:type="dxa"/>
            <w:bottom w:w="0" w:type="dxa"/>
          </w:tblCellMar>
        </w:tblPrEx>
        <w:trPr>
          <w:jc w:val="center"/>
        </w:trPr>
        <w:tc>
          <w:tcPr>
            <w:tcW w:w="1733" w:type="dxa"/>
          </w:tcPr>
          <w:p w:rsidR="00000000" w:rsidRDefault="00000000">
            <w:pPr>
              <w:rPr>
                <w:color w:val="000000"/>
              </w:rPr>
            </w:pPr>
            <w:r>
              <w:rPr>
                <w:color w:val="000000"/>
              </w:rPr>
              <w:t>Февраль</w:t>
            </w:r>
          </w:p>
        </w:tc>
        <w:tc>
          <w:tcPr>
            <w:tcW w:w="5104" w:type="dxa"/>
          </w:tcPr>
          <w:p w:rsidR="00000000" w:rsidRDefault="00000000">
            <w:pPr>
              <w:rPr>
                <w:color w:val="000000"/>
              </w:rPr>
            </w:pPr>
            <w:r>
              <w:rPr>
                <w:color w:val="000000"/>
              </w:rPr>
              <w:t>6 (начиная с 21 февраля)</w:t>
            </w:r>
          </w:p>
        </w:tc>
      </w:tr>
      <w:tr w:rsidR="00000000">
        <w:tblPrEx>
          <w:tblCellMar>
            <w:top w:w="0" w:type="dxa"/>
            <w:bottom w:w="0" w:type="dxa"/>
          </w:tblCellMar>
        </w:tblPrEx>
        <w:trPr>
          <w:jc w:val="center"/>
        </w:trPr>
        <w:tc>
          <w:tcPr>
            <w:tcW w:w="1733" w:type="dxa"/>
          </w:tcPr>
          <w:p w:rsidR="00000000" w:rsidRDefault="00000000">
            <w:pPr>
              <w:rPr>
                <w:color w:val="000000"/>
              </w:rPr>
            </w:pPr>
            <w:r>
              <w:rPr>
                <w:color w:val="000000"/>
              </w:rPr>
              <w:t>Март</w:t>
            </w:r>
          </w:p>
        </w:tc>
        <w:tc>
          <w:tcPr>
            <w:tcW w:w="5104" w:type="dxa"/>
          </w:tcPr>
          <w:p w:rsidR="00000000" w:rsidRDefault="00000000">
            <w:pPr>
              <w:rPr>
                <w:color w:val="000000"/>
              </w:rPr>
            </w:pPr>
            <w:r>
              <w:rPr>
                <w:color w:val="000000"/>
              </w:rPr>
              <w:t>20</w:t>
            </w:r>
          </w:p>
        </w:tc>
      </w:tr>
      <w:tr w:rsidR="00000000">
        <w:tblPrEx>
          <w:tblCellMar>
            <w:top w:w="0" w:type="dxa"/>
            <w:bottom w:w="0" w:type="dxa"/>
          </w:tblCellMar>
        </w:tblPrEx>
        <w:trPr>
          <w:jc w:val="center"/>
        </w:trPr>
        <w:tc>
          <w:tcPr>
            <w:tcW w:w="1733" w:type="dxa"/>
          </w:tcPr>
          <w:p w:rsidR="00000000" w:rsidRDefault="00000000">
            <w:pPr>
              <w:rPr>
                <w:color w:val="000000"/>
              </w:rPr>
            </w:pPr>
            <w:r>
              <w:rPr>
                <w:color w:val="000000"/>
              </w:rPr>
              <w:t>Апрель</w:t>
            </w:r>
          </w:p>
        </w:tc>
        <w:tc>
          <w:tcPr>
            <w:tcW w:w="5104" w:type="dxa"/>
          </w:tcPr>
          <w:p w:rsidR="00000000" w:rsidRDefault="00000000">
            <w:pPr>
              <w:rPr>
                <w:color w:val="000000"/>
              </w:rPr>
            </w:pPr>
            <w:r>
              <w:rPr>
                <w:color w:val="000000"/>
              </w:rPr>
              <w:t>21</w:t>
            </w:r>
          </w:p>
        </w:tc>
      </w:tr>
      <w:tr w:rsidR="00000000">
        <w:tblPrEx>
          <w:tblCellMar>
            <w:top w:w="0" w:type="dxa"/>
            <w:bottom w:w="0" w:type="dxa"/>
          </w:tblCellMar>
        </w:tblPrEx>
        <w:trPr>
          <w:jc w:val="center"/>
        </w:trPr>
        <w:tc>
          <w:tcPr>
            <w:tcW w:w="1733" w:type="dxa"/>
          </w:tcPr>
          <w:p w:rsidR="00000000" w:rsidRDefault="00000000">
            <w:pPr>
              <w:rPr>
                <w:color w:val="000000"/>
              </w:rPr>
            </w:pPr>
            <w:r>
              <w:rPr>
                <w:color w:val="000000"/>
              </w:rPr>
              <w:t>Май</w:t>
            </w:r>
          </w:p>
        </w:tc>
        <w:tc>
          <w:tcPr>
            <w:tcW w:w="5104" w:type="dxa"/>
          </w:tcPr>
          <w:p w:rsidR="00000000" w:rsidRDefault="00000000">
            <w:pPr>
              <w:rPr>
                <w:color w:val="000000"/>
              </w:rPr>
            </w:pPr>
            <w:r>
              <w:rPr>
                <w:color w:val="000000"/>
              </w:rPr>
              <w:t>22</w:t>
            </w:r>
          </w:p>
        </w:tc>
      </w:tr>
      <w:tr w:rsidR="00000000">
        <w:tblPrEx>
          <w:tblCellMar>
            <w:top w:w="0" w:type="dxa"/>
            <w:bottom w:w="0" w:type="dxa"/>
          </w:tblCellMar>
        </w:tblPrEx>
        <w:trPr>
          <w:jc w:val="center"/>
        </w:trPr>
        <w:tc>
          <w:tcPr>
            <w:tcW w:w="1733" w:type="dxa"/>
          </w:tcPr>
          <w:p w:rsidR="00000000" w:rsidRDefault="00000000">
            <w:pPr>
              <w:rPr>
                <w:color w:val="000000"/>
              </w:rPr>
            </w:pPr>
            <w:r>
              <w:rPr>
                <w:color w:val="000000"/>
              </w:rPr>
              <w:t>Июнь</w:t>
            </w:r>
          </w:p>
        </w:tc>
        <w:tc>
          <w:tcPr>
            <w:tcW w:w="5104" w:type="dxa"/>
          </w:tcPr>
          <w:p w:rsidR="00000000" w:rsidRDefault="00000000">
            <w:pPr>
              <w:rPr>
                <w:color w:val="000000"/>
              </w:rPr>
            </w:pPr>
            <w:r>
              <w:rPr>
                <w:color w:val="000000"/>
              </w:rPr>
              <w:t>22</w:t>
            </w:r>
          </w:p>
        </w:tc>
      </w:tr>
      <w:tr w:rsidR="00000000">
        <w:tblPrEx>
          <w:tblCellMar>
            <w:top w:w="0" w:type="dxa"/>
            <w:bottom w:w="0" w:type="dxa"/>
          </w:tblCellMar>
        </w:tblPrEx>
        <w:trPr>
          <w:jc w:val="center"/>
        </w:trPr>
        <w:tc>
          <w:tcPr>
            <w:tcW w:w="1733" w:type="dxa"/>
          </w:tcPr>
          <w:p w:rsidR="00000000" w:rsidRDefault="00000000">
            <w:pPr>
              <w:rPr>
                <w:color w:val="000000"/>
              </w:rPr>
            </w:pPr>
            <w:r>
              <w:rPr>
                <w:color w:val="000000"/>
              </w:rPr>
              <w:t>Июль</w:t>
            </w:r>
          </w:p>
        </w:tc>
        <w:tc>
          <w:tcPr>
            <w:tcW w:w="5104" w:type="dxa"/>
          </w:tcPr>
          <w:p w:rsidR="00000000" w:rsidRDefault="00000000">
            <w:pPr>
              <w:rPr>
                <w:color w:val="000000"/>
              </w:rPr>
            </w:pPr>
            <w:r>
              <w:rPr>
                <w:color w:val="000000"/>
              </w:rPr>
              <w:t>11 (две недели приходятся на зимние каникулы)</w:t>
            </w:r>
          </w:p>
        </w:tc>
      </w:tr>
      <w:tr w:rsidR="00000000">
        <w:tblPrEx>
          <w:tblCellMar>
            <w:top w:w="0" w:type="dxa"/>
            <w:bottom w:w="0" w:type="dxa"/>
          </w:tblCellMar>
        </w:tblPrEx>
        <w:trPr>
          <w:jc w:val="center"/>
        </w:trPr>
        <w:tc>
          <w:tcPr>
            <w:tcW w:w="1733" w:type="dxa"/>
          </w:tcPr>
          <w:p w:rsidR="00000000" w:rsidRDefault="00000000">
            <w:pPr>
              <w:rPr>
                <w:color w:val="000000"/>
              </w:rPr>
            </w:pPr>
            <w:r>
              <w:rPr>
                <w:color w:val="000000"/>
              </w:rPr>
              <w:t>Август</w:t>
            </w:r>
          </w:p>
        </w:tc>
        <w:tc>
          <w:tcPr>
            <w:tcW w:w="5104" w:type="dxa"/>
          </w:tcPr>
          <w:p w:rsidR="00000000" w:rsidRDefault="00000000">
            <w:pPr>
              <w:rPr>
                <w:color w:val="000000"/>
              </w:rPr>
            </w:pPr>
            <w:r>
              <w:rPr>
                <w:color w:val="000000"/>
              </w:rPr>
              <w:t>22</w:t>
            </w:r>
          </w:p>
        </w:tc>
      </w:tr>
      <w:tr w:rsidR="00000000">
        <w:tblPrEx>
          <w:tblCellMar>
            <w:top w:w="0" w:type="dxa"/>
            <w:bottom w:w="0" w:type="dxa"/>
          </w:tblCellMar>
        </w:tblPrEx>
        <w:trPr>
          <w:jc w:val="center"/>
        </w:trPr>
        <w:tc>
          <w:tcPr>
            <w:tcW w:w="1733" w:type="dxa"/>
          </w:tcPr>
          <w:p w:rsidR="00000000" w:rsidRDefault="00000000">
            <w:pPr>
              <w:rPr>
                <w:color w:val="000000"/>
              </w:rPr>
            </w:pPr>
            <w:r>
              <w:rPr>
                <w:color w:val="000000"/>
              </w:rPr>
              <w:t>Сентябрь</w:t>
            </w:r>
          </w:p>
        </w:tc>
        <w:tc>
          <w:tcPr>
            <w:tcW w:w="5104" w:type="dxa"/>
          </w:tcPr>
          <w:p w:rsidR="00000000" w:rsidRDefault="00000000">
            <w:pPr>
              <w:rPr>
                <w:color w:val="000000"/>
              </w:rPr>
            </w:pPr>
            <w:r>
              <w:rPr>
                <w:color w:val="000000"/>
              </w:rPr>
              <w:t>21</w:t>
            </w:r>
          </w:p>
        </w:tc>
      </w:tr>
      <w:tr w:rsidR="00000000">
        <w:tblPrEx>
          <w:tblCellMar>
            <w:top w:w="0" w:type="dxa"/>
            <w:bottom w:w="0" w:type="dxa"/>
          </w:tblCellMar>
        </w:tblPrEx>
        <w:trPr>
          <w:jc w:val="center"/>
        </w:trPr>
        <w:tc>
          <w:tcPr>
            <w:tcW w:w="1733" w:type="dxa"/>
          </w:tcPr>
          <w:p w:rsidR="00000000" w:rsidRDefault="00000000">
            <w:pPr>
              <w:rPr>
                <w:color w:val="000000"/>
              </w:rPr>
            </w:pPr>
            <w:r>
              <w:rPr>
                <w:color w:val="000000"/>
              </w:rPr>
              <w:t>Октябрь</w:t>
            </w:r>
          </w:p>
        </w:tc>
        <w:tc>
          <w:tcPr>
            <w:tcW w:w="5104" w:type="dxa"/>
          </w:tcPr>
          <w:p w:rsidR="00000000" w:rsidRDefault="00000000">
            <w:pPr>
              <w:rPr>
                <w:color w:val="000000"/>
              </w:rPr>
            </w:pPr>
            <w:r>
              <w:rPr>
                <w:color w:val="000000"/>
              </w:rPr>
              <w:t>21</w:t>
            </w:r>
          </w:p>
        </w:tc>
      </w:tr>
      <w:tr w:rsidR="00000000">
        <w:tblPrEx>
          <w:tblCellMar>
            <w:top w:w="0" w:type="dxa"/>
            <w:bottom w:w="0" w:type="dxa"/>
          </w:tblCellMar>
        </w:tblPrEx>
        <w:trPr>
          <w:jc w:val="center"/>
        </w:trPr>
        <w:tc>
          <w:tcPr>
            <w:tcW w:w="1733" w:type="dxa"/>
          </w:tcPr>
          <w:p w:rsidR="00000000" w:rsidRDefault="00000000">
            <w:pPr>
              <w:rPr>
                <w:color w:val="000000"/>
              </w:rPr>
            </w:pPr>
            <w:r>
              <w:rPr>
                <w:color w:val="000000"/>
              </w:rPr>
              <w:t>Ноябрь</w:t>
            </w:r>
          </w:p>
        </w:tc>
        <w:tc>
          <w:tcPr>
            <w:tcW w:w="5104" w:type="dxa"/>
          </w:tcPr>
          <w:p w:rsidR="00000000" w:rsidRDefault="00000000">
            <w:pPr>
              <w:rPr>
                <w:color w:val="000000"/>
              </w:rPr>
            </w:pPr>
            <w:r>
              <w:rPr>
                <w:color w:val="000000"/>
              </w:rPr>
              <w:t>22</w:t>
            </w:r>
          </w:p>
        </w:tc>
      </w:tr>
      <w:tr w:rsidR="00000000">
        <w:tblPrEx>
          <w:tblCellMar>
            <w:top w:w="0" w:type="dxa"/>
            <w:bottom w:w="0" w:type="dxa"/>
          </w:tblCellMar>
        </w:tblPrEx>
        <w:trPr>
          <w:jc w:val="center"/>
        </w:trPr>
        <w:tc>
          <w:tcPr>
            <w:tcW w:w="1733" w:type="dxa"/>
          </w:tcPr>
          <w:p w:rsidR="00000000" w:rsidRDefault="00000000">
            <w:pPr>
              <w:rPr>
                <w:color w:val="000000"/>
              </w:rPr>
            </w:pPr>
            <w:r>
              <w:rPr>
                <w:color w:val="000000"/>
              </w:rPr>
              <w:t>Декабрь</w:t>
            </w:r>
          </w:p>
        </w:tc>
        <w:tc>
          <w:tcPr>
            <w:tcW w:w="5104" w:type="dxa"/>
          </w:tcPr>
          <w:p w:rsidR="00000000" w:rsidRDefault="00000000">
            <w:pPr>
              <w:rPr>
                <w:color w:val="000000"/>
              </w:rPr>
            </w:pPr>
            <w:r>
              <w:rPr>
                <w:color w:val="000000"/>
              </w:rPr>
              <w:t>11 (до 16-го числа;  дополнительные тесты и контрольные работы)</w:t>
            </w:r>
          </w:p>
        </w:tc>
      </w:tr>
      <w:tr w:rsidR="00000000">
        <w:tblPrEx>
          <w:tblCellMar>
            <w:top w:w="0" w:type="dxa"/>
            <w:bottom w:w="0" w:type="dxa"/>
          </w:tblCellMar>
        </w:tblPrEx>
        <w:trPr>
          <w:jc w:val="center"/>
        </w:trPr>
        <w:tc>
          <w:tcPr>
            <w:tcW w:w="1733" w:type="dxa"/>
          </w:tcPr>
          <w:p w:rsidR="00000000" w:rsidRDefault="00000000">
            <w:pPr>
              <w:rPr>
                <w:b/>
                <w:bCs/>
                <w:color w:val="000000"/>
              </w:rPr>
            </w:pPr>
            <w:r>
              <w:rPr>
                <w:b/>
                <w:bCs/>
                <w:color w:val="000000"/>
              </w:rPr>
              <w:tab/>
              <w:t>Всего</w:t>
            </w:r>
          </w:p>
        </w:tc>
        <w:tc>
          <w:tcPr>
            <w:tcW w:w="5104" w:type="dxa"/>
          </w:tcPr>
          <w:p w:rsidR="00000000" w:rsidRDefault="00000000">
            <w:pPr>
              <w:rPr>
                <w:b/>
                <w:bCs/>
                <w:color w:val="000000"/>
              </w:rPr>
            </w:pPr>
            <w:r>
              <w:rPr>
                <w:b/>
                <w:bCs/>
                <w:color w:val="000000"/>
              </w:rPr>
              <w:t>199</w:t>
            </w:r>
          </w:p>
        </w:tc>
      </w:tr>
    </w:tbl>
    <w:p w:rsidR="00000000" w:rsidRDefault="00000000">
      <w:pPr>
        <w:rPr>
          <w:color w:val="000000"/>
        </w:rPr>
      </w:pPr>
    </w:p>
    <w:p w:rsidR="00000000" w:rsidRDefault="00000000">
      <w:pPr>
        <w:rPr>
          <w:b/>
          <w:bCs/>
        </w:rPr>
      </w:pPr>
      <w:r>
        <w:rPr>
          <w:b/>
        </w:rPr>
        <w:t>3.</w:t>
      </w:r>
      <w:r>
        <w:rPr>
          <w:b/>
        </w:rPr>
        <w:tab/>
      </w:r>
      <w:r>
        <w:rPr>
          <w:b/>
          <w:bCs/>
        </w:rPr>
        <w:t>Ликвидация неграмотности</w:t>
      </w:r>
    </w:p>
    <w:p w:rsidR="00000000" w:rsidRDefault="00000000">
      <w:pPr>
        <w:rPr>
          <w:b/>
        </w:rPr>
      </w:pPr>
    </w:p>
    <w:p w:rsidR="00000000" w:rsidRDefault="00000000">
      <w:r>
        <w:t>580.</w:t>
      </w:r>
      <w:r>
        <w:tab/>
        <w:t>Процент охвата системой образования позволяет установить число детей, впервые начинающих учиться на данном уровне, которое определяется как процент от числа детей, имеющих право быть допущенными к учебе.  Что касается брутто-процента допущенных в первый класс базового школьного образования, то он превышает 100% (в 2004 году - 129%).  Это показывает, что система вполне способна обеспечить охват всего населения в официально установленном возрасте начала обучения.  Показатель же свыше 100% свидетельствует также о том, что в системе есть дети старше установленного возраста.</w:t>
      </w:r>
    </w:p>
    <w:p w:rsidR="00000000" w:rsidRDefault="00000000"/>
    <w:p w:rsidR="00000000" w:rsidRDefault="00000000">
      <w:r>
        <w:t>581.</w:t>
      </w:r>
      <w:r>
        <w:tab/>
        <w:t>Говоря о числе обучающихся, следует отметить существенный рост данного показателя на всех уровнях образования, при этом наибольшее увеличение наблюдается на уровне среднего образования и на дошкольном уровне, где прирост в процентах составил 177% и 137%, соответственно, за период 1994-2004 годов.</w:t>
      </w:r>
    </w:p>
    <w:p w:rsidR="00000000" w:rsidRDefault="00000000"/>
    <w:p w:rsidR="00000000" w:rsidRDefault="00000000">
      <w:pPr>
        <w:keepNext/>
        <w:jc w:val="center"/>
        <w:rPr>
          <w:b/>
          <w:bCs/>
        </w:rPr>
      </w:pPr>
      <w:r>
        <w:rPr>
          <w:b/>
          <w:bCs/>
        </w:rPr>
        <w:t>Число учащихся в разбивке по уровню образования и полу, 1994-2004 годы</w:t>
      </w:r>
    </w:p>
    <w:p w:rsidR="00000000" w:rsidRDefault="00000000">
      <w:pPr>
        <w:keepNext/>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39"/>
        <w:gridCol w:w="1100"/>
        <w:gridCol w:w="915"/>
        <w:gridCol w:w="1102"/>
        <w:gridCol w:w="915"/>
        <w:gridCol w:w="1098"/>
        <w:gridCol w:w="915"/>
        <w:gridCol w:w="1107"/>
        <w:gridCol w:w="908"/>
      </w:tblGrid>
      <w:tr w:rsidR="00000000">
        <w:trPr>
          <w:cantSplit/>
          <w:tblHeader/>
        </w:trPr>
        <w:tc>
          <w:tcPr>
            <w:tcW w:w="1339" w:type="dxa"/>
            <w:vMerge w:val="restart"/>
            <w:noWrap/>
            <w:tcMar>
              <w:top w:w="15" w:type="dxa"/>
              <w:left w:w="15" w:type="dxa"/>
              <w:bottom w:w="0" w:type="dxa"/>
              <w:right w:w="15" w:type="dxa"/>
            </w:tcMar>
            <w:vAlign w:val="center"/>
          </w:tcPr>
          <w:p w:rsidR="00000000" w:rsidRDefault="00000000">
            <w:pPr>
              <w:keepNext/>
              <w:jc w:val="center"/>
              <w:rPr>
                <w:rFonts w:eastAsia="Arial Unicode MS"/>
                <w:b/>
                <w:bCs/>
                <w:sz w:val="20"/>
              </w:rPr>
            </w:pPr>
            <w:r>
              <w:rPr>
                <w:b/>
                <w:bCs/>
                <w:sz w:val="20"/>
              </w:rPr>
              <w:t>Год</w:t>
            </w:r>
          </w:p>
        </w:tc>
        <w:tc>
          <w:tcPr>
            <w:tcW w:w="2015" w:type="dxa"/>
            <w:gridSpan w:val="2"/>
            <w:vMerge w:val="restart"/>
            <w:tcMar>
              <w:top w:w="15" w:type="dxa"/>
              <w:left w:w="15" w:type="dxa"/>
              <w:bottom w:w="0" w:type="dxa"/>
              <w:right w:w="15" w:type="dxa"/>
            </w:tcMar>
            <w:vAlign w:val="center"/>
          </w:tcPr>
          <w:p w:rsidR="00000000" w:rsidRDefault="00000000">
            <w:pPr>
              <w:keepNext/>
              <w:jc w:val="center"/>
              <w:rPr>
                <w:rFonts w:eastAsia="Arial Unicode MS"/>
                <w:b/>
                <w:bCs/>
                <w:sz w:val="20"/>
              </w:rPr>
            </w:pPr>
            <w:r>
              <w:rPr>
                <w:b/>
                <w:bCs/>
                <w:sz w:val="20"/>
              </w:rPr>
              <w:t>Дошкольное образование</w:t>
            </w:r>
          </w:p>
        </w:tc>
        <w:tc>
          <w:tcPr>
            <w:tcW w:w="4030" w:type="dxa"/>
            <w:gridSpan w:val="4"/>
            <w:tcMar>
              <w:top w:w="15" w:type="dxa"/>
              <w:left w:w="15" w:type="dxa"/>
              <w:bottom w:w="0" w:type="dxa"/>
              <w:right w:w="15" w:type="dxa"/>
            </w:tcMar>
            <w:vAlign w:val="center"/>
          </w:tcPr>
          <w:p w:rsidR="00000000" w:rsidRDefault="00000000">
            <w:pPr>
              <w:keepNext/>
              <w:jc w:val="center"/>
              <w:rPr>
                <w:b/>
                <w:bCs/>
                <w:sz w:val="20"/>
              </w:rPr>
            </w:pPr>
            <w:r>
              <w:rPr>
                <w:b/>
                <w:bCs/>
                <w:sz w:val="20"/>
              </w:rPr>
              <w:t>Базовое школьное образование</w:t>
            </w:r>
          </w:p>
        </w:tc>
        <w:tc>
          <w:tcPr>
            <w:tcW w:w="2015" w:type="dxa"/>
            <w:gridSpan w:val="2"/>
            <w:vMerge w:val="restart"/>
            <w:vAlign w:val="center"/>
          </w:tcPr>
          <w:p w:rsidR="00000000" w:rsidRDefault="00000000">
            <w:pPr>
              <w:keepNext/>
              <w:jc w:val="center"/>
              <w:rPr>
                <w:b/>
                <w:bCs/>
                <w:sz w:val="20"/>
              </w:rPr>
            </w:pPr>
            <w:r>
              <w:rPr>
                <w:b/>
                <w:bCs/>
                <w:sz w:val="20"/>
              </w:rPr>
              <w:t>Среднее образование</w:t>
            </w:r>
          </w:p>
        </w:tc>
      </w:tr>
      <w:tr w:rsidR="00000000">
        <w:trPr>
          <w:cantSplit/>
          <w:tblHeader/>
        </w:trPr>
        <w:tc>
          <w:tcPr>
            <w:tcW w:w="1339" w:type="dxa"/>
            <w:vMerge/>
            <w:vAlign w:val="center"/>
          </w:tcPr>
          <w:p w:rsidR="00000000" w:rsidRDefault="00000000">
            <w:pPr>
              <w:keepNext/>
              <w:jc w:val="center"/>
              <w:rPr>
                <w:rFonts w:eastAsia="Arial Unicode MS"/>
                <w:b/>
                <w:bCs/>
                <w:sz w:val="20"/>
              </w:rPr>
            </w:pPr>
          </w:p>
        </w:tc>
        <w:tc>
          <w:tcPr>
            <w:tcW w:w="2015" w:type="dxa"/>
            <w:gridSpan w:val="2"/>
            <w:vMerge/>
            <w:vAlign w:val="center"/>
          </w:tcPr>
          <w:p w:rsidR="00000000" w:rsidRDefault="00000000">
            <w:pPr>
              <w:keepNext/>
              <w:jc w:val="center"/>
              <w:rPr>
                <w:rFonts w:eastAsia="Arial Unicode MS"/>
                <w:b/>
                <w:bCs/>
                <w:sz w:val="20"/>
              </w:rPr>
            </w:pPr>
          </w:p>
        </w:tc>
        <w:tc>
          <w:tcPr>
            <w:tcW w:w="2017" w:type="dxa"/>
            <w:gridSpan w:val="2"/>
            <w:noWrap/>
            <w:tcMar>
              <w:top w:w="15" w:type="dxa"/>
              <w:left w:w="15" w:type="dxa"/>
              <w:bottom w:w="0" w:type="dxa"/>
              <w:right w:w="15" w:type="dxa"/>
            </w:tcMar>
            <w:vAlign w:val="center"/>
          </w:tcPr>
          <w:p w:rsidR="00000000" w:rsidRDefault="00000000">
            <w:pPr>
              <w:keepNext/>
              <w:jc w:val="center"/>
              <w:rPr>
                <w:rFonts w:eastAsia="Arial Unicode MS"/>
                <w:b/>
                <w:bCs/>
                <w:sz w:val="20"/>
              </w:rPr>
            </w:pPr>
            <w:r>
              <w:rPr>
                <w:b/>
                <w:bCs/>
                <w:sz w:val="20"/>
              </w:rPr>
              <w:t>1-й и 2-й циклы</w:t>
            </w:r>
          </w:p>
        </w:tc>
        <w:tc>
          <w:tcPr>
            <w:tcW w:w="2013" w:type="dxa"/>
            <w:gridSpan w:val="2"/>
            <w:vAlign w:val="center"/>
          </w:tcPr>
          <w:p w:rsidR="00000000" w:rsidRDefault="00000000">
            <w:pPr>
              <w:keepNext/>
              <w:jc w:val="center"/>
              <w:rPr>
                <w:rFonts w:eastAsia="Arial Unicode MS"/>
                <w:b/>
                <w:bCs/>
                <w:sz w:val="20"/>
              </w:rPr>
            </w:pPr>
            <w:r>
              <w:rPr>
                <w:b/>
                <w:bCs/>
                <w:sz w:val="20"/>
              </w:rPr>
              <w:t>3 цикл</w:t>
            </w:r>
          </w:p>
        </w:tc>
        <w:tc>
          <w:tcPr>
            <w:tcW w:w="2015" w:type="dxa"/>
            <w:gridSpan w:val="2"/>
            <w:vMerge/>
            <w:vAlign w:val="center"/>
          </w:tcPr>
          <w:p w:rsidR="00000000" w:rsidRDefault="00000000">
            <w:pPr>
              <w:keepNext/>
              <w:jc w:val="center"/>
              <w:rPr>
                <w:rFonts w:eastAsia="Arial Unicode MS"/>
                <w:b/>
                <w:bCs/>
                <w:sz w:val="20"/>
              </w:rPr>
            </w:pPr>
          </w:p>
        </w:tc>
      </w:tr>
      <w:tr w:rsidR="00000000">
        <w:trPr>
          <w:cantSplit/>
          <w:tblHeader/>
        </w:trPr>
        <w:tc>
          <w:tcPr>
            <w:tcW w:w="1339" w:type="dxa"/>
            <w:vMerge/>
            <w:vAlign w:val="center"/>
          </w:tcPr>
          <w:p w:rsidR="00000000" w:rsidRDefault="00000000">
            <w:pPr>
              <w:jc w:val="center"/>
              <w:rPr>
                <w:rFonts w:eastAsia="Arial Unicode MS"/>
                <w:b/>
                <w:bCs/>
                <w:sz w:val="20"/>
              </w:rPr>
            </w:pPr>
          </w:p>
        </w:tc>
        <w:tc>
          <w:tcPr>
            <w:tcW w:w="1100" w:type="dxa"/>
            <w:tcMar>
              <w:top w:w="15" w:type="dxa"/>
              <w:left w:w="15" w:type="dxa"/>
              <w:bottom w:w="0" w:type="dxa"/>
              <w:right w:w="15" w:type="dxa"/>
            </w:tcMar>
            <w:vAlign w:val="center"/>
          </w:tcPr>
          <w:p w:rsidR="00000000" w:rsidRDefault="00000000">
            <w:pPr>
              <w:jc w:val="center"/>
              <w:rPr>
                <w:rFonts w:eastAsia="Arial Unicode MS"/>
                <w:b/>
                <w:bCs/>
                <w:sz w:val="20"/>
              </w:rPr>
            </w:pPr>
            <w:r>
              <w:rPr>
                <w:b/>
                <w:bCs/>
                <w:sz w:val="20"/>
              </w:rPr>
              <w:t>Мальчики</w:t>
            </w:r>
          </w:p>
        </w:tc>
        <w:tc>
          <w:tcPr>
            <w:tcW w:w="915" w:type="dxa"/>
            <w:tcMar>
              <w:top w:w="15" w:type="dxa"/>
              <w:left w:w="15" w:type="dxa"/>
              <w:bottom w:w="0" w:type="dxa"/>
              <w:right w:w="15" w:type="dxa"/>
            </w:tcMar>
            <w:vAlign w:val="center"/>
          </w:tcPr>
          <w:p w:rsidR="00000000" w:rsidRDefault="00000000">
            <w:pPr>
              <w:jc w:val="center"/>
              <w:rPr>
                <w:rFonts w:eastAsia="Arial Unicode MS"/>
                <w:b/>
                <w:bCs/>
                <w:sz w:val="20"/>
              </w:rPr>
            </w:pPr>
            <w:r>
              <w:rPr>
                <w:b/>
                <w:bCs/>
                <w:sz w:val="20"/>
              </w:rPr>
              <w:t>Девочки</w:t>
            </w:r>
          </w:p>
        </w:tc>
        <w:tc>
          <w:tcPr>
            <w:tcW w:w="1102" w:type="dxa"/>
            <w:vAlign w:val="center"/>
          </w:tcPr>
          <w:p w:rsidR="00000000" w:rsidRDefault="00000000">
            <w:pPr>
              <w:jc w:val="center"/>
              <w:rPr>
                <w:rFonts w:eastAsia="Arial Unicode MS"/>
                <w:b/>
                <w:bCs/>
                <w:sz w:val="20"/>
              </w:rPr>
            </w:pPr>
            <w:r>
              <w:rPr>
                <w:b/>
                <w:bCs/>
                <w:sz w:val="20"/>
              </w:rPr>
              <w:t>Мальчики</w:t>
            </w:r>
          </w:p>
        </w:tc>
        <w:tc>
          <w:tcPr>
            <w:tcW w:w="915" w:type="dxa"/>
            <w:vAlign w:val="center"/>
          </w:tcPr>
          <w:p w:rsidR="00000000" w:rsidRDefault="00000000">
            <w:pPr>
              <w:jc w:val="center"/>
              <w:rPr>
                <w:rFonts w:eastAsia="Arial Unicode MS"/>
                <w:b/>
                <w:bCs/>
                <w:sz w:val="20"/>
              </w:rPr>
            </w:pPr>
            <w:r>
              <w:rPr>
                <w:b/>
                <w:bCs/>
                <w:sz w:val="20"/>
              </w:rPr>
              <w:t>Девочки</w:t>
            </w:r>
          </w:p>
        </w:tc>
        <w:tc>
          <w:tcPr>
            <w:tcW w:w="1098" w:type="dxa"/>
            <w:tcMar>
              <w:top w:w="15" w:type="dxa"/>
              <w:left w:w="15" w:type="dxa"/>
              <w:bottom w:w="0" w:type="dxa"/>
              <w:right w:w="15" w:type="dxa"/>
            </w:tcMar>
            <w:vAlign w:val="center"/>
          </w:tcPr>
          <w:p w:rsidR="00000000" w:rsidRDefault="00000000">
            <w:pPr>
              <w:jc w:val="center"/>
              <w:rPr>
                <w:rFonts w:eastAsia="Arial Unicode MS"/>
                <w:b/>
                <w:bCs/>
                <w:sz w:val="20"/>
              </w:rPr>
            </w:pPr>
            <w:r>
              <w:rPr>
                <w:b/>
                <w:bCs/>
                <w:sz w:val="20"/>
              </w:rPr>
              <w:t>Мальчики</w:t>
            </w:r>
          </w:p>
        </w:tc>
        <w:tc>
          <w:tcPr>
            <w:tcW w:w="915" w:type="dxa"/>
            <w:tcMar>
              <w:top w:w="15" w:type="dxa"/>
              <w:left w:w="15" w:type="dxa"/>
              <w:bottom w:w="0" w:type="dxa"/>
              <w:right w:w="15" w:type="dxa"/>
            </w:tcMar>
            <w:vAlign w:val="center"/>
          </w:tcPr>
          <w:p w:rsidR="00000000" w:rsidRDefault="00000000">
            <w:pPr>
              <w:jc w:val="center"/>
              <w:rPr>
                <w:rFonts w:eastAsia="Arial Unicode MS"/>
                <w:b/>
                <w:bCs/>
                <w:sz w:val="20"/>
              </w:rPr>
            </w:pPr>
            <w:r>
              <w:rPr>
                <w:b/>
                <w:bCs/>
                <w:sz w:val="20"/>
              </w:rPr>
              <w:t>Девочки</w:t>
            </w:r>
          </w:p>
        </w:tc>
        <w:tc>
          <w:tcPr>
            <w:tcW w:w="1107" w:type="dxa"/>
            <w:tcMar>
              <w:top w:w="15" w:type="dxa"/>
              <w:left w:w="15" w:type="dxa"/>
              <w:bottom w:w="0" w:type="dxa"/>
              <w:right w:w="15" w:type="dxa"/>
            </w:tcMar>
            <w:vAlign w:val="center"/>
          </w:tcPr>
          <w:p w:rsidR="00000000" w:rsidRDefault="00000000">
            <w:pPr>
              <w:jc w:val="center"/>
              <w:rPr>
                <w:rFonts w:eastAsia="Arial Unicode MS"/>
                <w:b/>
                <w:bCs/>
                <w:sz w:val="20"/>
              </w:rPr>
            </w:pPr>
            <w:r>
              <w:rPr>
                <w:b/>
                <w:bCs/>
                <w:sz w:val="20"/>
              </w:rPr>
              <w:t>Мальчики</w:t>
            </w:r>
          </w:p>
        </w:tc>
        <w:tc>
          <w:tcPr>
            <w:tcW w:w="908" w:type="dxa"/>
            <w:tcMar>
              <w:top w:w="15" w:type="dxa"/>
              <w:left w:w="15" w:type="dxa"/>
              <w:bottom w:w="0" w:type="dxa"/>
              <w:right w:w="15" w:type="dxa"/>
            </w:tcMar>
            <w:vAlign w:val="center"/>
          </w:tcPr>
          <w:p w:rsidR="00000000" w:rsidRDefault="00000000">
            <w:pPr>
              <w:jc w:val="center"/>
              <w:rPr>
                <w:rFonts w:eastAsia="Arial Unicode MS"/>
                <w:b/>
                <w:bCs/>
                <w:sz w:val="20"/>
              </w:rPr>
            </w:pPr>
            <w:r>
              <w:rPr>
                <w:b/>
                <w:bCs/>
                <w:sz w:val="20"/>
              </w:rPr>
              <w:t>Девочки</w:t>
            </w:r>
          </w:p>
        </w:tc>
      </w:tr>
      <w:tr w:rsidR="00000000">
        <w:trPr>
          <w:cantSplit/>
        </w:trPr>
        <w:tc>
          <w:tcPr>
            <w:tcW w:w="1339" w:type="dxa"/>
            <w:noWrap/>
            <w:tcMar>
              <w:top w:w="15" w:type="dxa"/>
              <w:left w:w="15" w:type="dxa"/>
              <w:bottom w:w="0" w:type="dxa"/>
              <w:right w:w="15" w:type="dxa"/>
            </w:tcMar>
            <w:vAlign w:val="bottom"/>
          </w:tcPr>
          <w:p w:rsidR="00000000" w:rsidRDefault="00000000">
            <w:pPr>
              <w:rPr>
                <w:rFonts w:eastAsia="Arial Unicode MS"/>
                <w:sz w:val="22"/>
              </w:rPr>
            </w:pPr>
            <w:r>
              <w:rPr>
                <w:sz w:val="22"/>
              </w:rPr>
              <w:t>1994</w:t>
            </w:r>
          </w:p>
        </w:tc>
        <w:tc>
          <w:tcPr>
            <w:tcW w:w="1100"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26 056</w:t>
            </w:r>
          </w:p>
        </w:tc>
        <w:tc>
          <w:tcPr>
            <w:tcW w:w="915" w:type="dxa"/>
            <w:noWrap/>
            <w:tcMar>
              <w:top w:w="15" w:type="dxa"/>
              <w:left w:w="15" w:type="dxa"/>
              <w:bottom w:w="0" w:type="dxa"/>
              <w:right w:w="15" w:type="dxa"/>
            </w:tcMar>
            <w:vAlign w:val="bottom"/>
          </w:tcPr>
          <w:p w:rsidR="00000000" w:rsidRDefault="00000000">
            <w:pPr>
              <w:jc w:val="center"/>
              <w:rPr>
                <w:rFonts w:eastAsia="Arial Unicode MS"/>
                <w:color w:val="000000"/>
                <w:sz w:val="22"/>
              </w:rPr>
            </w:pPr>
            <w:r>
              <w:rPr>
                <w:color w:val="000000"/>
                <w:sz w:val="22"/>
              </w:rPr>
              <w:t>25 615</w:t>
            </w:r>
          </w:p>
        </w:tc>
        <w:tc>
          <w:tcPr>
            <w:tcW w:w="1102" w:type="dxa"/>
            <w:vAlign w:val="bottom"/>
          </w:tcPr>
          <w:p w:rsidR="00000000" w:rsidRDefault="00000000">
            <w:pPr>
              <w:jc w:val="center"/>
              <w:rPr>
                <w:rFonts w:eastAsia="Arial Unicode MS"/>
                <w:color w:val="000000"/>
                <w:sz w:val="22"/>
              </w:rPr>
            </w:pPr>
            <w:r>
              <w:rPr>
                <w:color w:val="000000"/>
                <w:sz w:val="22"/>
              </w:rPr>
              <w:t>431 189</w:t>
            </w:r>
          </w:p>
        </w:tc>
        <w:tc>
          <w:tcPr>
            <w:tcW w:w="915" w:type="dxa"/>
            <w:vAlign w:val="bottom"/>
          </w:tcPr>
          <w:p w:rsidR="00000000" w:rsidRDefault="00000000">
            <w:pPr>
              <w:jc w:val="center"/>
              <w:rPr>
                <w:rFonts w:eastAsia="Arial Unicode MS"/>
                <w:sz w:val="22"/>
              </w:rPr>
            </w:pPr>
            <w:r>
              <w:rPr>
                <w:sz w:val="22"/>
              </w:rPr>
              <w:t>403 900</w:t>
            </w:r>
          </w:p>
        </w:tc>
        <w:tc>
          <w:tcPr>
            <w:tcW w:w="1098" w:type="dxa"/>
            <w:noWrap/>
            <w:tcMar>
              <w:top w:w="15" w:type="dxa"/>
              <w:left w:w="15" w:type="dxa"/>
              <w:bottom w:w="0" w:type="dxa"/>
              <w:right w:w="15" w:type="dxa"/>
            </w:tcMar>
            <w:vAlign w:val="center"/>
          </w:tcPr>
          <w:p w:rsidR="00000000" w:rsidRDefault="00000000">
            <w:pPr>
              <w:jc w:val="center"/>
              <w:rPr>
                <w:rFonts w:eastAsia="Arial Unicode MS"/>
                <w:sz w:val="22"/>
              </w:rPr>
            </w:pPr>
            <w:r>
              <w:rPr>
                <w:sz w:val="22"/>
              </w:rPr>
              <w:t>79 721</w:t>
            </w:r>
          </w:p>
        </w:tc>
        <w:tc>
          <w:tcPr>
            <w:tcW w:w="915" w:type="dxa"/>
            <w:tcMar>
              <w:top w:w="15" w:type="dxa"/>
              <w:left w:w="15" w:type="dxa"/>
              <w:bottom w:w="0" w:type="dxa"/>
              <w:right w:w="15" w:type="dxa"/>
            </w:tcMar>
            <w:vAlign w:val="bottom"/>
          </w:tcPr>
          <w:p w:rsidR="00000000" w:rsidRDefault="00000000">
            <w:pPr>
              <w:jc w:val="center"/>
              <w:rPr>
                <w:rFonts w:eastAsia="Arial Unicode MS"/>
                <w:color w:val="000000"/>
                <w:sz w:val="22"/>
              </w:rPr>
            </w:pPr>
            <w:r>
              <w:rPr>
                <w:color w:val="000000"/>
                <w:sz w:val="22"/>
              </w:rPr>
              <w:t>79 954</w:t>
            </w:r>
          </w:p>
        </w:tc>
        <w:tc>
          <w:tcPr>
            <w:tcW w:w="1107" w:type="dxa"/>
            <w:tcMar>
              <w:top w:w="15" w:type="dxa"/>
              <w:left w:w="15" w:type="dxa"/>
              <w:bottom w:w="0" w:type="dxa"/>
              <w:right w:w="15" w:type="dxa"/>
            </w:tcMar>
            <w:vAlign w:val="center"/>
          </w:tcPr>
          <w:p w:rsidR="00000000" w:rsidRDefault="00000000">
            <w:pPr>
              <w:jc w:val="center"/>
              <w:rPr>
                <w:rFonts w:eastAsia="Arial Unicode MS"/>
                <w:sz w:val="22"/>
              </w:rPr>
            </w:pPr>
            <w:r>
              <w:rPr>
                <w:sz w:val="22"/>
              </w:rPr>
              <w:t>35 727</w:t>
            </w:r>
          </w:p>
        </w:tc>
        <w:tc>
          <w:tcPr>
            <w:tcW w:w="908"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40 512</w:t>
            </w:r>
          </w:p>
        </w:tc>
      </w:tr>
      <w:tr w:rsidR="00000000">
        <w:trPr>
          <w:cantSplit/>
        </w:trPr>
        <w:tc>
          <w:tcPr>
            <w:tcW w:w="1339" w:type="dxa"/>
            <w:noWrap/>
            <w:tcMar>
              <w:top w:w="15" w:type="dxa"/>
              <w:left w:w="15" w:type="dxa"/>
              <w:bottom w:w="0" w:type="dxa"/>
              <w:right w:w="15" w:type="dxa"/>
            </w:tcMar>
            <w:vAlign w:val="bottom"/>
          </w:tcPr>
          <w:p w:rsidR="00000000" w:rsidRDefault="00000000">
            <w:pPr>
              <w:rPr>
                <w:rFonts w:eastAsia="Arial Unicode MS"/>
                <w:sz w:val="22"/>
              </w:rPr>
            </w:pPr>
            <w:r>
              <w:rPr>
                <w:sz w:val="22"/>
              </w:rPr>
              <w:t>1995</w:t>
            </w:r>
          </w:p>
        </w:tc>
        <w:tc>
          <w:tcPr>
            <w:tcW w:w="1100"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29 933</w:t>
            </w:r>
          </w:p>
        </w:tc>
        <w:tc>
          <w:tcPr>
            <w:tcW w:w="915" w:type="dxa"/>
            <w:noWrap/>
            <w:tcMar>
              <w:top w:w="15" w:type="dxa"/>
              <w:left w:w="15" w:type="dxa"/>
              <w:bottom w:w="0" w:type="dxa"/>
              <w:right w:w="15" w:type="dxa"/>
            </w:tcMar>
            <w:vAlign w:val="bottom"/>
          </w:tcPr>
          <w:p w:rsidR="00000000" w:rsidRDefault="00000000">
            <w:pPr>
              <w:jc w:val="center"/>
              <w:rPr>
                <w:rFonts w:eastAsia="Arial Unicode MS"/>
                <w:color w:val="000000"/>
                <w:sz w:val="22"/>
              </w:rPr>
            </w:pPr>
            <w:r>
              <w:rPr>
                <w:color w:val="000000"/>
                <w:sz w:val="22"/>
              </w:rPr>
              <w:t>29 680</w:t>
            </w:r>
          </w:p>
        </w:tc>
        <w:tc>
          <w:tcPr>
            <w:tcW w:w="1102" w:type="dxa"/>
            <w:vAlign w:val="bottom"/>
          </w:tcPr>
          <w:p w:rsidR="00000000" w:rsidRDefault="00000000">
            <w:pPr>
              <w:jc w:val="center"/>
              <w:rPr>
                <w:rFonts w:eastAsia="Arial Unicode MS"/>
                <w:color w:val="000000"/>
                <w:sz w:val="22"/>
              </w:rPr>
            </w:pPr>
            <w:r>
              <w:rPr>
                <w:color w:val="000000"/>
                <w:sz w:val="22"/>
              </w:rPr>
              <w:t>449 050</w:t>
            </w:r>
          </w:p>
        </w:tc>
        <w:tc>
          <w:tcPr>
            <w:tcW w:w="915" w:type="dxa"/>
            <w:vAlign w:val="bottom"/>
          </w:tcPr>
          <w:p w:rsidR="00000000" w:rsidRDefault="00000000">
            <w:pPr>
              <w:jc w:val="center"/>
              <w:rPr>
                <w:rFonts w:eastAsia="Arial Unicode MS"/>
                <w:sz w:val="22"/>
              </w:rPr>
            </w:pPr>
            <w:r>
              <w:rPr>
                <w:sz w:val="22"/>
              </w:rPr>
              <w:t>420 553</w:t>
            </w:r>
          </w:p>
        </w:tc>
        <w:tc>
          <w:tcPr>
            <w:tcW w:w="1098"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85 824</w:t>
            </w:r>
          </w:p>
        </w:tc>
        <w:tc>
          <w:tcPr>
            <w:tcW w:w="915" w:type="dxa"/>
            <w:noWrap/>
            <w:tcMar>
              <w:top w:w="15" w:type="dxa"/>
              <w:left w:w="15" w:type="dxa"/>
              <w:bottom w:w="0" w:type="dxa"/>
              <w:right w:w="15" w:type="dxa"/>
            </w:tcMar>
            <w:vAlign w:val="bottom"/>
          </w:tcPr>
          <w:p w:rsidR="00000000" w:rsidRDefault="00000000">
            <w:pPr>
              <w:jc w:val="center"/>
              <w:rPr>
                <w:rFonts w:eastAsia="Arial Unicode MS"/>
                <w:color w:val="000000"/>
                <w:sz w:val="22"/>
              </w:rPr>
            </w:pPr>
            <w:r>
              <w:rPr>
                <w:color w:val="000000"/>
                <w:sz w:val="22"/>
              </w:rPr>
              <w:t>86 856</w:t>
            </w:r>
          </w:p>
        </w:tc>
        <w:tc>
          <w:tcPr>
            <w:tcW w:w="1107" w:type="dxa"/>
            <w:tcMar>
              <w:top w:w="15" w:type="dxa"/>
              <w:left w:w="15" w:type="dxa"/>
              <w:bottom w:w="0" w:type="dxa"/>
              <w:right w:w="15" w:type="dxa"/>
            </w:tcMar>
            <w:vAlign w:val="center"/>
          </w:tcPr>
          <w:p w:rsidR="00000000" w:rsidRDefault="00000000">
            <w:pPr>
              <w:jc w:val="center"/>
              <w:rPr>
                <w:rFonts w:eastAsia="Arial Unicode MS"/>
                <w:sz w:val="22"/>
              </w:rPr>
            </w:pPr>
            <w:r>
              <w:rPr>
                <w:sz w:val="22"/>
              </w:rPr>
              <w:t>38 357</w:t>
            </w:r>
          </w:p>
        </w:tc>
        <w:tc>
          <w:tcPr>
            <w:tcW w:w="908"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43 969</w:t>
            </w:r>
          </w:p>
        </w:tc>
      </w:tr>
      <w:tr w:rsidR="00000000">
        <w:trPr>
          <w:cantSplit/>
        </w:trPr>
        <w:tc>
          <w:tcPr>
            <w:tcW w:w="1339" w:type="dxa"/>
            <w:noWrap/>
            <w:tcMar>
              <w:top w:w="15" w:type="dxa"/>
              <w:left w:w="15" w:type="dxa"/>
              <w:bottom w:w="0" w:type="dxa"/>
              <w:right w:w="15" w:type="dxa"/>
            </w:tcMar>
            <w:vAlign w:val="bottom"/>
          </w:tcPr>
          <w:p w:rsidR="00000000" w:rsidRDefault="00000000">
            <w:pPr>
              <w:rPr>
                <w:rFonts w:eastAsia="Arial Unicode MS"/>
                <w:sz w:val="22"/>
              </w:rPr>
            </w:pPr>
            <w:r>
              <w:rPr>
                <w:sz w:val="22"/>
              </w:rPr>
              <w:t>1996</w:t>
            </w:r>
          </w:p>
        </w:tc>
        <w:tc>
          <w:tcPr>
            <w:tcW w:w="1100"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37 377</w:t>
            </w:r>
          </w:p>
        </w:tc>
        <w:tc>
          <w:tcPr>
            <w:tcW w:w="915" w:type="dxa"/>
            <w:noWrap/>
            <w:tcMar>
              <w:top w:w="15" w:type="dxa"/>
              <w:left w:w="15" w:type="dxa"/>
              <w:bottom w:w="0" w:type="dxa"/>
              <w:right w:w="15" w:type="dxa"/>
            </w:tcMar>
            <w:vAlign w:val="bottom"/>
          </w:tcPr>
          <w:p w:rsidR="00000000" w:rsidRDefault="00000000">
            <w:pPr>
              <w:jc w:val="center"/>
              <w:rPr>
                <w:rFonts w:eastAsia="Arial Unicode MS"/>
                <w:color w:val="000000"/>
                <w:sz w:val="22"/>
              </w:rPr>
            </w:pPr>
            <w:r>
              <w:rPr>
                <w:color w:val="000000"/>
                <w:sz w:val="22"/>
              </w:rPr>
              <w:t>37 336</w:t>
            </w:r>
          </w:p>
        </w:tc>
        <w:tc>
          <w:tcPr>
            <w:tcW w:w="1102" w:type="dxa"/>
            <w:vAlign w:val="bottom"/>
          </w:tcPr>
          <w:p w:rsidR="00000000" w:rsidRDefault="00000000">
            <w:pPr>
              <w:jc w:val="center"/>
              <w:rPr>
                <w:rFonts w:eastAsia="Arial Unicode MS"/>
                <w:color w:val="000000"/>
                <w:sz w:val="22"/>
              </w:rPr>
            </w:pPr>
            <w:r>
              <w:rPr>
                <w:color w:val="000000"/>
                <w:sz w:val="22"/>
              </w:rPr>
              <w:t>461 657</w:t>
            </w:r>
          </w:p>
        </w:tc>
        <w:tc>
          <w:tcPr>
            <w:tcW w:w="915" w:type="dxa"/>
            <w:vAlign w:val="center"/>
          </w:tcPr>
          <w:p w:rsidR="00000000" w:rsidRDefault="00000000">
            <w:pPr>
              <w:jc w:val="center"/>
              <w:rPr>
                <w:rFonts w:eastAsia="Arial Unicode MS"/>
                <w:sz w:val="22"/>
              </w:rPr>
            </w:pPr>
            <w:r>
              <w:rPr>
                <w:sz w:val="22"/>
              </w:rPr>
              <w:t>434 120</w:t>
            </w:r>
          </w:p>
        </w:tc>
        <w:tc>
          <w:tcPr>
            <w:tcW w:w="1098" w:type="dxa"/>
            <w:noWrap/>
            <w:tcMar>
              <w:top w:w="15" w:type="dxa"/>
              <w:left w:w="15" w:type="dxa"/>
              <w:bottom w:w="0" w:type="dxa"/>
              <w:right w:w="15" w:type="dxa"/>
            </w:tcMar>
            <w:vAlign w:val="center"/>
          </w:tcPr>
          <w:p w:rsidR="00000000" w:rsidRDefault="00000000">
            <w:pPr>
              <w:jc w:val="center"/>
              <w:rPr>
                <w:rFonts w:eastAsia="Arial Unicode MS"/>
                <w:sz w:val="22"/>
              </w:rPr>
            </w:pPr>
            <w:r>
              <w:rPr>
                <w:sz w:val="22"/>
              </w:rPr>
              <w:t>96 141</w:t>
            </w:r>
          </w:p>
        </w:tc>
        <w:tc>
          <w:tcPr>
            <w:tcW w:w="915" w:type="dxa"/>
            <w:tcMar>
              <w:top w:w="15" w:type="dxa"/>
              <w:left w:w="15" w:type="dxa"/>
              <w:bottom w:w="0" w:type="dxa"/>
              <w:right w:w="15" w:type="dxa"/>
            </w:tcMar>
            <w:vAlign w:val="bottom"/>
          </w:tcPr>
          <w:p w:rsidR="00000000" w:rsidRDefault="00000000">
            <w:pPr>
              <w:jc w:val="center"/>
              <w:rPr>
                <w:rFonts w:eastAsia="Arial Unicode MS"/>
                <w:color w:val="000000"/>
                <w:sz w:val="22"/>
              </w:rPr>
            </w:pPr>
            <w:r>
              <w:rPr>
                <w:color w:val="000000"/>
                <w:sz w:val="22"/>
              </w:rPr>
              <w:t>95 765</w:t>
            </w:r>
          </w:p>
        </w:tc>
        <w:tc>
          <w:tcPr>
            <w:tcW w:w="1107" w:type="dxa"/>
            <w:tcMar>
              <w:top w:w="15" w:type="dxa"/>
              <w:left w:w="15" w:type="dxa"/>
              <w:bottom w:w="0" w:type="dxa"/>
              <w:right w:w="15" w:type="dxa"/>
            </w:tcMar>
            <w:vAlign w:val="center"/>
          </w:tcPr>
          <w:p w:rsidR="00000000" w:rsidRDefault="00000000">
            <w:pPr>
              <w:jc w:val="center"/>
              <w:rPr>
                <w:rFonts w:eastAsia="Arial Unicode MS"/>
                <w:sz w:val="22"/>
              </w:rPr>
            </w:pPr>
            <w:r>
              <w:rPr>
                <w:sz w:val="22"/>
              </w:rPr>
              <w:t>47 631</w:t>
            </w:r>
          </w:p>
        </w:tc>
        <w:tc>
          <w:tcPr>
            <w:tcW w:w="908"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52 795</w:t>
            </w:r>
          </w:p>
        </w:tc>
      </w:tr>
      <w:tr w:rsidR="00000000">
        <w:trPr>
          <w:cantSplit/>
        </w:trPr>
        <w:tc>
          <w:tcPr>
            <w:tcW w:w="1339" w:type="dxa"/>
            <w:noWrap/>
            <w:tcMar>
              <w:top w:w="15" w:type="dxa"/>
              <w:left w:w="15" w:type="dxa"/>
              <w:bottom w:w="0" w:type="dxa"/>
              <w:right w:w="15" w:type="dxa"/>
            </w:tcMar>
            <w:vAlign w:val="bottom"/>
          </w:tcPr>
          <w:p w:rsidR="00000000" w:rsidRDefault="00000000">
            <w:pPr>
              <w:rPr>
                <w:rFonts w:eastAsia="Arial Unicode MS"/>
                <w:sz w:val="22"/>
              </w:rPr>
            </w:pPr>
            <w:r>
              <w:rPr>
                <w:sz w:val="22"/>
              </w:rPr>
              <w:t>1997</w:t>
            </w:r>
          </w:p>
        </w:tc>
        <w:tc>
          <w:tcPr>
            <w:tcW w:w="1100"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43 998</w:t>
            </w:r>
          </w:p>
        </w:tc>
        <w:tc>
          <w:tcPr>
            <w:tcW w:w="915" w:type="dxa"/>
            <w:noWrap/>
            <w:tcMar>
              <w:top w:w="15" w:type="dxa"/>
              <w:left w:w="15" w:type="dxa"/>
              <w:bottom w:w="0" w:type="dxa"/>
              <w:right w:w="15" w:type="dxa"/>
            </w:tcMar>
            <w:vAlign w:val="bottom"/>
          </w:tcPr>
          <w:p w:rsidR="00000000" w:rsidRDefault="00000000">
            <w:pPr>
              <w:jc w:val="center"/>
              <w:rPr>
                <w:rFonts w:eastAsia="Arial Unicode MS"/>
                <w:color w:val="000000"/>
                <w:sz w:val="22"/>
              </w:rPr>
            </w:pPr>
            <w:r>
              <w:rPr>
                <w:color w:val="000000"/>
                <w:sz w:val="22"/>
              </w:rPr>
              <w:t>43 668</w:t>
            </w:r>
          </w:p>
        </w:tc>
        <w:tc>
          <w:tcPr>
            <w:tcW w:w="1102" w:type="dxa"/>
            <w:vAlign w:val="bottom"/>
          </w:tcPr>
          <w:p w:rsidR="00000000" w:rsidRDefault="00000000">
            <w:pPr>
              <w:jc w:val="center"/>
              <w:rPr>
                <w:rFonts w:eastAsia="Arial Unicode MS"/>
                <w:color w:val="000000"/>
                <w:sz w:val="22"/>
              </w:rPr>
            </w:pPr>
            <w:r>
              <w:rPr>
                <w:color w:val="000000"/>
                <w:sz w:val="22"/>
              </w:rPr>
              <w:t>466 682</w:t>
            </w:r>
          </w:p>
        </w:tc>
        <w:tc>
          <w:tcPr>
            <w:tcW w:w="915" w:type="dxa"/>
            <w:vAlign w:val="bottom"/>
          </w:tcPr>
          <w:p w:rsidR="00000000" w:rsidRDefault="00000000">
            <w:pPr>
              <w:jc w:val="center"/>
              <w:rPr>
                <w:rFonts w:eastAsia="Arial Unicode MS"/>
                <w:sz w:val="22"/>
              </w:rPr>
            </w:pPr>
            <w:r>
              <w:rPr>
                <w:sz w:val="22"/>
              </w:rPr>
              <w:t>439 131</w:t>
            </w:r>
          </w:p>
        </w:tc>
        <w:tc>
          <w:tcPr>
            <w:tcW w:w="1098"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109 403</w:t>
            </w:r>
          </w:p>
        </w:tc>
        <w:tc>
          <w:tcPr>
            <w:tcW w:w="915" w:type="dxa"/>
            <w:noWrap/>
            <w:tcMar>
              <w:top w:w="15" w:type="dxa"/>
              <w:left w:w="15" w:type="dxa"/>
              <w:bottom w:w="0" w:type="dxa"/>
              <w:right w:w="15" w:type="dxa"/>
            </w:tcMar>
            <w:vAlign w:val="bottom"/>
          </w:tcPr>
          <w:p w:rsidR="00000000" w:rsidRDefault="00000000">
            <w:pPr>
              <w:jc w:val="center"/>
              <w:rPr>
                <w:rFonts w:eastAsia="Arial Unicode MS"/>
                <w:color w:val="000000"/>
                <w:sz w:val="22"/>
              </w:rPr>
            </w:pPr>
            <w:r>
              <w:rPr>
                <w:color w:val="000000"/>
                <w:sz w:val="22"/>
              </w:rPr>
              <w:t>107 306</w:t>
            </w:r>
          </w:p>
        </w:tc>
        <w:tc>
          <w:tcPr>
            <w:tcW w:w="1107" w:type="dxa"/>
            <w:tcMar>
              <w:top w:w="15" w:type="dxa"/>
              <w:left w:w="15" w:type="dxa"/>
              <w:bottom w:w="0" w:type="dxa"/>
              <w:right w:w="15" w:type="dxa"/>
            </w:tcMar>
            <w:vAlign w:val="center"/>
          </w:tcPr>
          <w:p w:rsidR="00000000" w:rsidRDefault="00000000">
            <w:pPr>
              <w:jc w:val="center"/>
              <w:rPr>
                <w:rFonts w:eastAsia="Arial Unicode MS"/>
                <w:sz w:val="22"/>
              </w:rPr>
            </w:pPr>
            <w:r>
              <w:rPr>
                <w:sz w:val="22"/>
              </w:rPr>
              <w:t>52 592</w:t>
            </w:r>
          </w:p>
        </w:tc>
        <w:tc>
          <w:tcPr>
            <w:tcW w:w="908"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58 474</w:t>
            </w:r>
          </w:p>
        </w:tc>
      </w:tr>
      <w:tr w:rsidR="00000000">
        <w:trPr>
          <w:cantSplit/>
        </w:trPr>
        <w:tc>
          <w:tcPr>
            <w:tcW w:w="1339" w:type="dxa"/>
            <w:noWrap/>
            <w:tcMar>
              <w:top w:w="15" w:type="dxa"/>
              <w:left w:w="15" w:type="dxa"/>
              <w:bottom w:w="0" w:type="dxa"/>
              <w:right w:w="15" w:type="dxa"/>
            </w:tcMar>
            <w:vAlign w:val="bottom"/>
          </w:tcPr>
          <w:p w:rsidR="00000000" w:rsidRDefault="00000000">
            <w:pPr>
              <w:rPr>
                <w:rFonts w:eastAsia="Arial Unicode MS"/>
                <w:sz w:val="22"/>
              </w:rPr>
            </w:pPr>
            <w:r>
              <w:rPr>
                <w:sz w:val="22"/>
              </w:rPr>
              <w:t>1998</w:t>
            </w:r>
          </w:p>
        </w:tc>
        <w:tc>
          <w:tcPr>
            <w:tcW w:w="1100"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48 457</w:t>
            </w:r>
          </w:p>
        </w:tc>
        <w:tc>
          <w:tcPr>
            <w:tcW w:w="915" w:type="dxa"/>
            <w:noWrap/>
            <w:tcMar>
              <w:top w:w="15" w:type="dxa"/>
              <w:left w:w="15" w:type="dxa"/>
              <w:bottom w:w="0" w:type="dxa"/>
              <w:right w:w="15" w:type="dxa"/>
            </w:tcMar>
            <w:vAlign w:val="bottom"/>
          </w:tcPr>
          <w:p w:rsidR="00000000" w:rsidRDefault="00000000">
            <w:pPr>
              <w:jc w:val="center"/>
              <w:rPr>
                <w:rFonts w:eastAsia="Arial Unicode MS"/>
                <w:color w:val="000000"/>
                <w:sz w:val="22"/>
              </w:rPr>
            </w:pPr>
            <w:r>
              <w:rPr>
                <w:color w:val="000000"/>
                <w:sz w:val="22"/>
              </w:rPr>
              <w:t>48 319</w:t>
            </w:r>
          </w:p>
        </w:tc>
        <w:tc>
          <w:tcPr>
            <w:tcW w:w="1102" w:type="dxa"/>
            <w:vAlign w:val="bottom"/>
          </w:tcPr>
          <w:p w:rsidR="00000000" w:rsidRDefault="00000000">
            <w:pPr>
              <w:jc w:val="center"/>
              <w:rPr>
                <w:rFonts w:eastAsia="Arial Unicode MS"/>
                <w:color w:val="000000"/>
                <w:sz w:val="22"/>
              </w:rPr>
            </w:pPr>
            <w:r>
              <w:rPr>
                <w:color w:val="000000"/>
                <w:sz w:val="22"/>
              </w:rPr>
              <w:t>479 927</w:t>
            </w:r>
          </w:p>
        </w:tc>
        <w:tc>
          <w:tcPr>
            <w:tcW w:w="915" w:type="dxa"/>
            <w:vAlign w:val="center"/>
          </w:tcPr>
          <w:p w:rsidR="00000000" w:rsidRDefault="00000000">
            <w:pPr>
              <w:jc w:val="center"/>
              <w:rPr>
                <w:rFonts w:eastAsia="Arial Unicode MS"/>
                <w:sz w:val="22"/>
              </w:rPr>
            </w:pPr>
            <w:r>
              <w:rPr>
                <w:sz w:val="22"/>
              </w:rPr>
              <w:t>453 362</w:t>
            </w:r>
          </w:p>
        </w:tc>
        <w:tc>
          <w:tcPr>
            <w:tcW w:w="1098" w:type="dxa"/>
            <w:noWrap/>
            <w:tcMar>
              <w:top w:w="15" w:type="dxa"/>
              <w:left w:w="15" w:type="dxa"/>
              <w:bottom w:w="0" w:type="dxa"/>
              <w:right w:w="15" w:type="dxa"/>
            </w:tcMar>
            <w:vAlign w:val="center"/>
          </w:tcPr>
          <w:p w:rsidR="00000000" w:rsidRDefault="00000000">
            <w:pPr>
              <w:jc w:val="center"/>
              <w:rPr>
                <w:rFonts w:eastAsia="Arial Unicode MS"/>
                <w:sz w:val="22"/>
              </w:rPr>
            </w:pPr>
            <w:r>
              <w:rPr>
                <w:sz w:val="22"/>
              </w:rPr>
              <w:t>116 670</w:t>
            </w:r>
          </w:p>
        </w:tc>
        <w:tc>
          <w:tcPr>
            <w:tcW w:w="915" w:type="dxa"/>
            <w:tcMar>
              <w:top w:w="15" w:type="dxa"/>
              <w:left w:w="15" w:type="dxa"/>
              <w:bottom w:w="0" w:type="dxa"/>
              <w:right w:w="15" w:type="dxa"/>
            </w:tcMar>
            <w:vAlign w:val="bottom"/>
          </w:tcPr>
          <w:p w:rsidR="00000000" w:rsidRDefault="00000000">
            <w:pPr>
              <w:jc w:val="center"/>
              <w:rPr>
                <w:rFonts w:eastAsia="Arial Unicode MS"/>
                <w:color w:val="000000"/>
                <w:sz w:val="22"/>
              </w:rPr>
            </w:pPr>
            <w:r>
              <w:rPr>
                <w:color w:val="000000"/>
                <w:sz w:val="22"/>
              </w:rPr>
              <w:t>113 961</w:t>
            </w:r>
          </w:p>
        </w:tc>
        <w:tc>
          <w:tcPr>
            <w:tcW w:w="1107" w:type="dxa"/>
            <w:tcMar>
              <w:top w:w="15" w:type="dxa"/>
              <w:left w:w="15" w:type="dxa"/>
              <w:bottom w:w="0" w:type="dxa"/>
              <w:right w:w="15" w:type="dxa"/>
            </w:tcMar>
            <w:vAlign w:val="center"/>
          </w:tcPr>
          <w:p w:rsidR="00000000" w:rsidRDefault="00000000">
            <w:pPr>
              <w:jc w:val="center"/>
              <w:rPr>
                <w:rFonts w:eastAsia="Arial Unicode MS"/>
                <w:sz w:val="22"/>
              </w:rPr>
            </w:pPr>
            <w:r>
              <w:rPr>
                <w:sz w:val="22"/>
              </w:rPr>
              <w:t>59 588</w:t>
            </w:r>
          </w:p>
        </w:tc>
        <w:tc>
          <w:tcPr>
            <w:tcW w:w="908"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64 996</w:t>
            </w:r>
          </w:p>
        </w:tc>
      </w:tr>
      <w:tr w:rsidR="00000000">
        <w:trPr>
          <w:cantSplit/>
        </w:trPr>
        <w:tc>
          <w:tcPr>
            <w:tcW w:w="1339" w:type="dxa"/>
            <w:noWrap/>
            <w:tcMar>
              <w:top w:w="15" w:type="dxa"/>
              <w:left w:w="15" w:type="dxa"/>
              <w:bottom w:w="0" w:type="dxa"/>
              <w:right w:w="15" w:type="dxa"/>
            </w:tcMar>
            <w:vAlign w:val="bottom"/>
          </w:tcPr>
          <w:p w:rsidR="00000000" w:rsidRDefault="00000000">
            <w:pPr>
              <w:rPr>
                <w:rFonts w:eastAsia="Arial Unicode MS"/>
                <w:sz w:val="22"/>
              </w:rPr>
            </w:pPr>
            <w:r>
              <w:rPr>
                <w:sz w:val="22"/>
              </w:rPr>
              <w:t>1999</w:t>
            </w:r>
          </w:p>
        </w:tc>
        <w:tc>
          <w:tcPr>
            <w:tcW w:w="1100"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53 859</w:t>
            </w:r>
          </w:p>
        </w:tc>
        <w:tc>
          <w:tcPr>
            <w:tcW w:w="915" w:type="dxa"/>
            <w:noWrap/>
            <w:tcMar>
              <w:top w:w="15" w:type="dxa"/>
              <w:left w:w="15" w:type="dxa"/>
              <w:bottom w:w="0" w:type="dxa"/>
              <w:right w:w="15" w:type="dxa"/>
            </w:tcMar>
            <w:vAlign w:val="bottom"/>
          </w:tcPr>
          <w:p w:rsidR="00000000" w:rsidRDefault="00000000">
            <w:pPr>
              <w:jc w:val="center"/>
              <w:rPr>
                <w:rFonts w:eastAsia="Arial Unicode MS"/>
                <w:color w:val="000000"/>
                <w:sz w:val="22"/>
              </w:rPr>
            </w:pPr>
            <w:r>
              <w:rPr>
                <w:color w:val="000000"/>
                <w:sz w:val="22"/>
              </w:rPr>
              <w:t>53 426</w:t>
            </w:r>
          </w:p>
        </w:tc>
        <w:tc>
          <w:tcPr>
            <w:tcW w:w="1102" w:type="dxa"/>
            <w:vAlign w:val="bottom"/>
          </w:tcPr>
          <w:p w:rsidR="00000000" w:rsidRDefault="00000000">
            <w:pPr>
              <w:jc w:val="center"/>
              <w:rPr>
                <w:rFonts w:eastAsia="Arial Unicode MS"/>
                <w:color w:val="000000"/>
                <w:sz w:val="22"/>
              </w:rPr>
            </w:pPr>
            <w:r>
              <w:rPr>
                <w:color w:val="000000"/>
                <w:sz w:val="22"/>
              </w:rPr>
              <w:t>481 055</w:t>
            </w:r>
          </w:p>
        </w:tc>
        <w:tc>
          <w:tcPr>
            <w:tcW w:w="915" w:type="dxa"/>
            <w:vAlign w:val="bottom"/>
          </w:tcPr>
          <w:p w:rsidR="00000000" w:rsidRDefault="00000000">
            <w:pPr>
              <w:jc w:val="center"/>
              <w:rPr>
                <w:rFonts w:eastAsia="Arial Unicode MS"/>
                <w:sz w:val="22"/>
              </w:rPr>
            </w:pPr>
            <w:r>
              <w:rPr>
                <w:sz w:val="22"/>
              </w:rPr>
              <w:t>451 943</w:t>
            </w:r>
          </w:p>
        </w:tc>
        <w:tc>
          <w:tcPr>
            <w:tcW w:w="1098"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127 720</w:t>
            </w:r>
          </w:p>
        </w:tc>
        <w:tc>
          <w:tcPr>
            <w:tcW w:w="915" w:type="dxa"/>
            <w:noWrap/>
            <w:tcMar>
              <w:top w:w="15" w:type="dxa"/>
              <w:left w:w="15" w:type="dxa"/>
              <w:bottom w:w="0" w:type="dxa"/>
              <w:right w:w="15" w:type="dxa"/>
            </w:tcMar>
            <w:vAlign w:val="bottom"/>
          </w:tcPr>
          <w:p w:rsidR="00000000" w:rsidRDefault="00000000">
            <w:pPr>
              <w:jc w:val="center"/>
              <w:rPr>
                <w:rFonts w:eastAsia="Arial Unicode MS"/>
                <w:color w:val="000000"/>
                <w:sz w:val="22"/>
              </w:rPr>
            </w:pPr>
            <w:r>
              <w:rPr>
                <w:color w:val="000000"/>
                <w:sz w:val="22"/>
              </w:rPr>
              <w:t>125 532</w:t>
            </w:r>
          </w:p>
        </w:tc>
        <w:tc>
          <w:tcPr>
            <w:tcW w:w="1107" w:type="dxa"/>
            <w:tcMar>
              <w:top w:w="15" w:type="dxa"/>
              <w:left w:w="15" w:type="dxa"/>
              <w:bottom w:w="0" w:type="dxa"/>
              <w:right w:w="15" w:type="dxa"/>
            </w:tcMar>
            <w:vAlign w:val="center"/>
          </w:tcPr>
          <w:p w:rsidR="00000000" w:rsidRDefault="00000000">
            <w:pPr>
              <w:jc w:val="center"/>
              <w:rPr>
                <w:rFonts w:eastAsia="Arial Unicode MS"/>
                <w:sz w:val="22"/>
              </w:rPr>
            </w:pPr>
            <w:r>
              <w:rPr>
                <w:sz w:val="22"/>
              </w:rPr>
              <w:t>68 339</w:t>
            </w:r>
          </w:p>
        </w:tc>
        <w:tc>
          <w:tcPr>
            <w:tcW w:w="908"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72 455</w:t>
            </w:r>
          </w:p>
        </w:tc>
      </w:tr>
      <w:tr w:rsidR="00000000">
        <w:trPr>
          <w:cantSplit/>
        </w:trPr>
        <w:tc>
          <w:tcPr>
            <w:tcW w:w="1339" w:type="dxa"/>
            <w:noWrap/>
            <w:tcMar>
              <w:top w:w="15" w:type="dxa"/>
              <w:left w:w="15" w:type="dxa"/>
              <w:bottom w:w="0" w:type="dxa"/>
              <w:right w:w="15" w:type="dxa"/>
            </w:tcMar>
            <w:vAlign w:val="bottom"/>
          </w:tcPr>
          <w:p w:rsidR="00000000" w:rsidRDefault="00000000">
            <w:pPr>
              <w:rPr>
                <w:rFonts w:eastAsia="Arial Unicode MS"/>
                <w:sz w:val="22"/>
              </w:rPr>
            </w:pPr>
            <w:r>
              <w:rPr>
                <w:sz w:val="22"/>
              </w:rPr>
              <w:t>2000</w:t>
            </w:r>
          </w:p>
        </w:tc>
        <w:tc>
          <w:tcPr>
            <w:tcW w:w="1100"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57 806</w:t>
            </w:r>
          </w:p>
        </w:tc>
        <w:tc>
          <w:tcPr>
            <w:tcW w:w="915" w:type="dxa"/>
            <w:noWrap/>
            <w:tcMar>
              <w:top w:w="15" w:type="dxa"/>
              <w:left w:w="15" w:type="dxa"/>
              <w:bottom w:w="0" w:type="dxa"/>
              <w:right w:w="15" w:type="dxa"/>
            </w:tcMar>
            <w:vAlign w:val="bottom"/>
          </w:tcPr>
          <w:p w:rsidR="00000000" w:rsidRDefault="00000000">
            <w:pPr>
              <w:jc w:val="center"/>
              <w:rPr>
                <w:rFonts w:eastAsia="Arial Unicode MS"/>
                <w:color w:val="000000"/>
                <w:sz w:val="22"/>
              </w:rPr>
            </w:pPr>
            <w:r>
              <w:rPr>
                <w:color w:val="000000"/>
                <w:sz w:val="22"/>
              </w:rPr>
              <w:t>56 710</w:t>
            </w:r>
          </w:p>
        </w:tc>
        <w:tc>
          <w:tcPr>
            <w:tcW w:w="1102" w:type="dxa"/>
            <w:vAlign w:val="bottom"/>
          </w:tcPr>
          <w:p w:rsidR="00000000" w:rsidRDefault="00000000">
            <w:pPr>
              <w:jc w:val="center"/>
              <w:rPr>
                <w:rFonts w:eastAsia="Arial Unicode MS"/>
                <w:color w:val="000000"/>
                <w:sz w:val="22"/>
              </w:rPr>
            </w:pPr>
            <w:r>
              <w:rPr>
                <w:color w:val="000000"/>
                <w:sz w:val="22"/>
              </w:rPr>
              <w:t>489 171</w:t>
            </w:r>
          </w:p>
        </w:tc>
        <w:tc>
          <w:tcPr>
            <w:tcW w:w="915" w:type="dxa"/>
            <w:vAlign w:val="center"/>
          </w:tcPr>
          <w:p w:rsidR="00000000" w:rsidRDefault="00000000">
            <w:pPr>
              <w:jc w:val="center"/>
              <w:rPr>
                <w:rFonts w:eastAsia="Arial Unicode MS"/>
                <w:sz w:val="22"/>
              </w:rPr>
            </w:pPr>
            <w:r>
              <w:rPr>
                <w:sz w:val="22"/>
              </w:rPr>
              <w:t>459 038</w:t>
            </w:r>
          </w:p>
        </w:tc>
        <w:tc>
          <w:tcPr>
            <w:tcW w:w="1098" w:type="dxa"/>
            <w:noWrap/>
            <w:tcMar>
              <w:top w:w="15" w:type="dxa"/>
              <w:left w:w="15" w:type="dxa"/>
              <w:bottom w:w="0" w:type="dxa"/>
              <w:right w:w="15" w:type="dxa"/>
            </w:tcMar>
            <w:vAlign w:val="center"/>
          </w:tcPr>
          <w:p w:rsidR="00000000" w:rsidRDefault="00000000">
            <w:pPr>
              <w:jc w:val="center"/>
              <w:rPr>
                <w:rFonts w:eastAsia="Arial Unicode MS"/>
                <w:sz w:val="22"/>
              </w:rPr>
            </w:pPr>
            <w:r>
              <w:rPr>
                <w:sz w:val="22"/>
              </w:rPr>
              <w:t>136 534</w:t>
            </w:r>
          </w:p>
        </w:tc>
        <w:tc>
          <w:tcPr>
            <w:tcW w:w="915" w:type="dxa"/>
            <w:tcMar>
              <w:top w:w="15" w:type="dxa"/>
              <w:left w:w="15" w:type="dxa"/>
              <w:bottom w:w="0" w:type="dxa"/>
              <w:right w:w="15" w:type="dxa"/>
            </w:tcMar>
            <w:vAlign w:val="bottom"/>
          </w:tcPr>
          <w:p w:rsidR="00000000" w:rsidRDefault="00000000">
            <w:pPr>
              <w:jc w:val="center"/>
              <w:rPr>
                <w:rFonts w:eastAsia="Arial Unicode MS"/>
                <w:color w:val="000000"/>
                <w:sz w:val="22"/>
              </w:rPr>
            </w:pPr>
            <w:r>
              <w:rPr>
                <w:color w:val="000000"/>
                <w:sz w:val="22"/>
              </w:rPr>
              <w:t>134 288</w:t>
            </w:r>
          </w:p>
        </w:tc>
        <w:tc>
          <w:tcPr>
            <w:tcW w:w="1107" w:type="dxa"/>
            <w:tcMar>
              <w:top w:w="15" w:type="dxa"/>
              <w:left w:w="15" w:type="dxa"/>
              <w:bottom w:w="0" w:type="dxa"/>
              <w:right w:w="15" w:type="dxa"/>
            </w:tcMar>
            <w:vAlign w:val="center"/>
          </w:tcPr>
          <w:p w:rsidR="00000000" w:rsidRDefault="00000000">
            <w:pPr>
              <w:jc w:val="center"/>
              <w:rPr>
                <w:rFonts w:eastAsia="Arial Unicode MS"/>
                <w:sz w:val="22"/>
              </w:rPr>
            </w:pPr>
            <w:r>
              <w:rPr>
                <w:sz w:val="22"/>
              </w:rPr>
              <w:t>75 251</w:t>
            </w:r>
          </w:p>
        </w:tc>
        <w:tc>
          <w:tcPr>
            <w:tcW w:w="908"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77 947</w:t>
            </w:r>
          </w:p>
        </w:tc>
      </w:tr>
      <w:tr w:rsidR="00000000">
        <w:trPr>
          <w:cantSplit/>
        </w:trPr>
        <w:tc>
          <w:tcPr>
            <w:tcW w:w="1339" w:type="dxa"/>
            <w:noWrap/>
            <w:tcMar>
              <w:top w:w="15" w:type="dxa"/>
              <w:left w:w="15" w:type="dxa"/>
              <w:bottom w:w="0" w:type="dxa"/>
              <w:right w:w="15" w:type="dxa"/>
            </w:tcMar>
            <w:vAlign w:val="bottom"/>
          </w:tcPr>
          <w:p w:rsidR="00000000" w:rsidRDefault="00000000">
            <w:pPr>
              <w:rPr>
                <w:rFonts w:eastAsia="Arial Unicode MS"/>
                <w:sz w:val="22"/>
              </w:rPr>
            </w:pPr>
            <w:r>
              <w:rPr>
                <w:sz w:val="22"/>
              </w:rPr>
              <w:t>2001</w:t>
            </w:r>
          </w:p>
        </w:tc>
        <w:tc>
          <w:tcPr>
            <w:tcW w:w="1100"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60 337</w:t>
            </w:r>
          </w:p>
        </w:tc>
        <w:tc>
          <w:tcPr>
            <w:tcW w:w="915" w:type="dxa"/>
            <w:noWrap/>
            <w:tcMar>
              <w:top w:w="15" w:type="dxa"/>
              <w:left w:w="15" w:type="dxa"/>
              <w:bottom w:w="0" w:type="dxa"/>
              <w:right w:w="15" w:type="dxa"/>
            </w:tcMar>
            <w:vAlign w:val="bottom"/>
          </w:tcPr>
          <w:p w:rsidR="00000000" w:rsidRDefault="00000000">
            <w:pPr>
              <w:jc w:val="center"/>
              <w:rPr>
                <w:rFonts w:eastAsia="Arial Unicode MS"/>
                <w:color w:val="000000"/>
                <w:sz w:val="22"/>
              </w:rPr>
            </w:pPr>
            <w:r>
              <w:rPr>
                <w:color w:val="000000"/>
                <w:sz w:val="22"/>
              </w:rPr>
              <w:t>59 197</w:t>
            </w:r>
          </w:p>
        </w:tc>
        <w:tc>
          <w:tcPr>
            <w:tcW w:w="1102" w:type="dxa"/>
            <w:vAlign w:val="bottom"/>
          </w:tcPr>
          <w:p w:rsidR="00000000" w:rsidRDefault="00000000">
            <w:pPr>
              <w:jc w:val="center"/>
              <w:rPr>
                <w:rFonts w:eastAsia="Arial Unicode MS"/>
                <w:color w:val="000000"/>
                <w:sz w:val="22"/>
              </w:rPr>
            </w:pPr>
            <w:r>
              <w:rPr>
                <w:color w:val="000000"/>
                <w:sz w:val="22"/>
              </w:rPr>
              <w:t>489 510</w:t>
            </w:r>
          </w:p>
        </w:tc>
        <w:tc>
          <w:tcPr>
            <w:tcW w:w="915" w:type="dxa"/>
            <w:vAlign w:val="center"/>
          </w:tcPr>
          <w:p w:rsidR="00000000" w:rsidRDefault="00000000">
            <w:pPr>
              <w:jc w:val="center"/>
              <w:rPr>
                <w:rFonts w:eastAsia="Arial Unicode MS"/>
                <w:sz w:val="22"/>
              </w:rPr>
            </w:pPr>
            <w:r>
              <w:rPr>
                <w:sz w:val="22"/>
              </w:rPr>
              <w:t>459 173</w:t>
            </w:r>
          </w:p>
        </w:tc>
        <w:tc>
          <w:tcPr>
            <w:tcW w:w="1098" w:type="dxa"/>
            <w:noWrap/>
            <w:tcMar>
              <w:top w:w="15" w:type="dxa"/>
              <w:left w:w="15" w:type="dxa"/>
              <w:bottom w:w="0" w:type="dxa"/>
              <w:right w:w="15" w:type="dxa"/>
            </w:tcMar>
            <w:vAlign w:val="center"/>
          </w:tcPr>
          <w:p w:rsidR="00000000" w:rsidRDefault="00000000">
            <w:pPr>
              <w:jc w:val="center"/>
              <w:rPr>
                <w:rFonts w:eastAsia="Arial Unicode MS"/>
                <w:sz w:val="22"/>
              </w:rPr>
            </w:pPr>
            <w:r>
              <w:rPr>
                <w:sz w:val="22"/>
              </w:rPr>
              <w:t>148 230</w:t>
            </w:r>
          </w:p>
        </w:tc>
        <w:tc>
          <w:tcPr>
            <w:tcW w:w="915" w:type="dxa"/>
            <w:tcMar>
              <w:top w:w="15" w:type="dxa"/>
              <w:left w:w="15" w:type="dxa"/>
              <w:bottom w:w="0" w:type="dxa"/>
              <w:right w:w="15" w:type="dxa"/>
            </w:tcMar>
            <w:vAlign w:val="bottom"/>
          </w:tcPr>
          <w:p w:rsidR="00000000" w:rsidRDefault="00000000">
            <w:pPr>
              <w:jc w:val="center"/>
              <w:rPr>
                <w:rFonts w:eastAsia="Arial Unicode MS"/>
                <w:color w:val="000000"/>
                <w:sz w:val="22"/>
              </w:rPr>
            </w:pPr>
            <w:r>
              <w:rPr>
                <w:color w:val="000000"/>
                <w:sz w:val="22"/>
              </w:rPr>
              <w:t>144 478</w:t>
            </w:r>
          </w:p>
        </w:tc>
        <w:tc>
          <w:tcPr>
            <w:tcW w:w="1107" w:type="dxa"/>
            <w:tcMar>
              <w:top w:w="15" w:type="dxa"/>
              <w:left w:w="15" w:type="dxa"/>
              <w:bottom w:w="0" w:type="dxa"/>
              <w:right w:w="15" w:type="dxa"/>
            </w:tcMar>
            <w:vAlign w:val="center"/>
          </w:tcPr>
          <w:p w:rsidR="00000000" w:rsidRDefault="00000000">
            <w:pPr>
              <w:jc w:val="center"/>
              <w:rPr>
                <w:rFonts w:eastAsia="Arial Unicode MS"/>
                <w:sz w:val="22"/>
              </w:rPr>
            </w:pPr>
            <w:r>
              <w:rPr>
                <w:sz w:val="22"/>
              </w:rPr>
              <w:t>81 830</w:t>
            </w:r>
          </w:p>
        </w:tc>
        <w:tc>
          <w:tcPr>
            <w:tcW w:w="908"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83 054</w:t>
            </w:r>
          </w:p>
        </w:tc>
      </w:tr>
      <w:tr w:rsidR="00000000">
        <w:trPr>
          <w:cantSplit/>
        </w:trPr>
        <w:tc>
          <w:tcPr>
            <w:tcW w:w="1339" w:type="dxa"/>
            <w:noWrap/>
            <w:tcMar>
              <w:top w:w="15" w:type="dxa"/>
              <w:left w:w="15" w:type="dxa"/>
              <w:bottom w:w="0" w:type="dxa"/>
              <w:right w:w="15" w:type="dxa"/>
            </w:tcMar>
            <w:vAlign w:val="bottom"/>
          </w:tcPr>
          <w:p w:rsidR="00000000" w:rsidRDefault="00000000">
            <w:pPr>
              <w:rPr>
                <w:rFonts w:eastAsia="Arial Unicode MS"/>
                <w:sz w:val="22"/>
              </w:rPr>
            </w:pPr>
            <w:r>
              <w:rPr>
                <w:sz w:val="22"/>
              </w:rPr>
              <w:t>2002</w:t>
            </w:r>
          </w:p>
        </w:tc>
        <w:tc>
          <w:tcPr>
            <w:tcW w:w="1100"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60 085</w:t>
            </w:r>
          </w:p>
        </w:tc>
        <w:tc>
          <w:tcPr>
            <w:tcW w:w="915" w:type="dxa"/>
            <w:noWrap/>
            <w:tcMar>
              <w:top w:w="15" w:type="dxa"/>
              <w:left w:w="15" w:type="dxa"/>
              <w:bottom w:w="0" w:type="dxa"/>
              <w:right w:w="15" w:type="dxa"/>
            </w:tcMar>
            <w:vAlign w:val="bottom"/>
          </w:tcPr>
          <w:p w:rsidR="00000000" w:rsidRDefault="00000000">
            <w:pPr>
              <w:jc w:val="center"/>
              <w:rPr>
                <w:rFonts w:eastAsia="Arial Unicode MS"/>
                <w:color w:val="000000"/>
                <w:sz w:val="22"/>
              </w:rPr>
            </w:pPr>
            <w:r>
              <w:rPr>
                <w:color w:val="000000"/>
                <w:sz w:val="22"/>
              </w:rPr>
              <w:t>57 918</w:t>
            </w:r>
          </w:p>
        </w:tc>
        <w:tc>
          <w:tcPr>
            <w:tcW w:w="1102" w:type="dxa"/>
            <w:vAlign w:val="bottom"/>
          </w:tcPr>
          <w:p w:rsidR="00000000" w:rsidRDefault="00000000">
            <w:pPr>
              <w:jc w:val="center"/>
              <w:rPr>
                <w:rFonts w:eastAsia="Arial Unicode MS"/>
                <w:color w:val="000000"/>
                <w:sz w:val="22"/>
              </w:rPr>
            </w:pPr>
            <w:r>
              <w:rPr>
                <w:color w:val="000000"/>
                <w:sz w:val="22"/>
              </w:rPr>
              <w:t>484 053</w:t>
            </w:r>
          </w:p>
        </w:tc>
        <w:tc>
          <w:tcPr>
            <w:tcW w:w="915" w:type="dxa"/>
            <w:vAlign w:val="center"/>
          </w:tcPr>
          <w:p w:rsidR="00000000" w:rsidRDefault="00000000">
            <w:pPr>
              <w:jc w:val="center"/>
              <w:rPr>
                <w:rFonts w:eastAsia="Arial Unicode MS"/>
                <w:sz w:val="22"/>
              </w:rPr>
            </w:pPr>
            <w:r>
              <w:rPr>
                <w:sz w:val="22"/>
              </w:rPr>
              <w:t>451 835</w:t>
            </w:r>
          </w:p>
        </w:tc>
        <w:tc>
          <w:tcPr>
            <w:tcW w:w="1098" w:type="dxa"/>
            <w:noWrap/>
            <w:tcMar>
              <w:top w:w="15" w:type="dxa"/>
              <w:left w:w="15" w:type="dxa"/>
              <w:bottom w:w="0" w:type="dxa"/>
              <w:right w:w="15" w:type="dxa"/>
            </w:tcMar>
            <w:vAlign w:val="center"/>
          </w:tcPr>
          <w:p w:rsidR="00000000" w:rsidRDefault="00000000">
            <w:pPr>
              <w:jc w:val="center"/>
              <w:rPr>
                <w:rFonts w:eastAsia="Arial Unicode MS"/>
                <w:sz w:val="22"/>
              </w:rPr>
            </w:pPr>
            <w:r>
              <w:rPr>
                <w:sz w:val="22"/>
              </w:rPr>
              <w:t>152 933</w:t>
            </w:r>
          </w:p>
        </w:tc>
        <w:tc>
          <w:tcPr>
            <w:tcW w:w="915" w:type="dxa"/>
            <w:tcMar>
              <w:top w:w="15" w:type="dxa"/>
              <w:left w:w="15" w:type="dxa"/>
              <w:bottom w:w="0" w:type="dxa"/>
              <w:right w:w="15" w:type="dxa"/>
            </w:tcMar>
            <w:vAlign w:val="bottom"/>
          </w:tcPr>
          <w:p w:rsidR="00000000" w:rsidRDefault="00000000">
            <w:pPr>
              <w:jc w:val="center"/>
              <w:rPr>
                <w:rFonts w:eastAsia="Arial Unicode MS"/>
                <w:color w:val="000000"/>
                <w:sz w:val="22"/>
              </w:rPr>
            </w:pPr>
            <w:r>
              <w:rPr>
                <w:color w:val="000000"/>
                <w:sz w:val="22"/>
              </w:rPr>
              <w:t>148 725</w:t>
            </w:r>
          </w:p>
        </w:tc>
        <w:tc>
          <w:tcPr>
            <w:tcW w:w="1107" w:type="dxa"/>
            <w:tcMar>
              <w:top w:w="15" w:type="dxa"/>
              <w:left w:w="15" w:type="dxa"/>
              <w:bottom w:w="0" w:type="dxa"/>
              <w:right w:w="15" w:type="dxa"/>
            </w:tcMar>
            <w:vAlign w:val="center"/>
          </w:tcPr>
          <w:p w:rsidR="00000000" w:rsidRDefault="00000000">
            <w:pPr>
              <w:jc w:val="center"/>
              <w:rPr>
                <w:rFonts w:eastAsia="Arial Unicode MS"/>
                <w:sz w:val="22"/>
              </w:rPr>
            </w:pPr>
            <w:r>
              <w:rPr>
                <w:sz w:val="22"/>
              </w:rPr>
              <w:t>90 454</w:t>
            </w:r>
          </w:p>
        </w:tc>
        <w:tc>
          <w:tcPr>
            <w:tcW w:w="908"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92 452</w:t>
            </w:r>
          </w:p>
        </w:tc>
      </w:tr>
      <w:tr w:rsidR="00000000">
        <w:trPr>
          <w:cantSplit/>
        </w:trPr>
        <w:tc>
          <w:tcPr>
            <w:tcW w:w="1339" w:type="dxa"/>
            <w:noWrap/>
            <w:tcMar>
              <w:top w:w="15" w:type="dxa"/>
              <w:left w:w="15" w:type="dxa"/>
              <w:bottom w:w="0" w:type="dxa"/>
              <w:right w:w="15" w:type="dxa"/>
            </w:tcMar>
            <w:vAlign w:val="bottom"/>
          </w:tcPr>
          <w:p w:rsidR="00000000" w:rsidRDefault="00000000">
            <w:pPr>
              <w:rPr>
                <w:rFonts w:eastAsia="Arial Unicode MS"/>
                <w:sz w:val="22"/>
              </w:rPr>
            </w:pPr>
            <w:r>
              <w:rPr>
                <w:sz w:val="22"/>
              </w:rPr>
              <w:t>2003</w:t>
            </w:r>
          </w:p>
        </w:tc>
        <w:tc>
          <w:tcPr>
            <w:tcW w:w="1100"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62 310</w:t>
            </w:r>
          </w:p>
        </w:tc>
        <w:tc>
          <w:tcPr>
            <w:tcW w:w="915" w:type="dxa"/>
            <w:noWrap/>
            <w:tcMar>
              <w:top w:w="15" w:type="dxa"/>
              <w:left w:w="15" w:type="dxa"/>
              <w:bottom w:w="0" w:type="dxa"/>
              <w:right w:w="15" w:type="dxa"/>
            </w:tcMar>
            <w:vAlign w:val="bottom"/>
          </w:tcPr>
          <w:p w:rsidR="00000000" w:rsidRDefault="00000000">
            <w:pPr>
              <w:jc w:val="center"/>
              <w:rPr>
                <w:rFonts w:eastAsia="Arial Unicode MS"/>
                <w:color w:val="000000"/>
                <w:sz w:val="22"/>
              </w:rPr>
            </w:pPr>
            <w:r>
              <w:rPr>
                <w:color w:val="000000"/>
                <w:sz w:val="22"/>
              </w:rPr>
              <w:t>60 555</w:t>
            </w:r>
          </w:p>
        </w:tc>
        <w:tc>
          <w:tcPr>
            <w:tcW w:w="1102" w:type="dxa"/>
            <w:vAlign w:val="bottom"/>
          </w:tcPr>
          <w:p w:rsidR="00000000" w:rsidRDefault="00000000">
            <w:pPr>
              <w:jc w:val="center"/>
              <w:rPr>
                <w:rFonts w:eastAsia="Arial Unicode MS"/>
                <w:color w:val="000000"/>
                <w:sz w:val="22"/>
              </w:rPr>
            </w:pPr>
            <w:r>
              <w:rPr>
                <w:color w:val="000000"/>
                <w:sz w:val="22"/>
              </w:rPr>
              <w:t>483 217</w:t>
            </w:r>
          </w:p>
        </w:tc>
        <w:tc>
          <w:tcPr>
            <w:tcW w:w="915" w:type="dxa"/>
            <w:vAlign w:val="center"/>
          </w:tcPr>
          <w:p w:rsidR="00000000" w:rsidRDefault="00000000">
            <w:pPr>
              <w:jc w:val="center"/>
              <w:rPr>
                <w:rFonts w:eastAsia="Arial Unicode MS"/>
                <w:sz w:val="22"/>
              </w:rPr>
            </w:pPr>
            <w:r>
              <w:rPr>
                <w:sz w:val="22"/>
              </w:rPr>
              <w:t>451 364</w:t>
            </w:r>
          </w:p>
        </w:tc>
        <w:tc>
          <w:tcPr>
            <w:tcW w:w="1098" w:type="dxa"/>
            <w:noWrap/>
            <w:tcMar>
              <w:top w:w="15" w:type="dxa"/>
              <w:left w:w="15" w:type="dxa"/>
              <w:bottom w:w="0" w:type="dxa"/>
              <w:right w:w="15" w:type="dxa"/>
            </w:tcMar>
            <w:vAlign w:val="center"/>
          </w:tcPr>
          <w:p w:rsidR="00000000" w:rsidRDefault="00000000">
            <w:pPr>
              <w:jc w:val="center"/>
              <w:rPr>
                <w:rFonts w:eastAsia="Arial Unicode MS"/>
                <w:sz w:val="22"/>
              </w:rPr>
            </w:pPr>
            <w:r>
              <w:rPr>
                <w:sz w:val="22"/>
              </w:rPr>
              <w:t>156 632</w:t>
            </w:r>
          </w:p>
        </w:tc>
        <w:tc>
          <w:tcPr>
            <w:tcW w:w="915" w:type="dxa"/>
            <w:tcMar>
              <w:top w:w="15" w:type="dxa"/>
              <w:left w:w="15" w:type="dxa"/>
              <w:bottom w:w="0" w:type="dxa"/>
              <w:right w:w="15" w:type="dxa"/>
            </w:tcMar>
            <w:vAlign w:val="bottom"/>
          </w:tcPr>
          <w:p w:rsidR="00000000" w:rsidRDefault="00000000">
            <w:pPr>
              <w:jc w:val="center"/>
              <w:rPr>
                <w:rFonts w:eastAsia="Arial Unicode MS"/>
                <w:color w:val="000000"/>
                <w:sz w:val="22"/>
              </w:rPr>
            </w:pPr>
            <w:r>
              <w:rPr>
                <w:color w:val="000000"/>
                <w:sz w:val="22"/>
              </w:rPr>
              <w:t>152 621</w:t>
            </w:r>
          </w:p>
        </w:tc>
        <w:tc>
          <w:tcPr>
            <w:tcW w:w="1107" w:type="dxa"/>
            <w:tcMar>
              <w:top w:w="15" w:type="dxa"/>
              <w:left w:w="15" w:type="dxa"/>
              <w:bottom w:w="0" w:type="dxa"/>
              <w:right w:w="15" w:type="dxa"/>
            </w:tcMar>
            <w:vAlign w:val="center"/>
          </w:tcPr>
          <w:p w:rsidR="00000000" w:rsidRDefault="00000000">
            <w:pPr>
              <w:jc w:val="center"/>
              <w:rPr>
                <w:rFonts w:eastAsia="Arial Unicode MS"/>
                <w:sz w:val="22"/>
              </w:rPr>
            </w:pPr>
            <w:r>
              <w:rPr>
                <w:sz w:val="22"/>
              </w:rPr>
              <w:t>98 381</w:t>
            </w:r>
          </w:p>
        </w:tc>
        <w:tc>
          <w:tcPr>
            <w:tcW w:w="908"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100 420</w:t>
            </w:r>
          </w:p>
        </w:tc>
      </w:tr>
      <w:tr w:rsidR="00000000">
        <w:trPr>
          <w:cantSplit/>
        </w:trPr>
        <w:tc>
          <w:tcPr>
            <w:tcW w:w="1339" w:type="dxa"/>
            <w:noWrap/>
            <w:tcMar>
              <w:top w:w="15" w:type="dxa"/>
              <w:left w:w="15" w:type="dxa"/>
              <w:bottom w:w="0" w:type="dxa"/>
              <w:right w:w="15" w:type="dxa"/>
            </w:tcMar>
            <w:vAlign w:val="bottom"/>
          </w:tcPr>
          <w:p w:rsidR="00000000" w:rsidRDefault="00000000">
            <w:pPr>
              <w:rPr>
                <w:rFonts w:eastAsia="Arial Unicode MS"/>
                <w:sz w:val="22"/>
              </w:rPr>
            </w:pPr>
            <w:r>
              <w:rPr>
                <w:sz w:val="22"/>
              </w:rPr>
              <w:t>2004</w:t>
            </w:r>
          </w:p>
        </w:tc>
        <w:tc>
          <w:tcPr>
            <w:tcW w:w="1100"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62 300</w:t>
            </w:r>
          </w:p>
        </w:tc>
        <w:tc>
          <w:tcPr>
            <w:tcW w:w="915" w:type="dxa"/>
            <w:noWrap/>
            <w:tcMar>
              <w:top w:w="15" w:type="dxa"/>
              <w:left w:w="15" w:type="dxa"/>
              <w:bottom w:w="0" w:type="dxa"/>
              <w:right w:w="15" w:type="dxa"/>
            </w:tcMar>
            <w:vAlign w:val="bottom"/>
          </w:tcPr>
          <w:p w:rsidR="00000000" w:rsidRDefault="00000000">
            <w:pPr>
              <w:jc w:val="center"/>
              <w:rPr>
                <w:rFonts w:eastAsia="Arial Unicode MS"/>
                <w:color w:val="000000"/>
                <w:sz w:val="22"/>
              </w:rPr>
            </w:pPr>
            <w:r>
              <w:rPr>
                <w:color w:val="000000"/>
                <w:sz w:val="22"/>
              </w:rPr>
              <w:t>60 174</w:t>
            </w:r>
          </w:p>
        </w:tc>
        <w:tc>
          <w:tcPr>
            <w:tcW w:w="1102" w:type="dxa"/>
            <w:vAlign w:val="bottom"/>
          </w:tcPr>
          <w:p w:rsidR="00000000" w:rsidRDefault="00000000">
            <w:pPr>
              <w:jc w:val="center"/>
              <w:rPr>
                <w:rFonts w:eastAsia="Arial Unicode MS"/>
                <w:color w:val="000000"/>
                <w:sz w:val="22"/>
              </w:rPr>
            </w:pPr>
            <w:r>
              <w:rPr>
                <w:color w:val="000000"/>
                <w:sz w:val="22"/>
              </w:rPr>
              <w:t>479 989</w:t>
            </w:r>
          </w:p>
        </w:tc>
        <w:tc>
          <w:tcPr>
            <w:tcW w:w="915" w:type="dxa"/>
            <w:vAlign w:val="center"/>
          </w:tcPr>
          <w:p w:rsidR="00000000" w:rsidRDefault="00000000">
            <w:pPr>
              <w:jc w:val="center"/>
              <w:rPr>
                <w:rFonts w:eastAsia="Arial Unicode MS"/>
                <w:sz w:val="22"/>
              </w:rPr>
            </w:pPr>
            <w:r>
              <w:rPr>
                <w:sz w:val="22"/>
              </w:rPr>
              <w:t>449 489</w:t>
            </w:r>
          </w:p>
        </w:tc>
        <w:tc>
          <w:tcPr>
            <w:tcW w:w="1098" w:type="dxa"/>
            <w:noWrap/>
            <w:tcMar>
              <w:top w:w="15" w:type="dxa"/>
              <w:left w:w="15" w:type="dxa"/>
              <w:bottom w:w="0" w:type="dxa"/>
              <w:right w:w="15" w:type="dxa"/>
            </w:tcMar>
            <w:vAlign w:val="center"/>
          </w:tcPr>
          <w:p w:rsidR="00000000" w:rsidRDefault="00000000">
            <w:pPr>
              <w:jc w:val="center"/>
              <w:rPr>
                <w:rFonts w:eastAsia="Arial Unicode MS"/>
                <w:sz w:val="22"/>
              </w:rPr>
            </w:pPr>
            <w:r>
              <w:rPr>
                <w:sz w:val="22"/>
              </w:rPr>
              <w:t>159 790</w:t>
            </w:r>
          </w:p>
        </w:tc>
        <w:tc>
          <w:tcPr>
            <w:tcW w:w="915" w:type="dxa"/>
            <w:tcMar>
              <w:top w:w="15" w:type="dxa"/>
              <w:left w:w="15" w:type="dxa"/>
              <w:bottom w:w="0" w:type="dxa"/>
              <w:right w:w="15" w:type="dxa"/>
            </w:tcMar>
            <w:vAlign w:val="bottom"/>
          </w:tcPr>
          <w:p w:rsidR="00000000" w:rsidRDefault="00000000">
            <w:pPr>
              <w:jc w:val="center"/>
              <w:rPr>
                <w:rFonts w:eastAsia="Arial Unicode MS"/>
                <w:color w:val="000000"/>
                <w:sz w:val="22"/>
              </w:rPr>
            </w:pPr>
            <w:r>
              <w:rPr>
                <w:color w:val="000000"/>
                <w:sz w:val="22"/>
              </w:rPr>
              <w:t>156 579</w:t>
            </w:r>
          </w:p>
        </w:tc>
        <w:tc>
          <w:tcPr>
            <w:tcW w:w="1107" w:type="dxa"/>
            <w:tcMar>
              <w:top w:w="15" w:type="dxa"/>
              <w:left w:w="15" w:type="dxa"/>
              <w:bottom w:w="0" w:type="dxa"/>
              <w:right w:w="15" w:type="dxa"/>
            </w:tcMar>
            <w:vAlign w:val="center"/>
          </w:tcPr>
          <w:p w:rsidR="00000000" w:rsidRDefault="00000000">
            <w:pPr>
              <w:jc w:val="center"/>
              <w:rPr>
                <w:rFonts w:eastAsia="Arial Unicode MS"/>
                <w:sz w:val="22"/>
              </w:rPr>
            </w:pPr>
            <w:r>
              <w:rPr>
                <w:sz w:val="22"/>
              </w:rPr>
              <w:t>102 234</w:t>
            </w:r>
          </w:p>
        </w:tc>
        <w:tc>
          <w:tcPr>
            <w:tcW w:w="908" w:type="dxa"/>
            <w:noWrap/>
            <w:tcMar>
              <w:top w:w="15" w:type="dxa"/>
              <w:left w:w="15" w:type="dxa"/>
              <w:bottom w:w="0" w:type="dxa"/>
              <w:right w:w="15" w:type="dxa"/>
            </w:tcMar>
            <w:vAlign w:val="bottom"/>
          </w:tcPr>
          <w:p w:rsidR="00000000" w:rsidRDefault="00000000">
            <w:pPr>
              <w:jc w:val="center"/>
              <w:rPr>
                <w:rFonts w:eastAsia="Arial Unicode MS"/>
                <w:sz w:val="22"/>
              </w:rPr>
            </w:pPr>
            <w:r>
              <w:rPr>
                <w:sz w:val="22"/>
              </w:rPr>
              <w:t>104 623</w:t>
            </w:r>
          </w:p>
        </w:tc>
      </w:tr>
      <w:tr w:rsidR="00000000">
        <w:trPr>
          <w:cantSplit/>
        </w:trPr>
        <w:tc>
          <w:tcPr>
            <w:tcW w:w="1339" w:type="dxa"/>
            <w:tcMar>
              <w:top w:w="15" w:type="dxa"/>
              <w:left w:w="15" w:type="dxa"/>
              <w:bottom w:w="0" w:type="dxa"/>
              <w:right w:w="15" w:type="dxa"/>
            </w:tcMar>
            <w:vAlign w:val="center"/>
          </w:tcPr>
          <w:p w:rsidR="00000000" w:rsidRDefault="00000000">
            <w:pPr>
              <w:spacing w:line="240" w:lineRule="auto"/>
              <w:rPr>
                <w:sz w:val="22"/>
                <w:szCs w:val="18"/>
              </w:rPr>
            </w:pPr>
            <w:r>
              <w:rPr>
                <w:sz w:val="22"/>
                <w:szCs w:val="18"/>
              </w:rPr>
              <w:t xml:space="preserve">Динамика роста (в %), </w:t>
            </w:r>
          </w:p>
          <w:p w:rsidR="00000000" w:rsidRDefault="00000000">
            <w:pPr>
              <w:spacing w:line="240" w:lineRule="auto"/>
              <w:rPr>
                <w:rFonts w:eastAsia="Arial Unicode MS"/>
                <w:sz w:val="22"/>
                <w:szCs w:val="18"/>
              </w:rPr>
            </w:pPr>
            <w:r>
              <w:rPr>
                <w:sz w:val="22"/>
                <w:szCs w:val="18"/>
              </w:rPr>
              <w:t>1994</w:t>
            </w:r>
            <w:r>
              <w:rPr>
                <w:sz w:val="22"/>
                <w:szCs w:val="18"/>
              </w:rPr>
              <w:noBreakHyphen/>
              <w:t>2004</w:t>
            </w:r>
          </w:p>
        </w:tc>
        <w:tc>
          <w:tcPr>
            <w:tcW w:w="1100" w:type="dxa"/>
            <w:tcMar>
              <w:top w:w="15" w:type="dxa"/>
              <w:left w:w="15" w:type="dxa"/>
              <w:bottom w:w="0" w:type="dxa"/>
              <w:right w:w="15" w:type="dxa"/>
            </w:tcMar>
            <w:vAlign w:val="bottom"/>
          </w:tcPr>
          <w:p w:rsidR="00000000" w:rsidRDefault="00000000">
            <w:pPr>
              <w:jc w:val="center"/>
              <w:rPr>
                <w:rFonts w:eastAsia="Arial Unicode MS"/>
                <w:sz w:val="22"/>
              </w:rPr>
            </w:pPr>
            <w:r>
              <w:rPr>
                <w:sz w:val="22"/>
              </w:rPr>
              <w:t>13,9</w:t>
            </w:r>
          </w:p>
        </w:tc>
        <w:tc>
          <w:tcPr>
            <w:tcW w:w="915" w:type="dxa"/>
            <w:tcMar>
              <w:top w:w="15" w:type="dxa"/>
              <w:left w:w="15" w:type="dxa"/>
              <w:bottom w:w="0" w:type="dxa"/>
              <w:right w:w="15" w:type="dxa"/>
            </w:tcMar>
            <w:vAlign w:val="bottom"/>
          </w:tcPr>
          <w:p w:rsidR="00000000" w:rsidRDefault="00000000">
            <w:pPr>
              <w:jc w:val="center"/>
              <w:rPr>
                <w:rFonts w:eastAsia="Arial Unicode MS"/>
                <w:sz w:val="22"/>
              </w:rPr>
            </w:pPr>
            <w:r>
              <w:rPr>
                <w:sz w:val="22"/>
              </w:rPr>
              <w:t>135</w:t>
            </w:r>
          </w:p>
        </w:tc>
        <w:tc>
          <w:tcPr>
            <w:tcW w:w="1102" w:type="dxa"/>
            <w:vAlign w:val="bottom"/>
          </w:tcPr>
          <w:p w:rsidR="00000000" w:rsidRDefault="00000000">
            <w:pPr>
              <w:jc w:val="center"/>
              <w:rPr>
                <w:rFonts w:eastAsia="Arial Unicode MS"/>
                <w:sz w:val="22"/>
              </w:rPr>
            </w:pPr>
            <w:r>
              <w:rPr>
                <w:sz w:val="22"/>
              </w:rPr>
              <w:t>11</w:t>
            </w:r>
          </w:p>
        </w:tc>
        <w:tc>
          <w:tcPr>
            <w:tcW w:w="915" w:type="dxa"/>
            <w:vAlign w:val="bottom"/>
          </w:tcPr>
          <w:p w:rsidR="00000000" w:rsidRDefault="00000000">
            <w:pPr>
              <w:jc w:val="center"/>
              <w:rPr>
                <w:rFonts w:eastAsia="Arial Unicode MS"/>
                <w:sz w:val="22"/>
              </w:rPr>
            </w:pPr>
            <w:r>
              <w:rPr>
                <w:sz w:val="22"/>
              </w:rPr>
              <w:t>11</w:t>
            </w:r>
          </w:p>
        </w:tc>
        <w:tc>
          <w:tcPr>
            <w:tcW w:w="1098" w:type="dxa"/>
            <w:tcMar>
              <w:top w:w="15" w:type="dxa"/>
              <w:left w:w="15" w:type="dxa"/>
              <w:bottom w:w="0" w:type="dxa"/>
              <w:right w:w="15" w:type="dxa"/>
            </w:tcMar>
            <w:vAlign w:val="bottom"/>
          </w:tcPr>
          <w:p w:rsidR="00000000" w:rsidRDefault="00000000">
            <w:pPr>
              <w:jc w:val="center"/>
              <w:rPr>
                <w:rFonts w:eastAsia="Arial Unicode MS"/>
                <w:sz w:val="22"/>
              </w:rPr>
            </w:pPr>
            <w:r>
              <w:rPr>
                <w:color w:val="000000"/>
                <w:sz w:val="22"/>
              </w:rPr>
              <w:t>100</w:t>
            </w:r>
          </w:p>
        </w:tc>
        <w:tc>
          <w:tcPr>
            <w:tcW w:w="915" w:type="dxa"/>
            <w:tcMar>
              <w:top w:w="15" w:type="dxa"/>
              <w:left w:w="15" w:type="dxa"/>
              <w:bottom w:w="0" w:type="dxa"/>
              <w:right w:w="15" w:type="dxa"/>
            </w:tcMar>
            <w:vAlign w:val="bottom"/>
          </w:tcPr>
          <w:p w:rsidR="00000000" w:rsidRDefault="00000000">
            <w:pPr>
              <w:jc w:val="center"/>
              <w:rPr>
                <w:rFonts w:eastAsia="Arial Unicode MS"/>
                <w:sz w:val="22"/>
              </w:rPr>
            </w:pPr>
            <w:r>
              <w:rPr>
                <w:color w:val="000000"/>
                <w:sz w:val="22"/>
              </w:rPr>
              <w:t>96</w:t>
            </w:r>
          </w:p>
        </w:tc>
        <w:tc>
          <w:tcPr>
            <w:tcW w:w="1107" w:type="dxa"/>
            <w:tcMar>
              <w:top w:w="15" w:type="dxa"/>
              <w:left w:w="15" w:type="dxa"/>
              <w:bottom w:w="0" w:type="dxa"/>
              <w:right w:w="15" w:type="dxa"/>
            </w:tcMar>
            <w:vAlign w:val="bottom"/>
          </w:tcPr>
          <w:p w:rsidR="00000000" w:rsidRDefault="00000000">
            <w:pPr>
              <w:jc w:val="center"/>
              <w:rPr>
                <w:rFonts w:eastAsia="Arial Unicode MS"/>
                <w:sz w:val="22"/>
              </w:rPr>
            </w:pPr>
            <w:r>
              <w:rPr>
                <w:sz w:val="22"/>
              </w:rPr>
              <w:t>186</w:t>
            </w:r>
          </w:p>
        </w:tc>
        <w:tc>
          <w:tcPr>
            <w:tcW w:w="908" w:type="dxa"/>
            <w:tcMar>
              <w:top w:w="15" w:type="dxa"/>
              <w:left w:w="15" w:type="dxa"/>
              <w:bottom w:w="0" w:type="dxa"/>
              <w:right w:w="15" w:type="dxa"/>
            </w:tcMar>
            <w:vAlign w:val="bottom"/>
          </w:tcPr>
          <w:p w:rsidR="00000000" w:rsidRDefault="00000000">
            <w:pPr>
              <w:jc w:val="center"/>
              <w:rPr>
                <w:rFonts w:eastAsia="Arial Unicode MS"/>
                <w:sz w:val="22"/>
              </w:rPr>
            </w:pPr>
            <w:r>
              <w:rPr>
                <w:sz w:val="22"/>
              </w:rPr>
              <w:t>158</w:t>
            </w:r>
          </w:p>
        </w:tc>
      </w:tr>
    </w:tbl>
    <w:p w:rsidR="00000000" w:rsidRDefault="00000000">
      <w:pPr>
        <w:spacing w:line="216" w:lineRule="auto"/>
        <w:rPr>
          <w:i/>
          <w:iCs/>
        </w:rPr>
      </w:pPr>
    </w:p>
    <w:p w:rsidR="00000000" w:rsidRDefault="00000000">
      <w:r>
        <w:rPr>
          <w:i/>
          <w:iCs/>
        </w:rPr>
        <w:t>Источник</w:t>
      </w:r>
      <w:r>
        <w:t>:  MПК, ГУППК-СИЕК.</w:t>
      </w:r>
    </w:p>
    <w:p w:rsidR="00000000" w:rsidRDefault="00000000"/>
    <w:p w:rsidR="00000000" w:rsidRDefault="00000000">
      <w:pPr>
        <w:rPr>
          <w:lang w:eastAsia="es-ES"/>
        </w:rPr>
      </w:pPr>
      <w:r>
        <w:t>582.</w:t>
      </w:r>
      <w:r>
        <w:tab/>
        <w:t>Указывается также, что участниками Программы образования молодежи и взрослых являются:  20 351 мужчина (44%) и 26 077 женщин (56%) в городах и 13 474 мужчин (46%) и 15 546 женщин (54%) в сельской местности, при этом общая доля городов составляет 62%, а сельских районов - 38% (</w:t>
      </w:r>
      <w:r>
        <w:rPr>
          <w:i/>
          <w:iCs/>
        </w:rPr>
        <w:t>Источник</w:t>
      </w:r>
      <w:r>
        <w:t>:  МПК, ГУППК-СИЕК)</w:t>
      </w:r>
      <w:r>
        <w:rPr>
          <w:lang w:eastAsia="es-ES"/>
        </w:rPr>
        <w:t>.</w:t>
      </w:r>
    </w:p>
    <w:p w:rsidR="00000000" w:rsidRDefault="00000000">
      <w:pPr>
        <w:rPr>
          <w:lang w:eastAsia="es-ES"/>
        </w:rPr>
      </w:pPr>
    </w:p>
    <w:p w:rsidR="00000000" w:rsidRDefault="00000000">
      <w:pPr>
        <w:rPr>
          <w:b/>
          <w:kern w:val="2"/>
        </w:rPr>
      </w:pPr>
      <w:r>
        <w:rPr>
          <w:b/>
        </w:rPr>
        <w:tab/>
        <w:t>3.1</w:t>
      </w:r>
      <w:r>
        <w:rPr>
          <w:b/>
        </w:rPr>
        <w:tab/>
        <w:t>О</w:t>
      </w:r>
      <w:r>
        <w:rPr>
          <w:b/>
          <w:kern w:val="2"/>
        </w:rPr>
        <w:t>бучение коренного населения</w:t>
      </w:r>
    </w:p>
    <w:p w:rsidR="00000000" w:rsidRDefault="00000000">
      <w:pPr>
        <w:rPr>
          <w:b/>
        </w:rPr>
      </w:pPr>
    </w:p>
    <w:p w:rsidR="00000000" w:rsidRDefault="00000000">
      <w:r>
        <w:t>583.</w:t>
      </w:r>
      <w:r>
        <w:tab/>
        <w:t>В настоящее время насчитывается 34 705 коренных жителей школьного возраста (перепись 2002 года) - от 5 до 19 лет, - из которых 20 530 мальчиков и девочек имеют право на формальное (государственное) образование на начальном уровне и на базовом школьном уровне в одном из 339 учебных заведений в восточном и западном регионах.  В системе среднего образования имеются 7 учреждений для коренного населения с возможностью получить степень бакалавра в гуманитарной области и по сельскому хозяйству, где обучаются 334 человека.  На курсы по ликвидации неграмотности молодежи и взрослых при 82 учебных центрах зачислено 2 000 человек по всей стране.</w:t>
      </w:r>
    </w:p>
    <w:p w:rsidR="00000000" w:rsidRDefault="00000000"/>
    <w:p w:rsidR="00000000" w:rsidRDefault="00000000">
      <w:r>
        <w:t>584.</w:t>
      </w:r>
      <w:r>
        <w:tab/>
        <w:t>Что касается высшего образования, то на заочные курсы научной специализации для бакалавров из числа представителей коренного населения записались 57 человек, принадлежащих к народности ава гуарани.  В настоящее время в рамках Программы "Эскуэла Вива", являющейся составной частью Плана по улучшению школ для коренного населения, при участии коренных общин ведется работа по выработке предложений по межкультурному двуязычному образованию, с целью обеспечения права на образование, а также права коренных народностей Парагвая на сохранение и развитие своей самобытной культуры.</w:t>
      </w:r>
    </w:p>
    <w:p w:rsidR="00000000" w:rsidRDefault="00000000"/>
    <w:p w:rsidR="00000000" w:rsidRDefault="00000000">
      <w:r>
        <w:t>585.</w:t>
      </w:r>
      <w:r>
        <w:tab/>
        <w:t>Расширение охват коренного населения образованием и повышение качества этого образования по-прежнему остается задачами, стоящими перед правительством.</w:t>
      </w:r>
    </w:p>
    <w:p w:rsidR="00000000" w:rsidRDefault="00000000"/>
    <w:p w:rsidR="00000000" w:rsidRDefault="00000000">
      <w:pPr>
        <w:rPr>
          <w:b/>
          <w:bCs/>
        </w:rPr>
      </w:pPr>
      <w:r>
        <w:rPr>
          <w:b/>
          <w:bCs/>
        </w:rPr>
        <w:tab/>
        <w:t>3.2</w:t>
      </w:r>
      <w:r>
        <w:rPr>
          <w:b/>
          <w:bCs/>
        </w:rPr>
        <w:tab/>
        <w:t xml:space="preserve">Равный доступ к образованию </w:t>
      </w:r>
    </w:p>
    <w:p w:rsidR="00000000" w:rsidRDefault="00000000">
      <w:pPr>
        <w:rPr>
          <w:b/>
          <w:bCs/>
        </w:rPr>
      </w:pPr>
    </w:p>
    <w:p w:rsidR="00000000" w:rsidRDefault="00000000">
      <w:r>
        <w:t>586.</w:t>
      </w:r>
      <w:r>
        <w:tab/>
        <w:t>Правительство принимает различные меры для содействия равному доступу ко всем уровням образования.  Некоторые из этих мер описываются ниже.</w:t>
      </w:r>
    </w:p>
    <w:p w:rsidR="00000000" w:rsidRDefault="00000000"/>
    <w:p w:rsidR="00000000" w:rsidRDefault="00000000">
      <w:pPr>
        <w:ind w:left="1134" w:hanging="1134"/>
        <w:rPr>
          <w:szCs w:val="22"/>
        </w:rPr>
      </w:pPr>
      <w:r>
        <w:rPr>
          <w:b/>
          <w:bCs/>
        </w:rPr>
        <w:tab/>
        <w:t>a)</w:t>
      </w:r>
      <w:r>
        <w:rPr>
          <w:b/>
          <w:bCs/>
        </w:rPr>
        <w:tab/>
      </w:r>
      <w:r>
        <w:rPr>
          <w:b/>
          <w:szCs w:val="22"/>
        </w:rPr>
        <w:t>Программа "Эскуэла Вива Экокатува"</w:t>
      </w:r>
      <w:r>
        <w:t xml:space="preserve"> </w:t>
      </w:r>
      <w:r>
        <w:rPr>
          <w:b/>
        </w:rPr>
        <w:t>для активизации реформы базового школьного образования</w:t>
      </w:r>
    </w:p>
    <w:p w:rsidR="00000000" w:rsidRDefault="00000000">
      <w:pPr>
        <w:rPr>
          <w:b/>
          <w:bCs/>
        </w:rPr>
      </w:pPr>
    </w:p>
    <w:p w:rsidR="00000000" w:rsidRDefault="00000000">
      <w:pPr>
        <w:rPr>
          <w:rFonts w:eastAsia="Arial Unicode MS"/>
        </w:rPr>
      </w:pPr>
      <w:r>
        <w:t>587.</w:t>
      </w:r>
      <w:r>
        <w:tab/>
      </w:r>
      <w:r>
        <w:rPr>
          <w:szCs w:val="22"/>
        </w:rPr>
        <w:t xml:space="preserve">Общей целью программы является улучшение качества и повышение доступности </w:t>
      </w:r>
      <w:r>
        <w:t>базового школьного образования</w:t>
      </w:r>
      <w:r>
        <w:rPr>
          <w:szCs w:val="22"/>
        </w:rPr>
        <w:t xml:space="preserve"> в Парагвае, что должно способствовать уменьшению бедности населения и ускорению социально-экономического развития страны</w:t>
      </w:r>
      <w:r>
        <w:rPr>
          <w:rFonts w:eastAsia="Arial Unicode MS"/>
        </w:rPr>
        <w:t>.  Предусматривается проведение комплексных мероприятий, улучшающих перспективу обеспечения материальными средствами, а также совершенствование процессов, гарантирующих соответствующие результаты и необходимое качество.</w:t>
      </w:r>
    </w:p>
    <w:p w:rsidR="00000000" w:rsidRDefault="00000000">
      <w:pPr>
        <w:rPr>
          <w:rFonts w:eastAsia="Arial Unicode MS"/>
        </w:rPr>
      </w:pPr>
    </w:p>
    <w:p w:rsidR="00000000" w:rsidRDefault="00000000">
      <w:r>
        <w:rPr>
          <w:rFonts w:eastAsia="Arial Unicode MS"/>
        </w:rPr>
        <w:t>588.</w:t>
      </w:r>
      <w:r>
        <w:rPr>
          <w:rFonts w:eastAsia="Arial Unicode MS"/>
        </w:rPr>
        <w:tab/>
      </w:r>
      <w:r>
        <w:rPr>
          <w:szCs w:val="22"/>
        </w:rPr>
        <w:t>Программа "Эскуэла Вива</w:t>
      </w:r>
      <w:r>
        <w:rPr>
          <w:rFonts w:eastAsia="Arial Unicode MS"/>
        </w:rPr>
        <w:t xml:space="preserve">" ориентирована на </w:t>
      </w:r>
      <w:r>
        <w:rPr>
          <w:snapToGrid w:val="0"/>
        </w:rPr>
        <w:t>10% городских школ, где сложилась наиболее неблагоприятная обстановка, и примерно 25%</w:t>
      </w:r>
      <w:r>
        <w:rPr>
          <w:i/>
          <w:snapToGrid w:val="0"/>
        </w:rPr>
        <w:t xml:space="preserve"> </w:t>
      </w:r>
      <w:r>
        <w:rPr>
          <w:snapToGrid w:val="0"/>
        </w:rPr>
        <w:t>сельских школ с низкими показателями по обучению.  В целом, различными направлениями программы охватываются примерно 2 500 официальных школ</w:t>
      </w:r>
      <w:r>
        <w:t>, что соответствует 43% всех государственных школ страны.</w:t>
      </w:r>
    </w:p>
    <w:p w:rsidR="00000000" w:rsidRDefault="00000000"/>
    <w:p w:rsidR="00000000" w:rsidRDefault="00000000">
      <w:r>
        <w:rPr>
          <w:snapToGrid w:val="0"/>
        </w:rPr>
        <w:t>589.</w:t>
      </w:r>
      <w:r>
        <w:rPr>
          <w:snapToGrid w:val="0"/>
        </w:rPr>
        <w:tab/>
        <w:t>Для улучшения процесса обучения в сельской местности Программой предусматривается проведение педагогических мероприятий в 1 000 сельских школах, расположенных в шести регионах, и в 150 неблагополучных городских школах в трех зонах страны, определенных как приоритетные.</w:t>
      </w:r>
    </w:p>
    <w:p w:rsidR="00000000" w:rsidRDefault="00000000"/>
    <w:p w:rsidR="00000000" w:rsidRDefault="00000000">
      <w:r>
        <w:t>590.</w:t>
      </w:r>
      <w:r>
        <w:tab/>
        <w:t>Основными составными частями этой программы, имеющими отношение к работе в базовых школах, являются:</w:t>
      </w:r>
    </w:p>
    <w:p w:rsidR="00000000" w:rsidRDefault="00000000"/>
    <w:p w:rsidR="00000000" w:rsidRDefault="00000000">
      <w:pPr>
        <w:ind w:left="1134" w:hanging="1134"/>
      </w:pPr>
      <w:r>
        <w:rPr>
          <w:b/>
        </w:rPr>
        <w:tab/>
        <w:t>-</w:t>
      </w:r>
      <w:r>
        <w:rPr>
          <w:b/>
        </w:rPr>
        <w:tab/>
        <w:t>Улучшение сельских школ</w:t>
      </w:r>
      <w:r>
        <w:t>.  Имеет целью осуществление в 1 000 сельских школах (25% общего количества) двуязычного педагогического проекта, направленного на улучшение учебы учеников первых шести лет обучения (1</w:t>
      </w:r>
      <w:r>
        <w:noBreakHyphen/>
        <w:t>й и 2-й циклы);</w:t>
      </w:r>
    </w:p>
    <w:p w:rsidR="00000000" w:rsidRDefault="00000000">
      <w:pPr>
        <w:ind w:left="1134" w:hanging="1134"/>
      </w:pPr>
    </w:p>
    <w:p w:rsidR="00000000" w:rsidRDefault="00000000">
      <w:pPr>
        <w:ind w:left="1134" w:hanging="1134"/>
      </w:pPr>
      <w:r>
        <w:rPr>
          <w:b/>
        </w:rPr>
        <w:tab/>
        <w:t>-</w:t>
      </w:r>
      <w:r>
        <w:rPr>
          <w:b/>
        </w:rPr>
        <w:tab/>
        <w:t>Улучшение городских школ</w:t>
      </w:r>
      <w:r>
        <w:rPr>
          <w:bCs/>
        </w:rPr>
        <w:t xml:space="preserve">. </w:t>
      </w:r>
      <w:r>
        <w:t xml:space="preserve"> Предполагается проведение комплексной педагогической проверки на двух первых циклах базового школьного образования, где в 150 школах обучаются 69 362 ученика в неблагоприятной для учебы обстановке и в условиях бедности;</w:t>
      </w:r>
    </w:p>
    <w:p w:rsidR="00000000" w:rsidRDefault="00000000"/>
    <w:p w:rsidR="00000000" w:rsidRDefault="00000000">
      <w:pPr>
        <w:ind w:left="1134" w:hanging="1134"/>
      </w:pPr>
      <w:r>
        <w:rPr>
          <w:b/>
        </w:rPr>
        <w:tab/>
        <w:t>-</w:t>
      </w:r>
      <w:r>
        <w:rPr>
          <w:b/>
        </w:rPr>
        <w:tab/>
        <w:t>Улучшение школ для коренного населения</w:t>
      </w:r>
      <w:r>
        <w:rPr>
          <w:bCs/>
        </w:rPr>
        <w:t>.</w:t>
      </w:r>
      <w:r>
        <w:t xml:space="preserve">  Предусматривается осуществление проекта по межкультурному двуязычному образованию с участием общин в школах для коренного населения.</w:t>
      </w:r>
    </w:p>
    <w:p w:rsidR="00000000" w:rsidRDefault="00000000"/>
    <w:p w:rsidR="00000000" w:rsidRDefault="00000000">
      <w:r>
        <w:t>591.</w:t>
      </w:r>
      <w:r>
        <w:tab/>
        <w:t>Говоря об образовании, следует  отметить, что средняя продолжительность учебы для коренного населения в возрасте 15 лет и старше составляет 2,2 года;  в то же время, для населения в целом эта продолжительность для данной возрастной группы составляет 7 лет.</w:t>
      </w:r>
    </w:p>
    <w:p w:rsidR="00000000" w:rsidRDefault="00000000"/>
    <w:p w:rsidR="00000000" w:rsidRDefault="00000000">
      <w:r>
        <w:t>592.</w:t>
      </w:r>
      <w:r>
        <w:tab/>
        <w:t>Для дифференцированного подхода к контингенту учащихся из числа представителей коренных народностей вот уже несколько лет функционируют инспекции по обучению коренного населения, которые занимаются координацией, поддержкой и контролем за осуществлением программ в коренных общинах.  Всего создано пять инспекций.</w:t>
      </w:r>
    </w:p>
    <w:p w:rsidR="00000000" w:rsidRDefault="00000000"/>
    <w:p w:rsidR="00000000" w:rsidRDefault="00000000">
      <w:r>
        <w:t>593.</w:t>
      </w:r>
      <w:r>
        <w:tab/>
        <w:t>С 2002 года в рамках Программы активизации реформы образования осуществляется компонент, направленный на реализацию образовательных проектов для коренного населения, разработанных с привязкой к реальностям каждой народности.  Эта работа проводится направленно.</w:t>
      </w:r>
    </w:p>
    <w:p w:rsidR="00000000" w:rsidRDefault="00000000"/>
    <w:p w:rsidR="00000000" w:rsidRDefault="00000000">
      <w:pPr>
        <w:ind w:left="1134" w:hanging="1134"/>
        <w:rPr>
          <w:b/>
          <w:bCs/>
        </w:rPr>
      </w:pPr>
      <w:r>
        <w:rPr>
          <w:b/>
          <w:szCs w:val="22"/>
        </w:rPr>
        <w:tab/>
        <w:t>b)</w:t>
      </w:r>
      <w:r>
        <w:rPr>
          <w:b/>
          <w:szCs w:val="22"/>
        </w:rPr>
        <w:tab/>
      </w:r>
      <w:r>
        <w:rPr>
          <w:b/>
          <w:bCs/>
        </w:rPr>
        <w:t>Программа реформы образования с акцентом на среднее образование</w:t>
      </w:r>
    </w:p>
    <w:p w:rsidR="00000000" w:rsidRDefault="00000000">
      <w:pPr>
        <w:rPr>
          <w:b/>
          <w:szCs w:val="22"/>
        </w:rPr>
      </w:pPr>
    </w:p>
    <w:p w:rsidR="00000000" w:rsidRDefault="00000000">
      <w:r>
        <w:t>594.</w:t>
      </w:r>
      <w:r>
        <w:tab/>
        <w:t>Альтернатива открытому среднему образованию:  в настоящее время находится в процессе разработки;  ориентирована в первую очередь на молодых людей в возрасте 15</w:t>
      </w:r>
      <w:r>
        <w:noBreakHyphen/>
        <w:t>18 лет, которые получили базовое школьное образование и не смогли перейти в систему обычного среднего образования, так как были вынуждены работать.</w:t>
      </w:r>
    </w:p>
    <w:p w:rsidR="00000000" w:rsidRDefault="00000000"/>
    <w:p w:rsidR="00000000" w:rsidRDefault="00000000">
      <w:pPr>
        <w:keepNext/>
        <w:rPr>
          <w:b/>
          <w:bCs/>
        </w:rPr>
      </w:pPr>
      <w:r>
        <w:rPr>
          <w:b/>
          <w:bCs/>
        </w:rPr>
        <w:tab/>
        <w:t>c)</w:t>
      </w:r>
      <w:r>
        <w:rPr>
          <w:b/>
          <w:bCs/>
        </w:rPr>
        <w:tab/>
        <w:t>Программа "Активная школа Mита Иру"</w:t>
      </w:r>
    </w:p>
    <w:p w:rsidR="00000000" w:rsidRDefault="00000000">
      <w:pPr>
        <w:keepNext/>
        <w:rPr>
          <w:b/>
          <w:bCs/>
        </w:rPr>
      </w:pPr>
    </w:p>
    <w:p w:rsidR="00000000" w:rsidRDefault="00000000">
      <w:pPr>
        <w:keepNext/>
      </w:pPr>
      <w:r>
        <w:t>595.</w:t>
      </w:r>
      <w:r>
        <w:tab/>
        <w:t>Начиная с 1995 года, министерство просвещения и культуры реализует эту Программу при поддержке международных организаций сотрудничества, а именно:  Международный план, Детский фонд Организации Объединенных Наций (ЮНИСЕФ) и Программа улучшения качества образования MПК-МБР.  Программа направлена на оказание помощи сельским школам с совмещенными классами в порядке уменьшения разрыва, обусловленного неравными возможностями для получения образования, исходя из того, что образование является основным двигателем развития и быстроокупающимся капиталовложением, а также лучшим каналом социальной мобильности и одной из главных стратегий для уменьшения неравенства.</w:t>
      </w:r>
    </w:p>
    <w:p w:rsidR="00000000" w:rsidRDefault="00000000"/>
    <w:p w:rsidR="00000000" w:rsidRDefault="00000000">
      <w:r>
        <w:t>596.</w:t>
      </w:r>
      <w:r>
        <w:tab/>
        <w:t>"Активная школа" является новаторской программой в сфере образования, предназначенной конкретно для сельской местности и предусматривающей использование активной методики, в соответствии с которой дети учатся, занимаясь каким-нибудь делом, играя и решая задачи своей повседневной жизни.  Иными словами, это программа, которая воспитывает детей активными, творческими, инициативными.  В ней игра используется как средство обучения, учитываются индивидуальные отличия, принимаются во внимание особенности проживания крестьянских детей в сельской местности.  Дифференцированный и новаторский подход к обучению позволяет детям, посещающим такие школы, реализовать право на получение качественного образования, учитывающего реалии их жизни и дающего возможность приобрести необходимые базовые умения, с тем чтобы стать со временем энергичными, предприимчивыми и инициативными гражданами:</w:t>
      </w:r>
    </w:p>
    <w:p w:rsidR="00000000" w:rsidRDefault="00000000"/>
    <w:p w:rsidR="00000000" w:rsidRDefault="00000000">
      <w:r>
        <w:tab/>
        <w:t>-</w:t>
      </w:r>
      <w:r>
        <w:tab/>
        <w:t>на начальном этапе были выбраны 10 школ в департаменте Каагуасу;</w:t>
      </w:r>
    </w:p>
    <w:p w:rsidR="00000000" w:rsidRDefault="00000000"/>
    <w:p w:rsidR="00000000" w:rsidRDefault="00000000">
      <w:pPr>
        <w:ind w:left="1134" w:hanging="1134"/>
      </w:pPr>
      <w:r>
        <w:tab/>
        <w:t>-</w:t>
      </w:r>
      <w:r>
        <w:tab/>
        <w:t xml:space="preserve">с 1997 года программа была распространена на другие департаменты, с включением в нее 50 учебных заведений в департаментах Каагуасу, Парагуари и </w:t>
      </w:r>
      <w:r>
        <w:rPr>
          <w:kern w:val="2"/>
        </w:rPr>
        <w:t>Пресиденте-Аес</w:t>
      </w:r>
      <w:r>
        <w:t>;</w:t>
      </w:r>
    </w:p>
    <w:p w:rsidR="00000000" w:rsidRDefault="00000000"/>
    <w:p w:rsidR="00000000" w:rsidRDefault="00000000">
      <w:pPr>
        <w:ind w:left="1134" w:hanging="1134"/>
      </w:pPr>
      <w:r>
        <w:tab/>
        <w:t>-</w:t>
      </w:r>
      <w:r>
        <w:tab/>
        <w:t>процесс развития и расширения продолжался в 1998-2000 годы, с охватом департаментов Гуаира и Сан-Педро и участием уже 100 государственных школ;</w:t>
      </w:r>
    </w:p>
    <w:p w:rsidR="00000000" w:rsidRDefault="00000000"/>
    <w:p w:rsidR="00000000" w:rsidRDefault="00000000">
      <w:pPr>
        <w:ind w:left="1134" w:hanging="1134"/>
      </w:pPr>
      <w:r>
        <w:tab/>
        <w:t>-</w:t>
      </w:r>
      <w:r>
        <w:tab/>
        <w:t>в 2002 году были проведены оценки эффективности вложения основных материальных средств для процесса расширения охвата;  в 2003 году программой было охвачено еще 43 школы в департаменте Сан-Педро, 15 школ в департаменте Гуаира и 16 школ в департаменте Каагуасу.  Всего в это время финансировались 164 активные школы;</w:t>
      </w:r>
    </w:p>
    <w:p w:rsidR="00000000" w:rsidRDefault="00000000"/>
    <w:p w:rsidR="00000000" w:rsidRDefault="00000000">
      <w:pPr>
        <w:ind w:left="1134" w:hanging="1134"/>
      </w:pPr>
      <w:r>
        <w:tab/>
        <w:t>-</w:t>
      </w:r>
      <w:r>
        <w:tab/>
        <w:t>в 2004 году заключается соглашение о сотрудничестве между ПЛАН и MПК относительно подготовки учителей в столичном институте "Маньяна";</w:t>
      </w:r>
    </w:p>
    <w:p w:rsidR="00000000" w:rsidRDefault="00000000"/>
    <w:p w:rsidR="00000000" w:rsidRDefault="00000000">
      <w:pPr>
        <w:ind w:left="1134" w:hanging="1134"/>
      </w:pPr>
      <w:r>
        <w:tab/>
        <w:t>-</w:t>
      </w:r>
      <w:r>
        <w:tab/>
        <w:t>в том же году сфера охвата программы распространяется еще на один департамент, на этот раз на Кордильеру.  Общее число поддерживаемых школ составляет 218 в пяти департаментах.</w:t>
      </w:r>
    </w:p>
    <w:p w:rsidR="00000000" w:rsidRDefault="00000000"/>
    <w:p w:rsidR="00000000" w:rsidRDefault="00000000">
      <w:pPr>
        <w:rPr>
          <w:b/>
          <w:bCs/>
        </w:rPr>
      </w:pPr>
      <w:r>
        <w:rPr>
          <w:b/>
          <w:bCs/>
        </w:rPr>
        <w:t>4.</w:t>
      </w:r>
      <w:r>
        <w:rPr>
          <w:b/>
          <w:bCs/>
        </w:rPr>
        <w:tab/>
        <w:t>Финансовое стимулирование образования</w:t>
      </w:r>
    </w:p>
    <w:p w:rsidR="00000000" w:rsidRDefault="00000000">
      <w:pPr>
        <w:rPr>
          <w:b/>
          <w:bCs/>
        </w:rPr>
      </w:pPr>
    </w:p>
    <w:p w:rsidR="00000000" w:rsidRDefault="00000000">
      <w:pPr>
        <w:ind w:left="1134" w:hanging="1134"/>
      </w:pPr>
      <w:r>
        <w:rPr>
          <w:b/>
          <w:bCs/>
        </w:rPr>
        <w:tab/>
        <w:t>4.1</w:t>
      </w:r>
      <w:r>
        <w:rPr>
          <w:b/>
          <w:bCs/>
        </w:rPr>
        <w:tab/>
        <w:t xml:space="preserve">Укрепление </w:t>
      </w:r>
      <w:r>
        <w:rPr>
          <w:b/>
        </w:rPr>
        <w:t>ассоциаций школьных кооперативов</w:t>
      </w:r>
      <w:r>
        <w:rPr>
          <w:b/>
          <w:bCs/>
        </w:rPr>
        <w:t xml:space="preserve"> (АШК)</w:t>
      </w:r>
      <w:r>
        <w:t>.  Развивается имеющийся в Парагвае успешный опыт участия общин посредством перевода средств упомянутым ассоциациям.  Тем самым предполагается улучшить организационные возможности образовательного сообщества, инфраструктуру школ и расширить возможности приобретения оборудования.</w:t>
      </w:r>
    </w:p>
    <w:p w:rsidR="00000000" w:rsidRDefault="00000000">
      <w:pPr>
        <w:ind w:left="1134" w:hanging="1134"/>
      </w:pPr>
    </w:p>
    <w:p w:rsidR="00000000" w:rsidRDefault="00000000">
      <w:pPr>
        <w:ind w:left="1134" w:hanging="1134"/>
        <w:rPr>
          <w:b/>
          <w:bCs/>
        </w:rPr>
      </w:pPr>
      <w:r>
        <w:rPr>
          <w:b/>
          <w:bCs/>
        </w:rPr>
        <w:tab/>
        <w:t>4.2</w:t>
      </w:r>
      <w:r>
        <w:rPr>
          <w:b/>
          <w:bCs/>
        </w:rPr>
        <w:tab/>
        <w:t>Предоставление малообеспеченным молодым людям стипендий для продолжения обучения в системе среднего образования</w:t>
      </w:r>
    </w:p>
    <w:p w:rsidR="00000000" w:rsidRDefault="00000000">
      <w:pPr>
        <w:rPr>
          <w:b/>
          <w:bCs/>
        </w:rPr>
      </w:pPr>
    </w:p>
    <w:p w:rsidR="00000000" w:rsidRDefault="00000000">
      <w:pPr>
        <w:ind w:left="1701" w:hanging="1701"/>
        <w:rPr>
          <w:szCs w:val="22"/>
        </w:rPr>
      </w:pPr>
      <w:r>
        <w:rPr>
          <w:b/>
          <w:bCs/>
        </w:rPr>
        <w:tab/>
      </w:r>
      <w:r>
        <w:rPr>
          <w:b/>
          <w:bCs/>
        </w:rPr>
        <w:tab/>
        <w:t>a)</w:t>
      </w:r>
      <w:r>
        <w:rPr>
          <w:b/>
          <w:bCs/>
        </w:rPr>
        <w:tab/>
        <w:t xml:space="preserve">Программа реформы образования с акцентом на среднее образование. </w:t>
      </w:r>
      <w:r>
        <w:t xml:space="preserve"> Программа предоставления стипендий</w:t>
      </w:r>
      <w:r>
        <w:rPr>
          <w:szCs w:val="22"/>
        </w:rPr>
        <w:t xml:space="preserve">:  нацелена на снижение показателя отсева из средней школы малообеспеченных молодых людей в возрасте 15-17 лет.  В 2005 году программой было охвачено </w:t>
      </w:r>
      <w:r>
        <w:rPr>
          <w:bCs/>
          <w:szCs w:val="22"/>
        </w:rPr>
        <w:t>2 807 учеников средних школ в департаментах</w:t>
      </w:r>
      <w:r>
        <w:rPr>
          <w:szCs w:val="22"/>
        </w:rPr>
        <w:t xml:space="preserve"> Сан-Педро, Каагуасу, Итапуа, Сентраль, Гуаира и Альто-Парана.</w:t>
      </w:r>
    </w:p>
    <w:p w:rsidR="00000000" w:rsidRDefault="00000000">
      <w:pPr>
        <w:ind w:left="1701" w:hanging="1701"/>
        <w:rPr>
          <w:szCs w:val="22"/>
        </w:rPr>
      </w:pPr>
    </w:p>
    <w:p w:rsidR="00000000" w:rsidRDefault="00000000">
      <w:pPr>
        <w:ind w:left="1701" w:hanging="1701"/>
        <w:rPr>
          <w:szCs w:val="22"/>
        </w:rPr>
      </w:pPr>
      <w:r>
        <w:rPr>
          <w:b/>
          <w:bCs/>
          <w:szCs w:val="22"/>
        </w:rPr>
        <w:tab/>
      </w:r>
      <w:r>
        <w:rPr>
          <w:b/>
          <w:bCs/>
          <w:szCs w:val="22"/>
        </w:rPr>
        <w:tab/>
        <w:t>b)</w:t>
      </w:r>
      <w:r>
        <w:rPr>
          <w:b/>
          <w:bCs/>
          <w:szCs w:val="22"/>
        </w:rPr>
        <w:tab/>
        <w:t xml:space="preserve">Национальный совет по стипендиям.  </w:t>
      </w:r>
      <w:r>
        <w:rPr>
          <w:bCs/>
          <w:szCs w:val="22"/>
        </w:rPr>
        <w:t>Пособия</w:t>
      </w:r>
      <w:r>
        <w:rPr>
          <w:szCs w:val="22"/>
        </w:rPr>
        <w:t>, предоставляемые Советом, предназначены для прохождения обучения на третьем уровне, для подготовки преподавателей, для получения ученой степени и на аспирантуру (специализация, подготовка диплома, получение степени магистра и доктора).  В 2005 году Совет предоставил стипендиатам на различных уровнях обучения экономическую помощь, которая характеризуется следующими цифрами:  435 - для получения ученой степени, 38 - на аспирантуру, 194 - на подготовку преподавателей и 89 - для обучения на различных курсах совершенствования в зарубежных странах.</w:t>
      </w:r>
    </w:p>
    <w:p w:rsidR="00000000" w:rsidRDefault="00000000">
      <w:pPr>
        <w:ind w:left="1701" w:hanging="1701"/>
        <w:rPr>
          <w:szCs w:val="22"/>
        </w:rPr>
      </w:pPr>
    </w:p>
    <w:p w:rsidR="00000000" w:rsidRDefault="00000000">
      <w:r>
        <w:t>597.</w:t>
      </w:r>
      <w:r>
        <w:tab/>
        <w:t xml:space="preserve">Среди других мер, направленных на обеспечение равного доступа ко всем уровням образования, можно назвать Программу улучшения </w:t>
      </w:r>
      <w:r>
        <w:rPr>
          <w:bCs/>
        </w:rPr>
        <w:t>начального и дошкольного образования</w:t>
      </w:r>
      <w:r>
        <w:t>.</w:t>
      </w:r>
    </w:p>
    <w:p w:rsidR="00000000" w:rsidRDefault="00000000"/>
    <w:p w:rsidR="00000000" w:rsidRDefault="00000000">
      <w:pPr>
        <w:rPr>
          <w:b/>
          <w:bCs/>
          <w:spacing w:val="2"/>
        </w:rPr>
      </w:pPr>
      <w:r>
        <w:rPr>
          <w:b/>
          <w:bCs/>
        </w:rPr>
        <w:t>5.</w:t>
      </w:r>
      <w:r>
        <w:rPr>
          <w:b/>
          <w:bCs/>
        </w:rPr>
        <w:tab/>
      </w:r>
      <w:r>
        <w:rPr>
          <w:b/>
          <w:bCs/>
          <w:spacing w:val="2"/>
        </w:rPr>
        <w:t>Положение преподавательского состава</w:t>
      </w:r>
    </w:p>
    <w:p w:rsidR="00000000" w:rsidRDefault="00000000">
      <w:pPr>
        <w:rPr>
          <w:b/>
          <w:bCs/>
          <w:spacing w:val="2"/>
        </w:rPr>
      </w:pPr>
    </w:p>
    <w:p w:rsidR="00000000" w:rsidRDefault="00000000">
      <w:pPr>
        <w:rPr>
          <w:color w:val="000000"/>
          <w:szCs w:val="28"/>
        </w:rPr>
      </w:pPr>
      <w:r>
        <w:rPr>
          <w:color w:val="000000"/>
          <w:szCs w:val="28"/>
        </w:rPr>
        <w:t>598.</w:t>
      </w:r>
      <w:r>
        <w:rPr>
          <w:color w:val="000000"/>
          <w:szCs w:val="28"/>
        </w:rPr>
        <w:tab/>
        <w:t xml:space="preserve">При оценке условий, сложившихся в стране для преподавательского состава, следует, в частности, принимать во внимание рекомендации, принятые 5 октября 1966 года на созванной ЮНЕСКО Межправительственной конференции по статусу преподавателей.  Если говорить о статусе преподавателя, то правовой основой для административных актов министерства </w:t>
      </w:r>
      <w:r>
        <w:t>просвещения</w:t>
      </w:r>
      <w:r>
        <w:rPr>
          <w:color w:val="000000"/>
          <w:szCs w:val="28"/>
        </w:rPr>
        <w:t xml:space="preserve"> и культуры является Всеобщий закон об образовании (№ 1264) от 26 мая 1998 года, который регулирует осуществление профессиональной деятельности педагогов (статьи 133-136 раздела II главы III).  Помимо этого, в разделе III, содержащем одну единственную статью под номером 137, предусмотрена разработка Положения о работниках образования, которое было введено Законом № 1725 от 13 сентября 2001 года;  рамочные законы находят свою естественную опору в Национальной Конституции, действующей с 1992 года.</w:t>
      </w:r>
    </w:p>
    <w:p w:rsidR="00000000" w:rsidRDefault="00000000">
      <w:pPr>
        <w:rPr>
          <w:color w:val="000000"/>
          <w:szCs w:val="28"/>
        </w:rPr>
      </w:pPr>
    </w:p>
    <w:p w:rsidR="00000000" w:rsidRDefault="00000000">
      <w:pPr>
        <w:rPr>
          <w:color w:val="000000"/>
          <w:szCs w:val="28"/>
        </w:rPr>
      </w:pPr>
      <w:r>
        <w:rPr>
          <w:color w:val="000000"/>
          <w:szCs w:val="28"/>
        </w:rPr>
        <w:t>599.</w:t>
      </w:r>
      <w:r>
        <w:rPr>
          <w:color w:val="000000"/>
          <w:szCs w:val="28"/>
        </w:rPr>
        <w:tab/>
        <w:t>Анализируя выполнение упомянутых рекомендаций, касающихся положения преподавательского состава, которые были одобрены 5 октября 1966 года на Специальной межправительственной конференции, можно отметить, что эти рекомендации соблюдаются, о чем свидетельствуют положения действующих нормативных актов.</w:t>
      </w:r>
    </w:p>
    <w:p w:rsidR="00000000" w:rsidRDefault="00000000">
      <w:pPr>
        <w:rPr>
          <w:color w:val="000000"/>
          <w:szCs w:val="28"/>
        </w:rPr>
      </w:pPr>
    </w:p>
    <w:p w:rsidR="00000000" w:rsidRDefault="00000000">
      <w:pPr>
        <w:rPr>
          <w:color w:val="000000"/>
          <w:szCs w:val="28"/>
        </w:rPr>
      </w:pPr>
      <w:r>
        <w:rPr>
          <w:color w:val="000000"/>
          <w:szCs w:val="28"/>
        </w:rPr>
        <w:t>600.</w:t>
      </w:r>
      <w:r>
        <w:rPr>
          <w:color w:val="000000"/>
          <w:szCs w:val="28"/>
        </w:rPr>
        <w:tab/>
        <w:t>В частности, если говорить о разделе VII (Наем на работу и профессиональная карьера) и, конкретно, относительно поступления на преподавательскую работу</w:t>
      </w:r>
      <w:r>
        <w:rPr>
          <w:iCs/>
          <w:color w:val="000000"/>
          <w:szCs w:val="28"/>
        </w:rPr>
        <w:t>, то ныне существуют правила, соответствующие тому, что рекомендовано в пунктах</w:t>
      </w:r>
      <w:r>
        <w:rPr>
          <w:color w:val="000000"/>
          <w:szCs w:val="28"/>
        </w:rPr>
        <w:t xml:space="preserve"> 38 и 39 упомянутого документа и отражено в утвержденном Приказом по министерству № 2520/05 Руководстве по отбору профессионального педагога, действующем на экспериментальной основе в течение одного года, которое устанавливает критерии для оценки званий и достоинств, а также письменные и устные отзывы в качестве предварительного условия приема на работу профессиональных воспитателей, зарегистрированных в национальной системе образования.  Это руководство было подготовлено в рамках политики найма на работу, определенной ранее во </w:t>
      </w:r>
      <w:r>
        <w:rPr>
          <w:bCs/>
          <w:color w:val="000000"/>
        </w:rPr>
        <w:t>Всеобщем законе об образовании</w:t>
      </w:r>
      <w:r>
        <w:rPr>
          <w:color w:val="000000"/>
          <w:szCs w:val="28"/>
        </w:rPr>
        <w:t xml:space="preserve"> (статья 135:  "Преподаватель имеет право:  b) для осуществления профессиональной деятельности поступить на работу через систему конкурсов") и в Законе о статусе преподавателя, глава IV "О поступлении на работу, продвижении по службе и продолжительности карьеры преподавателя", который в статье 16 устанавливает:  "Конкурсные экзамены на замещение вакантной должности организуются в соответствии с действующим законодательством и должны проводится организациями, создаваемыми для данной цели в каждом регионе".  В этом отношении следует отметить, что в связи с реорганизацией, санкционированной приказом по министерству от 2004 года, сейчас этим процессом занимается Главное управление людских ресурсов, через свое Управление конкурсного отбора, которое направляет процесс, осуществляя административный и технический контроль, что соответствует новому подходу и политике, проводимой в настоящее время Администрацией людских ресурсов, и означает отказ от прежней концепции простого администрирования и контроля со стороны управленческого персонала через Управление кадров, которое отныне действует в качестве органа, занимающегося персоналом Центральной администрации, но в составе Главного управления людских ресурсов, в которое также входят Управление оценки и непрерывного обучения и Управление конкурсных экзаменов для приема на работу и продвижения по службе преподавательского состава.</w:t>
      </w:r>
    </w:p>
    <w:p w:rsidR="00000000" w:rsidRDefault="00000000">
      <w:pPr>
        <w:rPr>
          <w:color w:val="000000"/>
          <w:szCs w:val="28"/>
        </w:rPr>
      </w:pPr>
    </w:p>
    <w:p w:rsidR="00000000" w:rsidRDefault="00000000">
      <w:pPr>
        <w:rPr>
          <w:color w:val="000000"/>
          <w:szCs w:val="28"/>
        </w:rPr>
      </w:pPr>
      <w:r>
        <w:rPr>
          <w:color w:val="000000"/>
          <w:szCs w:val="28"/>
        </w:rPr>
        <w:t>601.</w:t>
      </w:r>
      <w:r>
        <w:rPr>
          <w:color w:val="000000"/>
          <w:szCs w:val="28"/>
        </w:rPr>
        <w:tab/>
        <w:t>Предшественниками ныне действующих правил были Руководства по отбору 2000 и 2004 годов.  При этом нужно пояснить, что в первом из упомянутых руководств устанавливались критерии для оценки в баллах личного дела преподавателя, в ходе т.н. Конкурса достоинств, причем какие-либо иные оценки не предусматривались.  Впоследствии, с целью приведение нормативной базы в соответствие с Законом № 1725/05, в рамках совместной работы с профсоюзами преподавателей - опять же согласно Рекомендации № 38 упомянутого документа - были подготовлены Руководство по отбору, утвержденное министерским распоряжением № 16731/03, и Требования, предъявляемые для занятия конкурсных должностей, и оценки в баллах для публичных конкурсных экзаменов, утвержденные министерским распоряжением № 1176/04.</w:t>
      </w:r>
    </w:p>
    <w:p w:rsidR="00000000" w:rsidRDefault="00000000">
      <w:pPr>
        <w:rPr>
          <w:color w:val="000000"/>
          <w:szCs w:val="28"/>
        </w:rPr>
      </w:pPr>
    </w:p>
    <w:p w:rsidR="00000000" w:rsidRDefault="00000000">
      <w:pPr>
        <w:rPr>
          <w:color w:val="000000"/>
          <w:szCs w:val="28"/>
        </w:rPr>
      </w:pPr>
      <w:r>
        <w:rPr>
          <w:color w:val="000000"/>
          <w:szCs w:val="28"/>
        </w:rPr>
        <w:t>602.</w:t>
      </w:r>
      <w:r>
        <w:rPr>
          <w:color w:val="000000"/>
          <w:szCs w:val="28"/>
        </w:rPr>
        <w:tab/>
        <w:t>Что касается пункта 39 рекомендаций, то Закон № 1725 устанавливает упоминаемый испытательный период, который статья 22 определяет в один год, в течение которого будет дана оценка профессиональной деятельности, и по окончании которого, при утверждении в должности, кандидат становится штатной единицей, а данный период засчитывается со всеми правовыми последствиями.</w:t>
      </w:r>
    </w:p>
    <w:p w:rsidR="00000000" w:rsidRDefault="00000000">
      <w:pPr>
        <w:rPr>
          <w:color w:val="000000"/>
          <w:szCs w:val="28"/>
        </w:rPr>
      </w:pPr>
    </w:p>
    <w:p w:rsidR="00000000" w:rsidRDefault="00000000">
      <w:pPr>
        <w:rPr>
          <w:color w:val="000000"/>
          <w:szCs w:val="28"/>
        </w:rPr>
      </w:pPr>
      <w:r>
        <w:rPr>
          <w:color w:val="000000"/>
          <w:szCs w:val="28"/>
        </w:rPr>
        <w:t>603.</w:t>
      </w:r>
      <w:r>
        <w:rPr>
          <w:color w:val="000000"/>
          <w:szCs w:val="28"/>
        </w:rPr>
        <w:tab/>
        <w:t xml:space="preserve">Что касается повышения и </w:t>
      </w:r>
      <w:r>
        <w:rPr>
          <w:i/>
          <w:color w:val="000000"/>
          <w:szCs w:val="28"/>
        </w:rPr>
        <w:t xml:space="preserve">продвижения по службе </w:t>
      </w:r>
      <w:r>
        <w:rPr>
          <w:color w:val="000000"/>
          <w:szCs w:val="28"/>
        </w:rPr>
        <w:t>(пункты 40 и 41 рекомендаций), то эти аспекты также отражены в наших нормативных актах посредством Руководства по отбору профессиональных преподавателей (министерское распоряжение № 2520/05), в котором уточняются характеристики, требующиеся как для найма для работу, так и для назначения на более ответственную должность в национальной системе образования;  хотя они обязательны только для государственных учебных заведений, все учреждения, оказывающие общественные услуги в сфере образования должны придерживаться минимальных требований, установленных для осуществления профессиональной деятельности преподавателя, и учитывать моральные качества кандидатов.</w:t>
      </w:r>
    </w:p>
    <w:p w:rsidR="00000000" w:rsidRDefault="00000000">
      <w:pPr>
        <w:rPr>
          <w:color w:val="000000"/>
          <w:szCs w:val="28"/>
        </w:rPr>
      </w:pPr>
    </w:p>
    <w:p w:rsidR="00000000" w:rsidRDefault="00000000">
      <w:pPr>
        <w:rPr>
          <w:color w:val="000000"/>
          <w:szCs w:val="28"/>
        </w:rPr>
      </w:pPr>
      <w:r>
        <w:rPr>
          <w:color w:val="000000"/>
          <w:szCs w:val="28"/>
        </w:rPr>
        <w:t>604.</w:t>
      </w:r>
      <w:r>
        <w:rPr>
          <w:color w:val="000000"/>
          <w:szCs w:val="28"/>
        </w:rPr>
        <w:tab/>
        <w:t>В этом отношении имел место качественный скачок в деле продвижения преподавателей на руководящие должности и в контролирующие органы, поскольку теперь во внимание принимается не только количество баллов по учебным показателям, что составляет 50% процесса отбора, но учитываются также письменные и устные отзывы по итогам результатов проверки знаний, умений и поведения, причем главной преследуемой целью остается образование и донесение его до тех, кому оно предназначается.  Этот процесс осуществляется в условиях равенства и прозрачности управления и наличия информации об используемых механизмах;  весьма важно, что профсоюзам преподавателей предоставляется возможность не только сотрудничать в разработке инструментов отбора, но и участвовать в отборочных комиссиях, в составе которых они являются активными членами со всеми связанными с этим прерогативами, совместно с секретарями по образованию управлений, а также представителями школьных кооперативов и муниципий, которые отслеживают процесс, направленный на обеспечение качественной работы преподавателей на различных должностях.</w:t>
      </w:r>
    </w:p>
    <w:p w:rsidR="00000000" w:rsidRDefault="00000000">
      <w:pPr>
        <w:rPr>
          <w:color w:val="000000"/>
          <w:szCs w:val="28"/>
        </w:rPr>
      </w:pPr>
    </w:p>
    <w:p w:rsidR="00000000" w:rsidRDefault="00000000">
      <w:pPr>
        <w:rPr>
          <w:b/>
          <w:iCs/>
          <w:color w:val="000000"/>
          <w:szCs w:val="28"/>
        </w:rPr>
      </w:pPr>
      <w:r>
        <w:rPr>
          <w:b/>
          <w:iCs/>
          <w:color w:val="000000"/>
          <w:szCs w:val="28"/>
        </w:rPr>
        <w:tab/>
        <w:t>5.1</w:t>
      </w:r>
      <w:r>
        <w:rPr>
          <w:b/>
          <w:iCs/>
          <w:color w:val="000000"/>
          <w:szCs w:val="28"/>
        </w:rPr>
        <w:tab/>
        <w:t>Другие важные аспекты</w:t>
      </w:r>
    </w:p>
    <w:p w:rsidR="00000000" w:rsidRDefault="00000000">
      <w:pPr>
        <w:rPr>
          <w:b/>
          <w:iCs/>
          <w:color w:val="000000"/>
          <w:szCs w:val="28"/>
        </w:rPr>
      </w:pPr>
    </w:p>
    <w:p w:rsidR="00000000" w:rsidRDefault="00000000">
      <w:pPr>
        <w:rPr>
          <w:color w:val="000000"/>
          <w:szCs w:val="28"/>
        </w:rPr>
      </w:pPr>
      <w:r>
        <w:rPr>
          <w:color w:val="000000"/>
          <w:szCs w:val="28"/>
        </w:rPr>
        <w:t>605.</w:t>
      </w:r>
      <w:r>
        <w:rPr>
          <w:color w:val="000000"/>
          <w:szCs w:val="28"/>
        </w:rPr>
        <w:tab/>
        <w:t>В настоящее время в системе образования работает большое число преподавателей без лицензии, поскольку для ее получения нужен соответствующий документ, требующий наличия необходимой специализации.  Это происходит исключительно в сельских районах, где наблюдается острая нехватка дипломированных специалистов.  В этом отношении важно отметить, что, согласно заключительным положениям статьи 60 (глава XII Закона № 1725), не имеющему профессиональной подготовки персоналу, занимающемуся преподаванием или выполняющему административно-технические функции в сфере образования на момент издания упомянутого Закона, предоставляется максимальный срок в пять лет с даты обнародования Закона для получения необходимого диплома и лицензии.  Следовательно, этот срок истекает 13 сентября 2006 года.  Для этой цели министерство в свое время обеспечило соответствующие возможности для получения специальной подготовки и повышения квалификации, а также постоянной учебы преподавателей.  Все это проводилось в соответствии с рекомендациями 1966 года.</w:t>
      </w:r>
    </w:p>
    <w:p w:rsidR="00000000" w:rsidRDefault="00000000">
      <w:pPr>
        <w:rPr>
          <w:color w:val="000000"/>
          <w:szCs w:val="28"/>
        </w:rPr>
      </w:pPr>
    </w:p>
    <w:p w:rsidR="00000000" w:rsidRDefault="00000000">
      <w:r>
        <w:t>606.</w:t>
      </w:r>
      <w:r>
        <w:tab/>
        <w:t xml:space="preserve">Наконец, в отношении рекомендаций, касающихся положения преподавательского состава, следует отметить, что они были полностью отражены в действующем законодательстве в сфере образования.  В то же время, основы правовой деятельности, и, следовательно, соответствующие административные установления, содержатся или предусмотрены во </w:t>
      </w:r>
      <w:r>
        <w:rPr>
          <w:bCs/>
          <w:color w:val="000000"/>
        </w:rPr>
        <w:t>Всеобщем законе об образовании</w:t>
      </w:r>
      <w:r>
        <w:t xml:space="preserve">, </w:t>
      </w:r>
      <w:r>
        <w:rPr>
          <w:bCs/>
        </w:rPr>
        <w:t>Уставе учителей</w:t>
      </w:r>
      <w:r>
        <w:t xml:space="preserve"> и в Руководстве по отбору профессиональных педагогов.</w:t>
      </w:r>
    </w:p>
    <w:p w:rsidR="00000000" w:rsidRDefault="00000000"/>
    <w:p w:rsidR="00000000" w:rsidRDefault="00000000">
      <w:pPr>
        <w:rPr>
          <w:b/>
        </w:rPr>
      </w:pPr>
      <w:r>
        <w:rPr>
          <w:b/>
        </w:rPr>
        <w:t>6.</w:t>
      </w:r>
      <w:r>
        <w:rPr>
          <w:b/>
        </w:rPr>
        <w:tab/>
        <w:t>Динамика заработной платы преподавательского состава</w:t>
      </w:r>
    </w:p>
    <w:p w:rsidR="00000000" w:rsidRDefault="00000000">
      <w:pPr>
        <w:rPr>
          <w:bCs/>
        </w:rPr>
      </w:pPr>
    </w:p>
    <w:p w:rsidR="00000000" w:rsidRDefault="00000000">
      <w:r>
        <w:rPr>
          <w:bCs/>
        </w:rPr>
        <w:t>607.</w:t>
      </w:r>
      <w:r>
        <w:rPr>
          <w:bCs/>
        </w:rPr>
        <w:tab/>
        <w:t>Как явствует из таблицы ниже, в последнее десятилетие наблюдается неуклонный рост заработной платы преподавателей.</w:t>
      </w:r>
    </w:p>
    <w:p w:rsidR="00000000" w:rsidRDefault="00000000"/>
    <w:p w:rsidR="00000000" w:rsidRDefault="00000000">
      <w:pPr>
        <w:jc w:val="center"/>
        <w:rPr>
          <w:b/>
          <w:bCs/>
        </w:rPr>
      </w:pPr>
      <w:r>
        <w:rPr>
          <w:b/>
          <w:bCs/>
        </w:rPr>
        <w:t>Динамика изменения зарплаты преподавателей, 1994-2005 годы</w:t>
      </w:r>
    </w:p>
    <w:p w:rsidR="00000000" w:rsidRDefault="00000000">
      <w:pPr>
        <w:jc w:val="center"/>
      </w:pPr>
    </w:p>
    <w:tbl>
      <w:tblPr>
        <w:tblW w:w="49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051"/>
        <w:gridCol w:w="1680"/>
        <w:gridCol w:w="2057"/>
        <w:gridCol w:w="3547"/>
      </w:tblGrid>
      <w:tr w:rsidR="00000000">
        <w:trPr>
          <w:cantSplit/>
          <w:tblHeader/>
          <w:jc w:val="center"/>
        </w:trPr>
        <w:tc>
          <w:tcPr>
            <w:tcW w:w="1098" w:type="pct"/>
            <w:vMerge w:val="restart"/>
            <w:noWrap/>
            <w:tcMar>
              <w:top w:w="15" w:type="dxa"/>
              <w:left w:w="15" w:type="dxa"/>
              <w:bottom w:w="0" w:type="dxa"/>
              <w:right w:w="15" w:type="dxa"/>
            </w:tcMar>
            <w:vAlign w:val="center"/>
          </w:tcPr>
          <w:p w:rsidR="00000000" w:rsidRDefault="00000000">
            <w:pPr>
              <w:jc w:val="center"/>
              <w:rPr>
                <w:rFonts w:eastAsia="Arial Unicode MS"/>
                <w:b/>
                <w:bCs/>
                <w:szCs w:val="16"/>
              </w:rPr>
            </w:pPr>
            <w:r>
              <w:rPr>
                <w:b/>
                <w:bCs/>
                <w:szCs w:val="16"/>
              </w:rPr>
              <w:t>Годы</w:t>
            </w:r>
          </w:p>
        </w:tc>
        <w:tc>
          <w:tcPr>
            <w:tcW w:w="2002" w:type="pct"/>
            <w:gridSpan w:val="2"/>
            <w:tcMar>
              <w:top w:w="15" w:type="dxa"/>
              <w:left w:w="15" w:type="dxa"/>
              <w:bottom w:w="0" w:type="dxa"/>
              <w:right w:w="15" w:type="dxa"/>
            </w:tcMar>
            <w:vAlign w:val="center"/>
          </w:tcPr>
          <w:p w:rsidR="00000000" w:rsidRDefault="00000000">
            <w:pPr>
              <w:jc w:val="center"/>
              <w:rPr>
                <w:rFonts w:eastAsia="Arial Unicode MS"/>
                <w:b/>
                <w:bCs/>
              </w:rPr>
            </w:pPr>
            <w:r>
              <w:rPr>
                <w:b/>
                <w:bCs/>
              </w:rPr>
              <w:t>Базовое школьное образование</w:t>
            </w:r>
            <w:r>
              <w:rPr>
                <w:b/>
                <w:bCs/>
              </w:rPr>
              <w:br/>
              <w:t>(1-й и 2-й циклы)</w:t>
            </w:r>
          </w:p>
        </w:tc>
        <w:tc>
          <w:tcPr>
            <w:tcW w:w="1900" w:type="pct"/>
            <w:tcMar>
              <w:top w:w="15" w:type="dxa"/>
              <w:left w:w="15" w:type="dxa"/>
              <w:bottom w:w="0" w:type="dxa"/>
              <w:right w:w="15" w:type="dxa"/>
            </w:tcMar>
            <w:vAlign w:val="center"/>
          </w:tcPr>
          <w:p w:rsidR="00000000" w:rsidRDefault="00000000">
            <w:pPr>
              <w:jc w:val="center"/>
              <w:rPr>
                <w:rFonts w:eastAsia="Arial Unicode MS"/>
                <w:b/>
                <w:bCs/>
              </w:rPr>
            </w:pPr>
            <w:r>
              <w:rPr>
                <w:b/>
                <w:bCs/>
              </w:rPr>
              <w:t>Базовое школьное образование (3 цикл) и среднее образование</w:t>
            </w:r>
          </w:p>
        </w:tc>
      </w:tr>
      <w:tr w:rsidR="00000000">
        <w:trPr>
          <w:cantSplit/>
          <w:tblHeader/>
          <w:jc w:val="center"/>
        </w:trPr>
        <w:tc>
          <w:tcPr>
            <w:tcW w:w="1098" w:type="pct"/>
            <w:vMerge/>
            <w:vAlign w:val="center"/>
          </w:tcPr>
          <w:p w:rsidR="00000000" w:rsidRDefault="00000000">
            <w:pPr>
              <w:jc w:val="center"/>
              <w:rPr>
                <w:rFonts w:eastAsia="Arial Unicode MS"/>
                <w:b/>
                <w:bCs/>
                <w:szCs w:val="16"/>
              </w:rPr>
            </w:pPr>
          </w:p>
        </w:tc>
        <w:tc>
          <w:tcPr>
            <w:tcW w:w="900" w:type="pct"/>
            <w:noWrap/>
            <w:tcMar>
              <w:top w:w="15" w:type="dxa"/>
              <w:left w:w="15" w:type="dxa"/>
              <w:bottom w:w="0" w:type="dxa"/>
              <w:right w:w="15" w:type="dxa"/>
            </w:tcMar>
            <w:vAlign w:val="bottom"/>
          </w:tcPr>
          <w:p w:rsidR="00000000" w:rsidRDefault="00000000">
            <w:pPr>
              <w:jc w:val="center"/>
              <w:rPr>
                <w:rFonts w:eastAsia="Arial Unicode MS"/>
                <w:b/>
                <w:bCs/>
              </w:rPr>
            </w:pPr>
            <w:r>
              <w:rPr>
                <w:b/>
                <w:bCs/>
              </w:rPr>
              <w:t>1 категория</w:t>
            </w:r>
          </w:p>
        </w:tc>
        <w:tc>
          <w:tcPr>
            <w:tcW w:w="1102" w:type="pct"/>
            <w:noWrap/>
            <w:tcMar>
              <w:top w:w="15" w:type="dxa"/>
              <w:left w:w="15" w:type="dxa"/>
              <w:bottom w:w="0" w:type="dxa"/>
              <w:right w:w="15" w:type="dxa"/>
            </w:tcMar>
            <w:vAlign w:val="bottom"/>
          </w:tcPr>
          <w:p w:rsidR="00000000" w:rsidRDefault="00000000">
            <w:pPr>
              <w:jc w:val="center"/>
              <w:rPr>
                <w:rFonts w:eastAsia="Arial Unicode MS"/>
                <w:b/>
                <w:bCs/>
              </w:rPr>
            </w:pPr>
            <w:r>
              <w:rPr>
                <w:b/>
                <w:bCs/>
              </w:rPr>
              <w:t>Бакалавр</w:t>
            </w:r>
          </w:p>
        </w:tc>
        <w:tc>
          <w:tcPr>
            <w:tcW w:w="1900" w:type="pct"/>
            <w:noWrap/>
            <w:tcMar>
              <w:top w:w="15" w:type="dxa"/>
              <w:left w:w="15" w:type="dxa"/>
              <w:bottom w:w="0" w:type="dxa"/>
              <w:right w:w="15" w:type="dxa"/>
            </w:tcMar>
            <w:vAlign w:val="bottom"/>
          </w:tcPr>
          <w:p w:rsidR="00000000" w:rsidRDefault="00000000">
            <w:pPr>
              <w:jc w:val="center"/>
              <w:rPr>
                <w:rFonts w:eastAsia="Arial Unicode MS"/>
                <w:b/>
                <w:bCs/>
              </w:rPr>
            </w:pPr>
            <w:r>
              <w:rPr>
                <w:b/>
                <w:bCs/>
              </w:rPr>
              <w:t>Преподавательская нагрузка</w:t>
            </w:r>
          </w:p>
        </w:tc>
      </w:tr>
      <w:tr w:rsidR="00000000">
        <w:trPr>
          <w:cantSplit/>
          <w:tblHeader/>
          <w:jc w:val="center"/>
        </w:trPr>
        <w:tc>
          <w:tcPr>
            <w:tcW w:w="1098" w:type="pct"/>
            <w:vMerge/>
            <w:vAlign w:val="center"/>
          </w:tcPr>
          <w:p w:rsidR="00000000" w:rsidRDefault="00000000">
            <w:pPr>
              <w:jc w:val="center"/>
              <w:rPr>
                <w:rFonts w:eastAsia="Arial Unicode MS"/>
                <w:b/>
                <w:bCs/>
                <w:szCs w:val="16"/>
              </w:rPr>
            </w:pPr>
          </w:p>
        </w:tc>
        <w:tc>
          <w:tcPr>
            <w:tcW w:w="2002" w:type="pct"/>
            <w:gridSpan w:val="2"/>
            <w:noWrap/>
            <w:tcMar>
              <w:top w:w="15" w:type="dxa"/>
              <w:left w:w="15" w:type="dxa"/>
              <w:bottom w:w="0" w:type="dxa"/>
              <w:right w:w="15" w:type="dxa"/>
            </w:tcMar>
            <w:vAlign w:val="center"/>
          </w:tcPr>
          <w:p w:rsidR="00000000" w:rsidRDefault="00000000">
            <w:pPr>
              <w:jc w:val="center"/>
              <w:rPr>
                <w:rFonts w:eastAsia="Arial Unicode MS"/>
                <w:b/>
                <w:bCs/>
                <w:szCs w:val="16"/>
              </w:rPr>
            </w:pPr>
            <w:r>
              <w:rPr>
                <w:rFonts w:eastAsia="Arial Unicode MS"/>
                <w:b/>
                <w:bCs/>
                <w:szCs w:val="16"/>
              </w:rPr>
              <w:t>(гуарани)</w:t>
            </w:r>
          </w:p>
        </w:tc>
        <w:tc>
          <w:tcPr>
            <w:tcW w:w="1900" w:type="pct"/>
            <w:noWrap/>
            <w:tcMar>
              <w:top w:w="15" w:type="dxa"/>
              <w:left w:w="15" w:type="dxa"/>
              <w:bottom w:w="0" w:type="dxa"/>
              <w:right w:w="15" w:type="dxa"/>
            </w:tcMar>
            <w:vAlign w:val="bottom"/>
          </w:tcPr>
          <w:p w:rsidR="00000000" w:rsidRDefault="00000000">
            <w:pPr>
              <w:jc w:val="center"/>
              <w:rPr>
                <w:rFonts w:eastAsia="Arial Unicode MS"/>
                <w:b/>
                <w:bCs/>
                <w:szCs w:val="16"/>
              </w:rPr>
            </w:pPr>
            <w:r>
              <w:rPr>
                <w:b/>
                <w:bCs/>
                <w:szCs w:val="16"/>
              </w:rPr>
              <w:t>(гуарани в час)</w:t>
            </w:r>
          </w:p>
        </w:tc>
      </w:tr>
      <w:tr w:rsidR="00000000">
        <w:trPr>
          <w:jc w:val="center"/>
        </w:trPr>
        <w:tc>
          <w:tcPr>
            <w:tcW w:w="1098" w:type="pct"/>
            <w:noWrap/>
            <w:tcMar>
              <w:top w:w="15" w:type="dxa"/>
              <w:left w:w="15" w:type="dxa"/>
              <w:bottom w:w="0" w:type="dxa"/>
              <w:right w:w="15" w:type="dxa"/>
            </w:tcMar>
            <w:vAlign w:val="center"/>
          </w:tcPr>
          <w:p w:rsidR="00000000" w:rsidRDefault="00000000">
            <w:pPr>
              <w:jc w:val="center"/>
              <w:rPr>
                <w:rFonts w:eastAsia="Arial Unicode MS"/>
              </w:rPr>
            </w:pPr>
            <w:r>
              <w:t>1994</w:t>
            </w:r>
          </w:p>
        </w:tc>
        <w:tc>
          <w:tcPr>
            <w:tcW w:w="900" w:type="pct"/>
            <w:noWrap/>
            <w:tcMar>
              <w:top w:w="15" w:type="dxa"/>
              <w:left w:w="15" w:type="dxa"/>
              <w:bottom w:w="0" w:type="dxa"/>
              <w:right w:w="15" w:type="dxa"/>
            </w:tcMar>
            <w:vAlign w:val="center"/>
          </w:tcPr>
          <w:p w:rsidR="00000000" w:rsidRDefault="00000000">
            <w:pPr>
              <w:jc w:val="center"/>
              <w:rPr>
                <w:rFonts w:eastAsia="Arial Unicode MS"/>
              </w:rPr>
            </w:pPr>
            <w:r>
              <w:t>423 700</w:t>
            </w:r>
          </w:p>
        </w:tc>
        <w:tc>
          <w:tcPr>
            <w:tcW w:w="1102" w:type="pct"/>
            <w:noWrap/>
            <w:tcMar>
              <w:top w:w="15" w:type="dxa"/>
              <w:left w:w="15" w:type="dxa"/>
              <w:bottom w:w="0" w:type="dxa"/>
              <w:right w:w="15" w:type="dxa"/>
            </w:tcMar>
            <w:vAlign w:val="center"/>
          </w:tcPr>
          <w:p w:rsidR="00000000" w:rsidRDefault="00000000">
            <w:pPr>
              <w:jc w:val="center"/>
              <w:rPr>
                <w:rFonts w:eastAsia="Arial Unicode MS"/>
              </w:rPr>
            </w:pPr>
            <w:r>
              <w:t>274 100</w:t>
            </w:r>
          </w:p>
        </w:tc>
        <w:tc>
          <w:tcPr>
            <w:tcW w:w="1900" w:type="pct"/>
            <w:noWrap/>
            <w:tcMar>
              <w:top w:w="15" w:type="dxa"/>
              <w:left w:w="15" w:type="dxa"/>
              <w:bottom w:w="0" w:type="dxa"/>
              <w:right w:w="15" w:type="dxa"/>
            </w:tcMar>
            <w:vAlign w:val="bottom"/>
          </w:tcPr>
          <w:p w:rsidR="00000000" w:rsidRDefault="00000000">
            <w:pPr>
              <w:jc w:val="center"/>
              <w:rPr>
                <w:rFonts w:eastAsia="Arial Unicode MS"/>
              </w:rPr>
            </w:pPr>
            <w:r>
              <w:t>5 300</w:t>
            </w:r>
          </w:p>
        </w:tc>
      </w:tr>
      <w:tr w:rsidR="00000000">
        <w:trPr>
          <w:jc w:val="center"/>
        </w:trPr>
        <w:tc>
          <w:tcPr>
            <w:tcW w:w="1098" w:type="pct"/>
            <w:noWrap/>
            <w:tcMar>
              <w:top w:w="15" w:type="dxa"/>
              <w:left w:w="15" w:type="dxa"/>
              <w:bottom w:w="0" w:type="dxa"/>
              <w:right w:w="15" w:type="dxa"/>
            </w:tcMar>
            <w:vAlign w:val="center"/>
          </w:tcPr>
          <w:p w:rsidR="00000000" w:rsidRDefault="00000000">
            <w:pPr>
              <w:jc w:val="center"/>
              <w:rPr>
                <w:rFonts w:eastAsia="Arial Unicode MS"/>
              </w:rPr>
            </w:pPr>
            <w:r>
              <w:t>1995</w:t>
            </w:r>
          </w:p>
        </w:tc>
        <w:tc>
          <w:tcPr>
            <w:tcW w:w="900" w:type="pct"/>
            <w:noWrap/>
            <w:tcMar>
              <w:top w:w="15" w:type="dxa"/>
              <w:left w:w="15" w:type="dxa"/>
              <w:bottom w:w="0" w:type="dxa"/>
              <w:right w:w="15" w:type="dxa"/>
            </w:tcMar>
            <w:vAlign w:val="center"/>
          </w:tcPr>
          <w:p w:rsidR="00000000" w:rsidRDefault="00000000">
            <w:pPr>
              <w:jc w:val="center"/>
              <w:rPr>
                <w:rFonts w:eastAsia="Arial Unicode MS"/>
              </w:rPr>
            </w:pPr>
            <w:r>
              <w:t>489 400</w:t>
            </w:r>
          </w:p>
        </w:tc>
        <w:tc>
          <w:tcPr>
            <w:tcW w:w="1102" w:type="pct"/>
            <w:noWrap/>
            <w:tcMar>
              <w:top w:w="15" w:type="dxa"/>
              <w:left w:w="15" w:type="dxa"/>
              <w:bottom w:w="0" w:type="dxa"/>
              <w:right w:w="15" w:type="dxa"/>
            </w:tcMar>
            <w:vAlign w:val="center"/>
          </w:tcPr>
          <w:p w:rsidR="00000000" w:rsidRDefault="00000000">
            <w:pPr>
              <w:jc w:val="center"/>
              <w:rPr>
                <w:rFonts w:eastAsia="Arial Unicode MS"/>
              </w:rPr>
            </w:pPr>
            <w:r>
              <w:t>316 600</w:t>
            </w:r>
          </w:p>
        </w:tc>
        <w:tc>
          <w:tcPr>
            <w:tcW w:w="1900" w:type="pct"/>
            <w:noWrap/>
            <w:tcMar>
              <w:top w:w="15" w:type="dxa"/>
              <w:left w:w="15" w:type="dxa"/>
              <w:bottom w:w="0" w:type="dxa"/>
              <w:right w:w="15" w:type="dxa"/>
            </w:tcMar>
            <w:vAlign w:val="bottom"/>
          </w:tcPr>
          <w:p w:rsidR="00000000" w:rsidRDefault="00000000">
            <w:pPr>
              <w:jc w:val="center"/>
              <w:rPr>
                <w:rFonts w:eastAsia="Arial Unicode MS"/>
              </w:rPr>
            </w:pPr>
            <w:r>
              <w:t>6 120</w:t>
            </w:r>
          </w:p>
        </w:tc>
      </w:tr>
      <w:tr w:rsidR="00000000">
        <w:trPr>
          <w:jc w:val="center"/>
        </w:trPr>
        <w:tc>
          <w:tcPr>
            <w:tcW w:w="1098" w:type="pct"/>
            <w:noWrap/>
            <w:tcMar>
              <w:top w:w="15" w:type="dxa"/>
              <w:left w:w="15" w:type="dxa"/>
              <w:bottom w:w="0" w:type="dxa"/>
              <w:right w:w="15" w:type="dxa"/>
            </w:tcMar>
            <w:vAlign w:val="center"/>
          </w:tcPr>
          <w:p w:rsidR="00000000" w:rsidRDefault="00000000">
            <w:pPr>
              <w:jc w:val="center"/>
              <w:rPr>
                <w:rFonts w:eastAsia="Arial Unicode MS"/>
              </w:rPr>
            </w:pPr>
            <w:r>
              <w:t>1996</w:t>
            </w:r>
          </w:p>
        </w:tc>
        <w:tc>
          <w:tcPr>
            <w:tcW w:w="900" w:type="pct"/>
            <w:noWrap/>
            <w:tcMar>
              <w:top w:w="15" w:type="dxa"/>
              <w:left w:w="15" w:type="dxa"/>
              <w:bottom w:w="0" w:type="dxa"/>
              <w:right w:w="15" w:type="dxa"/>
            </w:tcMar>
            <w:vAlign w:val="center"/>
          </w:tcPr>
          <w:p w:rsidR="00000000" w:rsidRDefault="00000000">
            <w:pPr>
              <w:jc w:val="center"/>
              <w:rPr>
                <w:rFonts w:eastAsia="Arial Unicode MS"/>
              </w:rPr>
            </w:pPr>
            <w:r>
              <w:t>538 300</w:t>
            </w:r>
          </w:p>
        </w:tc>
        <w:tc>
          <w:tcPr>
            <w:tcW w:w="1102" w:type="pct"/>
            <w:noWrap/>
            <w:tcMar>
              <w:top w:w="15" w:type="dxa"/>
              <w:left w:w="15" w:type="dxa"/>
              <w:bottom w:w="0" w:type="dxa"/>
              <w:right w:w="15" w:type="dxa"/>
            </w:tcMar>
            <w:vAlign w:val="center"/>
          </w:tcPr>
          <w:p w:rsidR="00000000" w:rsidRDefault="00000000">
            <w:pPr>
              <w:jc w:val="center"/>
              <w:rPr>
                <w:rFonts w:eastAsia="Arial Unicode MS"/>
              </w:rPr>
            </w:pPr>
            <w:r>
              <w:t>348 300</w:t>
            </w:r>
          </w:p>
        </w:tc>
        <w:tc>
          <w:tcPr>
            <w:tcW w:w="1900" w:type="pct"/>
            <w:noWrap/>
            <w:tcMar>
              <w:top w:w="15" w:type="dxa"/>
              <w:left w:w="15" w:type="dxa"/>
              <w:bottom w:w="0" w:type="dxa"/>
              <w:right w:w="15" w:type="dxa"/>
            </w:tcMar>
            <w:vAlign w:val="bottom"/>
          </w:tcPr>
          <w:p w:rsidR="00000000" w:rsidRDefault="00000000">
            <w:pPr>
              <w:jc w:val="center"/>
              <w:rPr>
                <w:rFonts w:eastAsia="Arial Unicode MS"/>
              </w:rPr>
            </w:pPr>
            <w:r>
              <w:t>6 730</w:t>
            </w:r>
          </w:p>
        </w:tc>
      </w:tr>
      <w:tr w:rsidR="00000000">
        <w:trPr>
          <w:jc w:val="center"/>
        </w:trPr>
        <w:tc>
          <w:tcPr>
            <w:tcW w:w="1098" w:type="pct"/>
            <w:noWrap/>
            <w:tcMar>
              <w:top w:w="15" w:type="dxa"/>
              <w:left w:w="15" w:type="dxa"/>
              <w:bottom w:w="0" w:type="dxa"/>
              <w:right w:w="15" w:type="dxa"/>
            </w:tcMar>
            <w:vAlign w:val="center"/>
          </w:tcPr>
          <w:p w:rsidR="00000000" w:rsidRDefault="00000000">
            <w:pPr>
              <w:jc w:val="center"/>
              <w:rPr>
                <w:rFonts w:eastAsia="Arial Unicode MS"/>
              </w:rPr>
            </w:pPr>
            <w:r>
              <w:t>1997</w:t>
            </w:r>
          </w:p>
        </w:tc>
        <w:tc>
          <w:tcPr>
            <w:tcW w:w="900" w:type="pct"/>
            <w:noWrap/>
            <w:tcMar>
              <w:top w:w="15" w:type="dxa"/>
              <w:left w:w="15" w:type="dxa"/>
              <w:bottom w:w="0" w:type="dxa"/>
              <w:right w:w="15" w:type="dxa"/>
            </w:tcMar>
            <w:vAlign w:val="center"/>
          </w:tcPr>
          <w:p w:rsidR="00000000" w:rsidRDefault="00000000">
            <w:pPr>
              <w:jc w:val="center"/>
              <w:rPr>
                <w:rFonts w:eastAsia="Arial Unicode MS"/>
              </w:rPr>
            </w:pPr>
            <w:r>
              <w:t>538 300</w:t>
            </w:r>
          </w:p>
        </w:tc>
        <w:tc>
          <w:tcPr>
            <w:tcW w:w="1102" w:type="pct"/>
            <w:noWrap/>
            <w:tcMar>
              <w:top w:w="15" w:type="dxa"/>
              <w:left w:w="15" w:type="dxa"/>
              <w:bottom w:w="0" w:type="dxa"/>
              <w:right w:w="15" w:type="dxa"/>
            </w:tcMar>
            <w:vAlign w:val="center"/>
          </w:tcPr>
          <w:p w:rsidR="00000000" w:rsidRDefault="00000000">
            <w:pPr>
              <w:jc w:val="center"/>
              <w:rPr>
                <w:rFonts w:eastAsia="Arial Unicode MS"/>
              </w:rPr>
            </w:pPr>
            <w:r>
              <w:t>348 300</w:t>
            </w:r>
          </w:p>
        </w:tc>
        <w:tc>
          <w:tcPr>
            <w:tcW w:w="1900" w:type="pct"/>
            <w:noWrap/>
            <w:tcMar>
              <w:top w:w="15" w:type="dxa"/>
              <w:left w:w="15" w:type="dxa"/>
              <w:bottom w:w="0" w:type="dxa"/>
              <w:right w:w="15" w:type="dxa"/>
            </w:tcMar>
            <w:vAlign w:val="bottom"/>
          </w:tcPr>
          <w:p w:rsidR="00000000" w:rsidRDefault="00000000">
            <w:pPr>
              <w:jc w:val="center"/>
              <w:rPr>
                <w:rFonts w:eastAsia="Arial Unicode MS"/>
              </w:rPr>
            </w:pPr>
            <w:r>
              <w:t>6 730</w:t>
            </w:r>
          </w:p>
        </w:tc>
      </w:tr>
      <w:tr w:rsidR="00000000">
        <w:trPr>
          <w:jc w:val="center"/>
        </w:trPr>
        <w:tc>
          <w:tcPr>
            <w:tcW w:w="1098" w:type="pct"/>
            <w:noWrap/>
            <w:tcMar>
              <w:top w:w="15" w:type="dxa"/>
              <w:left w:w="15" w:type="dxa"/>
              <w:bottom w:w="0" w:type="dxa"/>
              <w:right w:w="15" w:type="dxa"/>
            </w:tcMar>
            <w:vAlign w:val="center"/>
          </w:tcPr>
          <w:p w:rsidR="00000000" w:rsidRDefault="00000000">
            <w:pPr>
              <w:jc w:val="center"/>
              <w:rPr>
                <w:rFonts w:eastAsia="Arial Unicode MS"/>
              </w:rPr>
            </w:pPr>
            <w:r>
              <w:t>1998</w:t>
            </w:r>
          </w:p>
        </w:tc>
        <w:tc>
          <w:tcPr>
            <w:tcW w:w="900" w:type="pct"/>
            <w:noWrap/>
            <w:tcMar>
              <w:top w:w="15" w:type="dxa"/>
              <w:left w:w="15" w:type="dxa"/>
              <w:bottom w:w="0" w:type="dxa"/>
              <w:right w:w="15" w:type="dxa"/>
            </w:tcMar>
            <w:vAlign w:val="center"/>
          </w:tcPr>
          <w:p w:rsidR="00000000" w:rsidRDefault="00000000">
            <w:pPr>
              <w:jc w:val="center"/>
              <w:rPr>
                <w:rFonts w:eastAsia="Arial Unicode MS"/>
              </w:rPr>
            </w:pPr>
            <w:r>
              <w:t>613 660</w:t>
            </w:r>
          </w:p>
        </w:tc>
        <w:tc>
          <w:tcPr>
            <w:tcW w:w="1102" w:type="pct"/>
            <w:noWrap/>
            <w:tcMar>
              <w:top w:w="15" w:type="dxa"/>
              <w:left w:w="15" w:type="dxa"/>
              <w:bottom w:w="0" w:type="dxa"/>
              <w:right w:w="15" w:type="dxa"/>
            </w:tcMar>
            <w:vAlign w:val="center"/>
          </w:tcPr>
          <w:p w:rsidR="00000000" w:rsidRDefault="00000000">
            <w:pPr>
              <w:jc w:val="center"/>
              <w:rPr>
                <w:rFonts w:eastAsia="Arial Unicode MS"/>
              </w:rPr>
            </w:pPr>
            <w:r>
              <w:t>397 060</w:t>
            </w:r>
          </w:p>
        </w:tc>
        <w:tc>
          <w:tcPr>
            <w:tcW w:w="1900" w:type="pct"/>
            <w:noWrap/>
            <w:tcMar>
              <w:top w:w="15" w:type="dxa"/>
              <w:left w:w="15" w:type="dxa"/>
              <w:bottom w:w="0" w:type="dxa"/>
              <w:right w:w="15" w:type="dxa"/>
            </w:tcMar>
            <w:vAlign w:val="bottom"/>
          </w:tcPr>
          <w:p w:rsidR="00000000" w:rsidRDefault="00000000">
            <w:pPr>
              <w:jc w:val="center"/>
              <w:rPr>
                <w:rFonts w:eastAsia="Arial Unicode MS"/>
              </w:rPr>
            </w:pPr>
            <w:r>
              <w:t>7 400</w:t>
            </w:r>
          </w:p>
        </w:tc>
      </w:tr>
      <w:tr w:rsidR="00000000">
        <w:trPr>
          <w:jc w:val="center"/>
        </w:trPr>
        <w:tc>
          <w:tcPr>
            <w:tcW w:w="1098" w:type="pct"/>
            <w:noWrap/>
            <w:tcMar>
              <w:top w:w="15" w:type="dxa"/>
              <w:left w:w="15" w:type="dxa"/>
              <w:bottom w:w="0" w:type="dxa"/>
              <w:right w:w="15" w:type="dxa"/>
            </w:tcMar>
            <w:vAlign w:val="center"/>
          </w:tcPr>
          <w:p w:rsidR="00000000" w:rsidRDefault="00000000">
            <w:pPr>
              <w:spacing w:line="240" w:lineRule="auto"/>
              <w:jc w:val="center"/>
              <w:rPr>
                <w:rFonts w:eastAsia="Arial Unicode MS"/>
              </w:rPr>
            </w:pPr>
            <w:r>
              <w:t>1999</w:t>
            </w:r>
            <w:r>
              <w:br/>
              <w:t>(1-й семестр)</w:t>
            </w:r>
          </w:p>
        </w:tc>
        <w:tc>
          <w:tcPr>
            <w:tcW w:w="900" w:type="pct"/>
            <w:noWrap/>
            <w:tcMar>
              <w:top w:w="15" w:type="dxa"/>
              <w:left w:w="15" w:type="dxa"/>
              <w:bottom w:w="0" w:type="dxa"/>
              <w:right w:w="15" w:type="dxa"/>
            </w:tcMar>
            <w:vAlign w:val="bottom"/>
          </w:tcPr>
          <w:p w:rsidR="00000000" w:rsidRDefault="00000000">
            <w:pPr>
              <w:jc w:val="center"/>
              <w:rPr>
                <w:rFonts w:eastAsia="Arial Unicode MS"/>
              </w:rPr>
            </w:pPr>
            <w:r>
              <w:t>650 480</w:t>
            </w:r>
          </w:p>
        </w:tc>
        <w:tc>
          <w:tcPr>
            <w:tcW w:w="1102" w:type="pct"/>
            <w:noWrap/>
            <w:tcMar>
              <w:top w:w="15" w:type="dxa"/>
              <w:left w:w="15" w:type="dxa"/>
              <w:bottom w:w="0" w:type="dxa"/>
              <w:right w:w="15" w:type="dxa"/>
            </w:tcMar>
            <w:vAlign w:val="bottom"/>
          </w:tcPr>
          <w:p w:rsidR="00000000" w:rsidRDefault="00000000">
            <w:pPr>
              <w:jc w:val="center"/>
              <w:rPr>
                <w:rFonts w:eastAsia="Arial Unicode MS"/>
              </w:rPr>
            </w:pPr>
            <w:r>
              <w:t>420 884</w:t>
            </w:r>
          </w:p>
        </w:tc>
        <w:tc>
          <w:tcPr>
            <w:tcW w:w="1900" w:type="pct"/>
            <w:noWrap/>
            <w:tcMar>
              <w:top w:w="15" w:type="dxa"/>
              <w:left w:w="15" w:type="dxa"/>
              <w:bottom w:w="0" w:type="dxa"/>
              <w:right w:w="15" w:type="dxa"/>
            </w:tcMar>
            <w:vAlign w:val="bottom"/>
          </w:tcPr>
          <w:p w:rsidR="00000000" w:rsidRDefault="00000000">
            <w:pPr>
              <w:jc w:val="center"/>
              <w:rPr>
                <w:rFonts w:eastAsia="Arial Unicode MS"/>
              </w:rPr>
            </w:pPr>
            <w:r>
              <w:t>7 844</w:t>
            </w:r>
          </w:p>
        </w:tc>
      </w:tr>
      <w:tr w:rsidR="00000000">
        <w:trPr>
          <w:jc w:val="center"/>
        </w:trPr>
        <w:tc>
          <w:tcPr>
            <w:tcW w:w="1098" w:type="pct"/>
            <w:noWrap/>
            <w:tcMar>
              <w:top w:w="15" w:type="dxa"/>
              <w:left w:w="15" w:type="dxa"/>
              <w:bottom w:w="0" w:type="dxa"/>
              <w:right w:w="15" w:type="dxa"/>
            </w:tcMar>
            <w:vAlign w:val="center"/>
          </w:tcPr>
          <w:p w:rsidR="00000000" w:rsidRDefault="00000000">
            <w:pPr>
              <w:spacing w:line="240" w:lineRule="auto"/>
              <w:jc w:val="center"/>
              <w:rPr>
                <w:rFonts w:eastAsia="Arial Unicode MS"/>
              </w:rPr>
            </w:pPr>
            <w:r>
              <w:t>1999</w:t>
            </w:r>
            <w:r>
              <w:br/>
              <w:t>(2-й семестр)</w:t>
            </w:r>
          </w:p>
        </w:tc>
        <w:tc>
          <w:tcPr>
            <w:tcW w:w="900" w:type="pct"/>
            <w:noWrap/>
            <w:tcMar>
              <w:top w:w="15" w:type="dxa"/>
              <w:left w:w="15" w:type="dxa"/>
              <w:bottom w:w="0" w:type="dxa"/>
              <w:right w:w="15" w:type="dxa"/>
            </w:tcMar>
            <w:vAlign w:val="bottom"/>
          </w:tcPr>
          <w:p w:rsidR="00000000" w:rsidRDefault="00000000">
            <w:pPr>
              <w:jc w:val="center"/>
              <w:rPr>
                <w:rFonts w:eastAsia="Arial Unicode MS"/>
              </w:rPr>
            </w:pPr>
            <w:r>
              <w:t>689 508</w:t>
            </w:r>
          </w:p>
        </w:tc>
        <w:tc>
          <w:tcPr>
            <w:tcW w:w="1102" w:type="pct"/>
            <w:noWrap/>
            <w:tcMar>
              <w:top w:w="15" w:type="dxa"/>
              <w:left w:w="15" w:type="dxa"/>
              <w:bottom w:w="0" w:type="dxa"/>
              <w:right w:w="15" w:type="dxa"/>
            </w:tcMar>
            <w:vAlign w:val="bottom"/>
          </w:tcPr>
          <w:p w:rsidR="00000000" w:rsidRDefault="00000000">
            <w:pPr>
              <w:jc w:val="center"/>
              <w:rPr>
                <w:rFonts w:eastAsia="Arial Unicode MS"/>
              </w:rPr>
            </w:pPr>
            <w:r>
              <w:t>446 137</w:t>
            </w:r>
          </w:p>
        </w:tc>
        <w:tc>
          <w:tcPr>
            <w:tcW w:w="1900" w:type="pct"/>
            <w:noWrap/>
            <w:tcMar>
              <w:top w:w="15" w:type="dxa"/>
              <w:left w:w="15" w:type="dxa"/>
              <w:bottom w:w="0" w:type="dxa"/>
              <w:right w:w="15" w:type="dxa"/>
            </w:tcMar>
            <w:vAlign w:val="bottom"/>
          </w:tcPr>
          <w:p w:rsidR="00000000" w:rsidRDefault="00000000">
            <w:pPr>
              <w:jc w:val="center"/>
              <w:rPr>
                <w:rFonts w:eastAsia="Arial Unicode MS"/>
              </w:rPr>
            </w:pPr>
            <w:r>
              <w:t>8 315</w:t>
            </w:r>
          </w:p>
        </w:tc>
      </w:tr>
      <w:tr w:rsidR="00000000">
        <w:trPr>
          <w:jc w:val="center"/>
        </w:trPr>
        <w:tc>
          <w:tcPr>
            <w:tcW w:w="1098" w:type="pct"/>
            <w:noWrap/>
            <w:tcMar>
              <w:top w:w="15" w:type="dxa"/>
              <w:left w:w="15" w:type="dxa"/>
              <w:bottom w:w="0" w:type="dxa"/>
              <w:right w:w="15" w:type="dxa"/>
            </w:tcMar>
            <w:vAlign w:val="center"/>
          </w:tcPr>
          <w:p w:rsidR="00000000" w:rsidRDefault="00000000">
            <w:pPr>
              <w:jc w:val="center"/>
              <w:rPr>
                <w:rFonts w:eastAsia="Arial Unicode MS"/>
              </w:rPr>
            </w:pPr>
            <w:r>
              <w:t>2000</w:t>
            </w:r>
          </w:p>
        </w:tc>
        <w:tc>
          <w:tcPr>
            <w:tcW w:w="900" w:type="pct"/>
            <w:noWrap/>
            <w:tcMar>
              <w:top w:w="15" w:type="dxa"/>
              <w:left w:w="15" w:type="dxa"/>
              <w:bottom w:w="0" w:type="dxa"/>
              <w:right w:w="15" w:type="dxa"/>
            </w:tcMar>
            <w:vAlign w:val="center"/>
          </w:tcPr>
          <w:p w:rsidR="00000000" w:rsidRDefault="00000000">
            <w:pPr>
              <w:jc w:val="center"/>
              <w:rPr>
                <w:rFonts w:eastAsia="Arial Unicode MS"/>
              </w:rPr>
            </w:pPr>
            <w:r>
              <w:t>758 400</w:t>
            </w:r>
          </w:p>
        </w:tc>
        <w:tc>
          <w:tcPr>
            <w:tcW w:w="1102" w:type="pct"/>
            <w:noWrap/>
            <w:tcMar>
              <w:top w:w="15" w:type="dxa"/>
              <w:left w:w="15" w:type="dxa"/>
              <w:bottom w:w="0" w:type="dxa"/>
              <w:right w:w="15" w:type="dxa"/>
            </w:tcMar>
            <w:vAlign w:val="center"/>
          </w:tcPr>
          <w:p w:rsidR="00000000" w:rsidRDefault="00000000">
            <w:pPr>
              <w:jc w:val="center"/>
              <w:rPr>
                <w:rFonts w:eastAsia="Arial Unicode MS"/>
              </w:rPr>
            </w:pPr>
            <w:r>
              <w:t>490 700</w:t>
            </w:r>
          </w:p>
        </w:tc>
        <w:tc>
          <w:tcPr>
            <w:tcW w:w="1900" w:type="pct"/>
            <w:noWrap/>
            <w:tcMar>
              <w:top w:w="15" w:type="dxa"/>
              <w:left w:w="15" w:type="dxa"/>
              <w:bottom w:w="0" w:type="dxa"/>
              <w:right w:w="15" w:type="dxa"/>
            </w:tcMar>
            <w:vAlign w:val="bottom"/>
          </w:tcPr>
          <w:p w:rsidR="00000000" w:rsidRDefault="00000000">
            <w:pPr>
              <w:jc w:val="center"/>
              <w:rPr>
                <w:rFonts w:eastAsia="Arial Unicode MS"/>
              </w:rPr>
            </w:pPr>
            <w:r>
              <w:t>9 100</w:t>
            </w:r>
          </w:p>
        </w:tc>
      </w:tr>
      <w:tr w:rsidR="00000000">
        <w:trPr>
          <w:jc w:val="center"/>
        </w:trPr>
        <w:tc>
          <w:tcPr>
            <w:tcW w:w="1098" w:type="pct"/>
            <w:noWrap/>
            <w:tcMar>
              <w:top w:w="15" w:type="dxa"/>
              <w:left w:w="15" w:type="dxa"/>
              <w:bottom w:w="0" w:type="dxa"/>
              <w:right w:w="15" w:type="dxa"/>
            </w:tcMar>
            <w:vAlign w:val="center"/>
          </w:tcPr>
          <w:p w:rsidR="00000000" w:rsidRDefault="00000000">
            <w:pPr>
              <w:jc w:val="center"/>
              <w:rPr>
                <w:rFonts w:eastAsia="Arial Unicode MS"/>
              </w:rPr>
            </w:pPr>
            <w:r>
              <w:t>2001</w:t>
            </w:r>
          </w:p>
        </w:tc>
        <w:tc>
          <w:tcPr>
            <w:tcW w:w="900" w:type="pct"/>
            <w:noWrap/>
            <w:tcMar>
              <w:top w:w="15" w:type="dxa"/>
              <w:left w:w="15" w:type="dxa"/>
              <w:bottom w:w="0" w:type="dxa"/>
              <w:right w:w="15" w:type="dxa"/>
            </w:tcMar>
            <w:vAlign w:val="center"/>
          </w:tcPr>
          <w:p w:rsidR="00000000" w:rsidRDefault="00000000">
            <w:pPr>
              <w:jc w:val="center"/>
              <w:rPr>
                <w:rFonts w:eastAsia="Arial Unicode MS"/>
              </w:rPr>
            </w:pPr>
            <w:r>
              <w:t>758 400</w:t>
            </w:r>
          </w:p>
        </w:tc>
        <w:tc>
          <w:tcPr>
            <w:tcW w:w="1102" w:type="pct"/>
            <w:noWrap/>
            <w:tcMar>
              <w:top w:w="15" w:type="dxa"/>
              <w:left w:w="15" w:type="dxa"/>
              <w:bottom w:w="0" w:type="dxa"/>
              <w:right w:w="15" w:type="dxa"/>
            </w:tcMar>
            <w:vAlign w:val="center"/>
          </w:tcPr>
          <w:p w:rsidR="00000000" w:rsidRDefault="00000000">
            <w:pPr>
              <w:jc w:val="center"/>
              <w:rPr>
                <w:rFonts w:eastAsia="Arial Unicode MS"/>
              </w:rPr>
            </w:pPr>
            <w:r>
              <w:t>490 700</w:t>
            </w:r>
          </w:p>
        </w:tc>
        <w:tc>
          <w:tcPr>
            <w:tcW w:w="1900" w:type="pct"/>
            <w:noWrap/>
            <w:tcMar>
              <w:top w:w="15" w:type="dxa"/>
              <w:left w:w="15" w:type="dxa"/>
              <w:bottom w:w="0" w:type="dxa"/>
              <w:right w:w="15" w:type="dxa"/>
            </w:tcMar>
            <w:vAlign w:val="bottom"/>
          </w:tcPr>
          <w:p w:rsidR="00000000" w:rsidRDefault="00000000">
            <w:pPr>
              <w:jc w:val="center"/>
              <w:rPr>
                <w:rFonts w:eastAsia="Arial Unicode MS"/>
              </w:rPr>
            </w:pPr>
            <w:r>
              <w:t>9 100</w:t>
            </w:r>
          </w:p>
        </w:tc>
      </w:tr>
      <w:tr w:rsidR="00000000">
        <w:trPr>
          <w:jc w:val="center"/>
        </w:trPr>
        <w:tc>
          <w:tcPr>
            <w:tcW w:w="1098" w:type="pct"/>
            <w:noWrap/>
            <w:tcMar>
              <w:top w:w="15" w:type="dxa"/>
              <w:left w:w="15" w:type="dxa"/>
              <w:bottom w:w="0" w:type="dxa"/>
              <w:right w:w="15" w:type="dxa"/>
            </w:tcMar>
            <w:vAlign w:val="center"/>
          </w:tcPr>
          <w:p w:rsidR="00000000" w:rsidRDefault="00000000">
            <w:pPr>
              <w:jc w:val="center"/>
              <w:rPr>
                <w:rFonts w:eastAsia="Arial Unicode MS"/>
              </w:rPr>
            </w:pPr>
            <w:r>
              <w:t>2002</w:t>
            </w:r>
          </w:p>
        </w:tc>
        <w:tc>
          <w:tcPr>
            <w:tcW w:w="900" w:type="pct"/>
            <w:noWrap/>
            <w:tcMar>
              <w:top w:w="15" w:type="dxa"/>
              <w:left w:w="15" w:type="dxa"/>
              <w:bottom w:w="0" w:type="dxa"/>
              <w:right w:w="15" w:type="dxa"/>
            </w:tcMar>
            <w:vAlign w:val="center"/>
          </w:tcPr>
          <w:p w:rsidR="00000000" w:rsidRDefault="00000000">
            <w:pPr>
              <w:jc w:val="center"/>
              <w:rPr>
                <w:rFonts w:eastAsia="Arial Unicode MS"/>
              </w:rPr>
            </w:pPr>
            <w:r>
              <w:t>758 400</w:t>
            </w:r>
          </w:p>
        </w:tc>
        <w:tc>
          <w:tcPr>
            <w:tcW w:w="1102" w:type="pct"/>
            <w:noWrap/>
            <w:tcMar>
              <w:top w:w="15" w:type="dxa"/>
              <w:left w:w="15" w:type="dxa"/>
              <w:bottom w:w="0" w:type="dxa"/>
              <w:right w:w="15" w:type="dxa"/>
            </w:tcMar>
            <w:vAlign w:val="center"/>
          </w:tcPr>
          <w:p w:rsidR="00000000" w:rsidRDefault="00000000">
            <w:pPr>
              <w:jc w:val="center"/>
              <w:rPr>
                <w:rFonts w:eastAsia="Arial Unicode MS"/>
              </w:rPr>
            </w:pPr>
            <w:r>
              <w:t>490 700</w:t>
            </w:r>
          </w:p>
        </w:tc>
        <w:tc>
          <w:tcPr>
            <w:tcW w:w="1900" w:type="pct"/>
            <w:noWrap/>
            <w:tcMar>
              <w:top w:w="15" w:type="dxa"/>
              <w:left w:w="15" w:type="dxa"/>
              <w:bottom w:w="0" w:type="dxa"/>
              <w:right w:w="15" w:type="dxa"/>
            </w:tcMar>
            <w:vAlign w:val="bottom"/>
          </w:tcPr>
          <w:p w:rsidR="00000000" w:rsidRDefault="00000000">
            <w:pPr>
              <w:jc w:val="center"/>
              <w:rPr>
                <w:rFonts w:eastAsia="Arial Unicode MS"/>
              </w:rPr>
            </w:pPr>
            <w:r>
              <w:t>9 100</w:t>
            </w:r>
          </w:p>
        </w:tc>
      </w:tr>
      <w:tr w:rsidR="00000000">
        <w:trPr>
          <w:jc w:val="center"/>
        </w:trPr>
        <w:tc>
          <w:tcPr>
            <w:tcW w:w="1098" w:type="pct"/>
            <w:noWrap/>
            <w:tcMar>
              <w:top w:w="15" w:type="dxa"/>
              <w:left w:w="15" w:type="dxa"/>
              <w:bottom w:w="0" w:type="dxa"/>
              <w:right w:w="15" w:type="dxa"/>
            </w:tcMar>
            <w:vAlign w:val="center"/>
          </w:tcPr>
          <w:p w:rsidR="00000000" w:rsidRDefault="00000000">
            <w:pPr>
              <w:jc w:val="center"/>
              <w:rPr>
                <w:rFonts w:eastAsia="Arial Unicode MS"/>
              </w:rPr>
            </w:pPr>
            <w:r>
              <w:t>2003</w:t>
            </w:r>
          </w:p>
        </w:tc>
        <w:tc>
          <w:tcPr>
            <w:tcW w:w="900" w:type="pct"/>
            <w:noWrap/>
            <w:tcMar>
              <w:top w:w="15" w:type="dxa"/>
              <w:left w:w="15" w:type="dxa"/>
              <w:bottom w:w="0" w:type="dxa"/>
              <w:right w:w="15" w:type="dxa"/>
            </w:tcMar>
            <w:vAlign w:val="center"/>
          </w:tcPr>
          <w:p w:rsidR="00000000" w:rsidRDefault="00000000">
            <w:pPr>
              <w:jc w:val="center"/>
              <w:rPr>
                <w:rFonts w:eastAsia="Arial Unicode MS"/>
              </w:rPr>
            </w:pPr>
            <w:r>
              <w:t>758 400</w:t>
            </w:r>
          </w:p>
        </w:tc>
        <w:tc>
          <w:tcPr>
            <w:tcW w:w="1102" w:type="pct"/>
            <w:noWrap/>
            <w:tcMar>
              <w:top w:w="15" w:type="dxa"/>
              <w:left w:w="15" w:type="dxa"/>
              <w:bottom w:w="0" w:type="dxa"/>
              <w:right w:w="15" w:type="dxa"/>
            </w:tcMar>
            <w:vAlign w:val="center"/>
          </w:tcPr>
          <w:p w:rsidR="00000000" w:rsidRDefault="00000000">
            <w:pPr>
              <w:jc w:val="center"/>
              <w:rPr>
                <w:rFonts w:eastAsia="Arial Unicode MS"/>
              </w:rPr>
            </w:pPr>
            <w:r>
              <w:t>490 700</w:t>
            </w:r>
          </w:p>
        </w:tc>
        <w:tc>
          <w:tcPr>
            <w:tcW w:w="1900" w:type="pct"/>
            <w:noWrap/>
            <w:tcMar>
              <w:top w:w="15" w:type="dxa"/>
              <w:left w:w="15" w:type="dxa"/>
              <w:bottom w:w="0" w:type="dxa"/>
              <w:right w:w="15" w:type="dxa"/>
            </w:tcMar>
            <w:vAlign w:val="bottom"/>
          </w:tcPr>
          <w:p w:rsidR="00000000" w:rsidRDefault="00000000">
            <w:pPr>
              <w:jc w:val="center"/>
              <w:rPr>
                <w:rFonts w:eastAsia="Arial Unicode MS"/>
              </w:rPr>
            </w:pPr>
            <w:r>
              <w:t>9 100</w:t>
            </w:r>
          </w:p>
        </w:tc>
      </w:tr>
      <w:tr w:rsidR="00000000">
        <w:trPr>
          <w:jc w:val="center"/>
        </w:trPr>
        <w:tc>
          <w:tcPr>
            <w:tcW w:w="1098" w:type="pct"/>
            <w:noWrap/>
            <w:tcMar>
              <w:top w:w="15" w:type="dxa"/>
              <w:left w:w="15" w:type="dxa"/>
              <w:bottom w:w="0" w:type="dxa"/>
              <w:right w:w="15" w:type="dxa"/>
            </w:tcMar>
            <w:vAlign w:val="center"/>
          </w:tcPr>
          <w:p w:rsidR="00000000" w:rsidRDefault="00000000">
            <w:pPr>
              <w:jc w:val="center"/>
              <w:rPr>
                <w:rFonts w:eastAsia="Arial Unicode MS"/>
              </w:rPr>
            </w:pPr>
            <w:r>
              <w:t>2004</w:t>
            </w:r>
          </w:p>
        </w:tc>
        <w:tc>
          <w:tcPr>
            <w:tcW w:w="900" w:type="pct"/>
            <w:noWrap/>
            <w:tcMar>
              <w:top w:w="15" w:type="dxa"/>
              <w:left w:w="15" w:type="dxa"/>
              <w:bottom w:w="0" w:type="dxa"/>
              <w:right w:w="15" w:type="dxa"/>
            </w:tcMar>
            <w:vAlign w:val="center"/>
          </w:tcPr>
          <w:p w:rsidR="00000000" w:rsidRDefault="00000000">
            <w:pPr>
              <w:jc w:val="center"/>
              <w:rPr>
                <w:rFonts w:eastAsia="Arial Unicode MS"/>
              </w:rPr>
            </w:pPr>
            <w:r>
              <w:t>823 622</w:t>
            </w:r>
          </w:p>
        </w:tc>
        <w:tc>
          <w:tcPr>
            <w:tcW w:w="1102" w:type="pct"/>
            <w:noWrap/>
            <w:tcMar>
              <w:top w:w="15" w:type="dxa"/>
              <w:left w:w="15" w:type="dxa"/>
              <w:bottom w:w="0" w:type="dxa"/>
              <w:right w:w="15" w:type="dxa"/>
            </w:tcMar>
            <w:vAlign w:val="center"/>
          </w:tcPr>
          <w:p w:rsidR="00000000" w:rsidRDefault="00000000">
            <w:pPr>
              <w:jc w:val="center"/>
              <w:rPr>
                <w:rFonts w:eastAsia="Arial Unicode MS"/>
              </w:rPr>
            </w:pPr>
            <w:r>
              <w:t>532 900</w:t>
            </w:r>
          </w:p>
        </w:tc>
        <w:tc>
          <w:tcPr>
            <w:tcW w:w="1900" w:type="pct"/>
            <w:noWrap/>
            <w:tcMar>
              <w:top w:w="15" w:type="dxa"/>
              <w:left w:w="15" w:type="dxa"/>
              <w:bottom w:w="0" w:type="dxa"/>
              <w:right w:w="15" w:type="dxa"/>
            </w:tcMar>
            <w:vAlign w:val="bottom"/>
          </w:tcPr>
          <w:p w:rsidR="00000000" w:rsidRDefault="00000000">
            <w:pPr>
              <w:jc w:val="center"/>
              <w:rPr>
                <w:rFonts w:eastAsia="Arial Unicode MS"/>
              </w:rPr>
            </w:pPr>
            <w:r>
              <w:t>10 000</w:t>
            </w:r>
          </w:p>
        </w:tc>
      </w:tr>
      <w:tr w:rsidR="00000000">
        <w:trPr>
          <w:jc w:val="center"/>
        </w:trPr>
        <w:tc>
          <w:tcPr>
            <w:tcW w:w="1098" w:type="pct"/>
            <w:noWrap/>
            <w:tcMar>
              <w:top w:w="15" w:type="dxa"/>
              <w:left w:w="15" w:type="dxa"/>
              <w:bottom w:w="0" w:type="dxa"/>
              <w:right w:w="15" w:type="dxa"/>
            </w:tcMar>
            <w:vAlign w:val="center"/>
          </w:tcPr>
          <w:p w:rsidR="00000000" w:rsidRDefault="00000000">
            <w:pPr>
              <w:jc w:val="center"/>
              <w:rPr>
                <w:rFonts w:eastAsia="Arial Unicode MS"/>
              </w:rPr>
            </w:pPr>
            <w:r>
              <w:t>2005</w:t>
            </w:r>
          </w:p>
        </w:tc>
        <w:tc>
          <w:tcPr>
            <w:tcW w:w="900" w:type="pct"/>
            <w:noWrap/>
            <w:tcMar>
              <w:top w:w="15" w:type="dxa"/>
              <w:left w:w="15" w:type="dxa"/>
              <w:bottom w:w="0" w:type="dxa"/>
              <w:right w:w="15" w:type="dxa"/>
            </w:tcMar>
            <w:vAlign w:val="center"/>
          </w:tcPr>
          <w:p w:rsidR="00000000" w:rsidRDefault="00000000">
            <w:pPr>
              <w:jc w:val="center"/>
              <w:rPr>
                <w:rFonts w:eastAsia="Arial Unicode MS"/>
              </w:rPr>
            </w:pPr>
            <w:r>
              <w:t>823 622</w:t>
            </w:r>
          </w:p>
        </w:tc>
        <w:tc>
          <w:tcPr>
            <w:tcW w:w="1102" w:type="pct"/>
            <w:noWrap/>
            <w:tcMar>
              <w:top w:w="15" w:type="dxa"/>
              <w:left w:w="15" w:type="dxa"/>
              <w:bottom w:w="0" w:type="dxa"/>
              <w:right w:w="15" w:type="dxa"/>
            </w:tcMar>
            <w:vAlign w:val="center"/>
          </w:tcPr>
          <w:p w:rsidR="00000000" w:rsidRDefault="00000000">
            <w:pPr>
              <w:jc w:val="center"/>
              <w:rPr>
                <w:rFonts w:eastAsia="Arial Unicode MS"/>
              </w:rPr>
            </w:pPr>
            <w:r>
              <w:t>532 900</w:t>
            </w:r>
          </w:p>
        </w:tc>
        <w:tc>
          <w:tcPr>
            <w:tcW w:w="1900" w:type="pct"/>
            <w:noWrap/>
            <w:tcMar>
              <w:top w:w="15" w:type="dxa"/>
              <w:left w:w="15" w:type="dxa"/>
              <w:bottom w:w="0" w:type="dxa"/>
              <w:right w:w="15" w:type="dxa"/>
            </w:tcMar>
            <w:vAlign w:val="bottom"/>
          </w:tcPr>
          <w:p w:rsidR="00000000" w:rsidRDefault="00000000">
            <w:pPr>
              <w:jc w:val="center"/>
              <w:rPr>
                <w:rFonts w:eastAsia="Arial Unicode MS"/>
              </w:rPr>
            </w:pPr>
            <w:r>
              <w:t>10 000</w:t>
            </w:r>
          </w:p>
        </w:tc>
      </w:tr>
    </w:tbl>
    <w:p w:rsidR="00000000" w:rsidRDefault="00000000">
      <w:pPr>
        <w:spacing w:line="216" w:lineRule="auto"/>
        <w:rPr>
          <w:i/>
          <w:iCs/>
        </w:rPr>
      </w:pPr>
    </w:p>
    <w:p w:rsidR="00000000" w:rsidRDefault="00000000">
      <w:r>
        <w:rPr>
          <w:i/>
          <w:iCs/>
        </w:rPr>
        <w:t>Источник</w:t>
      </w:r>
      <w:r>
        <w:t>:  Общегосударственный бюджет.  Расходная часть - Приложение "Персонал" (1994-2005 годы), министерство финансов.</w:t>
      </w:r>
    </w:p>
    <w:p w:rsidR="00000000" w:rsidRDefault="00000000"/>
    <w:p w:rsidR="00000000" w:rsidRDefault="00000000">
      <w:pPr>
        <w:rPr>
          <w:b/>
          <w:bCs/>
        </w:rPr>
      </w:pPr>
      <w:r>
        <w:rPr>
          <w:b/>
          <w:bCs/>
        </w:rPr>
        <w:t>Замечания</w:t>
      </w:r>
    </w:p>
    <w:p w:rsidR="00000000" w:rsidRDefault="00000000"/>
    <w:p w:rsidR="00000000" w:rsidRDefault="00000000">
      <w:pPr>
        <w:ind w:left="1134" w:hanging="1134"/>
      </w:pPr>
      <w:r>
        <w:tab/>
        <w:t>-</w:t>
      </w:r>
      <w:r>
        <w:tab/>
        <w:t>С ноября 2005 года предусмотрено увеличение на 10% зарплаты преподавателей.</w:t>
      </w:r>
    </w:p>
    <w:p w:rsidR="00000000" w:rsidRDefault="00000000"/>
    <w:p w:rsidR="00000000" w:rsidRDefault="00000000">
      <w:pPr>
        <w:ind w:left="1134" w:hanging="1134"/>
      </w:pPr>
      <w:r>
        <w:tab/>
        <w:t>-</w:t>
      </w:r>
      <w:r>
        <w:tab/>
        <w:t>Месячный оклад преподавателя базовой средней школы зависит от учебной смены.</w:t>
      </w:r>
    </w:p>
    <w:p w:rsidR="00000000" w:rsidRDefault="00000000"/>
    <w:p w:rsidR="00000000" w:rsidRDefault="00000000">
      <w:pPr>
        <w:ind w:left="1134" w:hanging="1134"/>
      </w:pPr>
      <w:r>
        <w:tab/>
        <w:t>-</w:t>
      </w:r>
      <w:r>
        <w:tab/>
        <w:t>Преподаватель среднего учебного заведения может провести в месяц не более 260 часов занятий в обеих сменах.</w:t>
      </w:r>
    </w:p>
    <w:p w:rsidR="00000000" w:rsidRDefault="00000000"/>
    <w:p w:rsidR="00000000" w:rsidRDefault="00000000">
      <w:r>
        <w:t>608.</w:t>
      </w:r>
      <w:r>
        <w:tab/>
        <w:t>Наконец, следует отметить, что за отчетный период в сфере образования не принималось специальных законов, нарушающих принципы, закрепленные в статье 13.</w:t>
      </w:r>
    </w:p>
    <w:p w:rsidR="00000000" w:rsidRDefault="00000000"/>
    <w:p w:rsidR="00000000" w:rsidRDefault="00000000">
      <w:r>
        <w:t>609.</w:t>
      </w:r>
      <w:r>
        <w:tab/>
        <w:t>Говоря о праве на образование, следует также указать на процесс правовой реформы как на компонент реформы образования (государственная политика), осуществляемой в нашей стране.  В рамках правовой реформы были обнародованы, в частности, следующие законы:  Всеобщий закон об образовании (№ 1264/98);  Закон "О создании Национального агентства по оценке и аккредитации высших учебных заведений" (№ 2072/2003);  Кодекс о детях и подростках (№ 1680/2001);  "Устав педагога" (№ 1725/2001) и Регламент к нему (№ 468/03).  Правила и инструкции, разрабатываемые министерством просвещения и культуры, также соответствуют упомянутым нормативным актам.</w:t>
      </w:r>
    </w:p>
    <w:p w:rsidR="00000000" w:rsidRDefault="00000000"/>
    <w:p w:rsidR="00000000" w:rsidRDefault="00000000">
      <w:r>
        <w:t>610.</w:t>
      </w:r>
      <w:r>
        <w:tab/>
        <w:t>Названные нормативные акты точно отражают принципы, провозглашенные в Международном пакте об экономических, социальных и культурных правах, что позволяет закрепить серьезные перемены, имевшие место в процессе обеспечения всем гражданам страны возможности в полной мере пользоваться правом на образование.</w:t>
      </w:r>
    </w:p>
    <w:p w:rsidR="00000000" w:rsidRDefault="00000000"/>
    <w:p w:rsidR="00000000" w:rsidRDefault="00000000">
      <w:pPr>
        <w:rPr>
          <w:b/>
          <w:bCs/>
          <w:spacing w:val="5"/>
        </w:rPr>
      </w:pPr>
      <w:r>
        <w:rPr>
          <w:b/>
          <w:bCs/>
          <w:spacing w:val="5"/>
        </w:rPr>
        <w:t>Статья 14</w:t>
      </w:r>
    </w:p>
    <w:p w:rsidR="00000000" w:rsidRDefault="00000000">
      <w:pPr>
        <w:rPr>
          <w:b/>
          <w:bCs/>
        </w:rPr>
      </w:pPr>
    </w:p>
    <w:p w:rsidR="00000000" w:rsidRDefault="00000000">
      <w:r>
        <w:t>611.</w:t>
      </w:r>
      <w:r>
        <w:tab/>
        <w:t>Статья 75 ("Об обязанностях государства") Конституции страны гласит следующее:  "Б</w:t>
      </w:r>
      <w:r>
        <w:rPr>
          <w:bCs/>
          <w:kern w:val="2"/>
        </w:rPr>
        <w:t>азовое школьное образование обязательно</w:t>
      </w:r>
      <w:r>
        <w:rPr>
          <w:kern w:val="2"/>
        </w:rPr>
        <w:t>.</w:t>
      </w:r>
      <w:r>
        <w:rPr>
          <w:b/>
          <w:bCs/>
          <w:kern w:val="2"/>
        </w:rPr>
        <w:t xml:space="preserve">  </w:t>
      </w:r>
      <w:r>
        <w:rPr>
          <w:bCs/>
          <w:kern w:val="2"/>
        </w:rPr>
        <w:t>В государственных школах обучение бесплатное</w:t>
      </w:r>
      <w:r>
        <w:t>".</w:t>
      </w:r>
    </w:p>
    <w:p w:rsidR="00000000" w:rsidRDefault="00000000"/>
    <w:p w:rsidR="00000000" w:rsidRDefault="00000000">
      <w:r>
        <w:t>612.</w:t>
      </w:r>
      <w:r>
        <w:tab/>
        <w:t>Отмечаются крупные достижения в плане охвата обучением, с начального уровня до среднего образования, обеспечения гендерного равенства, а также в сокращении числа неграмотных;  в то же время, Парагвай сталкивается с проблемой отсева учащихся в школах, особенно учитывая, что для получения работы, позволяющей, с большой долей вероятности, избежать бедности (ЭКЛАК, 1999 год) нужно учиться не менее 12 лет, а также с проблемой качества образования.</w:t>
      </w:r>
    </w:p>
    <w:p w:rsidR="00000000" w:rsidRDefault="00000000"/>
    <w:p w:rsidR="00000000" w:rsidRDefault="00000000">
      <w:r>
        <w:t>613.</w:t>
      </w:r>
      <w:r>
        <w:tab/>
        <w:t>Наблюдается существенный рост nоказателей охвата на различных уровнях школьного образования.  Увеличение этих показателей в значительной степени обусловлено расширением обязательного и бесплатного образования детей в возрасте от 6 до 9 лет, что связано с проведением реформы образования.  Рост этих показателей обусловил рост средней продолжительности учебы и сокращение числа неграмотных.</w:t>
      </w:r>
    </w:p>
    <w:p w:rsidR="00000000" w:rsidRDefault="00000000"/>
    <w:p w:rsidR="00000000" w:rsidRDefault="00000000">
      <w:pPr>
        <w:rPr>
          <w:b/>
          <w:bCs/>
        </w:rPr>
      </w:pPr>
      <w:r>
        <w:rPr>
          <w:b/>
          <w:color w:val="000000"/>
        </w:rPr>
        <w:t>Статья</w:t>
      </w:r>
      <w:r>
        <w:rPr>
          <w:b/>
          <w:bCs/>
        </w:rPr>
        <w:t xml:space="preserve"> 15</w:t>
      </w:r>
    </w:p>
    <w:p w:rsidR="00000000" w:rsidRDefault="00000000"/>
    <w:p w:rsidR="00000000" w:rsidRDefault="00000000">
      <w:pPr>
        <w:jc w:val="center"/>
        <w:rPr>
          <w:b/>
          <w:iCs/>
        </w:rPr>
      </w:pPr>
      <w:r>
        <w:rPr>
          <w:b/>
          <w:iCs/>
        </w:rPr>
        <w:t>A.</w:t>
      </w:r>
      <w:r>
        <w:rPr>
          <w:b/>
          <w:iCs/>
        </w:rPr>
        <w:tab/>
        <w:t>Общее положение дел с развитием культуры</w:t>
      </w:r>
    </w:p>
    <w:p w:rsidR="00000000" w:rsidRDefault="00000000">
      <w:pPr>
        <w:rPr>
          <w:b/>
          <w:iCs/>
        </w:rPr>
      </w:pPr>
    </w:p>
    <w:p w:rsidR="00000000" w:rsidRDefault="00000000">
      <w:r>
        <w:t>614.</w:t>
      </w:r>
      <w:r>
        <w:tab/>
        <w:t>В Парагвае предпринимается ряд мер, как законодательных, так и иного рода, направленных на обеспечение права участвовать в культурной жизни и развивать культуру.  Подобные меры осуществляются, в частности, через Национальный фонд развития культуры (ФОНДЕК), выделивший в текущем году средства в сумме 2 670 млн. гварани, которые были направлены на реализацию 68 проектов культуры в Центральном департаменте и 85 проектов во внутренних департаментах страны.</w:t>
      </w:r>
    </w:p>
    <w:p w:rsidR="00000000" w:rsidRDefault="00000000"/>
    <w:p w:rsidR="00000000" w:rsidRDefault="00000000">
      <w:r>
        <w:t>615.</w:t>
      </w:r>
      <w:r>
        <w:tab/>
        <w:t>Что касается основной инфраструктуры, позволяющей проводить политику расширения участия населения в культурной жизни, которая включает культурные центры, музеи, библиотеки, театры, кинотеатры и традиционные искусства, то в ведении Управления заместителя министра культуры, являющегося подразделением министерства просвещения, находятся семь музеев, Национальный архив и Национальная библиотека.  В то же время, по линии сотрудничества оно может использовать культурные центры, расположенные при посольствах или дипломатических представительствах (Аргентины, Бразилии, Испании, Соединенных Штатов Америки и т.д.).  Для представлений Национального балета и проведения концертов Национального симфонического оркестра используется также Лирический театр Центрального банка Парагвая.  Совместная форма сотрудничества с организациями гражданского общества позволяет пропагандировать достижения культуры и обеспечить более широкое участие населения в культурной жизни.</w:t>
      </w:r>
    </w:p>
    <w:p w:rsidR="00000000" w:rsidRDefault="00000000"/>
    <w:p w:rsidR="00000000" w:rsidRDefault="00000000">
      <w:r>
        <w:t>616.</w:t>
      </w:r>
      <w:r>
        <w:tab/>
        <w:t xml:space="preserve">Одним из механизмов сохранения культурной самобытности как фактора, способствующего взаимному уважению отдельных людей, групп, наций и регионов, является классификация определенных мероприятий, событий или объектов как "представляющих культурный интерес", что оформляется в виде приказов министерства.  Это делается с целью признания и поддержки различных видов деятельности, творчества и культурных мероприятий в рамках общин.  В частности, что касается распространения информации и осуществления права этнических групп, национальных меньшинств и </w:t>
      </w:r>
      <w:r>
        <w:rPr>
          <w:bCs/>
        </w:rPr>
        <w:t>коренных народов</w:t>
      </w:r>
      <w:r>
        <w:t xml:space="preserve"> на свое культурное наследие, то ведется работа с этническими группами по различным направлениям.  Недавно состоялась </w:t>
      </w:r>
      <w:r>
        <w:rPr>
          <w:bCs/>
        </w:rPr>
        <w:t>Первая встреча стран-членов МЕРКОСУР</w:t>
      </w:r>
      <w:r>
        <w:t xml:space="preserve">, выступающих основными хранителями культуры гуарани.  Другим важным событием стала Вторая национальная перепись коренного населения, проводившаяся в 2002 году, в результате которой появилась "Карта коренных общин в Парагвае".  Эта работа служит ориентиром и позволяет оценивать и прогнозировать общее положение </w:t>
      </w:r>
      <w:r>
        <w:rPr>
          <w:bCs/>
        </w:rPr>
        <w:t>коренных народностей в</w:t>
      </w:r>
      <w:r>
        <w:t xml:space="preserve"> Парагвае.</w:t>
      </w:r>
    </w:p>
    <w:p w:rsidR="00000000" w:rsidRDefault="00000000"/>
    <w:p w:rsidR="00000000" w:rsidRDefault="00000000">
      <w:r>
        <w:rPr>
          <w:bCs/>
        </w:rPr>
        <w:t>617.</w:t>
      </w:r>
      <w:r>
        <w:rPr>
          <w:bCs/>
        </w:rPr>
        <w:tab/>
        <w:t>Важную роль в развитии культурной жизни в Парагвае играют средства массовой информации, где основной является журналистская деятельность</w:t>
      </w:r>
      <w:r>
        <w:t xml:space="preserve"> (в газетах, на радио и телевидении), благодаря которой распространяются официальные и неофициальные (частные) материалы.  Управление телеобразования фиксирует основные мероприятия, проводимые Управлением заместителя министра культуры.</w:t>
      </w:r>
    </w:p>
    <w:p w:rsidR="00000000" w:rsidRDefault="00000000"/>
    <w:p w:rsidR="00000000" w:rsidRDefault="00000000">
      <w:pPr>
        <w:rPr>
          <w:b/>
          <w:bCs/>
        </w:rPr>
      </w:pPr>
      <w:r>
        <w:rPr>
          <w:b/>
          <w:bCs/>
        </w:rPr>
        <w:t>1.</w:t>
      </w:r>
      <w:r>
        <w:rPr>
          <w:b/>
          <w:bCs/>
        </w:rPr>
        <w:tab/>
        <w:t>Образовательный аспект культуры</w:t>
      </w:r>
    </w:p>
    <w:p w:rsidR="00000000" w:rsidRDefault="00000000">
      <w:pPr>
        <w:rPr>
          <w:b/>
          <w:bCs/>
        </w:rPr>
      </w:pPr>
    </w:p>
    <w:p w:rsidR="00000000" w:rsidRDefault="00000000">
      <w:r>
        <w:t>618.</w:t>
      </w:r>
      <w:r>
        <w:tab/>
        <w:t>Образовательный аспект развития культуры находит свое отражение в целях, поставленных перед образованием в Парагвае, а конкретно в тех способностях и умениях, которые должны приобрести учащиеся;  при этом основной упор делается на:</w:t>
      </w:r>
    </w:p>
    <w:p w:rsidR="00000000" w:rsidRDefault="00000000"/>
    <w:p w:rsidR="00000000" w:rsidRDefault="00000000">
      <w:r>
        <w:tab/>
        <w:t>-</w:t>
      </w:r>
      <w:r>
        <w:tab/>
        <w:t>уважении, поощрении и оценке культурной самобытности;</w:t>
      </w:r>
    </w:p>
    <w:p w:rsidR="00000000" w:rsidRDefault="00000000"/>
    <w:p w:rsidR="00000000" w:rsidRDefault="00000000">
      <w:r>
        <w:tab/>
        <w:t>-</w:t>
      </w:r>
      <w:r>
        <w:tab/>
        <w:t>защите права этнических групп и меньшинств на наследование культуры;</w:t>
      </w:r>
    </w:p>
    <w:p w:rsidR="00000000" w:rsidRDefault="00000000"/>
    <w:p w:rsidR="00000000" w:rsidRDefault="00000000">
      <w:r>
        <w:tab/>
        <w:t>-</w:t>
      </w:r>
      <w:r>
        <w:tab/>
        <w:t>сохранении и популяризации культурного наследия человечества.</w:t>
      </w:r>
    </w:p>
    <w:p w:rsidR="00000000" w:rsidRDefault="00000000"/>
    <w:p w:rsidR="00000000" w:rsidRDefault="00000000">
      <w:r>
        <w:t>619.</w:t>
      </w:r>
      <w:r>
        <w:tab/>
        <w:t>К этим темам обращаются на всех уровнях обучения с различной степенью глубины и сложности.</w:t>
      </w:r>
    </w:p>
    <w:p w:rsidR="00000000" w:rsidRDefault="00000000"/>
    <w:p w:rsidR="00000000" w:rsidRDefault="00000000">
      <w:r>
        <w:t>620.</w:t>
      </w:r>
      <w:r>
        <w:tab/>
        <w:t xml:space="preserve">Уместно отметить, что в контексте </w:t>
      </w:r>
      <w:r>
        <w:rPr>
          <w:bCs/>
        </w:rPr>
        <w:t>политики обеспечения гендерного равенства</w:t>
      </w:r>
      <w:r>
        <w:t xml:space="preserve"> министерство просвещения и культуры работает совместно с </w:t>
      </w:r>
      <w:r>
        <w:rPr>
          <w:bCs/>
        </w:rPr>
        <w:t>Секретариатом по делам женщин</w:t>
      </w:r>
      <w:r>
        <w:t xml:space="preserve"> в рамках </w:t>
      </w:r>
      <w:r>
        <w:rPr>
          <w:bCs/>
        </w:rPr>
        <w:t>Национальной программы обеспечения женщинам равных возможностей и результатов в области образования (ПРИОМЕ)</w:t>
      </w:r>
      <w:r>
        <w:t xml:space="preserve">.  Программа выполняет консультативную функцию по гендерной политике в сфере образования и основана на </w:t>
      </w:r>
      <w:r>
        <w:rPr>
          <w:bCs/>
        </w:rPr>
        <w:t>Национальном плане обеспечения равенства возможностей (2003-2007 годы)</w:t>
      </w:r>
      <w:r>
        <w:t>.</w:t>
      </w:r>
    </w:p>
    <w:p w:rsidR="00000000" w:rsidRDefault="00000000"/>
    <w:p w:rsidR="00000000" w:rsidRDefault="00000000">
      <w:r>
        <w:t>621.</w:t>
      </w:r>
      <w:r>
        <w:tab/>
        <w:t xml:space="preserve">Направления, по которым осуществляется эта программа, отражают стратегию, нацеленную на содействие уменьшению </w:t>
      </w:r>
      <w:r>
        <w:rPr>
          <w:bCs/>
        </w:rPr>
        <w:t>гендерного неравенства</w:t>
      </w:r>
      <w:r>
        <w:t xml:space="preserve"> и на создание условий для изменения гендерной перспективы в системе образования, с целью обеспечения комплексного и устойчивого развития человека.</w:t>
      </w:r>
    </w:p>
    <w:p w:rsidR="00000000" w:rsidRDefault="00000000"/>
    <w:p w:rsidR="00000000" w:rsidRDefault="00000000">
      <w:pPr>
        <w:keepNext/>
        <w:rPr>
          <w:b/>
          <w:bCs/>
        </w:rPr>
      </w:pPr>
      <w:r>
        <w:rPr>
          <w:b/>
          <w:bCs/>
        </w:rPr>
        <w:t>2.</w:t>
      </w:r>
      <w:r>
        <w:rPr>
          <w:b/>
          <w:bCs/>
        </w:rPr>
        <w:tab/>
        <w:t>Сохранение и популяризация культурного достояния человечества</w:t>
      </w:r>
    </w:p>
    <w:p w:rsidR="00000000" w:rsidRDefault="00000000">
      <w:pPr>
        <w:keepNext/>
        <w:rPr>
          <w:b/>
          <w:bCs/>
        </w:rPr>
      </w:pPr>
    </w:p>
    <w:p w:rsidR="00000000" w:rsidRDefault="00000000">
      <w:pPr>
        <w:keepNext/>
      </w:pPr>
      <w:r>
        <w:t>622.</w:t>
      </w:r>
      <w:r>
        <w:tab/>
        <w:t>Управление исторического и культурного наследия при канцелярии заместителя министра культуры отвечает за сохранение и пропаганду культурного наследия человечества, имеющегося в Парагвае.  Для этой цели совместно с Итало-латиноамериканским институтом (ИЛАИ) организованы курсы подготовки сотрудников в этой области.  В настоящее время восемь стипендиатов проходят специализацию в Италии.</w:t>
      </w:r>
    </w:p>
    <w:p w:rsidR="00000000" w:rsidRDefault="00000000"/>
    <w:p w:rsidR="00000000" w:rsidRDefault="00000000">
      <w:pPr>
        <w:rPr>
          <w:b/>
          <w:bCs/>
        </w:rPr>
      </w:pPr>
      <w:r>
        <w:rPr>
          <w:b/>
          <w:bCs/>
        </w:rPr>
        <w:t>3.</w:t>
      </w:r>
      <w:r>
        <w:rPr>
          <w:b/>
          <w:bCs/>
        </w:rPr>
        <w:tab/>
        <w:t>Свобода творчества и художественного выражения</w:t>
      </w:r>
    </w:p>
    <w:p w:rsidR="00000000" w:rsidRDefault="00000000">
      <w:pPr>
        <w:rPr>
          <w:b/>
          <w:bCs/>
        </w:rPr>
      </w:pPr>
    </w:p>
    <w:p w:rsidR="00000000" w:rsidRDefault="00000000">
      <w:r>
        <w:t>623.</w:t>
      </w:r>
      <w:r>
        <w:tab/>
        <w:t xml:space="preserve">В настоящее время ведется работа над законом о культуре, призванном отразить различные аспекты развития культуры и защиты культурного наследия.  Кроме того, существуют Закон о создании ФОНДЕК, Закон о </w:t>
      </w:r>
      <w:r>
        <w:rPr>
          <w:bCs/>
        </w:rPr>
        <w:t>защите культурных ценностей</w:t>
      </w:r>
      <w:r>
        <w:t>, Закон о развитии ремесел, Закон о создании Национальной музыкальной консерватории и Закон о создании Высшего института изящных искусств.</w:t>
      </w:r>
    </w:p>
    <w:p w:rsidR="00000000" w:rsidRDefault="00000000"/>
    <w:p w:rsidR="00000000" w:rsidRDefault="00000000">
      <w:pPr>
        <w:rPr>
          <w:b/>
          <w:bCs/>
        </w:rPr>
      </w:pPr>
      <w:r>
        <w:rPr>
          <w:b/>
          <w:bCs/>
        </w:rPr>
        <w:t>4.</w:t>
      </w:r>
      <w:r>
        <w:rPr>
          <w:b/>
          <w:bCs/>
        </w:rPr>
        <w:tab/>
        <w:t>Профессиональное образование в области культуры и искусства</w:t>
      </w:r>
    </w:p>
    <w:p w:rsidR="00000000" w:rsidRDefault="00000000">
      <w:pPr>
        <w:rPr>
          <w:b/>
          <w:bCs/>
        </w:rPr>
      </w:pPr>
    </w:p>
    <w:p w:rsidR="00000000" w:rsidRDefault="00000000">
      <w:r>
        <w:t>624.</w:t>
      </w:r>
      <w:r>
        <w:tab/>
        <w:t>Существуют государственный институт искусства (ИСБА) и другой художественный институт, являющийся подразделением Национального университета;  помимо этого, в ведении Управления по распространению культуры находится ряд специализированных школ и академий.  Следует также отметить, что ныне идет процесс разработки национального плана в сфере культуры, равно как соответствующего закона о культуре.</w:t>
      </w:r>
    </w:p>
    <w:p w:rsidR="00000000" w:rsidRDefault="00000000"/>
    <w:p w:rsidR="00000000" w:rsidRDefault="00000000">
      <w:pPr>
        <w:jc w:val="center"/>
        <w:rPr>
          <w:b/>
        </w:rPr>
      </w:pPr>
      <w:r>
        <w:rPr>
          <w:b/>
        </w:rPr>
        <w:t>B.</w:t>
      </w:r>
      <w:r>
        <w:rPr>
          <w:b/>
        </w:rPr>
        <w:tab/>
        <w:t>Пропаганда научных достижений</w:t>
      </w:r>
    </w:p>
    <w:p w:rsidR="00000000" w:rsidRDefault="00000000">
      <w:pPr>
        <w:rPr>
          <w:b/>
        </w:rPr>
      </w:pPr>
    </w:p>
    <w:p w:rsidR="00000000" w:rsidRDefault="00000000">
      <w:r>
        <w:t>625.</w:t>
      </w:r>
      <w:r>
        <w:tab/>
        <w:t xml:space="preserve">Для целей содействия научно-техническому прогрессу и пропаганды достигнутых результатов в Парагвае имеется </w:t>
      </w:r>
      <w:r>
        <w:rPr>
          <w:bCs/>
        </w:rPr>
        <w:t>Национальный совет по науке и технике (КОНАСИТ)</w:t>
      </w:r>
      <w:r>
        <w:t>, созданный согласно Закону № 1028 от 31 января 1997 года ("Всеобщий закон о науке и технике"), который открывает дорогу для развития науки и техники, учитывая важность данного аспекта для социально-экономического развития современной страны.  Концепция совета КОНАСИТ основывается на самых современных принципах управления, а именно:  создание административного и координирующего органа сектора - КОНАСИТ;  участие представителей различных научных дисциплин в сфере науки, техники и инноваций (государство, академические учреждения, научно-исследовательские институты, предприятия и трудящиеся);  и обеспечение налоговых льгот для инвестиций на исследования и проектно-конструкторские работы.</w:t>
      </w:r>
    </w:p>
    <w:p w:rsidR="00000000" w:rsidRDefault="00000000"/>
    <w:p w:rsidR="00000000" w:rsidRDefault="00000000">
      <w:r>
        <w:t>626.</w:t>
      </w:r>
      <w:r>
        <w:tab/>
        <w:t>КОНАСИТ сформировал свой Совет в июле 1997 года.  В 1998 году на основании президентского указа № 20660/98 был создан Национальный орган аккредитации (ОНА);  отныне КОНАСИТ приобрел статус организации, обеспечивающей транспарентность и независимость в признании качества на отечественном и международном уровне.</w:t>
      </w:r>
    </w:p>
    <w:p w:rsidR="00000000" w:rsidRDefault="00000000"/>
    <w:p w:rsidR="00000000" w:rsidRDefault="00000000">
      <w:r>
        <w:t>627.</w:t>
      </w:r>
      <w:r>
        <w:tab/>
        <w:t>Впоследствии Национальный конгресс одобрил Закон № 2279/03 ("Об изменении и дополнении Всеобщего закона о науке и технике (№ 1028/97)"), которым учреждаются национальные системы по науке, технике, инновациям и обеспечению качества.</w:t>
      </w:r>
    </w:p>
    <w:p w:rsidR="00000000" w:rsidRDefault="00000000"/>
    <w:p w:rsidR="00000000" w:rsidRDefault="00000000">
      <w:pPr>
        <w:rPr>
          <w:b/>
        </w:rPr>
      </w:pPr>
      <w:r>
        <w:rPr>
          <w:b/>
        </w:rPr>
        <w:t>1.</w:t>
      </w:r>
      <w:r>
        <w:rPr>
          <w:b/>
        </w:rPr>
        <w:tab/>
        <w:t>Состав Национального совета по науке и технике</w:t>
      </w:r>
    </w:p>
    <w:p w:rsidR="00000000" w:rsidRDefault="00000000">
      <w:pPr>
        <w:rPr>
          <w:b/>
        </w:rPr>
      </w:pPr>
    </w:p>
    <w:p w:rsidR="00000000" w:rsidRDefault="00000000">
      <w:r>
        <w:t>628.</w:t>
      </w:r>
      <w:r>
        <w:tab/>
        <w:t>Согласно Закону № 2279/03, КОНАСИТ состоит из 14 членов Совета и такого же числа заместителей членов Совета, которые представляют следующие учреждения, ведомства и структуры:</w:t>
      </w:r>
    </w:p>
    <w:p w:rsidR="00000000" w:rsidRDefault="00000000"/>
    <w:p w:rsidR="00000000" w:rsidRDefault="00000000">
      <w:pPr>
        <w:ind w:left="1134" w:hanging="1134"/>
      </w:pPr>
      <w:r>
        <w:tab/>
        <w:t>-</w:t>
      </w:r>
      <w:r>
        <w:tab/>
        <w:t>Технический секретариат по вопросам планирования при администрации президента Республики (ТСП);</w:t>
      </w:r>
    </w:p>
    <w:p w:rsidR="00000000" w:rsidRDefault="00000000"/>
    <w:p w:rsidR="00000000" w:rsidRDefault="00000000">
      <w:pPr>
        <w:ind w:left="1134" w:hanging="1134"/>
      </w:pPr>
      <w:r>
        <w:tab/>
        <w:t>-</w:t>
      </w:r>
      <w:r>
        <w:tab/>
        <w:t>министерство промышленности и торговли в лице Национального института технологии и стандартизации (НИТС);</w:t>
      </w:r>
    </w:p>
    <w:p w:rsidR="00000000" w:rsidRDefault="00000000">
      <w:pPr>
        <w:ind w:left="1134" w:hanging="1134"/>
      </w:pPr>
    </w:p>
    <w:p w:rsidR="00000000" w:rsidRDefault="00000000">
      <w:pPr>
        <w:ind w:left="1134" w:hanging="1134"/>
      </w:pPr>
      <w:r>
        <w:tab/>
        <w:t>-</w:t>
      </w:r>
      <w:r>
        <w:tab/>
        <w:t>министерство земледелия и животноводства;</w:t>
      </w:r>
    </w:p>
    <w:p w:rsidR="00000000" w:rsidRDefault="00000000">
      <w:pPr>
        <w:ind w:left="1134" w:hanging="1134"/>
      </w:pPr>
    </w:p>
    <w:p w:rsidR="00000000" w:rsidRDefault="00000000">
      <w:pPr>
        <w:ind w:left="1134" w:hanging="1134"/>
      </w:pPr>
      <w:r>
        <w:tab/>
        <w:t>-</w:t>
      </w:r>
      <w:r>
        <w:tab/>
        <w:t>министерство просвещения и культуры;</w:t>
      </w:r>
    </w:p>
    <w:p w:rsidR="00000000" w:rsidRDefault="00000000">
      <w:pPr>
        <w:ind w:left="1134" w:hanging="1134"/>
      </w:pPr>
    </w:p>
    <w:p w:rsidR="00000000" w:rsidRDefault="00000000">
      <w:pPr>
        <w:ind w:left="1134" w:hanging="1134"/>
      </w:pPr>
      <w:r>
        <w:tab/>
        <w:t>-</w:t>
      </w:r>
      <w:r>
        <w:tab/>
        <w:t>министерство здравоохранения и социального обеспечения;</w:t>
      </w:r>
    </w:p>
    <w:p w:rsidR="00000000" w:rsidRDefault="00000000">
      <w:pPr>
        <w:ind w:left="1134" w:hanging="1134"/>
      </w:pPr>
    </w:p>
    <w:p w:rsidR="00000000" w:rsidRDefault="00000000">
      <w:pPr>
        <w:ind w:left="1134" w:hanging="1134"/>
      </w:pPr>
      <w:r>
        <w:tab/>
        <w:t>-</w:t>
      </w:r>
      <w:r>
        <w:tab/>
        <w:t>государственные университеты;</w:t>
      </w:r>
    </w:p>
    <w:p w:rsidR="00000000" w:rsidRDefault="00000000">
      <w:pPr>
        <w:ind w:left="1134" w:hanging="1134"/>
      </w:pPr>
    </w:p>
    <w:p w:rsidR="00000000" w:rsidRDefault="00000000">
      <w:pPr>
        <w:ind w:left="1134" w:hanging="1134"/>
      </w:pPr>
      <w:r>
        <w:tab/>
        <w:t>-</w:t>
      </w:r>
      <w:r>
        <w:tab/>
        <w:t>частные университеты;</w:t>
      </w:r>
    </w:p>
    <w:p w:rsidR="00000000" w:rsidRDefault="00000000">
      <w:pPr>
        <w:ind w:left="1134" w:hanging="1134"/>
      </w:pPr>
    </w:p>
    <w:p w:rsidR="00000000" w:rsidRDefault="00000000">
      <w:pPr>
        <w:ind w:left="1134" w:hanging="1134"/>
      </w:pPr>
      <w:r>
        <w:tab/>
        <w:t>-</w:t>
      </w:r>
      <w:r>
        <w:tab/>
        <w:t>Промышленный союз Парагвая (ПСП);</w:t>
      </w:r>
    </w:p>
    <w:p w:rsidR="00000000" w:rsidRDefault="00000000">
      <w:pPr>
        <w:ind w:left="1134" w:hanging="1134"/>
      </w:pPr>
    </w:p>
    <w:p w:rsidR="00000000" w:rsidRDefault="00000000">
      <w:pPr>
        <w:ind w:left="1134" w:hanging="1134"/>
      </w:pPr>
      <w:r>
        <w:tab/>
        <w:t>-</w:t>
      </w:r>
      <w:r>
        <w:tab/>
        <w:t>Аграрную ассоциацию Парагвая (ААП);</w:t>
      </w:r>
    </w:p>
    <w:p w:rsidR="00000000" w:rsidRDefault="00000000">
      <w:pPr>
        <w:ind w:left="1134" w:hanging="1134"/>
      </w:pPr>
    </w:p>
    <w:p w:rsidR="00000000" w:rsidRDefault="00000000">
      <w:pPr>
        <w:ind w:left="1134" w:hanging="1134"/>
      </w:pPr>
      <w:r>
        <w:tab/>
        <w:t>-</w:t>
      </w:r>
      <w:r>
        <w:tab/>
        <w:t>Федерацию производства, промышленности и торговли (ФЕПРИНКО);</w:t>
      </w:r>
    </w:p>
    <w:p w:rsidR="00000000" w:rsidRDefault="00000000">
      <w:pPr>
        <w:ind w:left="1134" w:hanging="1134"/>
      </w:pPr>
    </w:p>
    <w:p w:rsidR="00000000" w:rsidRDefault="00000000">
      <w:pPr>
        <w:ind w:left="1134" w:hanging="1134"/>
      </w:pPr>
      <w:r>
        <w:tab/>
        <w:t>-</w:t>
      </w:r>
      <w:r>
        <w:tab/>
        <w:t>Ассоциацию малых и средних предприятий;</w:t>
      </w:r>
    </w:p>
    <w:p w:rsidR="00000000" w:rsidRDefault="00000000">
      <w:pPr>
        <w:ind w:left="1134" w:hanging="1134"/>
      </w:pPr>
    </w:p>
    <w:p w:rsidR="00000000" w:rsidRDefault="00000000">
      <w:pPr>
        <w:ind w:left="1134" w:hanging="1134"/>
      </w:pPr>
      <w:r>
        <w:tab/>
        <w:t>-</w:t>
      </w:r>
      <w:r>
        <w:tab/>
        <w:t>профсоюзные объединения;</w:t>
      </w:r>
    </w:p>
    <w:p w:rsidR="00000000" w:rsidRDefault="00000000">
      <w:pPr>
        <w:ind w:left="1134" w:hanging="1134"/>
      </w:pPr>
    </w:p>
    <w:p w:rsidR="00000000" w:rsidRDefault="00000000">
      <w:pPr>
        <w:ind w:left="1134" w:hanging="1134"/>
      </w:pPr>
      <w:r>
        <w:tab/>
        <w:t>-</w:t>
      </w:r>
      <w:r>
        <w:tab/>
        <w:t>научные круги Парагвая;  и</w:t>
      </w:r>
    </w:p>
    <w:p w:rsidR="00000000" w:rsidRDefault="00000000">
      <w:pPr>
        <w:ind w:left="1134" w:hanging="1134"/>
      </w:pPr>
    </w:p>
    <w:p w:rsidR="00000000" w:rsidRDefault="00000000">
      <w:pPr>
        <w:ind w:left="1134" w:hanging="1134"/>
      </w:pPr>
      <w:r>
        <w:tab/>
        <w:t>-</w:t>
      </w:r>
      <w:r>
        <w:tab/>
        <w:t>Парагвайскую ассоциацию обеспечения качества.</w:t>
      </w:r>
    </w:p>
    <w:p w:rsidR="00000000" w:rsidRDefault="00000000"/>
    <w:p w:rsidR="00000000" w:rsidRDefault="00000000">
      <w:pPr>
        <w:rPr>
          <w:b/>
        </w:rPr>
      </w:pPr>
      <w:r>
        <w:rPr>
          <w:b/>
        </w:rPr>
        <w:t>2.</w:t>
      </w:r>
      <w:r>
        <w:rPr>
          <w:b/>
        </w:rPr>
        <w:tab/>
        <w:t>Юридические рамки для продвижения научно-технических достижений</w:t>
      </w:r>
    </w:p>
    <w:p w:rsidR="00000000" w:rsidRDefault="00000000">
      <w:pPr>
        <w:rPr>
          <w:b/>
        </w:rPr>
      </w:pPr>
    </w:p>
    <w:p w:rsidR="00000000" w:rsidRDefault="00000000">
      <w:r>
        <w:t>629.</w:t>
      </w:r>
      <w:r>
        <w:tab/>
        <w:t>В соответствии с Законом № 2279/03 изменяются статьи 1, 2 и 3, касающиеся полномочий КОНАСИТ:</w:t>
      </w:r>
    </w:p>
    <w:p w:rsidR="00000000" w:rsidRDefault="00000000"/>
    <w:p w:rsidR="00000000" w:rsidRDefault="00000000">
      <w:pPr>
        <w:ind w:left="1134" w:hanging="1134"/>
      </w:pPr>
      <w:r>
        <w:rPr>
          <w:b/>
          <w:bCs/>
          <w:spacing w:val="-3"/>
        </w:rPr>
        <w:tab/>
        <w:t>-</w:t>
      </w:r>
      <w:r>
        <w:rPr>
          <w:b/>
          <w:bCs/>
          <w:spacing w:val="-3"/>
        </w:rPr>
        <w:tab/>
      </w:r>
      <w:r>
        <w:rPr>
          <w:b/>
          <w:color w:val="000000"/>
        </w:rPr>
        <w:t>Статья</w:t>
      </w:r>
      <w:r>
        <w:rPr>
          <w:b/>
          <w:bCs/>
          <w:spacing w:val="-3"/>
        </w:rPr>
        <w:t xml:space="preserve"> 1 "Об учреждении систем".  </w:t>
      </w:r>
      <w:r>
        <w:rPr>
          <w:bCs/>
          <w:spacing w:val="-3"/>
        </w:rPr>
        <w:t>Нас</w:t>
      </w:r>
      <w:r>
        <w:t xml:space="preserve">тоящим законом учреждается </w:t>
      </w:r>
      <w:r>
        <w:rPr>
          <w:bCs/>
        </w:rPr>
        <w:t>Национальная система по науке, технологиям и инновациям (СИНАКТИ)</w:t>
      </w:r>
      <w:r>
        <w:t>, в которую входят организации, национальные государственные и частные учреждения, физические и юридические лица, которые занимаются или связаны с деятельностью в области науки, технологии и инноваций.</w:t>
      </w:r>
    </w:p>
    <w:p w:rsidR="00000000" w:rsidRDefault="00000000">
      <w:pPr>
        <w:ind w:left="1134" w:hanging="1134"/>
      </w:pPr>
    </w:p>
    <w:p w:rsidR="00000000" w:rsidRDefault="00000000">
      <w:pPr>
        <w:ind w:left="1134" w:hanging="1134"/>
      </w:pPr>
      <w:r>
        <w:tab/>
      </w:r>
      <w:r>
        <w:tab/>
      </w:r>
      <w:r>
        <w:tab/>
        <w:t>Учреждается также Национальная система качества (НСК), в которую входят национальные государственные и частные организации и физические и юридические лица, занимающиеся связанной с вопросами обеспечения качества деятельностью.</w:t>
      </w:r>
    </w:p>
    <w:p w:rsidR="00000000" w:rsidRDefault="00000000">
      <w:pPr>
        <w:ind w:left="1134" w:hanging="1134"/>
      </w:pPr>
    </w:p>
    <w:p w:rsidR="00000000" w:rsidRDefault="00000000">
      <w:pPr>
        <w:ind w:left="1134" w:hanging="1134"/>
      </w:pPr>
      <w:r>
        <w:rPr>
          <w:b/>
          <w:bCs/>
        </w:rPr>
        <w:tab/>
      </w:r>
      <w:r>
        <w:rPr>
          <w:b/>
          <w:bCs/>
        </w:rPr>
        <w:tab/>
      </w:r>
      <w:r>
        <w:rPr>
          <w:b/>
          <w:bCs/>
        </w:rPr>
        <w:tab/>
        <w:t>Национальный совет по науке и технике (КОНАСИТ)</w:t>
      </w:r>
      <w:r>
        <w:rPr>
          <w:b/>
          <w:bCs/>
          <w:spacing w:val="-3"/>
        </w:rPr>
        <w:t xml:space="preserve"> </w:t>
      </w:r>
      <w:r>
        <w:rPr>
          <w:bCs/>
          <w:spacing w:val="-3"/>
        </w:rPr>
        <w:t>может</w:t>
      </w:r>
      <w:r>
        <w:t xml:space="preserve"> учреждать другие национальные системы в конкретных областях науки и техники, когда это целесообразно в связи с прогрессом в определенной сфере и важностью этого для научно-технического развития в стране.</w:t>
      </w:r>
    </w:p>
    <w:p w:rsidR="00000000" w:rsidRDefault="00000000"/>
    <w:p w:rsidR="00000000" w:rsidRDefault="00000000">
      <w:pPr>
        <w:ind w:left="1134" w:hanging="1134"/>
      </w:pPr>
      <w:r>
        <w:rPr>
          <w:b/>
          <w:bCs/>
        </w:rPr>
        <w:tab/>
        <w:t>-</w:t>
      </w:r>
      <w:r>
        <w:rPr>
          <w:b/>
          <w:bCs/>
        </w:rPr>
        <w:tab/>
      </w:r>
      <w:r>
        <w:rPr>
          <w:b/>
          <w:color w:val="000000"/>
        </w:rPr>
        <w:t>Статья</w:t>
      </w:r>
      <w:r>
        <w:rPr>
          <w:b/>
          <w:bCs/>
        </w:rPr>
        <w:t xml:space="preserve"> 2 "О компетенции"</w:t>
      </w:r>
      <w:r>
        <w:rPr>
          <w:b/>
          <w:bCs/>
          <w:spacing w:val="-3"/>
        </w:rPr>
        <w:t>.</w:t>
      </w:r>
      <w:r>
        <w:rPr>
          <w:b/>
          <w:bCs/>
        </w:rPr>
        <w:t xml:space="preserve">  </w:t>
      </w:r>
      <w:r>
        <w:t xml:space="preserve">В компетенцию </w:t>
      </w:r>
      <w:r>
        <w:rPr>
          <w:bCs/>
        </w:rPr>
        <w:t>Национальной системы по науке, технологиям и инновациям входит стимулирование и развитие научных и технологических исследований</w:t>
      </w:r>
      <w:r>
        <w:t xml:space="preserve">, подготовка, распространение и передача информации, изобретения, инновации, научное и техническое образование, развитие отечественных технологий и управление в области науки, техники и инноваций.  В компетенцию </w:t>
      </w:r>
      <w:r>
        <w:rPr>
          <w:bCs/>
        </w:rPr>
        <w:t>Национальной системы</w:t>
      </w:r>
      <w:r>
        <w:t xml:space="preserve"> качества входит стимулирование </w:t>
      </w:r>
      <w:r>
        <w:rPr>
          <w:bCs/>
        </w:rPr>
        <w:t>научных и технологических исследований</w:t>
      </w:r>
      <w:r>
        <w:t xml:space="preserve"> в области обеспечения качества, а также предоставление услуг по аккредитации, метрологии, стандартизации и оценке соответствия.</w:t>
      </w:r>
    </w:p>
    <w:p w:rsidR="00000000" w:rsidRDefault="00000000">
      <w:pPr>
        <w:ind w:left="1134" w:hanging="1134"/>
      </w:pPr>
    </w:p>
    <w:p w:rsidR="00000000" w:rsidRDefault="00000000">
      <w:pPr>
        <w:ind w:left="1134" w:hanging="1134"/>
      </w:pPr>
      <w:r>
        <w:rPr>
          <w:b/>
        </w:rPr>
        <w:tab/>
        <w:t>-</w:t>
      </w:r>
      <w:r>
        <w:rPr>
          <w:b/>
        </w:rPr>
        <w:tab/>
      </w:r>
      <w:r>
        <w:rPr>
          <w:b/>
          <w:color w:val="000000"/>
        </w:rPr>
        <w:t>Статья</w:t>
      </w:r>
      <w:r>
        <w:rPr>
          <w:b/>
        </w:rPr>
        <w:t xml:space="preserve"> 3 "О науке, технике, инновациях, качестве и политике развития".</w:t>
      </w:r>
      <w:r>
        <w:t xml:space="preserve">  Деятельность в сфере науки, техники и инноваций в стране, а также меры, принимаемые для решения проблем качества, определяются политикой и конкретными программами государственного сектора, реализуемыми, при необходимости, в должной координации с частным сектором.  Эта политика и эти программы должны отвечать потребностям социально-экономического развития страны.  Национальная политика в области науки, техники и инноваций, а также политика по вопросам качества должны осуществляться, как правило, на основе межведомственных и многоотраслевых программ.</w:t>
      </w:r>
    </w:p>
    <w:p w:rsidR="00000000" w:rsidRDefault="00000000"/>
    <w:p w:rsidR="00000000" w:rsidRDefault="00000000">
      <w:pPr>
        <w:rPr>
          <w:b/>
        </w:rPr>
      </w:pPr>
      <w:r>
        <w:rPr>
          <w:b/>
        </w:rPr>
        <w:t>3.</w:t>
      </w:r>
      <w:r>
        <w:rPr>
          <w:b/>
        </w:rPr>
        <w:tab/>
        <w:t>Полномочия КОНАСИТ</w:t>
      </w:r>
    </w:p>
    <w:p w:rsidR="00000000" w:rsidRDefault="00000000">
      <w:pPr>
        <w:rPr>
          <w:b/>
        </w:rPr>
      </w:pPr>
    </w:p>
    <w:p w:rsidR="00000000" w:rsidRDefault="00000000">
      <w:r>
        <w:t>630.</w:t>
      </w:r>
      <w:r>
        <w:tab/>
        <w:t>Национальный совет по науке и технике наделен следующими полномочиями:</w:t>
      </w:r>
    </w:p>
    <w:p w:rsidR="00000000" w:rsidRDefault="00000000"/>
    <w:p w:rsidR="00000000" w:rsidRDefault="00000000">
      <w:pPr>
        <w:ind w:left="1134" w:hanging="1134"/>
      </w:pPr>
      <w:r>
        <w:tab/>
        <w:t>a)</w:t>
      </w:r>
      <w:r>
        <w:tab/>
        <w:t>формулировать и представлять национальному правительству политику и стратегию в области науки, техники, инноваций и качества в соответствии с потребностями социально-экономического развития государства.  Во взаимодействии с соответствующими учреждениями КОНАСИТ должен осуществлять надзор и оценивать осуществление этой политики и стратегии;</w:t>
      </w:r>
    </w:p>
    <w:p w:rsidR="00000000" w:rsidRDefault="00000000"/>
    <w:p w:rsidR="00000000" w:rsidRDefault="00000000">
      <w:pPr>
        <w:ind w:left="1134" w:hanging="1134"/>
      </w:pPr>
      <w:r>
        <w:tab/>
        <w:t>b)</w:t>
      </w:r>
      <w:r>
        <w:tab/>
        <w:t>согласовывать усилия в области науки, техники, инноваций и качества в стране с теми усилиями, которые прилагаются за границей, развивая сети научных исследований;</w:t>
      </w:r>
    </w:p>
    <w:p w:rsidR="00000000" w:rsidRDefault="00000000"/>
    <w:p w:rsidR="00000000" w:rsidRDefault="00000000">
      <w:pPr>
        <w:ind w:left="1134" w:hanging="1134"/>
      </w:pPr>
      <w:r>
        <w:tab/>
        <w:t>c)</w:t>
      </w:r>
      <w:r>
        <w:tab/>
        <w:t>отбирать, утверждать, контролировать и оценивать исследования, финансируемые по линии ФОНАСИТ, с тем чтобы они осуществлялись согласно направлениям национальной политики в области науки, техники, инноваций и качества, намеченным КОНАСИТ;</w:t>
      </w:r>
    </w:p>
    <w:p w:rsidR="00000000" w:rsidRDefault="00000000"/>
    <w:p w:rsidR="00000000" w:rsidRDefault="00000000">
      <w:pPr>
        <w:ind w:left="1134" w:hanging="1134"/>
      </w:pPr>
      <w:r>
        <w:tab/>
        <w:t>d)</w:t>
      </w:r>
      <w:r>
        <w:tab/>
        <w:t>консультировать органы государственной власти по всем вопросам, связанным со сферами компетенции КОНАСИТ;</w:t>
      </w:r>
    </w:p>
    <w:p w:rsidR="00000000" w:rsidRDefault="00000000"/>
    <w:p w:rsidR="00000000" w:rsidRDefault="00000000">
      <w:pPr>
        <w:ind w:left="1134" w:hanging="1134"/>
      </w:pPr>
      <w:r>
        <w:tab/>
        <w:t>e)</w:t>
      </w:r>
      <w:r>
        <w:tab/>
        <w:t>определять критерии и/или принципы, относящиеся к науке, технике, инновациям и качеству, с тем чтобы они принимались во внимание при выработке национальной политики;</w:t>
      </w:r>
    </w:p>
    <w:p w:rsidR="00000000" w:rsidRDefault="00000000"/>
    <w:p w:rsidR="00000000" w:rsidRDefault="00000000">
      <w:pPr>
        <w:keepLines/>
        <w:ind w:left="1134" w:hanging="1134"/>
      </w:pPr>
      <w:r>
        <w:tab/>
        <w:t>f)</w:t>
      </w:r>
      <w:r>
        <w:tab/>
        <w:t>регламентировать и осуществлять политику выделения по линии ФОНАСИТ ресурсов для достижения целей национальной политики в области науки, техники и инноваций, а также национальной политики по вопросам обеспечения качества;</w:t>
      </w:r>
    </w:p>
    <w:p w:rsidR="00000000" w:rsidRDefault="00000000"/>
    <w:p w:rsidR="00000000" w:rsidRDefault="00000000">
      <w:pPr>
        <w:ind w:left="1134" w:hanging="1134"/>
      </w:pPr>
      <w:r>
        <w:tab/>
        <w:t>g)</w:t>
      </w:r>
      <w:r>
        <w:tab/>
        <w:t>стимулировать пропаганду деятельности в области науки, техники, инноваций и обеспечения качества, а также осуществлять ее организацию и систематизацию;</w:t>
      </w:r>
    </w:p>
    <w:p w:rsidR="00000000" w:rsidRDefault="00000000"/>
    <w:p w:rsidR="00000000" w:rsidRDefault="00000000">
      <w:pPr>
        <w:ind w:left="1134" w:hanging="1134"/>
      </w:pPr>
      <w:r>
        <w:tab/>
        <w:t>h)</w:t>
      </w:r>
      <w:r>
        <w:tab/>
        <w:t>содействовать развитию стандартизации и оценке соответствия процессов, изделий и услуг, а также разработке, использованию и применению технологий;</w:t>
      </w:r>
    </w:p>
    <w:p w:rsidR="00000000" w:rsidRDefault="00000000"/>
    <w:p w:rsidR="00000000" w:rsidRDefault="00000000">
      <w:pPr>
        <w:ind w:left="1134" w:hanging="1134"/>
      </w:pPr>
      <w:r>
        <w:tab/>
        <w:t>i)</w:t>
      </w:r>
      <w:r>
        <w:tab/>
        <w:t xml:space="preserve">поддерживать программы подготовки и специализации кадров, необходимых для развития Национальной системы качества и Национальной системы </w:t>
      </w:r>
      <w:r>
        <w:rPr>
          <w:bCs/>
        </w:rPr>
        <w:t>по науке, технологиям и инновациям</w:t>
      </w:r>
      <w:r>
        <w:t>;</w:t>
      </w:r>
    </w:p>
    <w:p w:rsidR="00000000" w:rsidRDefault="00000000"/>
    <w:p w:rsidR="00000000" w:rsidRDefault="00000000">
      <w:pPr>
        <w:ind w:left="1134" w:hanging="1134"/>
      </w:pPr>
      <w:r>
        <w:tab/>
        <w:t>j)</w:t>
      </w:r>
      <w:r>
        <w:tab/>
        <w:t>стимулировать разработку, использование, распространение и применение идей и знаний в области науки, техники, инноваций и качества, которые заслуживают поддержки по культурным, социальным и природоохранным соображениям;</w:t>
      </w:r>
    </w:p>
    <w:p w:rsidR="00000000" w:rsidRDefault="00000000"/>
    <w:p w:rsidR="00000000" w:rsidRDefault="00000000">
      <w:pPr>
        <w:ind w:left="1134" w:hanging="1134"/>
      </w:pPr>
      <w:r>
        <w:tab/>
        <w:t>k)</w:t>
      </w:r>
      <w:r>
        <w:tab/>
        <w:t>устанавливать и поддерживать отношения с аналогичными государственными и частными организациями за границей, а также способствовать участию представителей страны в конгрессах или других научных или научно-технических мероприятиях и содействовать обмену, сотрудничеству и взаимной передачи информации в областях, относящихся к компетенции КОНАСИТ;</w:t>
      </w:r>
    </w:p>
    <w:p w:rsidR="00000000" w:rsidRDefault="00000000"/>
    <w:p w:rsidR="00000000" w:rsidRDefault="00000000">
      <w:pPr>
        <w:ind w:left="1134" w:hanging="1134"/>
      </w:pPr>
      <w:r>
        <w:tab/>
        <w:t>l)</w:t>
      </w:r>
      <w:r>
        <w:tab/>
        <w:t>координировать и поддерживать деятельность национальных государственных учреждений, гражданских объединений и неправительственных организаций в сфере своей компетенции;</w:t>
      </w:r>
    </w:p>
    <w:p w:rsidR="00000000" w:rsidRDefault="00000000"/>
    <w:p w:rsidR="00000000" w:rsidRDefault="00000000">
      <w:pPr>
        <w:ind w:left="1134" w:hanging="1134"/>
      </w:pPr>
      <w:r>
        <w:tab/>
        <w:t>m)</w:t>
      </w:r>
      <w:r>
        <w:tab/>
        <w:t>стимулировать рационализацию и транспарентность управления и распределения государственных и частных средств, выделяемых на научные исследования, развитие технологий, инновации и повышение качества;</w:t>
      </w:r>
    </w:p>
    <w:p w:rsidR="00000000" w:rsidRDefault="00000000"/>
    <w:p w:rsidR="00000000" w:rsidRDefault="00000000">
      <w:pPr>
        <w:ind w:left="1134" w:hanging="1134"/>
      </w:pPr>
      <w:r>
        <w:tab/>
        <w:t>n)</w:t>
      </w:r>
      <w:r>
        <w:tab/>
        <w:t>определять концепции, относящиеся к сферам своей компетенции, исходя из установленных и международно принятых критериев;</w:t>
      </w:r>
    </w:p>
    <w:p w:rsidR="00000000" w:rsidRDefault="00000000"/>
    <w:p w:rsidR="00000000" w:rsidRDefault="00000000">
      <w:pPr>
        <w:ind w:left="1134" w:hanging="1134"/>
      </w:pPr>
      <w:r>
        <w:tab/>
        <w:t>o)</w:t>
      </w:r>
      <w:r>
        <w:tab/>
        <w:t>создавать постоянные или специальные комиссии для рассмотрения и изучения конкретных тем, а также для оценки конкретных проектов, относящихся к сферам своей компетенции;</w:t>
      </w:r>
    </w:p>
    <w:p w:rsidR="00000000" w:rsidRDefault="00000000"/>
    <w:p w:rsidR="00000000" w:rsidRDefault="00000000">
      <w:pPr>
        <w:ind w:left="1134" w:hanging="1134"/>
      </w:pPr>
      <w:r>
        <w:tab/>
        <w:t>p)</w:t>
      </w:r>
      <w:r>
        <w:tab/>
        <w:t>участвовать в мероприятиях, комиссиях или коллегиях различного рода и наименований, имеющих отношение к государственным организациям, которые связаны с наукой, техникой, инновациями и обеспечением качества;</w:t>
      </w:r>
    </w:p>
    <w:p w:rsidR="00000000" w:rsidRDefault="00000000"/>
    <w:p w:rsidR="00000000" w:rsidRDefault="00000000">
      <w:pPr>
        <w:ind w:left="1134" w:hanging="1134"/>
      </w:pPr>
      <w:r>
        <w:tab/>
        <w:t>q)</w:t>
      </w:r>
      <w:r>
        <w:tab/>
        <w:t>способствовать развитию науки, техники, инноваций и повышению качества, используя механизмы стимулирования учреждений, предприятий и отдельных лиц;</w:t>
      </w:r>
    </w:p>
    <w:p w:rsidR="00000000" w:rsidRDefault="00000000"/>
    <w:p w:rsidR="00000000" w:rsidRDefault="00000000">
      <w:pPr>
        <w:ind w:left="1134" w:hanging="1134"/>
      </w:pPr>
      <w:r>
        <w:tab/>
        <w:t>r)</w:t>
      </w:r>
      <w:r>
        <w:tab/>
        <w:t>санкционировать заключение соглашений, договоров, контрактов и других аналогичных документов, связанных с выполнением своих целей;</w:t>
      </w:r>
    </w:p>
    <w:p w:rsidR="00000000" w:rsidRDefault="00000000"/>
    <w:p w:rsidR="00000000" w:rsidRDefault="00000000">
      <w:pPr>
        <w:ind w:left="1134" w:hanging="1134"/>
      </w:pPr>
      <w:r>
        <w:tab/>
        <w:t>s)</w:t>
      </w:r>
      <w:r>
        <w:tab/>
        <w:t>управлять своими бюджетными средствами, осуществляя для этого необходимые административные действия;</w:t>
      </w:r>
    </w:p>
    <w:p w:rsidR="00000000" w:rsidRDefault="00000000"/>
    <w:p w:rsidR="00000000" w:rsidRDefault="00000000">
      <w:pPr>
        <w:ind w:left="1134" w:hanging="1134"/>
      </w:pPr>
      <w:r>
        <w:tab/>
        <w:t>t)</w:t>
      </w:r>
      <w:r>
        <w:tab/>
        <w:t>издавать правила и принимать решения, касающиеся функционирования КОНАСИТ;</w:t>
      </w:r>
    </w:p>
    <w:p w:rsidR="00000000" w:rsidRDefault="00000000"/>
    <w:p w:rsidR="00000000" w:rsidRDefault="00000000">
      <w:pPr>
        <w:ind w:left="1134" w:hanging="1134"/>
      </w:pPr>
      <w:r>
        <w:tab/>
        <w:t>u)</w:t>
      </w:r>
      <w:r>
        <w:tab/>
        <w:t>назначать сумму вознаграждения за оказание услуг и периодически пересматривать ее;</w:t>
      </w:r>
    </w:p>
    <w:p w:rsidR="00000000" w:rsidRDefault="00000000"/>
    <w:p w:rsidR="00000000" w:rsidRDefault="00000000">
      <w:pPr>
        <w:ind w:left="1134" w:hanging="1134"/>
      </w:pPr>
      <w:r>
        <w:tab/>
        <w:t>v)</w:t>
      </w:r>
      <w:r>
        <w:tab/>
        <w:t>устанавливать дополнительные и специальные вознаграждения сотрудникам КОНАСИТ, выплачиваемые из средств ФОНАСИТ;</w:t>
      </w:r>
    </w:p>
    <w:p w:rsidR="00000000" w:rsidRDefault="00000000"/>
    <w:p w:rsidR="00000000" w:rsidRDefault="00000000">
      <w:pPr>
        <w:ind w:left="1134" w:hanging="1134"/>
      </w:pPr>
      <w:r>
        <w:tab/>
        <w:t>w)</w:t>
      </w:r>
      <w:r>
        <w:tab/>
        <w:t>утверждать годовой доклад о своей деятельности, отчет и баланс за минувший год, предварительный проект бюджета с надлежащим обоснованием и планы работ, которые позволит выполнить бюджет, выделенный КОНАСИТ;</w:t>
      </w:r>
    </w:p>
    <w:p w:rsidR="00000000" w:rsidRDefault="00000000"/>
    <w:p w:rsidR="00000000" w:rsidRDefault="00000000">
      <w:pPr>
        <w:ind w:left="1134" w:hanging="1134"/>
      </w:pPr>
      <w:r>
        <w:tab/>
        <w:t>x)</w:t>
      </w:r>
      <w:r>
        <w:tab/>
        <w:t>назначать членов Совета и должностных лиц, которые - совместно с Председателем КОНАСИТ - обязаны подписывать ценные бумаги, обязательства и прочие документы;</w:t>
      </w:r>
    </w:p>
    <w:p w:rsidR="00000000" w:rsidRDefault="00000000"/>
    <w:p w:rsidR="00000000" w:rsidRDefault="00000000">
      <w:pPr>
        <w:ind w:left="1134" w:hanging="1134"/>
      </w:pPr>
      <w:r>
        <w:tab/>
        <w:t>y)</w:t>
      </w:r>
      <w:r>
        <w:tab/>
        <w:t>совершать все другие действия, необходимые для достидения целей КОНАСИТ.</w:t>
      </w:r>
    </w:p>
    <w:p w:rsidR="00000000" w:rsidRDefault="00000000"/>
    <w:p w:rsidR="00000000" w:rsidRDefault="00000000">
      <w:pPr>
        <w:rPr>
          <w:b/>
        </w:rPr>
      </w:pPr>
      <w:r>
        <w:rPr>
          <w:b/>
        </w:rPr>
        <w:t>4.</w:t>
      </w:r>
      <w:r>
        <w:rPr>
          <w:b/>
        </w:rPr>
        <w:tab/>
        <w:t>Национальная политика в области науки и техники</w:t>
      </w:r>
    </w:p>
    <w:p w:rsidR="00000000" w:rsidRDefault="00000000">
      <w:pPr>
        <w:rPr>
          <w:b/>
        </w:rPr>
      </w:pPr>
    </w:p>
    <w:p w:rsidR="00000000" w:rsidRDefault="00000000">
      <w:r>
        <w:t>631.</w:t>
      </w:r>
      <w:r>
        <w:tab/>
        <w:t>Парагвай проводит национальную политику в области науки и техники, утвержденную исполнительной властью согласно Декрету № 19007 от 15 октября 2002 года.</w:t>
      </w:r>
      <w:r>
        <w:rPr>
          <w:b/>
        </w:rPr>
        <w:t xml:space="preserve">  </w:t>
      </w:r>
      <w:r>
        <w:rPr>
          <w:bCs/>
        </w:rPr>
        <w:t>Данная</w:t>
      </w:r>
      <w:r>
        <w:rPr>
          <w:b/>
        </w:rPr>
        <w:t xml:space="preserve"> </w:t>
      </w:r>
      <w:r>
        <w:t>политика имеет целью повысить эффективность предпринимаемых в стране усилий в области науки и техники, а также расширить участие в этом частного сектора и местных властей.  Посему при проведении указанной политики надлежит руководствоваться следующими принципами:</w:t>
      </w:r>
    </w:p>
    <w:p w:rsidR="00000000" w:rsidRDefault="00000000"/>
    <w:p w:rsidR="00000000" w:rsidRDefault="00000000">
      <w:pPr>
        <w:ind w:left="1134" w:hanging="1134"/>
      </w:pPr>
      <w:r>
        <w:tab/>
        <w:t>-</w:t>
      </w:r>
      <w:r>
        <w:tab/>
        <w:t>научно-техническое развитие является одной из главных опор социального, экономического и культурного развития страны, и поэтому политика в данной сфере должна быть увязана с долгосрочной социально-экономической политикой;</w:t>
      </w:r>
    </w:p>
    <w:p w:rsidR="00000000" w:rsidRDefault="00000000"/>
    <w:p w:rsidR="00000000" w:rsidRDefault="00000000">
      <w:pPr>
        <w:ind w:left="1134" w:hanging="1134"/>
      </w:pPr>
      <w:r>
        <w:tab/>
        <w:t>-</w:t>
      </w:r>
      <w:r>
        <w:tab/>
        <w:t>укрепление национального научно-технического потенциала способствует приданию науке и технике той роли, которую они призваны играть в современной стране;</w:t>
      </w:r>
    </w:p>
    <w:p w:rsidR="00000000" w:rsidRDefault="00000000"/>
    <w:p w:rsidR="00000000" w:rsidRDefault="00000000">
      <w:pPr>
        <w:ind w:left="1134" w:hanging="1134"/>
      </w:pPr>
      <w:r>
        <w:tab/>
        <w:t>-</w:t>
      </w:r>
      <w:r>
        <w:tab/>
        <w:t>исследования должны классифицироваться в соответствии с приоритетом, определяемым национальными потребностями;</w:t>
      </w:r>
    </w:p>
    <w:p w:rsidR="00000000" w:rsidRDefault="00000000"/>
    <w:p w:rsidR="00000000" w:rsidRDefault="00000000">
      <w:pPr>
        <w:ind w:left="1134" w:hanging="1134"/>
      </w:pPr>
      <w:r>
        <w:tab/>
        <w:t>-</w:t>
      </w:r>
      <w:r>
        <w:tab/>
        <w:t xml:space="preserve">структурное приспособление сектора ориентировано на повышение местных инновационных возможностей и на использование научно-технического прогресса на благо общества, что диктует, в частности, необходимость укрепления КОНАСИТ как ведущего органа Национальной системы </w:t>
      </w:r>
      <w:r>
        <w:rPr>
          <w:bCs/>
        </w:rPr>
        <w:t>по науке, технологиям и инновациям</w:t>
      </w:r>
      <w:r>
        <w:t>;</w:t>
      </w:r>
    </w:p>
    <w:p w:rsidR="00000000" w:rsidRDefault="00000000"/>
    <w:p w:rsidR="00000000" w:rsidRDefault="00000000">
      <w:pPr>
        <w:ind w:left="1134" w:hanging="1134"/>
      </w:pPr>
      <w:r>
        <w:tab/>
        <w:t>-</w:t>
      </w:r>
      <w:r>
        <w:tab/>
        <w:t>налаживание тесного взаимодействия между исполнителями и учреждениями, причем как в государственном, так и частном секторах, которые прямо или косвенно участвуют в научно-технической деятельности, является необходимым условием выработки и проведения отраслевой политики.  Особенно важна связь университет-предприятие, обеспечивающая достижение целей повышения производительности труда, конкурентоспособности и качества;</w:t>
      </w:r>
    </w:p>
    <w:p w:rsidR="00000000" w:rsidRDefault="00000000"/>
    <w:p w:rsidR="00000000" w:rsidRDefault="00000000">
      <w:pPr>
        <w:ind w:left="1134" w:hanging="1134"/>
      </w:pPr>
      <w:r>
        <w:tab/>
        <w:t>-</w:t>
      </w:r>
      <w:r>
        <w:tab/>
        <w:t>ускорение реализации и рационализация правительственных программ, ориентированных на исследования и разработки, должны отражать основные направления деятельности КОНАСИТ;</w:t>
      </w:r>
    </w:p>
    <w:p w:rsidR="00000000" w:rsidRDefault="00000000"/>
    <w:p w:rsidR="00000000" w:rsidRDefault="00000000">
      <w:pPr>
        <w:ind w:left="1134" w:hanging="1134"/>
      </w:pPr>
      <w:r>
        <w:tab/>
        <w:t>-</w:t>
      </w:r>
      <w:r>
        <w:tab/>
        <w:t>обязанностью государства является систематическое и растущее выделение из государственного бюджета все большего объема финансовых средств, которые</w:t>
      </w:r>
      <w:r>
        <w:rPr>
          <w:lang w:val="en-US"/>
        </w:rPr>
        <w:t> </w:t>
      </w:r>
      <w:r>
        <w:t>- через ФОНАСИТ - идут на исследования.  Для управления Фондом должны быть предусмотрены соответствующие эффективные механизмы;</w:t>
      </w:r>
    </w:p>
    <w:p w:rsidR="00000000" w:rsidRDefault="00000000"/>
    <w:p w:rsidR="00000000" w:rsidRDefault="00000000">
      <w:pPr>
        <w:ind w:left="1134" w:hanging="1134"/>
      </w:pPr>
      <w:r>
        <w:tab/>
        <w:t>-</w:t>
      </w:r>
      <w:r>
        <w:tab/>
        <w:t>один из механизмов повышения эффективности национального государственного финансирования науки и техники должен быть ориентирован на совместное финансирование соответствующих проектов со стороны частного сектора, местных органов управления и/или учреждений из других стран в рамках международного сотрудничества;</w:t>
      </w:r>
    </w:p>
    <w:p w:rsidR="00000000" w:rsidRDefault="00000000"/>
    <w:p w:rsidR="00000000" w:rsidRDefault="00000000">
      <w:pPr>
        <w:ind w:left="1134" w:hanging="1134"/>
      </w:pPr>
      <w:r>
        <w:tab/>
        <w:t>-</w:t>
      </w:r>
      <w:r>
        <w:tab/>
        <w:t>должны приветствоваться и поощряться государственные и частные инвестиции в проекты, содержащие передовую технологию.</w:t>
      </w:r>
    </w:p>
    <w:p w:rsidR="00000000" w:rsidRDefault="00000000"/>
    <w:p w:rsidR="00000000" w:rsidRDefault="00000000">
      <w:r>
        <w:t>632.</w:t>
      </w:r>
      <w:r>
        <w:tab/>
        <w:t>Следует подчеркнуть отсутствие каких-либо ограничений права на доступ к информации.</w:t>
      </w:r>
    </w:p>
    <w:p w:rsidR="00000000" w:rsidRDefault="00000000"/>
    <w:p w:rsidR="00000000" w:rsidRDefault="00000000">
      <w:pPr>
        <w:rPr>
          <w:b/>
        </w:rPr>
      </w:pPr>
      <w:r>
        <w:rPr>
          <w:b/>
        </w:rPr>
        <w:t>5.</w:t>
      </w:r>
      <w:r>
        <w:rPr>
          <w:b/>
        </w:rPr>
        <w:tab/>
        <w:t>Меры, обеспечивающие применение достижений научного прогресса</w:t>
      </w:r>
    </w:p>
    <w:p w:rsidR="00000000" w:rsidRDefault="00000000">
      <w:pPr>
        <w:rPr>
          <w:b/>
        </w:rPr>
      </w:pPr>
    </w:p>
    <w:p w:rsidR="00000000" w:rsidRDefault="00000000">
      <w:r>
        <w:t>633.</w:t>
      </w:r>
      <w:r>
        <w:tab/>
        <w:t>Здесь следует назвать обнародование Всеобщего закона о науке и технике (№ 1028) от 31 января 1997 года, по которому создается КОНАСИТ;  Указ № 19007 от 15 октября 2002 года, посредством которого исполнительная власть утверждает Национальную политику в области науки и техники;  и Закон № 2279 от 7 ноября 2003 года, "изменяющий и дополняющий статьи Всеобщего закона о науке и технике (№ 1028/97)".</w:t>
      </w:r>
    </w:p>
    <w:p w:rsidR="00000000" w:rsidRDefault="00000000"/>
    <w:p w:rsidR="00000000" w:rsidRDefault="00000000">
      <w:r>
        <w:t>634.</w:t>
      </w:r>
      <w:r>
        <w:tab/>
        <w:t>Говоря о конкретных мероприятиях по эффективному выполнению национального плана, можно отметить следующие:</w:t>
      </w:r>
    </w:p>
    <w:p w:rsidR="00000000" w:rsidRDefault="00000000"/>
    <w:p w:rsidR="00000000" w:rsidRDefault="00000000">
      <w:pPr>
        <w:ind w:left="1134" w:hanging="1134"/>
      </w:pPr>
      <w:r>
        <w:tab/>
        <w:t>-</w:t>
      </w:r>
      <w:r>
        <w:tab/>
        <w:t>подписание Проекта PAR/02/005 "Институциональная поддержка развития науки, техники, инноваций и повышения качества в Парагвае" между ПРООН и КОНАСИТ;</w:t>
      </w:r>
    </w:p>
    <w:p w:rsidR="00000000" w:rsidRDefault="00000000"/>
    <w:p w:rsidR="00000000" w:rsidRDefault="00000000">
      <w:pPr>
        <w:ind w:left="1134" w:hanging="1134"/>
      </w:pPr>
      <w:r>
        <w:tab/>
        <w:t>-</w:t>
      </w:r>
      <w:r>
        <w:tab/>
        <w:t>завершение сбора данных по линии научно-технических учреждений для подготовки показателей по науке и технике, соответствующих базовому 2001 году, в рамках Проекта AE/149/01;</w:t>
      </w:r>
    </w:p>
    <w:p w:rsidR="00000000" w:rsidRDefault="00000000"/>
    <w:p w:rsidR="00000000" w:rsidRDefault="00000000">
      <w:pPr>
        <w:ind w:left="1134" w:hanging="1134"/>
      </w:pPr>
      <w:r>
        <w:tab/>
        <w:t>-</w:t>
      </w:r>
      <w:r>
        <w:tab/>
        <w:t>подписание Межведомственного соглашения между КОНАСИТ и Управлением по науке, технике и инновациям в сфере производства министерства образования Аргентинской Республики;</w:t>
      </w:r>
    </w:p>
    <w:p w:rsidR="00000000" w:rsidRDefault="00000000"/>
    <w:p w:rsidR="00000000" w:rsidRDefault="00000000">
      <w:pPr>
        <w:ind w:left="1134" w:hanging="1134"/>
      </w:pPr>
      <w:r>
        <w:tab/>
        <w:t>-</w:t>
      </w:r>
      <w:r>
        <w:tab/>
        <w:t>организация лекции "Наука, техника и общество", прочитанной д-ром Хосе Антонио Лопесом Сересо из Университета Овьедо (Испания);</w:t>
      </w:r>
    </w:p>
    <w:p w:rsidR="00000000" w:rsidRDefault="00000000">
      <w:pPr>
        <w:ind w:left="567" w:hanging="567"/>
      </w:pPr>
    </w:p>
    <w:p w:rsidR="00000000" w:rsidRDefault="00000000">
      <w:pPr>
        <w:ind w:left="1134" w:hanging="1134"/>
      </w:pPr>
      <w:r>
        <w:tab/>
        <w:t>-</w:t>
      </w:r>
      <w:r>
        <w:tab/>
        <w:t>организация международного семинара на тему "Наука, техника, общество и глобализация";</w:t>
      </w:r>
    </w:p>
    <w:p w:rsidR="00000000" w:rsidRDefault="00000000"/>
    <w:p w:rsidR="00000000" w:rsidRDefault="00000000">
      <w:pPr>
        <w:ind w:left="1134" w:hanging="1134"/>
      </w:pPr>
      <w:r>
        <w:tab/>
        <w:t>-</w:t>
      </w:r>
      <w:r>
        <w:tab/>
        <w:t>осуществление Проекта PAR 02 M15 "Активизация национального диалога об информационном обществе";</w:t>
      </w:r>
    </w:p>
    <w:p w:rsidR="00000000" w:rsidRDefault="00000000">
      <w:pPr>
        <w:ind w:left="1134" w:hanging="1134"/>
      </w:pPr>
    </w:p>
    <w:p w:rsidR="00000000" w:rsidRDefault="00000000">
      <w:pPr>
        <w:ind w:left="1134" w:hanging="1134"/>
      </w:pPr>
      <w:r>
        <w:tab/>
        <w:t>-</w:t>
      </w:r>
      <w:r>
        <w:tab/>
        <w:t>подписание Межведомственного соглашения между КОНАСИТ и Бразильской службой поддержки предпринимательства (СЕБРАЕ);</w:t>
      </w:r>
    </w:p>
    <w:p w:rsidR="00000000" w:rsidRDefault="00000000"/>
    <w:p w:rsidR="00000000" w:rsidRDefault="00000000">
      <w:pPr>
        <w:ind w:left="1134" w:hanging="1134"/>
      </w:pPr>
      <w:r>
        <w:tab/>
        <w:t>-</w:t>
      </w:r>
      <w:r>
        <w:tab/>
        <w:t>поддержка проекта "Форкастинг Реджиональ", осуществляемого в рамках Соглашения "Андрес Бельо" на период 2005-2015 годов с использованием платформы DELPHI, направленного на выявление основных тенденций развития науки и техники в странах-членах КАБ;</w:t>
      </w:r>
    </w:p>
    <w:p w:rsidR="00000000" w:rsidRDefault="00000000"/>
    <w:p w:rsidR="00000000" w:rsidRDefault="00000000">
      <w:pPr>
        <w:ind w:left="1134" w:hanging="1134"/>
      </w:pPr>
      <w:r>
        <w:tab/>
        <w:t>-</w:t>
      </w:r>
      <w:r>
        <w:tab/>
        <w:t>подготовка окончательного варианта проекта "Программа поддержки развития науки, техники и инноваций", КОНАСИТ/Межамериканский банк развития (PR 126);</w:t>
      </w:r>
    </w:p>
    <w:p w:rsidR="00000000" w:rsidRDefault="00000000"/>
    <w:p w:rsidR="00000000" w:rsidRDefault="00000000">
      <w:pPr>
        <w:ind w:left="1134" w:hanging="1134"/>
      </w:pPr>
      <w:r>
        <w:tab/>
        <w:t>-</w:t>
      </w:r>
      <w:r>
        <w:tab/>
        <w:t>подготовка и осуществление Проекта "Генезис";  этапы I и II;  Региональная система инкубации и инновации в Парагвае;  "БМ-ИнфоДев";</w:t>
      </w:r>
    </w:p>
    <w:p w:rsidR="00000000" w:rsidRDefault="00000000"/>
    <w:p w:rsidR="00000000" w:rsidRDefault="00000000">
      <w:pPr>
        <w:ind w:left="1134" w:hanging="1134"/>
      </w:pPr>
      <w:r>
        <w:tab/>
        <w:t>-</w:t>
      </w:r>
      <w:r>
        <w:tab/>
        <w:t xml:space="preserve">разработка национальной и региональной платформы для начала работ по Проекту "Биотек </w:t>
      </w:r>
      <w:r>
        <w:rPr>
          <w:lang w:val="en-US"/>
        </w:rPr>
        <w:t>I</w:t>
      </w:r>
      <w:r>
        <w:t xml:space="preserve"> ЕС-Меркосур";</w:t>
      </w:r>
    </w:p>
    <w:p w:rsidR="00000000" w:rsidRDefault="00000000"/>
    <w:p w:rsidR="00000000" w:rsidRDefault="00000000">
      <w:pPr>
        <w:ind w:left="1134" w:hanging="1134"/>
      </w:pPr>
      <w:r>
        <w:tab/>
        <w:t>-</w:t>
      </w:r>
      <w:r>
        <w:tab/>
        <w:t>учреждение общенациональной Молодежной научной премии "Пьера и Марии Кюри" (КОНАСИТ-МПК);</w:t>
      </w:r>
    </w:p>
    <w:p w:rsidR="00000000" w:rsidRDefault="00000000"/>
    <w:p w:rsidR="00000000" w:rsidRDefault="00000000">
      <w:pPr>
        <w:ind w:left="1134" w:hanging="1134"/>
      </w:pPr>
      <w:r>
        <w:tab/>
        <w:t>-</w:t>
      </w:r>
      <w:r>
        <w:tab/>
        <w:t>учреждение региональной премии "РЕСИТ-МЕРКОСУР" с охватом ученых из Аргентины, Бразилии, Парагвая и Уругвая;</w:t>
      </w:r>
    </w:p>
    <w:p w:rsidR="00000000" w:rsidRDefault="00000000"/>
    <w:p w:rsidR="00000000" w:rsidRDefault="00000000">
      <w:pPr>
        <w:ind w:left="1134" w:hanging="1134"/>
      </w:pPr>
      <w:r>
        <w:tab/>
        <w:t>-</w:t>
      </w:r>
      <w:r>
        <w:tab/>
        <w:t>подписание соглашений о сотрудничестве с университетами, как государственными, так и частными, в целях создания необходимых механизмов, стимулирующих прогресс науки в различных областях знания.</w:t>
      </w:r>
    </w:p>
    <w:p w:rsidR="00000000" w:rsidRDefault="00000000"/>
    <w:p w:rsidR="00000000" w:rsidRDefault="00000000">
      <w:r>
        <w:t>635.</w:t>
      </w:r>
      <w:r>
        <w:tab/>
        <w:t>Важно также подчеркнуть, что национальное правительство - при участии министерства иностранных дел - стимулирует и развивает международные контакты и сотрудничество в области науки и техники в рамках двусторонних и многосторонних соглашений о сотрудничестве, а также других документов.  В упомянутых соглашениях регулярно фигурирует и КОНАСИТ.</w:t>
      </w:r>
    </w:p>
    <w:p w:rsidR="00000000" w:rsidRDefault="00000000"/>
    <w:p w:rsidR="00000000" w:rsidRDefault="00000000">
      <w:r>
        <w:t>636.</w:t>
      </w:r>
      <w:r>
        <w:tab/>
        <w:t>Участие ученых и/или писателей в конференциях, семинарах или симпозиумах обеспечивается в изложенном выше контексте, а также в рамках проектов, располагающих средствами, предоставленными организациями по финансовому сотрудничеству, или средствами, заложенными в Общем бюджете расходов, а иногда за счет финансирования со стороны профессиональных ассоциаций, будь то национальные, региональные или международные.</w:t>
      </w:r>
    </w:p>
    <w:p w:rsidR="00000000" w:rsidRDefault="00000000"/>
    <w:p w:rsidR="00000000" w:rsidRDefault="00000000">
      <w:r>
        <w:t>637.</w:t>
      </w:r>
      <w:r>
        <w:tab/>
        <w:t xml:space="preserve">Что касается конкретной деятельности Национального совета по науке и технике в 2005 году, имеющей отношение к настоящей статье Пакта, см. приложение </w:t>
      </w:r>
      <w:r>
        <w:rPr>
          <w:lang w:val="en-US"/>
        </w:rPr>
        <w:t>VII</w:t>
      </w:r>
      <w:r>
        <w:t xml:space="preserve"> "Отчет о деятельности КОНАСИТ в 2005 году".</w:t>
      </w:r>
    </w:p>
    <w:p w:rsidR="00000000" w:rsidRDefault="00000000"/>
    <w:p w:rsidR="00000000" w:rsidRDefault="00000000">
      <w:pPr>
        <w:rPr>
          <w:b/>
          <w:bCs/>
        </w:rPr>
      </w:pPr>
      <w:r>
        <w:rPr>
          <w:b/>
          <w:bCs/>
        </w:rPr>
        <w:tab/>
        <w:t>Международное сотрудничество</w:t>
      </w:r>
    </w:p>
    <w:p w:rsidR="00000000" w:rsidRDefault="00000000"/>
    <w:p w:rsidR="00000000" w:rsidRDefault="00000000">
      <w:r>
        <w:t>638.</w:t>
      </w:r>
      <w:r>
        <w:tab/>
        <w:t xml:space="preserve">Международное сотрудничество играет весьма важную роль в деле эффективного осуществления всех прав, закрепленных в Международном пакте об экономических, социальных и культурных правах.  В частности, оно способствует предпринимаемым национальным правительством усилиям, имеющим целью гарантировать самый широкий охват программами и проектами в области развития и социальной помощи и их популяризацию.  Государственным ведомством, уполномоченным получать предложения о международном сотрудничестве в различных областях и давать им ход, является Технический секретариат по вопросам планирования.  В этой связи указанным Секретариатом был разработан документ, где конкретно оговариваются форма вклада со стороны различных агентств международного сотрудничества и вопросы, касающиеся действенного применения положений статей Пакта.  См. приложение </w:t>
      </w:r>
      <w:r>
        <w:rPr>
          <w:lang w:val="en-US"/>
        </w:rPr>
        <w:t>VIII</w:t>
      </w:r>
      <w:r>
        <w:t xml:space="preserve"> "Роль международного сотрудничества в деле соблюдения экономических, социальных и культурных прав".</w:t>
      </w:r>
    </w:p>
    <w:p w:rsidR="00000000" w:rsidRDefault="00000000"/>
    <w:p w:rsidR="00000000" w:rsidRDefault="00000000">
      <w:pPr>
        <w:jc w:val="center"/>
      </w:pPr>
      <w:r>
        <w:t>-----</w:t>
      </w:r>
    </w:p>
    <w:p w:rsidR="00000000" w:rsidRDefault="00000000"/>
    <w:sectPr w:rsidR="00000000">
      <w:headerReference w:type="even" r:id="rId113"/>
      <w:headerReference w:type="default" r:id="rId114"/>
      <w:pgSz w:w="11907" w:h="16840" w:code="9"/>
      <w:pgMar w:top="850" w:right="850" w:bottom="1701" w:left="1701" w:header="850" w:footer="85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82.55pt;margin-top:-149.15pt;width:28.05pt;height:146.05pt;z-index:2" filled="f" stroked="f">
          <v:textbox style="layout-flow:vertical;mso-next-textbox:#_x0000_s1027" inset="0,0,0,0">
            <w:txbxContent>
              <w:p w:rsidR="00000000" w:rsidRDefault="00000000">
                <w:pPr>
                  <w:rPr>
                    <w:lang w:val="en-US"/>
                  </w:rPr>
                </w:pPr>
                <w:r>
                  <w:rPr>
                    <w:lang w:val="en-US"/>
                  </w:rPr>
                  <w:t>E/C.12/PRY/3</w:t>
                </w: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35" type="#_x0000_t202" style="position:absolute;margin-left:682.55pt;margin-top:-149.15pt;width:28.05pt;height:146.05pt;z-index:10" filled="f" stroked="f">
          <v:textbox style="layout-flow:vertical;mso-next-textbox:#_x0000_s1035"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55</w:t>
                </w:r>
                <w:r>
                  <w:rPr>
                    <w:rStyle w:val="PageNumber"/>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37" type="#_x0000_t202" style="position:absolute;margin-left:682.55pt;margin-top:-149.15pt;width:28.05pt;height:146.05pt;z-index:1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189</w:t>
                </w:r>
                <w:r>
                  <w:rPr>
                    <w:rStyle w:val="PageNumber"/>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39" type="#_x0000_t202" style="position:absolute;margin-left:682.55pt;margin-top:-149.15pt;width:28.05pt;height:146.05pt;z-index:14"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195</w:t>
                </w:r>
                <w:r>
                  <w:rPr>
                    <w:rStyle w:val="PageNumber"/>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45" type="#_x0000_t202" style="position:absolute;margin-left:682.55pt;margin-top:-149.15pt;width:28.05pt;height:146.05pt;z-index:20" filled="f" stroked="f">
          <v:textbox style="layout-flow:vertical" inset="0,0,0,0">
            <w:txbxContent>
              <w:p w:rsidR="00000000" w:rsidRDefault="00000000">
                <w:pPr>
                  <w:rPr>
                    <w:lang w:val="en-US"/>
                  </w:rPr>
                </w:pPr>
                <w:r>
                  <w:rPr>
                    <w:lang w:val="en-US"/>
                  </w:rPr>
                  <w:t>E/C.12/PRY/3</w:t>
                </w: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235</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t>*</w:t>
      </w:r>
      <w:r>
        <w:t xml:space="preserve"> </w:t>
      </w:r>
      <w:r>
        <w:tab/>
        <w:t>Представленный правительством Парагвая первоначальный доклад (</w:t>
      </w:r>
      <w:r>
        <w:rPr>
          <w:lang w:val="fr-FR"/>
        </w:rPr>
        <w:t>E</w:t>
      </w:r>
      <w:r>
        <w:t>/1990/5/</w:t>
      </w:r>
      <w:r>
        <w:rPr>
          <w:lang w:val="fr-FR"/>
        </w:rPr>
        <w:t>Add</w:t>
      </w:r>
      <w:r>
        <w:t xml:space="preserve">.23) в отношении прав, изложенных в статьях 1-15 Пакта, был рассмотрен Комитетом по экономическим, социальным и культурным правам на его четырнадцатой сессии в 1996 году (см. документы </w:t>
      </w:r>
      <w:r>
        <w:rPr>
          <w:lang w:val="fr-FR"/>
        </w:rPr>
        <w:t>E</w:t>
      </w:r>
      <w:r>
        <w:t>/</w:t>
      </w:r>
      <w:r>
        <w:rPr>
          <w:lang w:val="fr-FR"/>
        </w:rPr>
        <w:t>C</w:t>
      </w:r>
      <w:r>
        <w:t>.12/1996/</w:t>
      </w:r>
      <w:r>
        <w:rPr>
          <w:lang w:val="fr-FR"/>
        </w:rPr>
        <w:t>SR</w:t>
      </w:r>
      <w:r>
        <w:t>.1, 2 и 4).</w:t>
      </w:r>
    </w:p>
    <w:p w:rsidR="00000000" w:rsidRDefault="00000000">
      <w:pPr>
        <w:pStyle w:val="FootnoteText"/>
        <w:rPr>
          <w:lang w:val="en-US"/>
        </w:rPr>
      </w:pPr>
    </w:p>
  </w:footnote>
  <w:footnote w:id="2">
    <w:p w:rsidR="00000000" w:rsidRDefault="00000000">
      <w:pPr>
        <w:pStyle w:val="FootnoteText"/>
        <w:rPr>
          <w:lang w:val="en-US"/>
        </w:rPr>
      </w:pPr>
      <w:r>
        <w:rPr>
          <w:rStyle w:val="FootnoteReference"/>
        </w:rPr>
        <w:t>**</w:t>
      </w:r>
      <w:r>
        <w:t xml:space="preserve"> </w:t>
      </w:r>
      <w:r>
        <w:tab/>
        <w:t xml:space="preserve">Информация, представленная в соответствии с руководящими принципами в отношении первоначальной части докладов государств-участников, содержится в базовом документе </w:t>
      </w:r>
      <w:r>
        <w:rPr>
          <w:lang w:val="fr-FR"/>
        </w:rPr>
        <w:t>HRI</w:t>
      </w:r>
      <w:r>
        <w:t>/</w:t>
      </w:r>
      <w:r>
        <w:rPr>
          <w:lang w:val="fr-FR"/>
        </w:rPr>
        <w:t>CORE</w:t>
      </w:r>
      <w:r>
        <w:t>/1/</w:t>
      </w:r>
      <w:r>
        <w:rPr>
          <w:lang w:val="fr-FR"/>
        </w:rPr>
        <w:t>Add</w:t>
      </w:r>
      <w:r>
        <w:t>.24.</w:t>
      </w:r>
    </w:p>
    <w:p w:rsidR="00000000" w:rsidRDefault="00000000">
      <w:pPr>
        <w:pStyle w:val="FootnoteText"/>
        <w:rPr>
          <w:lang w:val="en-US"/>
        </w:rPr>
      </w:pPr>
    </w:p>
  </w:footnote>
  <w:footnote w:id="3">
    <w:p w:rsidR="00000000" w:rsidRDefault="00000000">
      <w:pPr>
        <w:pStyle w:val="FootnoteText"/>
      </w:pPr>
      <w:r>
        <w:rPr>
          <w:rStyle w:val="FootnoteReference"/>
        </w:rPr>
        <w:t>***</w:t>
      </w:r>
      <w:r>
        <w:t xml:space="preserve"> </w:t>
      </w:r>
      <w:r>
        <w:tab/>
        <w:t>С учетом информации, препровожденной государствам-участникам в отношении обработки их докладов, настоящий документ до его направления службам перевода Организации Объединенных Наций официально не редактировался.</w:t>
      </w:r>
    </w:p>
  </w:footnote>
  <w:footnote w:id="4">
    <w:p w:rsidR="00000000" w:rsidRDefault="00000000">
      <w:pPr>
        <w:pStyle w:val="FootnoteText"/>
      </w:pPr>
      <w:r>
        <w:rPr>
          <w:rStyle w:val="FootnoteReference"/>
        </w:rPr>
        <w:footnoteRef/>
      </w:r>
      <w:r>
        <w:rPr>
          <w:lang w:val="fr-FR"/>
        </w:rPr>
        <w:t xml:space="preserve"> </w:t>
      </w:r>
      <w:r>
        <w:rPr>
          <w:lang w:val="fr-FR"/>
        </w:rPr>
        <w:tab/>
        <w:t xml:space="preserve">Pueblos Indígenas del Paraguay. Resultados Finales. II CENSO NACIONAL INDÍGENA DE POBLACIÓN Y VIVIENDAS 2002.  </w:t>
      </w:r>
      <w:r>
        <w:t>Этот материал был подготовлен Технической группой Главного управления статистики, опросов и переписей.</w:t>
      </w:r>
    </w:p>
    <w:p w:rsidR="00000000" w:rsidRDefault="00000000">
      <w:pPr>
        <w:pStyle w:val="FootnoteText"/>
      </w:pPr>
    </w:p>
  </w:footnote>
  <w:footnote w:id="5">
    <w:p w:rsidR="00000000" w:rsidRDefault="00000000">
      <w:pPr>
        <w:pStyle w:val="FootnoteText"/>
      </w:pPr>
      <w:r>
        <w:rPr>
          <w:rStyle w:val="FootnoteReference"/>
        </w:rPr>
        <w:footnoteRef/>
      </w:r>
      <w:r>
        <w:t xml:space="preserve"> </w:t>
      </w:r>
      <w:r>
        <w:tab/>
        <w:t>Департамент статистики, 2003 год.</w:t>
      </w:r>
    </w:p>
  </w:footnote>
  <w:footnote w:id="6">
    <w:p w:rsidR="00000000" w:rsidRDefault="00000000">
      <w:r>
        <w:rPr>
          <w:rStyle w:val="FootnoteReference"/>
        </w:rPr>
        <w:footnoteRef/>
      </w:r>
      <w:r>
        <w:rPr>
          <w:lang w:val="fr-FR"/>
        </w:rPr>
        <w:t xml:space="preserve"> </w:t>
      </w:r>
      <w:r>
        <w:rPr>
          <w:lang w:val="fr-FR"/>
        </w:rPr>
        <w:tab/>
        <w:t xml:space="preserve">Las Condiciones de Salud de las Américas.  </w:t>
      </w:r>
      <w:r>
        <w:t xml:space="preserve">1998.  </w:t>
      </w:r>
      <w:r>
        <w:rPr>
          <w:lang w:val="en-US"/>
        </w:rPr>
        <w:t>Cap</w:t>
      </w:r>
      <w:r>
        <w:t>í</w:t>
      </w:r>
      <w:r>
        <w:rPr>
          <w:lang w:val="en-US"/>
        </w:rPr>
        <w:t>tulo</w:t>
      </w:r>
      <w:r>
        <w:t xml:space="preserve"> </w:t>
      </w:r>
      <w:r>
        <w:rPr>
          <w:lang w:val="en-US"/>
        </w:rPr>
        <w:t>Paraguay</w:t>
      </w:r>
      <w:r>
        <w:t xml:space="preserve">. </w:t>
      </w:r>
    </w:p>
    <w:p w:rsidR="00000000" w:rsidRDefault="00000000">
      <w:pPr>
        <w:pStyle w:val="FootnoteText"/>
      </w:pPr>
    </w:p>
  </w:footnote>
  <w:footnote w:id="7">
    <w:p w:rsidR="00000000" w:rsidRDefault="00000000">
      <w:pPr>
        <w:pStyle w:val="FootnoteText"/>
      </w:pPr>
      <w:r>
        <w:rPr>
          <w:rStyle w:val="FootnoteReference"/>
        </w:rPr>
        <w:footnoteRef/>
      </w:r>
      <w:r>
        <w:t xml:space="preserve"> </w:t>
      </w:r>
      <w:r>
        <w:tab/>
        <w:t>Предварительные данные по состоянию на 22 сентября 2004 года.</w:t>
      </w:r>
    </w:p>
    <w:p w:rsidR="00000000" w:rsidRDefault="00000000">
      <w:pPr>
        <w:pStyle w:val="FootnoteText"/>
      </w:pPr>
    </w:p>
  </w:footnote>
  <w:footnote w:id="8">
    <w:p w:rsidR="00000000" w:rsidRDefault="00000000">
      <w:pPr>
        <w:pStyle w:val="FootnoteText"/>
      </w:pPr>
      <w:r>
        <w:rPr>
          <w:rStyle w:val="FootnoteReference"/>
        </w:rPr>
        <w:footnoteRef/>
      </w:r>
      <w:r>
        <w:tab/>
        <w:t>См. приложение 1, озаглавленное "Статистические данные в отношении грамотности".  В нем приводится информация об уровне грамотности в период 1994</w:t>
      </w:r>
      <w:r>
        <w:noBreakHyphen/>
        <w:t>2003 годов с разбивкой по департаментам и городским или сельским районам.</w:t>
      </w:r>
    </w:p>
  </w:footnote>
  <w:footnote w:id="9">
    <w:p w:rsidR="00000000" w:rsidRDefault="00000000">
      <w:pPr>
        <w:pStyle w:val="FootnoteText"/>
      </w:pPr>
      <w:r>
        <w:rPr>
          <w:rStyle w:val="FootnoteReference"/>
        </w:rPr>
        <w:footnoteRef/>
      </w:r>
      <w:r>
        <w:t xml:space="preserve"> </w:t>
      </w:r>
      <w:r>
        <w:tab/>
        <w:t>Стратегия помощи стране (Республика Парагвай) на 2004-2007 годы.  Всемирный банк.</w:t>
      </w:r>
    </w:p>
    <w:p w:rsidR="00000000" w:rsidRDefault="00000000">
      <w:pPr>
        <w:pStyle w:val="FootnoteText"/>
      </w:pPr>
    </w:p>
  </w:footnote>
  <w:footnote w:id="10">
    <w:p w:rsidR="00000000" w:rsidRDefault="00000000">
      <w:pPr>
        <w:pStyle w:val="FootnoteText"/>
      </w:pPr>
      <w:r>
        <w:rPr>
          <w:rStyle w:val="FootnoteReference"/>
        </w:rPr>
        <w:footnoteRef/>
      </w:r>
      <w:r>
        <w:tab/>
        <w:t>Стратегия помощи стране (Республика Парагвай) на 2004-2007 годы.  Всемирный банк.</w:t>
      </w:r>
    </w:p>
  </w:footnote>
  <w:footnote w:id="11">
    <w:p w:rsidR="00000000" w:rsidRDefault="00000000">
      <w:pPr>
        <w:pStyle w:val="FootnoteText"/>
      </w:pPr>
      <w:r>
        <w:rPr>
          <w:rStyle w:val="FootnoteReference"/>
        </w:rPr>
        <w:footnoteRef/>
      </w:r>
      <w:r>
        <w:t xml:space="preserve"> </w:t>
      </w:r>
      <w:r>
        <w:tab/>
      </w:r>
      <w:r>
        <w:rPr>
          <w:i/>
          <w:iCs/>
        </w:rPr>
        <w:t>Estrategia de asistencia al país para la República del Paraguay</w:t>
      </w:r>
      <w:r>
        <w:t>, 2004/2007, Banco Mundial.  Стратегия помощи стране (Республика Парагвай) на 2004</w:t>
      </w:r>
      <w:r>
        <w:noBreakHyphen/>
        <w:t>2007 годы.  Всемирный банк.</w:t>
      </w:r>
    </w:p>
  </w:footnote>
  <w:footnote w:id="12">
    <w:p w:rsidR="00000000" w:rsidRDefault="00000000">
      <w:pPr>
        <w:pStyle w:val="FootnoteText"/>
      </w:pPr>
      <w:r>
        <w:rPr>
          <w:rStyle w:val="FootnoteReference"/>
        </w:rPr>
        <w:footnoteRef/>
      </w:r>
      <w:r>
        <w:t xml:space="preserve"> </w:t>
      </w:r>
      <w:r>
        <w:tab/>
        <w:t>Показатель валового национального продукта на душу населения, измеряемый по используемому Всемирным банком методу Атласа, снизился с 1 810 долл. США в 1998 году до 1 170 долл. США в 2002 году.</w:t>
      </w:r>
    </w:p>
  </w:footnote>
  <w:footnote w:id="13">
    <w:p w:rsidR="00000000" w:rsidRDefault="00000000">
      <w:pPr>
        <w:pStyle w:val="FootnoteText"/>
      </w:pPr>
      <w:r>
        <w:rPr>
          <w:rStyle w:val="FootnoteReference"/>
        </w:rPr>
        <w:footnoteRef/>
      </w:r>
      <w:r>
        <w:t xml:space="preserve"> </w:t>
      </w:r>
      <w:r>
        <w:tab/>
        <w:t>Показатель валового национального продукта на душу населения, измеряемый по используемой Всемирным банком методологии Атлас, снизился с 1 810 долл. США в 1998 году до 1 170 долл. США в 2002 году.</w:t>
      </w:r>
    </w:p>
    <w:p w:rsidR="00000000" w:rsidRDefault="00000000">
      <w:pPr>
        <w:pStyle w:val="FootnoteText"/>
      </w:pPr>
    </w:p>
  </w:footnote>
  <w:footnote w:id="14">
    <w:p w:rsidR="00000000" w:rsidRDefault="00000000">
      <w:pPr>
        <w:pStyle w:val="FootnoteText"/>
      </w:pPr>
      <w:r>
        <w:rPr>
          <w:rStyle w:val="FootnoteReference"/>
        </w:rPr>
        <w:footnoteRef/>
      </w:r>
      <w:r>
        <w:t xml:space="preserve"> </w:t>
      </w:r>
      <w:r>
        <w:tab/>
      </w:r>
      <w:r>
        <w:rPr>
          <w:i/>
          <w:iCs/>
        </w:rPr>
        <w:t>Estrategia de asistencia al país para la República del Paraguay</w:t>
      </w:r>
      <w:r>
        <w:t>, 2004/2007, Banco Mundial.</w:t>
      </w:r>
    </w:p>
    <w:p w:rsidR="00000000" w:rsidRDefault="00000000">
      <w:pPr>
        <w:pStyle w:val="FootnoteText"/>
      </w:pPr>
    </w:p>
  </w:footnote>
  <w:footnote w:id="15">
    <w:p w:rsidR="00000000" w:rsidRDefault="00000000">
      <w:pPr>
        <w:pStyle w:val="FootnoteText"/>
      </w:pPr>
      <w:r>
        <w:rPr>
          <w:rStyle w:val="FootnoteReference"/>
        </w:rPr>
        <w:footnoteRef/>
      </w:r>
      <w:r>
        <w:t xml:space="preserve"> </w:t>
      </w:r>
      <w:r>
        <w:tab/>
        <w:t xml:space="preserve">См. приложение </w:t>
      </w:r>
      <w:r>
        <w:rPr>
          <w:lang w:val="en-US"/>
        </w:rPr>
        <w:t>II</w:t>
      </w:r>
      <w:r>
        <w:t xml:space="preserve"> "Нормативные рамки защиты прав человека", содержащее выдержку из соответствующей части периодического доклада Парагвая Комитету по правам человека, который был представлен 28 июня 2004 года.</w:t>
      </w:r>
    </w:p>
    <w:p w:rsidR="00000000" w:rsidRDefault="00000000">
      <w:pPr>
        <w:pStyle w:val="FootnoteText"/>
      </w:pPr>
    </w:p>
  </w:footnote>
  <w:footnote w:id="16">
    <w:p w:rsidR="00000000" w:rsidRDefault="00000000">
      <w:pPr>
        <w:pStyle w:val="FootnoteText"/>
      </w:pPr>
      <w:r>
        <w:rPr>
          <w:rStyle w:val="FootnoteReference"/>
        </w:rPr>
        <w:footnoteRef/>
      </w:r>
      <w:r>
        <w:t xml:space="preserve"> </w:t>
      </w:r>
      <w:r>
        <w:tab/>
        <w:t>Настоящая вторая часть периодического доклада Парагвая за период 1994</w:t>
      </w:r>
      <w:r>
        <w:noBreakHyphen/>
        <w:t>2005 годов содержит ответы государства на вопросы, содержащиеся в Пересмотренных общих руководящих принципах в отношении формы и содержания докладов, представляемых государствами-участниками в соответствии со статьями 16 и 17 Международного пакта об экономических, социальных и культурных правах (основной справочный документ Е/С.12/1991/1).</w:t>
      </w:r>
    </w:p>
  </w:footnote>
  <w:footnote w:id="17">
    <w:p w:rsidR="00000000" w:rsidRDefault="00000000">
      <w:pPr>
        <w:pStyle w:val="FootnoteText"/>
      </w:pPr>
      <w:r>
        <w:rPr>
          <w:rStyle w:val="FootnoteReference"/>
        </w:rPr>
        <w:footnoteRef/>
      </w:r>
      <w:r>
        <w:t xml:space="preserve"> </w:t>
      </w:r>
      <w:r>
        <w:tab/>
        <w:t>См. содержащийся в приложении II документ "Земли, приобретенные Парагвайским институтом по делам коренных народов (ИНДИ) для расселения общин коренного населения".</w:t>
      </w:r>
    </w:p>
    <w:p w:rsidR="00000000" w:rsidRDefault="00000000">
      <w:pPr>
        <w:pStyle w:val="FootnoteText"/>
      </w:pPr>
    </w:p>
  </w:footnote>
  <w:footnote w:id="18">
    <w:p w:rsidR="00000000" w:rsidRDefault="00000000">
      <w:pPr>
        <w:pStyle w:val="FootnoteText"/>
      </w:pPr>
      <w:r>
        <w:rPr>
          <w:rStyle w:val="FootnoteReference"/>
        </w:rPr>
        <w:footnoteRef/>
      </w:r>
      <w:r>
        <w:t xml:space="preserve"> </w:t>
      </w:r>
      <w:r>
        <w:tab/>
        <w:t xml:space="preserve">См. приложение </w:t>
      </w:r>
      <w:r>
        <w:rPr>
          <w:lang w:val="en-US"/>
        </w:rPr>
        <w:t>IV</w:t>
      </w:r>
      <w:r>
        <w:t xml:space="preserve"> "Деятельность, осуществляемая парагвайским контингентом в составе миссии Организации Объединенных Наций".</w:t>
      </w:r>
    </w:p>
  </w:footnote>
  <w:footnote w:id="19">
    <w:p w:rsidR="00000000" w:rsidRDefault="00000000">
      <w:pPr>
        <w:pStyle w:val="FootnoteText"/>
      </w:pPr>
      <w:r>
        <w:rPr>
          <w:rStyle w:val="FootnoteReference"/>
        </w:rPr>
        <w:footnoteRef/>
      </w:r>
      <w:r>
        <w:t xml:space="preserve"> </w:t>
      </w:r>
      <w:r>
        <w:tab/>
      </w:r>
      <w:r>
        <w:rPr>
          <w:i/>
          <w:iCs/>
        </w:rPr>
        <w:t xml:space="preserve">Доклад о положении в социальной сфере за 2005 год, </w:t>
      </w:r>
      <w:r>
        <w:t>Главное управление статистики, обследований и переписи населения.</w:t>
      </w:r>
    </w:p>
  </w:footnote>
  <w:footnote w:id="20">
    <w:p w:rsidR="00000000" w:rsidRDefault="00000000">
      <w:pPr>
        <w:pStyle w:val="FootnoteText"/>
      </w:pPr>
      <w:r>
        <w:rPr>
          <w:rStyle w:val="FootnoteReference"/>
        </w:rPr>
        <w:footnoteRef/>
      </w:r>
      <w:r>
        <w:t xml:space="preserve"> </w:t>
      </w:r>
      <w:r>
        <w:tab/>
        <w:t>Национальная трехсторонняя комиссия по изучению и обеспечению равенства участия женщин в трудовой деятельности была образована в соответствии с Указом № 21403 от 11 июня 1998 года.  Состав Комиссии следующий:  представители государственных органов - министерство юстиции и труда в лице его Управления по улучшению социального положения трудящейся женщины, Секретариат по делам женщин при Администрации президента в лице ответственного за экономические и трудовые ресурсы;  представители работодателей - Ассоциация предпринимателей, менеджеров и специалистов (АПЕП), Федерация Производственная, промышленная и торговая федерация (ФЕПРИНКО), Ассоциация малых и средних предприятий (</w:t>
      </w:r>
      <w:r>
        <w:rPr>
          <w:lang w:val="en-US"/>
        </w:rPr>
        <w:t>A</w:t>
      </w:r>
      <w:r>
        <w:t>МСП), Организация женщин-предпринимателей;  представители трудящихся - Парагвайская конфедерация трудящихся (ПКТ), Национальный профцентр трудящихся (НПТ), Единый профцентр трудящихся (ЕПТ), Профцентр трудящихся Парагвая (ПТП), Всеобщий профцентр трудящихся (ВПТ), Подлинный единый профцентр трудящихся (ЕПТ-П).</w:t>
      </w:r>
    </w:p>
  </w:footnote>
  <w:footnote w:id="21">
    <w:p w:rsidR="00000000" w:rsidRDefault="00000000">
      <w:pPr>
        <w:pStyle w:val="FootnoteText"/>
        <w:rPr>
          <w:szCs w:val="24"/>
        </w:rPr>
      </w:pPr>
      <w:r>
        <w:rPr>
          <w:rStyle w:val="FootnoteReference"/>
        </w:rPr>
        <w:footnoteRef/>
      </w:r>
      <w:r>
        <w:t xml:space="preserve"> </w:t>
      </w:r>
      <w:r>
        <w:tab/>
      </w:r>
      <w:r>
        <w:rPr>
          <w:szCs w:val="24"/>
        </w:rPr>
        <w:t>Ратифицирована на основании Закона № 2332 от 19 декабря 2003 года, депонирована 3 марта 2004 года и вступила в силу для Парагвая 3 марта 2005 года.</w:t>
      </w:r>
    </w:p>
    <w:p w:rsidR="00000000" w:rsidRDefault="00000000">
      <w:pPr>
        <w:pStyle w:val="FootnoteText"/>
      </w:pPr>
    </w:p>
  </w:footnote>
  <w:footnote w:id="22">
    <w:p w:rsidR="00000000" w:rsidRDefault="00000000">
      <w:pPr>
        <w:pStyle w:val="FootnoteText"/>
        <w:rPr>
          <w:szCs w:val="26"/>
        </w:rPr>
      </w:pPr>
      <w:r>
        <w:rPr>
          <w:rStyle w:val="FootnoteReference"/>
        </w:rPr>
        <w:footnoteRef/>
      </w:r>
      <w:r>
        <w:t xml:space="preserve"> </w:t>
      </w:r>
      <w:r>
        <w:tab/>
      </w:r>
      <w:r>
        <w:rPr>
          <w:b/>
          <w:bCs/>
          <w:szCs w:val="24"/>
        </w:rPr>
        <w:t xml:space="preserve">Конвенция о правах ребенка.  </w:t>
      </w:r>
      <w:r>
        <w:rPr>
          <w:szCs w:val="24"/>
        </w:rPr>
        <w:t xml:space="preserve">Подписана в Нью-Йорке 4 апреля 1990 года. Ратифицирована на основании Закона № 57 от 20 ноября 1990 года.  </w:t>
      </w:r>
      <w:r>
        <w:rPr>
          <w:b/>
          <w:bCs/>
          <w:szCs w:val="24"/>
        </w:rPr>
        <w:t>Факультативный протокол к Конвенции, касающийся участия детей в вооруженных конфликтах.</w:t>
      </w:r>
      <w:r>
        <w:rPr>
          <w:szCs w:val="24"/>
        </w:rPr>
        <w:t xml:space="preserve">  Подписан в Нью-Йорке 13 ноября 2000 года.  Ратифицирован на основании Закона № 1897 </w:t>
      </w:r>
      <w:r>
        <w:rPr>
          <w:szCs w:val="26"/>
        </w:rPr>
        <w:t xml:space="preserve">от 27 мая 2002 года.  </w:t>
      </w:r>
      <w:r>
        <w:rPr>
          <w:b/>
          <w:bCs/>
          <w:szCs w:val="26"/>
        </w:rPr>
        <w:t xml:space="preserve">Факультативный протокол, касающийся торговли детьми, детской проституции и детской порнографии.  </w:t>
      </w:r>
      <w:r>
        <w:rPr>
          <w:szCs w:val="26"/>
        </w:rPr>
        <w:t>Подписан в Нью-Йорке 13 ноября 2000 года.  Ратифицирован на основании Закона № 2134/03 от 22 июля 2003 года.</w:t>
      </w:r>
    </w:p>
    <w:p w:rsidR="00000000" w:rsidRDefault="00000000">
      <w:pPr>
        <w:pStyle w:val="FootnoteText"/>
      </w:pPr>
    </w:p>
  </w:footnote>
  <w:footnote w:id="23">
    <w:p w:rsidR="00000000" w:rsidRDefault="00000000">
      <w:pPr>
        <w:shd w:val="clear" w:color="auto" w:fill="FFFFFF"/>
        <w:tabs>
          <w:tab w:val="left" w:pos="567"/>
          <w:tab w:val="left" w:pos="1134"/>
          <w:tab w:val="left" w:pos="1701"/>
          <w:tab w:val="left" w:pos="2268"/>
          <w:tab w:val="left" w:pos="7938"/>
        </w:tabs>
        <w:spacing w:line="240" w:lineRule="auto"/>
        <w:rPr>
          <w:szCs w:val="24"/>
        </w:rPr>
      </w:pPr>
      <w:r>
        <w:rPr>
          <w:rStyle w:val="FootnoteReference"/>
        </w:rPr>
        <w:footnoteRef/>
      </w:r>
      <w:r>
        <w:t xml:space="preserve"> </w:t>
      </w:r>
      <w:r>
        <w:tab/>
      </w:r>
      <w:r>
        <w:rPr>
          <w:szCs w:val="24"/>
        </w:rPr>
        <w:t xml:space="preserve">Кроме того, Трудовой кодекс устанавливает в подпункте </w:t>
      </w:r>
      <w:r>
        <w:rPr>
          <w:szCs w:val="24"/>
          <w:lang w:val="en-US"/>
        </w:rPr>
        <w:t>d</w:t>
      </w:r>
      <w:r>
        <w:rPr>
          <w:szCs w:val="24"/>
        </w:rPr>
        <w:t xml:space="preserve">) статьи 67, что трудящиеся имеют следующие права:  "...получать компенсации и другие выплаты, установленные законом, в рамках социального обеспечения и страхования ...". Другие уточнения и разъяснения:  Конституция Республики Парагвай, статья 95; Закон № 2053/05 " Общегосударственный бюджет.  Расходная часть", глава </w:t>
      </w:r>
      <w:r>
        <w:rPr>
          <w:szCs w:val="24"/>
          <w:lang w:val="en-US"/>
        </w:rPr>
        <w:t>V</w:t>
      </w:r>
      <w:r>
        <w:rPr>
          <w:szCs w:val="24"/>
        </w:rPr>
        <w:t xml:space="preserve"> "О социальном страховании и пенсионном обеспечении", статьи 48-62;  Закон № 375/56 "Об Институте социального обеспечения" с уточнениями и изменениями, внесенными законами № 1085/65, 427/73 и 98/92, статьи 30-61;  Закон № 2.345/03 "Реформа Пенсионного</w:t>
      </w:r>
      <w:r>
        <w:rPr>
          <w:i/>
          <w:iCs/>
          <w:szCs w:val="24"/>
        </w:rPr>
        <w:t xml:space="preserve"> </w:t>
      </w:r>
      <w:r>
        <w:rPr>
          <w:szCs w:val="24"/>
        </w:rPr>
        <w:t>фонда.  Система пенсионных выплат и доплат в государственном секторе".</w:t>
      </w:r>
    </w:p>
  </w:footnote>
  <w:footnote w:id="24">
    <w:p w:rsidR="00000000" w:rsidRDefault="00000000">
      <w:pPr>
        <w:pStyle w:val="FootnoteText"/>
      </w:pPr>
      <w:r>
        <w:rPr>
          <w:rStyle w:val="FootnoteReference"/>
        </w:rPr>
        <w:footnoteRef/>
      </w:r>
      <w:r>
        <w:t xml:space="preserve"> </w:t>
      </w:r>
      <w:r>
        <w:tab/>
        <w:t>Национальная политика в области детства и юношества - ПОЛНА;  Национальный план действий в интересах детей и подростков - НПДП.  Национальный секретариат по делам детей и подростков.  Национальный совет по делам детей и подростков, Парагвай, июль 2003 год.</w:t>
      </w:r>
    </w:p>
  </w:footnote>
  <w:footnote w:id="25">
    <w:p w:rsidR="00000000" w:rsidRDefault="00000000">
      <w:pPr>
        <w:pStyle w:val="FootnoteText"/>
      </w:pPr>
      <w:r>
        <w:rPr>
          <w:rStyle w:val="FootnoteReference"/>
        </w:rPr>
        <w:footnoteRef/>
      </w:r>
      <w:r>
        <w:t xml:space="preserve"> </w:t>
      </w:r>
      <w:r>
        <w:tab/>
        <w:t xml:space="preserve">Главное управление статистики, обследований и переписей.  Комплексное обследование домохозяйств 2000-2001 годов.  Доклад о детской занятости, 2002 год. </w:t>
      </w:r>
    </w:p>
    <w:p w:rsidR="00000000" w:rsidRDefault="00000000">
      <w:pPr>
        <w:pStyle w:val="FootnoteText"/>
      </w:pPr>
    </w:p>
  </w:footnote>
  <w:footnote w:id="26">
    <w:p w:rsidR="00000000" w:rsidRDefault="00000000">
      <w:pPr>
        <w:pStyle w:val="FootnoteText"/>
      </w:pPr>
      <w:r>
        <w:rPr>
          <w:rStyle w:val="FootnoteReference"/>
        </w:rPr>
        <w:footnoteRef/>
      </w:r>
      <w:r>
        <w:t xml:space="preserve"> </w:t>
      </w:r>
      <w:r>
        <w:tab/>
        <w:t>Trabajo infantil rural en Canindeyú, Paraguay 2005, OIT-MPDL-AECI</w:t>
      </w:r>
    </w:p>
  </w:footnote>
  <w:footnote w:id="27">
    <w:p w:rsidR="00000000" w:rsidRDefault="00000000">
      <w:pPr>
        <w:pStyle w:val="FootnoteText"/>
      </w:pPr>
      <w:r>
        <w:rPr>
          <w:rStyle w:val="FootnoteReference"/>
        </w:rPr>
        <w:footnoteRef/>
      </w:r>
      <w:r>
        <w:rPr>
          <w:lang w:val="fr-FR"/>
        </w:rPr>
        <w:t xml:space="preserve"> </w:t>
      </w:r>
      <w:r>
        <w:rPr>
          <w:lang w:val="fr-FR"/>
        </w:rPr>
        <w:tab/>
      </w:r>
      <w:r>
        <w:rPr>
          <w:i/>
          <w:iCs/>
        </w:rPr>
        <w:t>Источник</w:t>
      </w:r>
      <w:r>
        <w:rPr>
          <w:lang w:val="fr-FR"/>
        </w:rPr>
        <w:t xml:space="preserve">:  Política Nacional de Niñez y Adolescencia - POLNA.  Plan Nacional de Acción por la Niñez y Adolescencia - PNA.  </w:t>
      </w:r>
      <w:r>
        <w:rPr>
          <w:i/>
          <w:iCs/>
          <w:lang w:val="fr-FR"/>
        </w:rPr>
        <w:t>Construir otro Paraguay para los niños, niñas y adolescentes</w:t>
      </w:r>
      <w:r>
        <w:rPr>
          <w:lang w:val="fr-FR"/>
        </w:rPr>
        <w:t xml:space="preserve"> publicado por la Secretaría Nacional de la Niñez y Adolescencia.</w:t>
      </w:r>
    </w:p>
    <w:p w:rsidR="00000000" w:rsidRDefault="00000000">
      <w:pPr>
        <w:pStyle w:val="FootnoteText"/>
      </w:pPr>
    </w:p>
  </w:footnote>
  <w:footnote w:id="28">
    <w:p w:rsidR="00000000" w:rsidRDefault="00000000">
      <w:pPr>
        <w:pStyle w:val="FootnoteText"/>
        <w:rPr>
          <w:i/>
          <w:iCs/>
          <w:lang w:val="fr-FR"/>
        </w:rPr>
      </w:pPr>
      <w:r>
        <w:rPr>
          <w:rStyle w:val="FootnoteReference"/>
        </w:rPr>
        <w:footnoteRef/>
      </w:r>
      <w:r>
        <w:rPr>
          <w:lang w:val="fr-FR"/>
        </w:rPr>
        <w:t xml:space="preserve"> </w:t>
      </w:r>
      <w:r>
        <w:rPr>
          <w:lang w:val="fr-FR"/>
        </w:rPr>
        <w:tab/>
      </w:r>
      <w:r>
        <w:rPr>
          <w:i/>
          <w:iCs/>
        </w:rPr>
        <w:t>Источник</w:t>
      </w:r>
      <w:r>
        <w:rPr>
          <w:lang w:val="fr-FR"/>
        </w:rPr>
        <w:t>:  Informe de la Oficina de Distribución de Causas Penales de la Capital.</w:t>
      </w:r>
    </w:p>
  </w:footnote>
  <w:footnote w:id="29">
    <w:p w:rsidR="00000000" w:rsidRDefault="00000000">
      <w:pPr>
        <w:pStyle w:val="FootnoteText"/>
      </w:pPr>
      <w:r>
        <w:rPr>
          <w:rStyle w:val="FootnoteReference"/>
        </w:rPr>
        <w:footnoteRef/>
      </w:r>
      <w:r>
        <w:tab/>
        <w:t>Самые последние официальные данные в отношении проблемы жилья основаны на оценках, подготовленных Управлением планирования Национального совета по жилищному строительству.</w:t>
      </w:r>
    </w:p>
  </w:footnote>
  <w:footnote w:id="30">
    <w:p w:rsidR="00000000" w:rsidRDefault="00000000">
      <w:pPr>
        <w:pStyle w:val="FootnoteText"/>
      </w:pPr>
      <w:r>
        <w:rPr>
          <w:rStyle w:val="FootnoteReference"/>
        </w:rPr>
        <w:footnoteRef/>
      </w:r>
      <w:r>
        <w:tab/>
        <w:t>Национальная служба санитарии окружающей среды (СЕНАСА), 2004 год.</w:t>
      </w:r>
    </w:p>
    <w:p w:rsidR="00000000" w:rsidRDefault="00000000">
      <w:pPr>
        <w:pStyle w:val="FootnoteText"/>
      </w:pPr>
    </w:p>
  </w:footnote>
  <w:footnote w:id="31">
    <w:p w:rsidR="00000000" w:rsidRDefault="00000000">
      <w:pPr>
        <w:pStyle w:val="FootnoteText"/>
      </w:pPr>
      <w:r>
        <w:rPr>
          <w:rStyle w:val="FootnoteReference"/>
        </w:rPr>
        <w:footnoteRef/>
      </w:r>
      <w:r>
        <w:t xml:space="preserve"> </w:t>
      </w:r>
      <w:r>
        <w:tab/>
      </w:r>
      <w:r>
        <w:rPr>
          <w:i/>
          <w:iCs/>
        </w:rPr>
        <w:t>Источник</w:t>
      </w:r>
      <w:r>
        <w:t>:  Национальная служба санитарии окружающей среды (СЕНАСА), 2005 год.</w:t>
      </w:r>
    </w:p>
  </w:footnote>
  <w:footnote w:id="32">
    <w:p w:rsidR="00000000" w:rsidRDefault="00000000">
      <w:pPr>
        <w:pStyle w:val="FootnoteText"/>
        <w:rPr>
          <w:i/>
          <w:iCs/>
          <w:lang w:val="fr-FR"/>
        </w:rPr>
      </w:pPr>
      <w:r>
        <w:rPr>
          <w:rStyle w:val="FootnoteReference"/>
        </w:rPr>
        <w:footnoteRef/>
      </w:r>
      <w:r>
        <w:rPr>
          <w:lang w:val="fr-FR"/>
        </w:rPr>
        <w:tab/>
      </w:r>
      <w:r>
        <w:rPr>
          <w:i/>
          <w:iCs/>
          <w:lang w:val="fr-FR"/>
        </w:rPr>
        <w:t>Diagnóstico de Residuos Sólidos Hospitalarios en el Paraguay - MSP y BS, OPS/OMS </w:t>
      </w:r>
      <w:r>
        <w:rPr>
          <w:i/>
          <w:iCs/>
          <w:lang w:val="fr-FR"/>
        </w:rPr>
        <w:noBreakHyphen/>
        <w:t> 2003.</w:t>
      </w:r>
    </w:p>
  </w:footnote>
  <w:footnote w:id="33">
    <w:p w:rsidR="00000000" w:rsidRDefault="00000000">
      <w:pPr>
        <w:pStyle w:val="FootnoteText"/>
      </w:pPr>
      <w:r>
        <w:rPr>
          <w:rStyle w:val="FootnoteReference"/>
        </w:rPr>
        <w:footnoteRef/>
      </w:r>
      <w:r>
        <w:rPr>
          <w:lang w:val="fr-FR"/>
        </w:rPr>
        <w:t xml:space="preserve"> </w:t>
      </w:r>
      <w:r>
        <w:rPr>
          <w:lang w:val="fr-FR"/>
        </w:rPr>
        <w:tab/>
      </w:r>
      <w:r>
        <w:rPr>
          <w:lang w:val="es-ES"/>
        </w:rPr>
        <w:t xml:space="preserve">Exclusión Social en Salud, 2003. </w:t>
      </w:r>
      <w:r>
        <w:rPr>
          <w:lang w:val="en-US"/>
        </w:rPr>
        <w:t>Paraguay</w:t>
      </w:r>
      <w:r>
        <w:t>.</w:t>
      </w:r>
    </w:p>
    <w:p w:rsidR="00000000" w:rsidRDefault="00000000">
      <w:pPr>
        <w:pStyle w:val="FootnoteText"/>
      </w:pPr>
    </w:p>
  </w:footnote>
  <w:footnote w:id="34">
    <w:p w:rsidR="00000000" w:rsidRDefault="00000000">
      <w:pPr>
        <w:pStyle w:val="FootnoteText"/>
      </w:pPr>
      <w:r>
        <w:rPr>
          <w:rStyle w:val="FootnoteReference"/>
        </w:rPr>
        <w:footnoteRef/>
      </w:r>
      <w:r>
        <w:t xml:space="preserve"> </w:t>
      </w:r>
      <w:r>
        <w:tab/>
        <w:t>Там же.</w:t>
      </w:r>
    </w:p>
    <w:p w:rsidR="00000000" w:rsidRDefault="00000000">
      <w:pPr>
        <w:pStyle w:val="FootnoteText"/>
      </w:pPr>
    </w:p>
  </w:footnote>
  <w:footnote w:id="35">
    <w:p w:rsidR="00000000" w:rsidRDefault="00000000">
      <w:pPr>
        <w:pStyle w:val="FootnoteText"/>
        <w:rPr>
          <w:bCs/>
        </w:rPr>
      </w:pPr>
      <w:r>
        <w:rPr>
          <w:rStyle w:val="FootnoteReference"/>
        </w:rPr>
        <w:footnoteRef/>
      </w:r>
      <w:r>
        <w:t xml:space="preserve"> </w:t>
      </w:r>
      <w:r>
        <w:tab/>
      </w:r>
      <w:r>
        <w:rPr>
          <w:bCs/>
          <w:i/>
          <w:iCs/>
        </w:rPr>
        <w:t>Источник</w:t>
      </w:r>
      <w:r>
        <w:rPr>
          <w:bCs/>
        </w:rPr>
        <w:t xml:space="preserve">:  </w:t>
      </w:r>
      <w:r>
        <w:rPr>
          <w:szCs w:val="14"/>
        </w:rPr>
        <w:t>ГУСОП</w:t>
      </w:r>
      <w:r>
        <w:rPr>
          <w:bCs/>
        </w:rPr>
        <w:t>.  Постоянное обследование домашних хозяйств 2004 года.</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42.5pt;width:28.05pt;height:146.05pt;z-index:1" filled="f" stroked="f">
          <v:textbox style="layout-flow:vertical;mso-next-textbox:#_x0000_s1026"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txbxContent>
          </v:textbox>
        </v:shape>
      </w:pict>
    </w:r>
    <w:r>
      <w:rPr>
        <w:lang w:val="en-US"/>
      </w:rPr>
      <w:t>E/C.12/PRY/3</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E/C.12/PRY/3</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7088"/>
      </w:tabs>
      <w:rPr>
        <w:rStyle w:val="PageNumber"/>
        <w:lang w:val="en-US"/>
      </w:rPr>
    </w:pPr>
  </w:p>
  <w:p w:rsidR="00000000" w:rsidRDefault="00000000">
    <w:pPr>
      <w:pStyle w:val="Header"/>
      <w:tabs>
        <w:tab w:val="left" w:pos="7088"/>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ru-RU"/>
      </w:rPr>
      <w:pict>
        <v:shapetype id="_x0000_t202" coordsize="21600,21600" o:spt="202" path="m,l,21600r21600,l21600,xe">
          <v:stroke joinstyle="miter"/>
          <v:path gradientshapeok="t" o:connecttype="rect"/>
        </v:shapetype>
        <v:shape id="_x0000_s1029" type="#_x0000_t202" style="position:absolute;margin-left:675.35pt;margin-top:52.45pt;width:45pt;height:135pt;z-index:4" stroked="f">
          <v:textbox style="layout-flow:vertical" inset="0,0,0,0">
            <w:txbxContent>
              <w:p w:rsidR="00000000" w:rsidRDefault="00000000">
                <w:pPr>
                  <w:rPr>
                    <w:lang w:val="en-US"/>
                  </w:rPr>
                </w:pPr>
                <w:r>
                  <w:rPr>
                    <w:lang w:val="en-US"/>
                  </w:rPr>
                  <w:t>E/C.12/PRY/3</w:t>
                </w: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28" type="#_x0000_t202" style="position:absolute;margin-left:682.55pt;margin-top:42.5pt;width:28.05pt;height:146.05pt;z-index:3" filled="f" stroked="f">
          <v:textbox style="layout-flow:vertical;mso-next-textbox:#_x0000_s1028"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txbxContent>
          </v:textbox>
        </v:shape>
      </w:pict>
    </w:r>
    <w:r>
      <w:rPr>
        <w:lang w:val="en-US"/>
      </w:rPr>
      <w:t>E/C.12/PRY/3</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E/C.12/PRY/3</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804"/>
      </w:tabs>
      <w:rPr>
        <w:rStyle w:val="PageNumber"/>
        <w:lang w:val="en-US"/>
      </w:rPr>
    </w:pPr>
  </w:p>
  <w:p w:rsidR="00000000" w:rsidRDefault="00000000">
    <w:pPr>
      <w:pStyle w:val="Header"/>
      <w:tabs>
        <w:tab w:val="left" w:pos="6804"/>
      </w:tabs>
      <w:rPr>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31" type="#_x0000_t202" style="position:absolute;margin-left:682.55pt;margin-top:42.5pt;width:28.05pt;height:104.15pt;z-index:6" filled="f" stroked="f">
          <v:textbox style="layout-flow:vertical;mso-next-textbox:#_x0000_s1031" inset="0,0,0,0">
            <w:txbxContent>
              <w:p w:rsidR="00000000" w:rsidRDefault="00000000">
                <w:pPr>
                  <w:rPr>
                    <w:lang w:val="en-US"/>
                  </w:rPr>
                </w:pPr>
                <w:r>
                  <w:rPr>
                    <w:lang w:val="en-US"/>
                  </w:rPr>
                  <w:t>E/C.12/PRY/3</w:t>
                </w: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ru-RU"/>
      </w:rPr>
      <w:pict>
        <v:shapetype id="_x0000_t202" coordsize="21600,21600" o:spt="202" path="m,l,21600r21600,l21600,xe">
          <v:stroke joinstyle="miter"/>
          <v:path gradientshapeok="t" o:connecttype="rect"/>
        </v:shapetype>
        <v:shape id="_x0000_s1030" type="#_x0000_t202" style="position:absolute;margin-left:684pt;margin-top:342.2pt;width:36pt;height:90pt;z-index:5;mso-position-vertical-relative:page" stroked="f">
          <v:textbox style="layout-flow:vertical" inset="0,0,0,0">
            <w:txbxContent>
              <w:p w:rsidR="00000000" w:rsidRDefault="00000000">
                <w:pPr>
                  <w:rPr>
                    <w:lang w:val="en-US"/>
                  </w:rPr>
                </w:pPr>
                <w:r>
                  <w:rPr>
                    <w:lang w:val="en-US"/>
                  </w:rPr>
                  <w:t>E/C.12/PRY/3</w:t>
                </w: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txbxContent>
          </v:textbox>
          <w10:wrap anchory="page"/>
          <w10:anchorlock/>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E/C.12/RPY/3</w:t>
    </w:r>
  </w:p>
  <w:p w:rsidR="00000000" w:rsidRDefault="00000000">
    <w:pPr>
      <w:pStyle w:val="Header"/>
      <w:rPr>
        <w:rStyle w:val="PageNumber"/>
        <w:lang w:val="en-US"/>
      </w:rPr>
    </w:pPr>
    <w:r>
      <w:rPr>
        <w:noProof/>
        <w:sz w:val="20"/>
        <w:lang w:val="en-US"/>
      </w:rPr>
      <w:pict>
        <v:shapetype id="_x0000_t202" coordsize="21600,21600" o:spt="202" path="m,l,21600r21600,l21600,xe">
          <v:stroke joinstyle="miter"/>
          <v:path gradientshapeok="t" o:connecttype="rect"/>
        </v:shapetype>
        <v:shape id="_x0000_s1041" type="#_x0000_t202" style="position:absolute;margin-left:682.55pt;margin-top:42.5pt;width:28.05pt;height:104.15pt;z-index:16" filled="f" stroked="f">
          <v:textbox style="layout-flow:vertical;mso-next-textbox:#_x0000_s1041" inset="0,0,0,0">
            <w:txbxContent>
              <w:p w:rsidR="00000000" w:rsidRDefault="00000000">
                <w:pPr>
                  <w:rPr>
                    <w:lang w:val="en-US"/>
                  </w:rPr>
                </w:pPr>
                <w:r>
                  <w:rPr>
                    <w:lang w:val="en-US"/>
                  </w:rPr>
                  <w:t>E/C.12/PRY/3</w:t>
                </w: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28</w:t>
                </w:r>
                <w:r>
                  <w:rPr>
                    <w:rStyle w:val="PageNumber"/>
                  </w:rPr>
                  <w:fldChar w:fldCharType="end"/>
                </w:r>
              </w:p>
            </w:txbxContent>
          </v:textbox>
        </v:shape>
      </w:pict>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28</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946"/>
      </w:tabs>
      <w:rPr>
        <w:lang w:val="en-US"/>
      </w:rPr>
    </w:pPr>
    <w:r>
      <w:rPr>
        <w:lang w:val="en-US"/>
      </w:rPr>
      <w:tab/>
    </w:r>
    <w:r>
      <w:rPr>
        <w:lang w:val="en-US"/>
      </w:rPr>
      <w:tab/>
      <w:t>E/C.12/RPY/3</w:t>
    </w:r>
  </w:p>
  <w:p w:rsidR="00000000" w:rsidRDefault="00000000">
    <w:pPr>
      <w:pStyle w:val="Header"/>
      <w:tabs>
        <w:tab w:val="left" w:pos="6946"/>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p w:rsidR="00000000" w:rsidRDefault="00000000">
    <w:pPr>
      <w:pStyle w:val="Header"/>
      <w:tabs>
        <w:tab w:val="left" w:pos="6946"/>
      </w:tabs>
      <w:rPr>
        <w:rStyle w:val="PageNumber"/>
        <w:lang w:val="en-US"/>
      </w:rPr>
    </w:pPr>
  </w:p>
  <w:p w:rsidR="00000000" w:rsidRDefault="00000000">
    <w:pPr>
      <w:pStyle w:val="Header"/>
      <w:tabs>
        <w:tab w:val="left" w:pos="6946"/>
      </w:tabs>
      <w:rPr>
        <w:lang w:val="en-US"/>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eastAsia="ru-RU"/>
      </w:rPr>
      <w:pict>
        <v:shapetype id="_x0000_t202" coordsize="21600,21600" o:spt="202" path="m,l,21600r21600,l21600,xe">
          <v:stroke joinstyle="miter"/>
          <v:path gradientshapeok="t" o:connecttype="rect"/>
        </v:shapetype>
        <v:shape id="_x0000_s1032" type="#_x0000_t202" style="position:absolute;margin-left:684pt;margin-top:342.2pt;width:36pt;height:90pt;z-index:7;mso-position-vertical-relative:page" stroked="f">
          <v:textbox style="layout-flow:vertical" inset="0,0,0,0">
            <w:txbxContent>
              <w:p w:rsidR="00000000" w:rsidRDefault="00000000">
                <w:pPr>
                  <w:rPr>
                    <w:lang w:val="en-US"/>
                  </w:rPr>
                </w:pPr>
                <w:r>
                  <w:rPr>
                    <w:lang w:val="en-US"/>
                  </w:rPr>
                  <w:t>E/C.12/PRY/3</w:t>
                </w: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txbxContent>
          </v:textbox>
          <w10:wrap anchory="page"/>
          <w10:anchorlock/>
        </v:shape>
      </w:pict>
    </w:r>
    <w:r>
      <w:rPr>
        <w:lang w:val="en-US"/>
      </w:rPr>
      <w:t>E/C.12/RPY/3</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E/C.12/PRY/3</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E/C.12/PRY/3</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eastAsia="ru-RU"/>
      </w:rPr>
      <w:pict>
        <v:shapetype id="_x0000_t202" coordsize="21600,21600" o:spt="202" path="m,l,21600r21600,l21600,xe">
          <v:stroke joinstyle="miter"/>
          <v:path gradientshapeok="t" o:connecttype="rect"/>
        </v:shapetype>
        <v:shape id="_x0000_s1033" type="#_x0000_t202" style="position:absolute;margin-left:684pt;margin-top:342.2pt;width:36pt;height:90pt;z-index:8;mso-position-vertical-relative:page" stroked="f">
          <v:textbox style="layout-flow:vertical" inset="0,0,0,0">
            <w:txbxContent>
              <w:p w:rsidR="00000000" w:rsidRDefault="00000000">
                <w:pPr>
                  <w:rPr>
                    <w:lang w:val="en-US"/>
                  </w:rPr>
                </w:pPr>
                <w:r>
                  <w:rPr>
                    <w:lang w:val="en-US"/>
                  </w:rPr>
                  <w:t>E/C.12/PRY/3</w:t>
                </w: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txbxContent>
          </v:textbox>
          <w10:wrap anchory="page"/>
          <w10:anchorlock/>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E/C.12/RPY/3</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54</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36" type="#_x0000_t202" style="position:absolute;margin-left:682.55pt;margin-top:42.5pt;width:28.05pt;height:146.05pt;z-index:11" filled="f" stroked="f">
          <v:textbox style="layout-flow:vertical;mso-next-textbox:#_x0000_s1036"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54</w:t>
                </w:r>
                <w:r>
                  <w:rPr>
                    <w:rStyle w:val="PageNumber"/>
                  </w:rPr>
                  <w:fldChar w:fldCharType="end"/>
                </w:r>
              </w:p>
            </w:txbxContent>
          </v:textbox>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left" w:pos="6663"/>
      </w:tabs>
      <w:rPr>
        <w:lang w:val="en-US"/>
      </w:rPr>
    </w:pPr>
    <w:r>
      <w:rPr>
        <w:lang w:val="en-US"/>
      </w:rPr>
      <w:tab/>
      <w:t>E/C.12/RPY/3</w:t>
    </w:r>
  </w:p>
  <w:p w:rsidR="00000000" w:rsidRDefault="00000000">
    <w:pPr>
      <w:pStyle w:val="Header"/>
      <w:tabs>
        <w:tab w:val="clear" w:pos="4153"/>
        <w:tab w:val="left" w:pos="6663"/>
      </w:tabs>
      <w:rPr>
        <w:rStyle w:val="PageNumber"/>
        <w:lang w:val="en-US"/>
      </w:rPr>
    </w:pP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55</w:t>
    </w:r>
    <w:r>
      <w:rPr>
        <w:rStyle w:val="PageNumber"/>
      </w:rPr>
      <w:fldChar w:fldCharType="end"/>
    </w:r>
  </w:p>
  <w:p w:rsidR="00000000" w:rsidRDefault="00000000">
    <w:pPr>
      <w:pStyle w:val="Header"/>
      <w:tabs>
        <w:tab w:val="clear" w:pos="4153"/>
        <w:tab w:val="left" w:pos="6663"/>
      </w:tabs>
      <w:rPr>
        <w:rStyle w:val="PageNumber"/>
        <w:lang w:val="en-US"/>
      </w:rPr>
    </w:pPr>
  </w:p>
  <w:p w:rsidR="00000000" w:rsidRDefault="00000000">
    <w:pPr>
      <w:pStyle w:val="Header"/>
      <w:tabs>
        <w:tab w:val="clear" w:pos="4153"/>
        <w:tab w:val="left" w:pos="6663"/>
      </w:tabs>
      <w:rPr>
        <w:lang w:val="en-US"/>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42" type="#_x0000_t202" style="position:absolute;margin-left:682.55pt;margin-top:42.5pt;width:28.05pt;height:146.05pt;z-index:17" filled="f" stroked="f">
          <v:textbox style="layout-flow:vertical;mso-next-textbox:#_x0000_s1042" inset="0,0,0,0">
            <w:txbxContent>
              <w:p w:rsidR="00000000" w:rsidRDefault="00000000">
                <w:pPr>
                  <w:rPr>
                    <w:lang w:val="en-US"/>
                  </w:rPr>
                </w:pPr>
                <w:r>
                  <w:rPr>
                    <w:lang w:val="en-US"/>
                  </w:rPr>
                  <w:t>E/C.12/PRY/3</w:t>
                </w: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182</w:t>
                </w:r>
                <w:r>
                  <w:rPr>
                    <w:rStyle w:val="PageNumber"/>
                  </w:rPr>
                  <w:fldChar w:fldCharType="end"/>
                </w:r>
              </w:p>
            </w:txbxContent>
          </v:textbox>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noProof/>
        <w:sz w:val="20"/>
        <w:lang w:eastAsia="ru-RU"/>
      </w:rPr>
      <w:pict>
        <v:shapetype id="_x0000_t202" coordsize="21600,21600" o:spt="202" path="m,l,21600r21600,l21600,xe">
          <v:stroke joinstyle="miter"/>
          <v:path gradientshapeok="t" o:connecttype="rect"/>
        </v:shapetype>
        <v:shape id="_x0000_s1034" type="#_x0000_t202" style="position:absolute;margin-left:684pt;margin-top:342.2pt;width:36pt;height:90pt;z-index:9;mso-position-vertical-relative:page" stroked="f">
          <v:textbox style="layout-flow:vertical" inset="0,0,0,0">
            <w:txbxContent>
              <w:p w:rsidR="00000000" w:rsidRDefault="00000000">
                <w:pPr>
                  <w:rPr>
                    <w:lang w:val="en-US"/>
                  </w:rPr>
                </w:pPr>
                <w:r>
                  <w:rPr>
                    <w:lang w:val="en-US"/>
                  </w:rPr>
                  <w:t>E/C.12/PRY/3</w:t>
                </w: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183</w:t>
                </w:r>
                <w:r>
                  <w:rPr>
                    <w:rStyle w:val="PageNumber"/>
                  </w:rPr>
                  <w:fldChar w:fldCharType="end"/>
                </w:r>
              </w:p>
            </w:txbxContent>
          </v:textbox>
          <w10:wrap anchory="page"/>
          <w10:anchorlock/>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noProof/>
        <w:sz w:val="20"/>
        <w:lang w:val="en-US"/>
      </w:rPr>
      <w:pict>
        <v:shapetype id="_x0000_t202" coordsize="21600,21600" o:spt="202" path="m,l,21600r21600,l21600,xe">
          <v:stroke joinstyle="miter"/>
          <v:path gradientshapeok="t" o:connecttype="rect"/>
        </v:shapetype>
        <v:shape id="_x0000_s1044" type="#_x0000_t202" style="position:absolute;margin-left:682.55pt;margin-top:42.5pt;width:28.05pt;height:146.05pt;z-index:19" filled="f" stroked="f">
          <v:textbox style="layout-flow:vertical;mso-next-textbox:#_x0000_s1044" inset="0,0,0,0">
            <w:txbxContent>
              <w:p w:rsidR="00000000" w:rsidRDefault="00000000">
                <w:pPr>
                  <w:rPr>
                    <w:lang w:val="en-US"/>
                  </w:rPr>
                </w:pPr>
                <w:r>
                  <w:rPr>
                    <w:lang w:val="en-US"/>
                  </w:rPr>
                  <w:t>E/C.12/PRY/3</w:t>
                </w: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186</w:t>
                </w:r>
                <w:r>
                  <w:rPr>
                    <w:rStyle w:val="PageNumber"/>
                  </w:rPr>
                  <w:fldChar w:fldCharType="end"/>
                </w:r>
              </w:p>
            </w:txbxContent>
          </v:textbox>
        </v:shape>
      </w:pict>
    </w:r>
    <w:r>
      <w:rPr>
        <w:lang w:val="en-US"/>
      </w:rPr>
      <w:t>E/C.12/PRY/3</w:t>
    </w:r>
  </w:p>
  <w:p w:rsidR="00000000" w:rsidRDefault="00000000">
    <w:pPr>
      <w:pStyle w:val="Header"/>
      <w:tabs>
        <w:tab w:val="left" w:pos="7371"/>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186</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7371"/>
      </w:tabs>
      <w:rPr>
        <w:lang w:val="en-US"/>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noProof/>
        <w:sz w:val="20"/>
        <w:lang w:eastAsia="ru-RU"/>
      </w:rPr>
      <w:pict>
        <v:shapetype id="_x0000_t202" coordsize="21600,21600" o:spt="202" path="m,l,21600r21600,l21600,xe">
          <v:stroke joinstyle="miter"/>
          <v:path gradientshapeok="t" o:connecttype="rect"/>
        </v:shapetype>
        <v:shape id="_x0000_s1043" type="#_x0000_t202" style="position:absolute;margin-left:684pt;margin-top:342.2pt;width:36pt;height:90pt;z-index:18;mso-position-vertical-relative:page" stroked="f">
          <v:textbox style="layout-flow:vertical" inset="0,0,0,0">
            <w:txbxContent>
              <w:p w:rsidR="00000000" w:rsidRDefault="00000000">
                <w:pPr>
                  <w:rPr>
                    <w:lang w:val="en-US"/>
                  </w:rPr>
                </w:pPr>
                <w:r>
                  <w:rPr>
                    <w:lang w:val="en-US"/>
                  </w:rPr>
                  <w:t>E/C.12/PRY/3</w:t>
                </w: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183</w:t>
                </w:r>
                <w:r>
                  <w:rPr>
                    <w:rStyle w:val="PageNumber"/>
                  </w:rPr>
                  <w:fldChar w:fldCharType="end"/>
                </w:r>
              </w:p>
            </w:txbxContent>
          </v:textbox>
          <w10:wrap anchory="page"/>
          <w10:anchorlock/>
        </v:shape>
      </w:pict>
    </w:r>
    <w:r>
      <w:rPr>
        <w:lang w:val="en-US"/>
      </w:rPr>
      <w:tab/>
    </w:r>
    <w:r>
      <w:rPr>
        <w:lang w:val="en-US"/>
      </w:rPr>
      <w:tab/>
      <w:t>E/C.12/PRY/3</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183</w:t>
    </w:r>
    <w:r>
      <w:rPr>
        <w:rStyle w:val="PageNumber"/>
      </w:rPr>
      <w:fldChar w:fldCharType="end"/>
    </w:r>
  </w:p>
  <w:p w:rsidR="00000000" w:rsidRDefault="00000000">
    <w:pPr>
      <w:pStyle w:val="Header"/>
      <w:tabs>
        <w:tab w:val="left" w:pos="6804"/>
      </w:tabs>
      <w:rPr>
        <w:rStyle w:val="PageNumber"/>
        <w:lang w:val="en-US"/>
      </w:rPr>
    </w:pPr>
  </w:p>
  <w:p w:rsidR="00000000" w:rsidRDefault="00000000">
    <w:pPr>
      <w:pStyle w:val="Header"/>
      <w:tabs>
        <w:tab w:val="left" w:pos="6804"/>
      </w:tabs>
      <w:rPr>
        <w:lang w:val="en-US"/>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1038" type="#_x0000_t202" style="position:absolute;margin-left:682.55pt;margin-top:42.5pt;width:28.05pt;height:146.05pt;z-index:13" filled="f" stroked="f">
          <v:textbox style="layout-flow:vertical" inset="0,0,0,0">
            <w:txbxContent>
              <w:p w:rsidR="00000000" w:rsidRDefault="00000000">
                <w:pPr>
                  <w:rPr>
                    <w:lang w:val="en-US"/>
                  </w:rPr>
                </w:pPr>
                <w:r>
                  <w:rPr>
                    <w:lang w:val="en-US"/>
                  </w:rPr>
                  <w:t>E/C.12/PRY/3</w:t>
                </w: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188</w:t>
                </w:r>
                <w:r>
                  <w:rPr>
                    <w:rStyle w:val="PageNumber"/>
                  </w:rPr>
                  <w:fldChar w:fldCharType="end"/>
                </w:r>
              </w:p>
            </w:txbxContent>
          </v:textbox>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17.07.07 9:50</w:t>
    </w:r>
    <w:r>
      <w:tab/>
      <w:t xml:space="preserve">- </w:t>
    </w:r>
    <w:r>
      <w:fldChar w:fldCharType="begin"/>
    </w:r>
    <w:r>
      <w:instrText xml:space="preserve"> PAGE  \* MERGEFORMAT </w:instrText>
    </w:r>
    <w:r>
      <w:fldChar w:fldCharType="separate"/>
    </w:r>
    <w:r>
      <w:rPr>
        <w:noProof/>
      </w:rPr>
      <w:t>189</w:t>
    </w:r>
    <w:r>
      <w:fldChar w:fldCharType="end"/>
    </w:r>
    <w:r>
      <w:t xml:space="preserve"> -</w:t>
    </w:r>
    <w:r>
      <w:tab/>
    </w:r>
    <w:fldSimple w:instr=" FILENAME  \* MERGEFORMAT ">
      <w:r>
        <w:rPr>
          <w:noProof/>
        </w:rPr>
        <w:t>0740678.doc</w:t>
      </w:r>
    </w:fldSimple>
  </w:p>
  <w:p w:rsidR="00000000" w:rsidRDefault="00000000">
    <w:pPr>
      <w:pStyle w:val="Header"/>
    </w:pPr>
    <w:r>
      <w:tab/>
    </w:r>
    <w:r>
      <w:tab/>
      <w:t>Semifinal</w:t>
    </w:r>
  </w:p>
  <w:p w:rsidR="00000000" w:rsidRDefault="00000000">
    <w:pPr>
      <w:pStyle w:val="Head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E/C.12/PRY/3</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40" type="#_x0000_t202" style="position:absolute;margin-left:682.55pt;margin-top:42.5pt;width:28.05pt;height:146.05pt;z-index:15"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196</w:t>
                </w:r>
                <w:r>
                  <w:rPr>
                    <w:rStyle w:val="PageNumber"/>
                  </w:rPr>
                  <w:fldChar w:fldCharType="end"/>
                </w:r>
              </w:p>
            </w:txbxContent>
          </v:textbox>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rPr>
        <w:lang w:val="en-US"/>
      </w:rPr>
    </w:pPr>
    <w:r>
      <w:rPr>
        <w:lang w:val="en-US"/>
      </w:rPr>
      <w:tab/>
    </w:r>
    <w:r>
      <w:rPr>
        <w:lang w:val="en-US"/>
      </w:rPr>
      <w:tab/>
      <w:t>E/C.12/PRY/3</w:t>
    </w:r>
  </w:p>
  <w:p w:rsidR="00000000" w:rsidRDefault="00000000">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195</w:t>
    </w:r>
    <w:r>
      <w:rPr>
        <w:rStyle w:val="PageNumber"/>
      </w:rPr>
      <w:fldChar w:fldCharType="end"/>
    </w:r>
  </w:p>
  <w:p w:rsidR="00000000" w:rsidRDefault="00000000">
    <w:pPr>
      <w:pStyle w:val="Header"/>
      <w:tabs>
        <w:tab w:val="left" w:pos="7230"/>
      </w:tabs>
      <w:rPr>
        <w:rStyle w:val="PageNumber"/>
        <w:lang w:val="en-US"/>
      </w:rPr>
    </w:pPr>
  </w:p>
  <w:p w:rsidR="00000000" w:rsidRDefault="00000000">
    <w:pPr>
      <w:pStyle w:val="Header"/>
      <w:tabs>
        <w:tab w:val="left" w:pos="7230"/>
      </w:tabs>
      <w:rPr>
        <w:lang w:val="en-US"/>
      </w:rP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1046" type="#_x0000_t202" style="position:absolute;margin-left:682.55pt;margin-top:42.5pt;width:28.05pt;height:146.05pt;z-index:2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198</w:t>
                </w:r>
                <w:r>
                  <w:rPr>
                    <w:rStyle w:val="PageNumber"/>
                  </w:rPr>
                  <w:fldChar w:fldCharType="end"/>
                </w:r>
              </w:p>
            </w:txbxContent>
          </v:textbox>
        </v:shape>
      </w:pic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E/C.12/PRY/3</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47" type="#_x0000_t202" style="position:absolute;margin-left:682.55pt;margin-top:42.5pt;width:28.05pt;height:146.05pt;z-index:2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236</w:t>
                </w:r>
                <w:r>
                  <w:rPr>
                    <w:rStyle w:val="PageNumber"/>
                  </w:rPr>
                  <w:fldChar w:fldCharType="end"/>
                </w:r>
              </w:p>
            </w:txbxContent>
          </v:textbox>
        </v:shape>
      </w:pic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379"/>
      </w:tabs>
      <w:rPr>
        <w:lang w:val="en-US"/>
      </w:rPr>
    </w:pPr>
    <w:r>
      <w:rPr>
        <w:lang w:val="en-US"/>
      </w:rPr>
      <w:tab/>
    </w:r>
    <w:r>
      <w:rPr>
        <w:lang w:val="en-US"/>
      </w:rPr>
      <w:tab/>
      <w:t>E/C.12/PRY/3</w:t>
    </w:r>
  </w:p>
  <w:p w:rsidR="00000000" w:rsidRDefault="00000000">
    <w:pPr>
      <w:pStyle w:val="Header"/>
      <w:tabs>
        <w:tab w:val="left" w:pos="6379"/>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235</w:t>
    </w:r>
    <w:r>
      <w:rPr>
        <w:rStyle w:val="PageNumber"/>
      </w:rPr>
      <w:fldChar w:fldCharType="end"/>
    </w:r>
  </w:p>
  <w:p w:rsidR="00000000" w:rsidRDefault="00000000">
    <w:pPr>
      <w:pStyle w:val="Header"/>
      <w:tabs>
        <w:tab w:val="left" w:pos="6379"/>
      </w:tabs>
      <w:rPr>
        <w:rStyle w:val="PageNumber"/>
        <w:lang w:val="en-US"/>
      </w:rPr>
    </w:pPr>
  </w:p>
  <w:p w:rsidR="00000000" w:rsidRDefault="00000000">
    <w:pPr>
      <w:pStyle w:val="Header"/>
      <w:tabs>
        <w:tab w:val="left" w:pos="6379"/>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224C4124"/>
    <w:lvl w:ilvl="0">
      <w:numFmt w:val="bullet"/>
      <w:lvlText w:val="*"/>
      <w:lvlJc w:val="left"/>
    </w:lvl>
  </w:abstractNum>
  <w:abstractNum w:abstractNumId="2">
    <w:nsid w:val="007E01B1"/>
    <w:multiLevelType w:val="hybridMultilevel"/>
    <w:tmpl w:val="23D644B6"/>
    <w:lvl w:ilvl="0" w:tplc="0C0A0001">
      <w:start w:val="1"/>
      <w:numFmt w:val="bullet"/>
      <w:lvlText w:val=""/>
      <w:lvlJc w:val="left"/>
      <w:pPr>
        <w:tabs>
          <w:tab w:val="num" w:pos="720"/>
        </w:tabs>
        <w:ind w:left="720" w:hanging="360"/>
      </w:pPr>
      <w:rPr>
        <w:rFonts w:ascii="Symbol" w:hAnsi="Symbol" w:hint="default"/>
      </w:rPr>
    </w:lvl>
    <w:lvl w:ilvl="1" w:tplc="17C8DD6C">
      <w:start w:val="275"/>
      <w:numFmt w:val="decimal"/>
      <w:lvlText w:val="%2."/>
      <w:lvlJc w:val="left"/>
      <w:pPr>
        <w:tabs>
          <w:tab w:val="num" w:pos="1500"/>
        </w:tabs>
        <w:ind w:left="1500" w:hanging="42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0C70C38"/>
    <w:multiLevelType w:val="hybridMultilevel"/>
    <w:tmpl w:val="4D809182"/>
    <w:lvl w:ilvl="0" w:tplc="4C001FF4">
      <w:start w:val="1"/>
      <w:numFmt w:val="upperLetter"/>
      <w:lvlText w:val="%1."/>
      <w:lvlJc w:val="left"/>
      <w:pPr>
        <w:tabs>
          <w:tab w:val="num" w:pos="720"/>
        </w:tabs>
        <w:ind w:left="720" w:hanging="360"/>
      </w:pPr>
      <w:rPr>
        <w:rFonts w:hint="default"/>
        <w:b/>
      </w:rPr>
    </w:lvl>
    <w:lvl w:ilvl="1" w:tplc="0C0A0019">
      <w:start w:val="1"/>
      <w:numFmt w:val="lowerLetter"/>
      <w:lvlText w:val="%2."/>
      <w:lvlJc w:val="left"/>
      <w:pPr>
        <w:tabs>
          <w:tab w:val="num" w:pos="1440"/>
        </w:tabs>
        <w:ind w:left="1440" w:hanging="360"/>
      </w:pPr>
    </w:lvl>
    <w:lvl w:ilvl="2" w:tplc="22521974">
      <w:start w:val="1"/>
      <w:numFmt w:val="decimal"/>
      <w:lvlText w:val="%3."/>
      <w:lvlJc w:val="left"/>
      <w:pPr>
        <w:tabs>
          <w:tab w:val="num" w:pos="2340"/>
        </w:tabs>
        <w:ind w:left="2340" w:hanging="360"/>
      </w:pPr>
      <w:rPr>
        <w:rFonts w:hint="default"/>
      </w:rPr>
    </w:lvl>
    <w:lvl w:ilvl="3" w:tplc="0C0A0001">
      <w:start w:val="1"/>
      <w:numFmt w:val="bullet"/>
      <w:lvlText w:val=""/>
      <w:lvlJc w:val="left"/>
      <w:pPr>
        <w:tabs>
          <w:tab w:val="num" w:pos="2880"/>
        </w:tabs>
        <w:ind w:left="2880" w:hanging="360"/>
      </w:pPr>
      <w:rPr>
        <w:rFonts w:ascii="Symbol" w:hAnsi="Symbol" w:hint="default"/>
        <w:b/>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27604D2"/>
    <w:multiLevelType w:val="hybridMultilevel"/>
    <w:tmpl w:val="812C190C"/>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1">
      <w:start w:val="1"/>
      <w:numFmt w:val="bullet"/>
      <w:lvlText w:val=""/>
      <w:lvlJc w:val="left"/>
      <w:pPr>
        <w:tabs>
          <w:tab w:val="num" w:pos="1440"/>
        </w:tabs>
        <w:ind w:left="1440" w:hanging="360"/>
      </w:pPr>
      <w:rPr>
        <w:rFonts w:ascii="Symbol" w:hAnsi="Symbol" w:hint="default"/>
        <w:color w:val="auto"/>
      </w:rPr>
    </w:lvl>
    <w:lvl w:ilvl="2" w:tplc="0C0A000F">
      <w:start w:val="1"/>
      <w:numFmt w:val="decimal"/>
      <w:lvlText w:val="%3."/>
      <w:lvlJc w:val="left"/>
      <w:pPr>
        <w:tabs>
          <w:tab w:val="num" w:pos="2340"/>
        </w:tabs>
        <w:ind w:left="2340" w:hanging="360"/>
      </w:pPr>
      <w:rPr>
        <w:rFont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03E75C59"/>
    <w:multiLevelType w:val="singleLevel"/>
    <w:tmpl w:val="0C0A0017"/>
    <w:lvl w:ilvl="0">
      <w:start w:val="1"/>
      <w:numFmt w:val="lowerLetter"/>
      <w:lvlText w:val="%1)"/>
      <w:lvlJc w:val="left"/>
      <w:pPr>
        <w:tabs>
          <w:tab w:val="num" w:pos="360"/>
        </w:tabs>
        <w:ind w:left="360" w:hanging="360"/>
      </w:pPr>
    </w:lvl>
  </w:abstractNum>
  <w:abstractNum w:abstractNumId="6">
    <w:nsid w:val="045F7107"/>
    <w:multiLevelType w:val="hybridMultilevel"/>
    <w:tmpl w:val="921CD8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05814B07"/>
    <w:multiLevelType w:val="hybridMultilevel"/>
    <w:tmpl w:val="2AC07A58"/>
    <w:lvl w:ilvl="0" w:tplc="0C0A0001">
      <w:start w:val="1"/>
      <w:numFmt w:val="bullet"/>
      <w:lvlText w:val=""/>
      <w:lvlJc w:val="left"/>
      <w:pPr>
        <w:tabs>
          <w:tab w:val="num" w:pos="1800"/>
        </w:tabs>
        <w:ind w:left="1800" w:hanging="360"/>
      </w:pPr>
      <w:rPr>
        <w:rFonts w:ascii="Symbol" w:hAnsi="Symbol"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8">
    <w:nsid w:val="05B76F5A"/>
    <w:multiLevelType w:val="hybridMultilevel"/>
    <w:tmpl w:val="288007E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06AD4182"/>
    <w:multiLevelType w:val="hybridMultilevel"/>
    <w:tmpl w:val="AB905E9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nsid w:val="06DE27F5"/>
    <w:multiLevelType w:val="hybridMultilevel"/>
    <w:tmpl w:val="4F666638"/>
    <w:lvl w:ilvl="0" w:tplc="44086C62">
      <w:start w:val="1"/>
      <w:numFmt w:val="bullet"/>
      <w:lvlText w:val=""/>
      <w:lvlJc w:val="left"/>
      <w:pPr>
        <w:tabs>
          <w:tab w:val="num" w:pos="1134"/>
        </w:tabs>
        <w:ind w:left="1134" w:hanging="567"/>
      </w:pPr>
      <w:rPr>
        <w:rFonts w:ascii="Symbol" w:hAnsi="Symbol" w:hint="default"/>
        <w:color w:val="auto"/>
      </w:rPr>
    </w:lvl>
    <w:lvl w:ilvl="1" w:tplc="4B207D9A">
      <w:start w:val="65535"/>
      <w:numFmt w:val="bullet"/>
      <w:lvlText w:val="•"/>
      <w:legacy w:legacy="1" w:legacySpace="567" w:legacyIndent="350"/>
      <w:lvlJc w:val="left"/>
      <w:rPr>
        <w:rFonts w:ascii="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079340B7"/>
    <w:multiLevelType w:val="hybridMultilevel"/>
    <w:tmpl w:val="5936C964"/>
    <w:lvl w:ilvl="0" w:tplc="0C0A0001">
      <w:start w:val="1"/>
      <w:numFmt w:val="bullet"/>
      <w:lvlText w:val=""/>
      <w:lvlJc w:val="left"/>
      <w:pPr>
        <w:tabs>
          <w:tab w:val="num" w:pos="720"/>
        </w:tabs>
        <w:ind w:left="720" w:hanging="360"/>
      </w:pPr>
      <w:rPr>
        <w:rFonts w:ascii="Symbol" w:hAnsi="Symbol" w:hint="default"/>
      </w:rPr>
    </w:lvl>
    <w:lvl w:ilvl="1" w:tplc="19AEADE4">
      <w:start w:val="189"/>
      <w:numFmt w:val="decimal"/>
      <w:lvlText w:val="%2."/>
      <w:lvlJc w:val="left"/>
      <w:pPr>
        <w:tabs>
          <w:tab w:val="num" w:pos="1500"/>
        </w:tabs>
        <w:ind w:left="1500" w:hanging="420"/>
      </w:pPr>
      <w:rPr>
        <w:rFonts w:ascii="Times New Roman" w:hAnsi="Times New Roman" w:cs="Times New Roman" w:hint="default"/>
        <w:b w:val="0"/>
        <w:i w:val="0"/>
        <w:sz w:val="24"/>
        <w:szCs w:val="24"/>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07A20D78"/>
    <w:multiLevelType w:val="hybridMultilevel"/>
    <w:tmpl w:val="B3649C36"/>
    <w:lvl w:ilvl="0" w:tplc="44086C62">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7D760E1"/>
    <w:multiLevelType w:val="hybridMultilevel"/>
    <w:tmpl w:val="13203B14"/>
    <w:lvl w:ilvl="0" w:tplc="0C0A0015">
      <w:start w:val="1"/>
      <w:numFmt w:val="upp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088F19D0"/>
    <w:multiLevelType w:val="hybridMultilevel"/>
    <w:tmpl w:val="CD0E0A90"/>
    <w:lvl w:ilvl="0" w:tplc="A14ED85A">
      <w:start w:val="1"/>
      <w:numFmt w:val="bullet"/>
      <w:lvlText w:val="–"/>
      <w:lvlJc w:val="left"/>
      <w:pPr>
        <w:tabs>
          <w:tab w:val="num" w:pos="1191"/>
        </w:tabs>
        <w:ind w:left="1191" w:hanging="624"/>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0A825D93"/>
    <w:multiLevelType w:val="hybridMultilevel"/>
    <w:tmpl w:val="0FFA51D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0AE941C5"/>
    <w:multiLevelType w:val="hybridMultilevel"/>
    <w:tmpl w:val="EB0CB438"/>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7">
    <w:nsid w:val="0B0E3C8E"/>
    <w:multiLevelType w:val="hybridMultilevel"/>
    <w:tmpl w:val="2480AC14"/>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0BFA1F30"/>
    <w:multiLevelType w:val="hybridMultilevel"/>
    <w:tmpl w:val="6A780B96"/>
    <w:lvl w:ilvl="0" w:tplc="0C0A0001">
      <w:start w:val="1"/>
      <w:numFmt w:val="bullet"/>
      <w:lvlText w:val=""/>
      <w:lvlJc w:val="left"/>
      <w:pPr>
        <w:tabs>
          <w:tab w:val="num" w:pos="720"/>
        </w:tabs>
        <w:ind w:left="720" w:hanging="360"/>
      </w:pPr>
      <w:rPr>
        <w:rFonts w:ascii="Symbol" w:hAnsi="Symbol" w:hint="default"/>
      </w:rPr>
    </w:lvl>
    <w:lvl w:ilvl="1" w:tplc="C83EA9EC">
      <w:start w:val="6"/>
      <w:numFmt w:val="decimal"/>
      <w:lvlText w:val="%2."/>
      <w:lvlJc w:val="left"/>
      <w:pPr>
        <w:tabs>
          <w:tab w:val="num" w:pos="1440"/>
        </w:tabs>
        <w:ind w:left="1440" w:hanging="360"/>
      </w:pPr>
      <w:rPr>
        <w:rFonts w:hint="default"/>
      </w:rPr>
    </w:lvl>
    <w:lvl w:ilvl="2" w:tplc="0F6E6AE8">
      <w:start w:val="560"/>
      <w:numFmt w:val="decimal"/>
      <w:lvlText w:val="%3."/>
      <w:lvlJc w:val="left"/>
      <w:pPr>
        <w:tabs>
          <w:tab w:val="num" w:pos="2377"/>
        </w:tabs>
        <w:ind w:left="2434" w:hanging="454"/>
      </w:pPr>
      <w:rPr>
        <w:rFonts w:ascii="Times New Roman" w:hAnsi="Times New Roman" w:cs="Times New Roman" w:hint="default"/>
        <w:b w:val="0"/>
        <w:i w:val="0"/>
        <w:color w:val="auto"/>
        <w:sz w:val="24"/>
        <w:szCs w:val="24"/>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0CCF1401"/>
    <w:multiLevelType w:val="hybridMultilevel"/>
    <w:tmpl w:val="BB5079BC"/>
    <w:lvl w:ilvl="0" w:tplc="AFA85F7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0FE5653F"/>
    <w:multiLevelType w:val="hybridMultilevel"/>
    <w:tmpl w:val="D9064730"/>
    <w:lvl w:ilvl="0" w:tplc="E04A2A30">
      <w:start w:val="3"/>
      <w:numFmt w:val="upperRoman"/>
      <w:lvlText w:val="%1."/>
      <w:lvlJc w:val="left"/>
      <w:pPr>
        <w:tabs>
          <w:tab w:val="num" w:pos="1080"/>
        </w:tabs>
        <w:ind w:left="1080" w:hanging="720"/>
      </w:pPr>
      <w:rPr>
        <w:rFonts w:hint="default"/>
      </w:rPr>
    </w:lvl>
    <w:lvl w:ilvl="1" w:tplc="0C0A000F">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103611C3"/>
    <w:multiLevelType w:val="hybridMultilevel"/>
    <w:tmpl w:val="3D10EE3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10C803E9"/>
    <w:multiLevelType w:val="hybridMultilevel"/>
    <w:tmpl w:val="501E1B02"/>
    <w:lvl w:ilvl="0" w:tplc="0C0A0001">
      <w:start w:val="1"/>
      <w:numFmt w:val="bullet"/>
      <w:lvlText w:val=""/>
      <w:lvlJc w:val="left"/>
      <w:pPr>
        <w:tabs>
          <w:tab w:val="num" w:pos="1780"/>
        </w:tabs>
        <w:ind w:left="1780" w:hanging="360"/>
      </w:pPr>
      <w:rPr>
        <w:rFonts w:ascii="Symbol" w:hAnsi="Symbol" w:hint="default"/>
      </w:rPr>
    </w:lvl>
    <w:lvl w:ilvl="1" w:tplc="0C0A0003" w:tentative="1">
      <w:start w:val="1"/>
      <w:numFmt w:val="bullet"/>
      <w:lvlText w:val="o"/>
      <w:lvlJc w:val="left"/>
      <w:pPr>
        <w:tabs>
          <w:tab w:val="num" w:pos="2500"/>
        </w:tabs>
        <w:ind w:left="2500" w:hanging="360"/>
      </w:pPr>
      <w:rPr>
        <w:rFonts w:ascii="Courier New" w:hAnsi="Courier New" w:cs="Courier New" w:hint="default"/>
      </w:rPr>
    </w:lvl>
    <w:lvl w:ilvl="2" w:tplc="0C0A0005" w:tentative="1">
      <w:start w:val="1"/>
      <w:numFmt w:val="bullet"/>
      <w:lvlText w:val=""/>
      <w:lvlJc w:val="left"/>
      <w:pPr>
        <w:tabs>
          <w:tab w:val="num" w:pos="3220"/>
        </w:tabs>
        <w:ind w:left="3220" w:hanging="360"/>
      </w:pPr>
      <w:rPr>
        <w:rFonts w:ascii="Wingdings" w:hAnsi="Wingdings" w:hint="default"/>
      </w:rPr>
    </w:lvl>
    <w:lvl w:ilvl="3" w:tplc="0C0A0001" w:tentative="1">
      <w:start w:val="1"/>
      <w:numFmt w:val="bullet"/>
      <w:lvlText w:val=""/>
      <w:lvlJc w:val="left"/>
      <w:pPr>
        <w:tabs>
          <w:tab w:val="num" w:pos="3940"/>
        </w:tabs>
        <w:ind w:left="3940" w:hanging="360"/>
      </w:pPr>
      <w:rPr>
        <w:rFonts w:ascii="Symbol" w:hAnsi="Symbol" w:hint="default"/>
      </w:rPr>
    </w:lvl>
    <w:lvl w:ilvl="4" w:tplc="0C0A0003" w:tentative="1">
      <w:start w:val="1"/>
      <w:numFmt w:val="bullet"/>
      <w:lvlText w:val="o"/>
      <w:lvlJc w:val="left"/>
      <w:pPr>
        <w:tabs>
          <w:tab w:val="num" w:pos="4660"/>
        </w:tabs>
        <w:ind w:left="4660" w:hanging="360"/>
      </w:pPr>
      <w:rPr>
        <w:rFonts w:ascii="Courier New" w:hAnsi="Courier New" w:cs="Courier New" w:hint="default"/>
      </w:rPr>
    </w:lvl>
    <w:lvl w:ilvl="5" w:tplc="0C0A0005" w:tentative="1">
      <w:start w:val="1"/>
      <w:numFmt w:val="bullet"/>
      <w:lvlText w:val=""/>
      <w:lvlJc w:val="left"/>
      <w:pPr>
        <w:tabs>
          <w:tab w:val="num" w:pos="5380"/>
        </w:tabs>
        <w:ind w:left="5380" w:hanging="360"/>
      </w:pPr>
      <w:rPr>
        <w:rFonts w:ascii="Wingdings" w:hAnsi="Wingdings" w:hint="default"/>
      </w:rPr>
    </w:lvl>
    <w:lvl w:ilvl="6" w:tplc="0C0A0001" w:tentative="1">
      <w:start w:val="1"/>
      <w:numFmt w:val="bullet"/>
      <w:lvlText w:val=""/>
      <w:lvlJc w:val="left"/>
      <w:pPr>
        <w:tabs>
          <w:tab w:val="num" w:pos="6100"/>
        </w:tabs>
        <w:ind w:left="6100" w:hanging="360"/>
      </w:pPr>
      <w:rPr>
        <w:rFonts w:ascii="Symbol" w:hAnsi="Symbol" w:hint="default"/>
      </w:rPr>
    </w:lvl>
    <w:lvl w:ilvl="7" w:tplc="0C0A0003" w:tentative="1">
      <w:start w:val="1"/>
      <w:numFmt w:val="bullet"/>
      <w:lvlText w:val="o"/>
      <w:lvlJc w:val="left"/>
      <w:pPr>
        <w:tabs>
          <w:tab w:val="num" w:pos="6820"/>
        </w:tabs>
        <w:ind w:left="6820" w:hanging="360"/>
      </w:pPr>
      <w:rPr>
        <w:rFonts w:ascii="Courier New" w:hAnsi="Courier New" w:cs="Courier New" w:hint="default"/>
      </w:rPr>
    </w:lvl>
    <w:lvl w:ilvl="8" w:tplc="0C0A0005" w:tentative="1">
      <w:start w:val="1"/>
      <w:numFmt w:val="bullet"/>
      <w:lvlText w:val=""/>
      <w:lvlJc w:val="left"/>
      <w:pPr>
        <w:tabs>
          <w:tab w:val="num" w:pos="7540"/>
        </w:tabs>
        <w:ind w:left="7540" w:hanging="360"/>
      </w:pPr>
      <w:rPr>
        <w:rFonts w:ascii="Wingdings" w:hAnsi="Wingdings" w:hint="default"/>
      </w:rPr>
    </w:lvl>
  </w:abstractNum>
  <w:abstractNum w:abstractNumId="23">
    <w:nsid w:val="114D6899"/>
    <w:multiLevelType w:val="hybridMultilevel"/>
    <w:tmpl w:val="05F62D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5">
    <w:nsid w:val="14F47D61"/>
    <w:multiLevelType w:val="multilevel"/>
    <w:tmpl w:val="ADEE2F5C"/>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15B86A8F"/>
    <w:multiLevelType w:val="hybridMultilevel"/>
    <w:tmpl w:val="6B2299E6"/>
    <w:lvl w:ilvl="0" w:tplc="0C0A0001">
      <w:start w:val="1"/>
      <w:numFmt w:val="bullet"/>
      <w:lvlText w:val=""/>
      <w:lvlJc w:val="left"/>
      <w:pPr>
        <w:tabs>
          <w:tab w:val="num" w:pos="1780"/>
        </w:tabs>
        <w:ind w:left="1780" w:hanging="360"/>
      </w:pPr>
      <w:rPr>
        <w:rFonts w:ascii="Symbol" w:hAnsi="Symbol" w:hint="default"/>
      </w:rPr>
    </w:lvl>
    <w:lvl w:ilvl="1" w:tplc="0C0A0003" w:tentative="1">
      <w:start w:val="1"/>
      <w:numFmt w:val="bullet"/>
      <w:lvlText w:val="o"/>
      <w:lvlJc w:val="left"/>
      <w:pPr>
        <w:tabs>
          <w:tab w:val="num" w:pos="2500"/>
        </w:tabs>
        <w:ind w:left="2500" w:hanging="360"/>
      </w:pPr>
      <w:rPr>
        <w:rFonts w:ascii="Courier New" w:hAnsi="Courier New" w:cs="Courier New" w:hint="default"/>
      </w:rPr>
    </w:lvl>
    <w:lvl w:ilvl="2" w:tplc="0C0A0005" w:tentative="1">
      <w:start w:val="1"/>
      <w:numFmt w:val="bullet"/>
      <w:lvlText w:val=""/>
      <w:lvlJc w:val="left"/>
      <w:pPr>
        <w:tabs>
          <w:tab w:val="num" w:pos="3220"/>
        </w:tabs>
        <w:ind w:left="3220" w:hanging="360"/>
      </w:pPr>
      <w:rPr>
        <w:rFonts w:ascii="Wingdings" w:hAnsi="Wingdings" w:hint="default"/>
      </w:rPr>
    </w:lvl>
    <w:lvl w:ilvl="3" w:tplc="0C0A0001" w:tentative="1">
      <w:start w:val="1"/>
      <w:numFmt w:val="bullet"/>
      <w:lvlText w:val=""/>
      <w:lvlJc w:val="left"/>
      <w:pPr>
        <w:tabs>
          <w:tab w:val="num" w:pos="3940"/>
        </w:tabs>
        <w:ind w:left="3940" w:hanging="360"/>
      </w:pPr>
      <w:rPr>
        <w:rFonts w:ascii="Symbol" w:hAnsi="Symbol" w:hint="default"/>
      </w:rPr>
    </w:lvl>
    <w:lvl w:ilvl="4" w:tplc="0C0A0003" w:tentative="1">
      <w:start w:val="1"/>
      <w:numFmt w:val="bullet"/>
      <w:lvlText w:val="o"/>
      <w:lvlJc w:val="left"/>
      <w:pPr>
        <w:tabs>
          <w:tab w:val="num" w:pos="4660"/>
        </w:tabs>
        <w:ind w:left="4660" w:hanging="360"/>
      </w:pPr>
      <w:rPr>
        <w:rFonts w:ascii="Courier New" w:hAnsi="Courier New" w:cs="Courier New" w:hint="default"/>
      </w:rPr>
    </w:lvl>
    <w:lvl w:ilvl="5" w:tplc="0C0A0005" w:tentative="1">
      <w:start w:val="1"/>
      <w:numFmt w:val="bullet"/>
      <w:lvlText w:val=""/>
      <w:lvlJc w:val="left"/>
      <w:pPr>
        <w:tabs>
          <w:tab w:val="num" w:pos="5380"/>
        </w:tabs>
        <w:ind w:left="5380" w:hanging="360"/>
      </w:pPr>
      <w:rPr>
        <w:rFonts w:ascii="Wingdings" w:hAnsi="Wingdings" w:hint="default"/>
      </w:rPr>
    </w:lvl>
    <w:lvl w:ilvl="6" w:tplc="0C0A0001" w:tentative="1">
      <w:start w:val="1"/>
      <w:numFmt w:val="bullet"/>
      <w:lvlText w:val=""/>
      <w:lvlJc w:val="left"/>
      <w:pPr>
        <w:tabs>
          <w:tab w:val="num" w:pos="6100"/>
        </w:tabs>
        <w:ind w:left="6100" w:hanging="360"/>
      </w:pPr>
      <w:rPr>
        <w:rFonts w:ascii="Symbol" w:hAnsi="Symbol" w:hint="default"/>
      </w:rPr>
    </w:lvl>
    <w:lvl w:ilvl="7" w:tplc="0C0A0003" w:tentative="1">
      <w:start w:val="1"/>
      <w:numFmt w:val="bullet"/>
      <w:lvlText w:val="o"/>
      <w:lvlJc w:val="left"/>
      <w:pPr>
        <w:tabs>
          <w:tab w:val="num" w:pos="6820"/>
        </w:tabs>
        <w:ind w:left="6820" w:hanging="360"/>
      </w:pPr>
      <w:rPr>
        <w:rFonts w:ascii="Courier New" w:hAnsi="Courier New" w:cs="Courier New" w:hint="default"/>
      </w:rPr>
    </w:lvl>
    <w:lvl w:ilvl="8" w:tplc="0C0A0005" w:tentative="1">
      <w:start w:val="1"/>
      <w:numFmt w:val="bullet"/>
      <w:lvlText w:val=""/>
      <w:lvlJc w:val="left"/>
      <w:pPr>
        <w:tabs>
          <w:tab w:val="num" w:pos="7540"/>
        </w:tabs>
        <w:ind w:left="7540" w:hanging="360"/>
      </w:pPr>
      <w:rPr>
        <w:rFonts w:ascii="Wingdings" w:hAnsi="Wingdings" w:hint="default"/>
      </w:rPr>
    </w:lvl>
  </w:abstractNum>
  <w:abstractNum w:abstractNumId="27">
    <w:nsid w:val="15E80CB5"/>
    <w:multiLevelType w:val="singleLevel"/>
    <w:tmpl w:val="71F4336C"/>
    <w:lvl w:ilvl="0">
      <w:start w:val="239"/>
      <w:numFmt w:val="decimal"/>
      <w:lvlText w:val="%1."/>
      <w:legacy w:legacy="1" w:legacySpace="0" w:legacyIndent="571"/>
      <w:lvlJc w:val="left"/>
      <w:rPr>
        <w:rFonts w:ascii="Times New Roman" w:hAnsi="Times New Roman" w:cs="Times New Roman" w:hint="default"/>
      </w:rPr>
    </w:lvl>
  </w:abstractNum>
  <w:abstractNum w:abstractNumId="28">
    <w:nsid w:val="174A14A2"/>
    <w:multiLevelType w:val="multilevel"/>
    <w:tmpl w:val="39DAAEA2"/>
    <w:lvl w:ilvl="0">
      <w:start w:val="2"/>
      <w:numFmt w:val="decimal"/>
      <w:lvlText w:val="%1."/>
      <w:lvlJc w:val="left"/>
      <w:pPr>
        <w:tabs>
          <w:tab w:val="num" w:pos="360"/>
        </w:tabs>
        <w:ind w:left="360" w:hanging="360"/>
      </w:pPr>
      <w:rPr>
        <w:rFonts w:ascii="Arial" w:hAnsi="Arial" w:cs="Arial" w:hint="default"/>
        <w:sz w:val="20"/>
      </w:rPr>
    </w:lvl>
    <w:lvl w:ilvl="1">
      <w:start w:val="1"/>
      <w:numFmt w:val="decimal"/>
      <w:lvlText w:val="%1.%2."/>
      <w:lvlJc w:val="left"/>
      <w:pPr>
        <w:tabs>
          <w:tab w:val="num" w:pos="360"/>
        </w:tabs>
        <w:ind w:left="360" w:hanging="360"/>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ascii="Arial" w:hAnsi="Arial" w:cs="Arial" w:hint="default"/>
        <w:sz w:val="20"/>
      </w:rPr>
    </w:lvl>
    <w:lvl w:ilvl="3">
      <w:start w:val="1"/>
      <w:numFmt w:val="decimal"/>
      <w:lvlText w:val="%1.%2.%3.%4."/>
      <w:lvlJc w:val="left"/>
      <w:pPr>
        <w:tabs>
          <w:tab w:val="num" w:pos="720"/>
        </w:tabs>
        <w:ind w:left="720" w:hanging="720"/>
      </w:pPr>
      <w:rPr>
        <w:rFonts w:ascii="Arial" w:hAnsi="Arial" w:cs="Arial" w:hint="default"/>
        <w:sz w:val="20"/>
      </w:rPr>
    </w:lvl>
    <w:lvl w:ilvl="4">
      <w:start w:val="1"/>
      <w:numFmt w:val="decimal"/>
      <w:lvlText w:val="%1.%2.%3.%4.%5."/>
      <w:lvlJc w:val="left"/>
      <w:pPr>
        <w:tabs>
          <w:tab w:val="num" w:pos="1080"/>
        </w:tabs>
        <w:ind w:left="1080" w:hanging="1080"/>
      </w:pPr>
      <w:rPr>
        <w:rFonts w:ascii="Arial" w:hAnsi="Arial" w:cs="Arial" w:hint="default"/>
        <w:sz w:val="20"/>
      </w:rPr>
    </w:lvl>
    <w:lvl w:ilvl="5">
      <w:start w:val="1"/>
      <w:numFmt w:val="decimal"/>
      <w:lvlText w:val="%1.%2.%3.%4.%5.%6."/>
      <w:lvlJc w:val="left"/>
      <w:pPr>
        <w:tabs>
          <w:tab w:val="num" w:pos="1080"/>
        </w:tabs>
        <w:ind w:left="1080" w:hanging="1080"/>
      </w:pPr>
      <w:rPr>
        <w:rFonts w:ascii="Arial" w:hAnsi="Arial" w:cs="Arial" w:hint="default"/>
        <w:sz w:val="20"/>
      </w:rPr>
    </w:lvl>
    <w:lvl w:ilvl="6">
      <w:start w:val="1"/>
      <w:numFmt w:val="decimal"/>
      <w:lvlText w:val="%1.%2.%3.%4.%5.%6.%7."/>
      <w:lvlJc w:val="left"/>
      <w:pPr>
        <w:tabs>
          <w:tab w:val="num" w:pos="1440"/>
        </w:tabs>
        <w:ind w:left="1440" w:hanging="1440"/>
      </w:pPr>
      <w:rPr>
        <w:rFonts w:ascii="Arial" w:hAnsi="Arial" w:cs="Arial" w:hint="default"/>
        <w:sz w:val="20"/>
      </w:rPr>
    </w:lvl>
    <w:lvl w:ilvl="7">
      <w:start w:val="1"/>
      <w:numFmt w:val="decimal"/>
      <w:lvlText w:val="%1.%2.%3.%4.%5.%6.%7.%8."/>
      <w:lvlJc w:val="left"/>
      <w:pPr>
        <w:tabs>
          <w:tab w:val="num" w:pos="1440"/>
        </w:tabs>
        <w:ind w:left="1440" w:hanging="1440"/>
      </w:pPr>
      <w:rPr>
        <w:rFonts w:ascii="Arial" w:hAnsi="Arial" w:cs="Arial" w:hint="default"/>
        <w:sz w:val="20"/>
      </w:rPr>
    </w:lvl>
    <w:lvl w:ilvl="8">
      <w:start w:val="1"/>
      <w:numFmt w:val="decimal"/>
      <w:lvlText w:val="%1.%2.%3.%4.%5.%6.%7.%8.%9."/>
      <w:lvlJc w:val="left"/>
      <w:pPr>
        <w:tabs>
          <w:tab w:val="num" w:pos="1800"/>
        </w:tabs>
        <w:ind w:left="1800" w:hanging="1800"/>
      </w:pPr>
      <w:rPr>
        <w:rFonts w:ascii="Arial" w:hAnsi="Arial" w:cs="Arial" w:hint="default"/>
        <w:sz w:val="20"/>
      </w:rPr>
    </w:lvl>
  </w:abstractNum>
  <w:abstractNum w:abstractNumId="29">
    <w:nsid w:val="17A36B29"/>
    <w:multiLevelType w:val="hybridMultilevel"/>
    <w:tmpl w:val="ABEE4E44"/>
    <w:lvl w:ilvl="0" w:tplc="0C0A0001">
      <w:start w:val="1"/>
      <w:numFmt w:val="bullet"/>
      <w:lvlText w:val=""/>
      <w:lvlJc w:val="left"/>
      <w:pPr>
        <w:tabs>
          <w:tab w:val="num" w:pos="2140"/>
        </w:tabs>
        <w:ind w:left="2140" w:hanging="360"/>
      </w:pPr>
      <w:rPr>
        <w:rFonts w:ascii="Symbol" w:hAnsi="Symbol" w:hint="default"/>
      </w:rPr>
    </w:lvl>
    <w:lvl w:ilvl="1" w:tplc="0C0A0003" w:tentative="1">
      <w:start w:val="1"/>
      <w:numFmt w:val="bullet"/>
      <w:lvlText w:val="o"/>
      <w:lvlJc w:val="left"/>
      <w:pPr>
        <w:tabs>
          <w:tab w:val="num" w:pos="2860"/>
        </w:tabs>
        <w:ind w:left="2860" w:hanging="360"/>
      </w:pPr>
      <w:rPr>
        <w:rFonts w:ascii="Courier New" w:hAnsi="Courier New" w:hint="default"/>
      </w:rPr>
    </w:lvl>
    <w:lvl w:ilvl="2" w:tplc="0C0A0005" w:tentative="1">
      <w:start w:val="1"/>
      <w:numFmt w:val="bullet"/>
      <w:lvlText w:val=""/>
      <w:lvlJc w:val="left"/>
      <w:pPr>
        <w:tabs>
          <w:tab w:val="num" w:pos="3580"/>
        </w:tabs>
        <w:ind w:left="3580" w:hanging="360"/>
      </w:pPr>
      <w:rPr>
        <w:rFonts w:ascii="Wingdings" w:hAnsi="Wingdings" w:hint="default"/>
      </w:rPr>
    </w:lvl>
    <w:lvl w:ilvl="3" w:tplc="0C0A0001" w:tentative="1">
      <w:start w:val="1"/>
      <w:numFmt w:val="bullet"/>
      <w:lvlText w:val=""/>
      <w:lvlJc w:val="left"/>
      <w:pPr>
        <w:tabs>
          <w:tab w:val="num" w:pos="4300"/>
        </w:tabs>
        <w:ind w:left="4300" w:hanging="360"/>
      </w:pPr>
      <w:rPr>
        <w:rFonts w:ascii="Symbol" w:hAnsi="Symbol" w:hint="default"/>
      </w:rPr>
    </w:lvl>
    <w:lvl w:ilvl="4" w:tplc="0C0A0003" w:tentative="1">
      <w:start w:val="1"/>
      <w:numFmt w:val="bullet"/>
      <w:lvlText w:val="o"/>
      <w:lvlJc w:val="left"/>
      <w:pPr>
        <w:tabs>
          <w:tab w:val="num" w:pos="5020"/>
        </w:tabs>
        <w:ind w:left="5020" w:hanging="360"/>
      </w:pPr>
      <w:rPr>
        <w:rFonts w:ascii="Courier New" w:hAnsi="Courier New" w:hint="default"/>
      </w:rPr>
    </w:lvl>
    <w:lvl w:ilvl="5" w:tplc="0C0A0005" w:tentative="1">
      <w:start w:val="1"/>
      <w:numFmt w:val="bullet"/>
      <w:lvlText w:val=""/>
      <w:lvlJc w:val="left"/>
      <w:pPr>
        <w:tabs>
          <w:tab w:val="num" w:pos="5740"/>
        </w:tabs>
        <w:ind w:left="5740" w:hanging="360"/>
      </w:pPr>
      <w:rPr>
        <w:rFonts w:ascii="Wingdings" w:hAnsi="Wingdings" w:hint="default"/>
      </w:rPr>
    </w:lvl>
    <w:lvl w:ilvl="6" w:tplc="0C0A0001" w:tentative="1">
      <w:start w:val="1"/>
      <w:numFmt w:val="bullet"/>
      <w:lvlText w:val=""/>
      <w:lvlJc w:val="left"/>
      <w:pPr>
        <w:tabs>
          <w:tab w:val="num" w:pos="6460"/>
        </w:tabs>
        <w:ind w:left="6460" w:hanging="360"/>
      </w:pPr>
      <w:rPr>
        <w:rFonts w:ascii="Symbol" w:hAnsi="Symbol" w:hint="default"/>
      </w:rPr>
    </w:lvl>
    <w:lvl w:ilvl="7" w:tplc="0C0A0003" w:tentative="1">
      <w:start w:val="1"/>
      <w:numFmt w:val="bullet"/>
      <w:lvlText w:val="o"/>
      <w:lvlJc w:val="left"/>
      <w:pPr>
        <w:tabs>
          <w:tab w:val="num" w:pos="7180"/>
        </w:tabs>
        <w:ind w:left="7180" w:hanging="360"/>
      </w:pPr>
      <w:rPr>
        <w:rFonts w:ascii="Courier New" w:hAnsi="Courier New" w:hint="default"/>
      </w:rPr>
    </w:lvl>
    <w:lvl w:ilvl="8" w:tplc="0C0A0005" w:tentative="1">
      <w:start w:val="1"/>
      <w:numFmt w:val="bullet"/>
      <w:lvlText w:val=""/>
      <w:lvlJc w:val="left"/>
      <w:pPr>
        <w:tabs>
          <w:tab w:val="num" w:pos="7900"/>
        </w:tabs>
        <w:ind w:left="7900" w:hanging="360"/>
      </w:pPr>
      <w:rPr>
        <w:rFonts w:ascii="Wingdings" w:hAnsi="Wingdings" w:hint="default"/>
      </w:rPr>
    </w:lvl>
  </w:abstractNum>
  <w:abstractNum w:abstractNumId="30">
    <w:nsid w:val="18EB329F"/>
    <w:multiLevelType w:val="hybridMultilevel"/>
    <w:tmpl w:val="60FE4C0C"/>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19517B1A"/>
    <w:multiLevelType w:val="hybridMultilevel"/>
    <w:tmpl w:val="6478E30C"/>
    <w:lvl w:ilvl="0" w:tplc="0C0A0001">
      <w:start w:val="1"/>
      <w:numFmt w:val="bullet"/>
      <w:lvlText w:val=""/>
      <w:lvlJc w:val="left"/>
      <w:pPr>
        <w:tabs>
          <w:tab w:val="num" w:pos="720"/>
        </w:tabs>
        <w:ind w:left="720" w:hanging="360"/>
      </w:pPr>
      <w:rPr>
        <w:rFonts w:ascii="Symbol" w:hAnsi="Symbol" w:hint="default"/>
        <w:b w:val="0"/>
        <w:sz w:val="24"/>
        <w:szCs w:val="24"/>
      </w:rPr>
    </w:lvl>
    <w:lvl w:ilvl="1" w:tplc="FF9CB0D6">
      <w:start w:val="200"/>
      <w:numFmt w:val="decimal"/>
      <w:lvlText w:val="%2."/>
      <w:lvlJc w:val="left"/>
      <w:pPr>
        <w:tabs>
          <w:tab w:val="num" w:pos="1500"/>
        </w:tabs>
        <w:ind w:left="1500" w:hanging="4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1A3359A9"/>
    <w:multiLevelType w:val="hybridMultilevel"/>
    <w:tmpl w:val="6C02F434"/>
    <w:lvl w:ilvl="0" w:tplc="01743FE8">
      <w:start w:val="1"/>
      <w:numFmt w:val="lowerRoman"/>
      <w:lvlText w:val="%1)"/>
      <w:lvlJc w:val="left"/>
      <w:pPr>
        <w:tabs>
          <w:tab w:val="num" w:pos="1174"/>
        </w:tabs>
        <w:ind w:left="1174" w:hanging="720"/>
      </w:pPr>
      <w:rPr>
        <w:rFonts w:hint="default"/>
      </w:rPr>
    </w:lvl>
    <w:lvl w:ilvl="1" w:tplc="B6E4D178">
      <w:start w:val="3"/>
      <w:numFmt w:val="upperLetter"/>
      <w:lvlText w:val="%2."/>
      <w:lvlJc w:val="left"/>
      <w:pPr>
        <w:tabs>
          <w:tab w:val="num" w:pos="1534"/>
        </w:tabs>
        <w:ind w:left="1534" w:hanging="360"/>
      </w:pPr>
      <w:rPr>
        <w:rFonts w:hint="default"/>
      </w:rPr>
    </w:lvl>
    <w:lvl w:ilvl="2" w:tplc="0C0A0015">
      <w:start w:val="1"/>
      <w:numFmt w:val="upperLetter"/>
      <w:lvlText w:val="%3."/>
      <w:lvlJc w:val="left"/>
      <w:pPr>
        <w:tabs>
          <w:tab w:val="num" w:pos="2434"/>
        </w:tabs>
        <w:ind w:left="2434" w:hanging="360"/>
      </w:pPr>
      <w:rPr>
        <w:rFonts w:hint="default"/>
      </w:rPr>
    </w:lvl>
    <w:lvl w:ilvl="3" w:tplc="0C0A000F" w:tentative="1">
      <w:start w:val="1"/>
      <w:numFmt w:val="decimal"/>
      <w:lvlText w:val="%4."/>
      <w:lvlJc w:val="left"/>
      <w:pPr>
        <w:tabs>
          <w:tab w:val="num" w:pos="2974"/>
        </w:tabs>
        <w:ind w:left="2974" w:hanging="360"/>
      </w:pPr>
    </w:lvl>
    <w:lvl w:ilvl="4" w:tplc="0C0A0019" w:tentative="1">
      <w:start w:val="1"/>
      <w:numFmt w:val="lowerLetter"/>
      <w:lvlText w:val="%5."/>
      <w:lvlJc w:val="left"/>
      <w:pPr>
        <w:tabs>
          <w:tab w:val="num" w:pos="3694"/>
        </w:tabs>
        <w:ind w:left="3694" w:hanging="360"/>
      </w:pPr>
    </w:lvl>
    <w:lvl w:ilvl="5" w:tplc="0C0A001B" w:tentative="1">
      <w:start w:val="1"/>
      <w:numFmt w:val="lowerRoman"/>
      <w:lvlText w:val="%6."/>
      <w:lvlJc w:val="right"/>
      <w:pPr>
        <w:tabs>
          <w:tab w:val="num" w:pos="4414"/>
        </w:tabs>
        <w:ind w:left="4414" w:hanging="180"/>
      </w:pPr>
    </w:lvl>
    <w:lvl w:ilvl="6" w:tplc="0C0A000F" w:tentative="1">
      <w:start w:val="1"/>
      <w:numFmt w:val="decimal"/>
      <w:lvlText w:val="%7."/>
      <w:lvlJc w:val="left"/>
      <w:pPr>
        <w:tabs>
          <w:tab w:val="num" w:pos="5134"/>
        </w:tabs>
        <w:ind w:left="5134" w:hanging="360"/>
      </w:pPr>
    </w:lvl>
    <w:lvl w:ilvl="7" w:tplc="0C0A0019" w:tentative="1">
      <w:start w:val="1"/>
      <w:numFmt w:val="lowerLetter"/>
      <w:lvlText w:val="%8."/>
      <w:lvlJc w:val="left"/>
      <w:pPr>
        <w:tabs>
          <w:tab w:val="num" w:pos="5854"/>
        </w:tabs>
        <w:ind w:left="5854" w:hanging="360"/>
      </w:pPr>
    </w:lvl>
    <w:lvl w:ilvl="8" w:tplc="0C0A001B" w:tentative="1">
      <w:start w:val="1"/>
      <w:numFmt w:val="lowerRoman"/>
      <w:lvlText w:val="%9."/>
      <w:lvlJc w:val="right"/>
      <w:pPr>
        <w:tabs>
          <w:tab w:val="num" w:pos="6574"/>
        </w:tabs>
        <w:ind w:left="6574" w:hanging="180"/>
      </w:pPr>
    </w:lvl>
  </w:abstractNum>
  <w:abstractNum w:abstractNumId="33">
    <w:nsid w:val="1ACF1D1D"/>
    <w:multiLevelType w:val="hybridMultilevel"/>
    <w:tmpl w:val="16306C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1BE83DFE"/>
    <w:multiLevelType w:val="hybridMultilevel"/>
    <w:tmpl w:val="4A88D936"/>
    <w:lvl w:ilvl="0" w:tplc="AC0A7860">
      <w:start w:val="1"/>
      <w:numFmt w:val="bullet"/>
      <w:lvlText w:val="­"/>
      <w:lvlJc w:val="left"/>
      <w:pPr>
        <w:tabs>
          <w:tab w:val="num" w:pos="1134"/>
        </w:tabs>
        <w:ind w:left="1134" w:hanging="567"/>
      </w:pPr>
      <w:rPr>
        <w:rFonts w:ascii="Times New Roman" w:hAnsi="Times New Roman" w:cs="Times New Roman" w:hint="default"/>
      </w:rPr>
    </w:lvl>
    <w:lvl w:ilvl="1" w:tplc="1B3E8E0E">
      <w:start w:val="1"/>
      <w:numFmt w:val="bullet"/>
      <w:lvlText w:val="–"/>
      <w:lvlJc w:val="left"/>
      <w:pPr>
        <w:tabs>
          <w:tab w:val="num" w:pos="2214"/>
        </w:tabs>
        <w:ind w:left="2214" w:hanging="567"/>
      </w:pPr>
      <w:rPr>
        <w:rFonts w:ascii="Times New Roman" w:hAnsi="Times New Roman" w:cs="Times New Roman"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5">
    <w:nsid w:val="1CA0659F"/>
    <w:multiLevelType w:val="hybridMultilevel"/>
    <w:tmpl w:val="288007E8"/>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1E5F5E10"/>
    <w:multiLevelType w:val="hybridMultilevel"/>
    <w:tmpl w:val="20DAD596"/>
    <w:lvl w:ilvl="0" w:tplc="F46C7126">
      <w:start w:val="32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nsid w:val="1EB36DD0"/>
    <w:multiLevelType w:val="hybridMultilevel"/>
    <w:tmpl w:val="4068437A"/>
    <w:lvl w:ilvl="0" w:tplc="C1B4987C">
      <w:start w:val="1"/>
      <w:numFmt w:val="bullet"/>
      <w:lvlText w:val="–"/>
      <w:lvlJc w:val="left"/>
      <w:pPr>
        <w:tabs>
          <w:tab w:val="num" w:pos="1191"/>
        </w:tabs>
        <w:ind w:left="1191" w:hanging="624"/>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207279FB"/>
    <w:multiLevelType w:val="hybridMultilevel"/>
    <w:tmpl w:val="E9C26B1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21BE1FCA"/>
    <w:multiLevelType w:val="hybridMultilevel"/>
    <w:tmpl w:val="6B46D7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22F54456"/>
    <w:multiLevelType w:val="hybridMultilevel"/>
    <w:tmpl w:val="CCD21F40"/>
    <w:lvl w:ilvl="0" w:tplc="0C0A0001">
      <w:start w:val="1"/>
      <w:numFmt w:val="bullet"/>
      <w:lvlText w:val=""/>
      <w:lvlJc w:val="left"/>
      <w:pPr>
        <w:tabs>
          <w:tab w:val="num" w:pos="1780"/>
        </w:tabs>
        <w:ind w:left="1780" w:hanging="360"/>
      </w:pPr>
      <w:rPr>
        <w:rFonts w:ascii="Symbol" w:hAnsi="Symbol" w:hint="default"/>
      </w:rPr>
    </w:lvl>
    <w:lvl w:ilvl="1" w:tplc="0C0A0003" w:tentative="1">
      <w:start w:val="1"/>
      <w:numFmt w:val="bullet"/>
      <w:lvlText w:val="o"/>
      <w:lvlJc w:val="left"/>
      <w:pPr>
        <w:tabs>
          <w:tab w:val="num" w:pos="2500"/>
        </w:tabs>
        <w:ind w:left="2500" w:hanging="360"/>
      </w:pPr>
      <w:rPr>
        <w:rFonts w:ascii="Courier New" w:hAnsi="Courier New" w:cs="Courier New" w:hint="default"/>
      </w:rPr>
    </w:lvl>
    <w:lvl w:ilvl="2" w:tplc="0C0A0005" w:tentative="1">
      <w:start w:val="1"/>
      <w:numFmt w:val="bullet"/>
      <w:lvlText w:val=""/>
      <w:lvlJc w:val="left"/>
      <w:pPr>
        <w:tabs>
          <w:tab w:val="num" w:pos="3220"/>
        </w:tabs>
        <w:ind w:left="3220" w:hanging="360"/>
      </w:pPr>
      <w:rPr>
        <w:rFonts w:ascii="Wingdings" w:hAnsi="Wingdings" w:hint="default"/>
      </w:rPr>
    </w:lvl>
    <w:lvl w:ilvl="3" w:tplc="0C0A0001" w:tentative="1">
      <w:start w:val="1"/>
      <w:numFmt w:val="bullet"/>
      <w:lvlText w:val=""/>
      <w:lvlJc w:val="left"/>
      <w:pPr>
        <w:tabs>
          <w:tab w:val="num" w:pos="3940"/>
        </w:tabs>
        <w:ind w:left="3940" w:hanging="360"/>
      </w:pPr>
      <w:rPr>
        <w:rFonts w:ascii="Symbol" w:hAnsi="Symbol" w:hint="default"/>
      </w:rPr>
    </w:lvl>
    <w:lvl w:ilvl="4" w:tplc="0C0A0003" w:tentative="1">
      <w:start w:val="1"/>
      <w:numFmt w:val="bullet"/>
      <w:lvlText w:val="o"/>
      <w:lvlJc w:val="left"/>
      <w:pPr>
        <w:tabs>
          <w:tab w:val="num" w:pos="4660"/>
        </w:tabs>
        <w:ind w:left="4660" w:hanging="360"/>
      </w:pPr>
      <w:rPr>
        <w:rFonts w:ascii="Courier New" w:hAnsi="Courier New" w:cs="Courier New" w:hint="default"/>
      </w:rPr>
    </w:lvl>
    <w:lvl w:ilvl="5" w:tplc="0C0A0005" w:tentative="1">
      <w:start w:val="1"/>
      <w:numFmt w:val="bullet"/>
      <w:lvlText w:val=""/>
      <w:lvlJc w:val="left"/>
      <w:pPr>
        <w:tabs>
          <w:tab w:val="num" w:pos="5380"/>
        </w:tabs>
        <w:ind w:left="5380" w:hanging="360"/>
      </w:pPr>
      <w:rPr>
        <w:rFonts w:ascii="Wingdings" w:hAnsi="Wingdings" w:hint="default"/>
      </w:rPr>
    </w:lvl>
    <w:lvl w:ilvl="6" w:tplc="0C0A0001" w:tentative="1">
      <w:start w:val="1"/>
      <w:numFmt w:val="bullet"/>
      <w:lvlText w:val=""/>
      <w:lvlJc w:val="left"/>
      <w:pPr>
        <w:tabs>
          <w:tab w:val="num" w:pos="6100"/>
        </w:tabs>
        <w:ind w:left="6100" w:hanging="360"/>
      </w:pPr>
      <w:rPr>
        <w:rFonts w:ascii="Symbol" w:hAnsi="Symbol" w:hint="default"/>
      </w:rPr>
    </w:lvl>
    <w:lvl w:ilvl="7" w:tplc="0C0A0003" w:tentative="1">
      <w:start w:val="1"/>
      <w:numFmt w:val="bullet"/>
      <w:lvlText w:val="o"/>
      <w:lvlJc w:val="left"/>
      <w:pPr>
        <w:tabs>
          <w:tab w:val="num" w:pos="6820"/>
        </w:tabs>
        <w:ind w:left="6820" w:hanging="360"/>
      </w:pPr>
      <w:rPr>
        <w:rFonts w:ascii="Courier New" w:hAnsi="Courier New" w:cs="Courier New" w:hint="default"/>
      </w:rPr>
    </w:lvl>
    <w:lvl w:ilvl="8" w:tplc="0C0A0005" w:tentative="1">
      <w:start w:val="1"/>
      <w:numFmt w:val="bullet"/>
      <w:lvlText w:val=""/>
      <w:lvlJc w:val="left"/>
      <w:pPr>
        <w:tabs>
          <w:tab w:val="num" w:pos="7540"/>
        </w:tabs>
        <w:ind w:left="7540" w:hanging="360"/>
      </w:pPr>
      <w:rPr>
        <w:rFonts w:ascii="Wingdings" w:hAnsi="Wingdings" w:hint="default"/>
      </w:rPr>
    </w:lvl>
  </w:abstractNum>
  <w:abstractNum w:abstractNumId="41">
    <w:nsid w:val="235C3CC0"/>
    <w:multiLevelType w:val="hybridMultilevel"/>
    <w:tmpl w:val="78EEE7A8"/>
    <w:lvl w:ilvl="0" w:tplc="B2864754">
      <w:start w:val="1"/>
      <w:numFmt w:val="bullet"/>
      <w:lvlText w:val=""/>
      <w:lvlJc w:val="left"/>
      <w:pPr>
        <w:tabs>
          <w:tab w:val="num" w:pos="1080"/>
        </w:tabs>
        <w:ind w:left="1080" w:hanging="360"/>
      </w:pPr>
      <w:rPr>
        <w:rFonts w:ascii="Symbol" w:hAnsi="Symbol" w:hint="default"/>
      </w:rPr>
    </w:lvl>
    <w:lvl w:ilvl="1" w:tplc="F4ECB636">
      <w:numFmt w:val="none"/>
      <w:lvlText w:val=""/>
      <w:lvlJc w:val="left"/>
      <w:pPr>
        <w:tabs>
          <w:tab w:val="num" w:pos="360"/>
        </w:tabs>
      </w:pPr>
    </w:lvl>
    <w:lvl w:ilvl="2" w:tplc="AB9C13CC">
      <w:numFmt w:val="none"/>
      <w:lvlText w:val=""/>
      <w:lvlJc w:val="left"/>
      <w:pPr>
        <w:tabs>
          <w:tab w:val="num" w:pos="360"/>
        </w:tabs>
      </w:pPr>
    </w:lvl>
    <w:lvl w:ilvl="3" w:tplc="DA045B68">
      <w:start w:val="1"/>
      <w:numFmt w:val="decimal"/>
      <w:lvlText w:val="%4."/>
      <w:lvlJc w:val="left"/>
      <w:pPr>
        <w:tabs>
          <w:tab w:val="num" w:pos="1080"/>
        </w:tabs>
        <w:ind w:left="1080" w:hanging="360"/>
      </w:pPr>
      <w:rPr>
        <w:rFonts w:hint="default"/>
      </w:rPr>
    </w:lvl>
    <w:lvl w:ilvl="4" w:tplc="1D1AF722">
      <w:numFmt w:val="none"/>
      <w:lvlText w:val=""/>
      <w:lvlJc w:val="left"/>
      <w:pPr>
        <w:tabs>
          <w:tab w:val="num" w:pos="360"/>
        </w:tabs>
      </w:pPr>
    </w:lvl>
    <w:lvl w:ilvl="5" w:tplc="8D4C348E">
      <w:numFmt w:val="none"/>
      <w:lvlText w:val=""/>
      <w:lvlJc w:val="left"/>
      <w:pPr>
        <w:tabs>
          <w:tab w:val="num" w:pos="360"/>
        </w:tabs>
      </w:pPr>
    </w:lvl>
    <w:lvl w:ilvl="6" w:tplc="9C62C5A4">
      <w:numFmt w:val="none"/>
      <w:lvlText w:val=""/>
      <w:lvlJc w:val="left"/>
      <w:pPr>
        <w:tabs>
          <w:tab w:val="num" w:pos="360"/>
        </w:tabs>
      </w:pPr>
    </w:lvl>
    <w:lvl w:ilvl="7" w:tplc="C75A5DCA">
      <w:numFmt w:val="none"/>
      <w:lvlText w:val=""/>
      <w:lvlJc w:val="left"/>
      <w:pPr>
        <w:tabs>
          <w:tab w:val="num" w:pos="360"/>
        </w:tabs>
      </w:pPr>
    </w:lvl>
    <w:lvl w:ilvl="8" w:tplc="8FF06256">
      <w:numFmt w:val="none"/>
      <w:lvlText w:val=""/>
      <w:lvlJc w:val="left"/>
      <w:pPr>
        <w:tabs>
          <w:tab w:val="num" w:pos="360"/>
        </w:tabs>
      </w:pPr>
    </w:lvl>
  </w:abstractNum>
  <w:abstractNum w:abstractNumId="42">
    <w:nsid w:val="24504AE6"/>
    <w:multiLevelType w:val="hybridMultilevel"/>
    <w:tmpl w:val="95B23BAA"/>
    <w:lvl w:ilvl="0" w:tplc="0C0A0001">
      <w:start w:val="1"/>
      <w:numFmt w:val="bullet"/>
      <w:lvlText w:val=""/>
      <w:lvlJc w:val="left"/>
      <w:pPr>
        <w:tabs>
          <w:tab w:val="num" w:pos="720"/>
        </w:tabs>
        <w:ind w:left="720" w:hanging="360"/>
      </w:pPr>
      <w:rPr>
        <w:rFonts w:ascii="Symbol" w:hAnsi="Symbol" w:hint="default"/>
      </w:rPr>
    </w:lvl>
    <w:lvl w:ilvl="1" w:tplc="19AEADE4">
      <w:start w:val="189"/>
      <w:numFmt w:val="decimal"/>
      <w:lvlText w:val="%2."/>
      <w:lvlJc w:val="left"/>
      <w:pPr>
        <w:tabs>
          <w:tab w:val="num" w:pos="1500"/>
        </w:tabs>
        <w:ind w:left="1500" w:hanging="420"/>
      </w:pPr>
      <w:rPr>
        <w:rFonts w:ascii="Times New Roman" w:hAnsi="Times New Roman" w:cs="Times New Roman" w:hint="default"/>
        <w:b w:val="0"/>
        <w:i w:val="0"/>
        <w:sz w:val="24"/>
        <w:szCs w:val="24"/>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2486555E"/>
    <w:multiLevelType w:val="hybridMultilevel"/>
    <w:tmpl w:val="986CFEC4"/>
    <w:lvl w:ilvl="0" w:tplc="7AB6189C">
      <w:start w:val="189"/>
      <w:numFmt w:val="decimal"/>
      <w:lvlText w:val="%1."/>
      <w:lvlJc w:val="left"/>
      <w:pPr>
        <w:tabs>
          <w:tab w:val="num" w:pos="964"/>
        </w:tabs>
        <w:ind w:left="1021" w:hanging="454"/>
      </w:pPr>
      <w:rPr>
        <w:rFonts w:ascii="Times New Roman" w:hAnsi="Times New Roman" w:cs="Times New Roman" w:hint="default"/>
        <w:b w:val="0"/>
        <w:i w:val="0"/>
        <w:color w:val="auto"/>
        <w:sz w:val="24"/>
        <w:szCs w:val="24"/>
      </w:rPr>
    </w:lvl>
    <w:lvl w:ilvl="1" w:tplc="0C0A0001">
      <w:start w:val="1"/>
      <w:numFmt w:val="bullet"/>
      <w:lvlText w:val=""/>
      <w:lvlJc w:val="left"/>
      <w:pPr>
        <w:tabs>
          <w:tab w:val="num" w:pos="1440"/>
        </w:tabs>
        <w:ind w:left="1440" w:hanging="360"/>
      </w:pPr>
      <w:rPr>
        <w:rFonts w:ascii="Symbol" w:hAnsi="Symbol" w:hint="default"/>
        <w:b w:val="0"/>
        <w:sz w:val="24"/>
        <w:szCs w:val="24"/>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nsid w:val="26096F4B"/>
    <w:multiLevelType w:val="hybridMultilevel"/>
    <w:tmpl w:val="B34CF71E"/>
    <w:lvl w:ilvl="0" w:tplc="F8BE3910">
      <w:start w:val="1"/>
      <w:numFmt w:val="bullet"/>
      <w:lvlText w:val=""/>
      <w:lvlJc w:val="left"/>
      <w:pPr>
        <w:tabs>
          <w:tab w:val="num" w:pos="567"/>
        </w:tabs>
        <w:ind w:left="567" w:hanging="567"/>
      </w:pPr>
      <w:rPr>
        <w:rFonts w:ascii="Symbol" w:hAnsi="Symbol"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2785590E"/>
    <w:multiLevelType w:val="hybridMultilevel"/>
    <w:tmpl w:val="F7227AD6"/>
    <w:lvl w:ilvl="0" w:tplc="0C0A0015">
      <w:start w:val="1"/>
      <w:numFmt w:val="upp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nsid w:val="28AE60E6"/>
    <w:multiLevelType w:val="hybridMultilevel"/>
    <w:tmpl w:val="4B2C603C"/>
    <w:lvl w:ilvl="0" w:tplc="0C0A0015">
      <w:start w:val="1"/>
      <w:numFmt w:val="upperLetter"/>
      <w:lvlText w:val="%1."/>
      <w:lvlJc w:val="left"/>
      <w:pPr>
        <w:tabs>
          <w:tab w:val="num" w:pos="720"/>
        </w:tabs>
        <w:ind w:left="720" w:hanging="360"/>
      </w:pPr>
      <w:rPr>
        <w:rFonts w:hint="default"/>
      </w:rPr>
    </w:lvl>
    <w:lvl w:ilvl="1" w:tplc="FEACA66C">
      <w:start w:val="1"/>
      <w:numFmt w:val="decimal"/>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nsid w:val="2B076BD6"/>
    <w:multiLevelType w:val="hybridMultilevel"/>
    <w:tmpl w:val="9680552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2C4C201B"/>
    <w:multiLevelType w:val="hybridMultilevel"/>
    <w:tmpl w:val="B34CF71E"/>
    <w:lvl w:ilvl="0" w:tplc="290CF5E6">
      <w:start w:val="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2C5E5C0D"/>
    <w:multiLevelType w:val="singleLevel"/>
    <w:tmpl w:val="2CD06FD4"/>
    <w:lvl w:ilvl="0">
      <w:start w:val="279"/>
      <w:numFmt w:val="decimal"/>
      <w:lvlText w:val="%1."/>
      <w:legacy w:legacy="1" w:legacySpace="0" w:legacyIndent="566"/>
      <w:lvlJc w:val="left"/>
      <w:rPr>
        <w:rFonts w:ascii="Times New Roman" w:hAnsi="Times New Roman" w:cs="Times New Roman" w:hint="default"/>
      </w:rPr>
    </w:lvl>
  </w:abstractNum>
  <w:abstractNum w:abstractNumId="50">
    <w:nsid w:val="2D5E313F"/>
    <w:multiLevelType w:val="hybridMultilevel"/>
    <w:tmpl w:val="D7CEB324"/>
    <w:lvl w:ilvl="0" w:tplc="0C0A0001">
      <w:start w:val="1"/>
      <w:numFmt w:val="bullet"/>
      <w:lvlText w:val=""/>
      <w:lvlJc w:val="left"/>
      <w:pPr>
        <w:tabs>
          <w:tab w:val="num" w:pos="720"/>
        </w:tabs>
        <w:ind w:left="720" w:hanging="360"/>
      </w:pPr>
      <w:rPr>
        <w:rFonts w:ascii="Symbol" w:hAnsi="Symbol" w:hint="default"/>
        <w:b w:val="0"/>
        <w:sz w:val="24"/>
        <w:szCs w:val="24"/>
      </w:rPr>
    </w:lvl>
    <w:lvl w:ilvl="1" w:tplc="0C0A0001">
      <w:start w:val="1"/>
      <w:numFmt w:val="bullet"/>
      <w:lvlText w:val=""/>
      <w:lvlJc w:val="left"/>
      <w:pPr>
        <w:tabs>
          <w:tab w:val="num" w:pos="1440"/>
        </w:tabs>
        <w:ind w:left="1440" w:hanging="360"/>
      </w:pPr>
      <w:rPr>
        <w:rFonts w:ascii="Symbol" w:hAnsi="Symbol" w:hint="default"/>
        <w:b w:val="0"/>
        <w:sz w:val="24"/>
        <w:szCs w:val="24"/>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nsid w:val="314A1F59"/>
    <w:multiLevelType w:val="hybridMultilevel"/>
    <w:tmpl w:val="20022CF8"/>
    <w:lvl w:ilvl="0" w:tplc="90687CCC">
      <w:start w:val="10"/>
      <w:numFmt w:val="lowerRoman"/>
      <w:lvlText w:val="%1)"/>
      <w:lvlJc w:val="left"/>
      <w:pPr>
        <w:tabs>
          <w:tab w:val="num" w:pos="720"/>
        </w:tabs>
        <w:ind w:left="720" w:hanging="720"/>
      </w:pPr>
      <w:rPr>
        <w:rFonts w:hint="default"/>
      </w:rPr>
    </w:lvl>
    <w:lvl w:ilvl="1" w:tplc="A528965C">
      <w:start w:val="25"/>
      <w:numFmt w:val="lowerLetter"/>
      <w:lvlText w:val="%2)"/>
      <w:lvlJc w:val="left"/>
      <w:pPr>
        <w:tabs>
          <w:tab w:val="num" w:pos="1080"/>
        </w:tabs>
        <w:ind w:left="1080" w:hanging="360"/>
      </w:pPr>
      <w:rPr>
        <w:rFonts w:hint="default"/>
      </w:rPr>
    </w:lvl>
    <w:lvl w:ilvl="2" w:tplc="0C0A001B">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2">
    <w:nsid w:val="31BF187C"/>
    <w:multiLevelType w:val="hybridMultilevel"/>
    <w:tmpl w:val="12827560"/>
    <w:lvl w:ilvl="0" w:tplc="2ACE6C7A">
      <w:start w:val="116"/>
      <w:numFmt w:val="decimal"/>
      <w:lvlText w:val="%1."/>
      <w:lvlJc w:val="left"/>
      <w:pPr>
        <w:tabs>
          <w:tab w:val="num" w:pos="780"/>
        </w:tabs>
        <w:ind w:left="780" w:hanging="420"/>
      </w:pPr>
      <w:rPr>
        <w:rFonts w:hint="default"/>
        <w:b w:val="0"/>
      </w:rPr>
    </w:lvl>
    <w:lvl w:ilvl="1" w:tplc="0C0A000F">
      <w:start w:val="1"/>
      <w:numFmt w:val="decimal"/>
      <w:lvlText w:val="%2."/>
      <w:lvlJc w:val="left"/>
      <w:pPr>
        <w:tabs>
          <w:tab w:val="num" w:pos="1440"/>
        </w:tabs>
        <w:ind w:left="1440" w:hanging="360"/>
      </w:pPr>
      <w:rPr>
        <w:rFonts w:hint="default"/>
        <w:b w:val="0"/>
      </w:rPr>
    </w:lvl>
    <w:lvl w:ilvl="2" w:tplc="15A22CFA">
      <w:start w:val="1"/>
      <w:numFmt w:val="lowerLetter"/>
      <w:lvlText w:val="%3)"/>
      <w:lvlJc w:val="left"/>
      <w:pPr>
        <w:tabs>
          <w:tab w:val="num" w:pos="2340"/>
        </w:tabs>
        <w:ind w:left="2340" w:hanging="360"/>
      </w:pPr>
      <w:rPr>
        <w:rFonts w:hint="default"/>
      </w:rPr>
    </w:lvl>
    <w:lvl w:ilvl="3" w:tplc="2ACE6C7A">
      <w:start w:val="116"/>
      <w:numFmt w:val="decimal"/>
      <w:lvlText w:val="%4."/>
      <w:lvlJc w:val="left"/>
      <w:pPr>
        <w:tabs>
          <w:tab w:val="num" w:pos="2940"/>
        </w:tabs>
        <w:ind w:left="2940" w:hanging="420"/>
      </w:pPr>
      <w:rPr>
        <w:rFonts w:hint="default"/>
        <w:b w:val="0"/>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3">
    <w:nsid w:val="32A5231D"/>
    <w:multiLevelType w:val="hybridMultilevel"/>
    <w:tmpl w:val="691CE0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4">
    <w:nsid w:val="34207D6C"/>
    <w:multiLevelType w:val="hybridMultilevel"/>
    <w:tmpl w:val="71F685F8"/>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5">
    <w:nsid w:val="349B6671"/>
    <w:multiLevelType w:val="hybridMultilevel"/>
    <w:tmpl w:val="420E903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6">
    <w:nsid w:val="34A97F58"/>
    <w:multiLevelType w:val="hybridMultilevel"/>
    <w:tmpl w:val="6B48398A"/>
    <w:lvl w:ilvl="0" w:tplc="0C0A0015">
      <w:start w:val="1"/>
      <w:numFmt w:val="upperLetter"/>
      <w:lvlText w:val="%1."/>
      <w:lvlJc w:val="left"/>
      <w:pPr>
        <w:tabs>
          <w:tab w:val="num" w:pos="720"/>
        </w:tabs>
        <w:ind w:left="720" w:hanging="360"/>
      </w:pPr>
      <w:rPr>
        <w:rFonts w:hint="default"/>
      </w:rPr>
    </w:lvl>
    <w:lvl w:ilvl="1" w:tplc="E708B136">
      <w:start w:val="1"/>
      <w:numFmt w:val="decimal"/>
      <w:lvlText w:val="%2."/>
      <w:lvlJc w:val="left"/>
      <w:pPr>
        <w:tabs>
          <w:tab w:val="num" w:pos="1440"/>
        </w:tabs>
        <w:ind w:left="1440" w:hanging="360"/>
      </w:pPr>
      <w:rPr>
        <w:rFonts w:hint="default"/>
        <w:b/>
      </w:rPr>
    </w:lvl>
    <w:lvl w:ilvl="2" w:tplc="0C0A000F">
      <w:start w:val="1"/>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7">
    <w:nsid w:val="35EC6EC7"/>
    <w:multiLevelType w:val="hybridMultilevel"/>
    <w:tmpl w:val="2C0403A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8">
    <w:nsid w:val="382514F4"/>
    <w:multiLevelType w:val="hybridMultilevel"/>
    <w:tmpl w:val="1814F622"/>
    <w:lvl w:ilvl="0" w:tplc="0C0A0001">
      <w:start w:val="1"/>
      <w:numFmt w:val="bullet"/>
      <w:lvlText w:val=""/>
      <w:lvlJc w:val="left"/>
      <w:pPr>
        <w:tabs>
          <w:tab w:val="num" w:pos="1800"/>
        </w:tabs>
        <w:ind w:left="1800" w:hanging="360"/>
      </w:pPr>
      <w:rPr>
        <w:rFonts w:ascii="Symbol" w:hAnsi="Symbol" w:hint="default"/>
      </w:rPr>
    </w:lvl>
    <w:lvl w:ilvl="1" w:tplc="0C0A0003" w:tentative="1">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59">
    <w:nsid w:val="38EB5426"/>
    <w:multiLevelType w:val="hybridMultilevel"/>
    <w:tmpl w:val="1F8203C0"/>
    <w:lvl w:ilvl="0" w:tplc="0C0A0001">
      <w:start w:val="1"/>
      <w:numFmt w:val="bullet"/>
      <w:lvlText w:val=""/>
      <w:lvlJc w:val="left"/>
      <w:pPr>
        <w:tabs>
          <w:tab w:val="num" w:pos="720"/>
        </w:tabs>
        <w:ind w:left="720" w:hanging="360"/>
      </w:pPr>
      <w:rPr>
        <w:rFonts w:ascii="Symbol" w:hAnsi="Symbol" w:hint="default"/>
        <w:b w:val="0"/>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0">
    <w:nsid w:val="390066DD"/>
    <w:multiLevelType w:val="hybridMultilevel"/>
    <w:tmpl w:val="B080CA3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1">
    <w:nsid w:val="39A70900"/>
    <w:multiLevelType w:val="hybridMultilevel"/>
    <w:tmpl w:val="E6669C32"/>
    <w:lvl w:ilvl="0" w:tplc="DAA6B93A">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62">
    <w:nsid w:val="39FA7D61"/>
    <w:multiLevelType w:val="hybridMultilevel"/>
    <w:tmpl w:val="834EC6E2"/>
    <w:lvl w:ilvl="0" w:tplc="439286E4">
      <w:start w:val="1"/>
      <w:numFmt w:val="upperLetter"/>
      <w:lvlText w:val="%1."/>
      <w:lvlJc w:val="left"/>
      <w:pPr>
        <w:tabs>
          <w:tab w:val="num" w:pos="720"/>
        </w:tabs>
        <w:ind w:left="720" w:hanging="360"/>
      </w:pPr>
      <w:rPr>
        <w:rFonts w:hint="default"/>
        <w:b/>
      </w:rPr>
    </w:lvl>
    <w:lvl w:ilvl="1" w:tplc="78B8ACE0">
      <w:start w:val="238"/>
      <w:numFmt w:val="decimal"/>
      <w:lvlText w:val="%2."/>
      <w:lvlJc w:val="left"/>
      <w:pPr>
        <w:tabs>
          <w:tab w:val="num" w:pos="1500"/>
        </w:tabs>
        <w:ind w:left="1500" w:hanging="420"/>
      </w:pPr>
      <w:rPr>
        <w:rFonts w:hint="default"/>
      </w:r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nsid w:val="3A2F554C"/>
    <w:multiLevelType w:val="hybridMultilevel"/>
    <w:tmpl w:val="88F45E8C"/>
    <w:lvl w:ilvl="0" w:tplc="0C0A0001">
      <w:start w:val="1"/>
      <w:numFmt w:val="bullet"/>
      <w:lvlText w:val=""/>
      <w:lvlJc w:val="left"/>
      <w:pPr>
        <w:tabs>
          <w:tab w:val="num" w:pos="720"/>
        </w:tabs>
        <w:ind w:left="720" w:hanging="360"/>
      </w:pPr>
      <w:rPr>
        <w:rFonts w:ascii="Symbol" w:hAnsi="Symbol" w:hint="default"/>
      </w:rPr>
    </w:lvl>
    <w:lvl w:ilvl="1" w:tplc="0F6E6AE8">
      <w:start w:val="560"/>
      <w:numFmt w:val="decimal"/>
      <w:lvlText w:val="%2."/>
      <w:lvlJc w:val="left"/>
      <w:pPr>
        <w:tabs>
          <w:tab w:val="num" w:pos="1477"/>
        </w:tabs>
        <w:ind w:left="1534" w:hanging="454"/>
      </w:pPr>
      <w:rPr>
        <w:rFonts w:ascii="Times New Roman" w:hAnsi="Times New Roman" w:cs="Times New Roman" w:hint="default"/>
        <w:b w:val="0"/>
        <w:i w:val="0"/>
        <w:color w:val="auto"/>
        <w:sz w:val="24"/>
        <w:szCs w:val="24"/>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4">
    <w:nsid w:val="3B6B3D92"/>
    <w:multiLevelType w:val="hybridMultilevel"/>
    <w:tmpl w:val="7D5A758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5">
    <w:nsid w:val="3BB7254D"/>
    <w:multiLevelType w:val="hybridMultilevel"/>
    <w:tmpl w:val="71F685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6">
    <w:nsid w:val="3C4F5790"/>
    <w:multiLevelType w:val="hybridMultilevel"/>
    <w:tmpl w:val="D07CC2CC"/>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7">
    <w:nsid w:val="3D2D2B93"/>
    <w:multiLevelType w:val="hybridMultilevel"/>
    <w:tmpl w:val="F23C69A2"/>
    <w:lvl w:ilvl="0" w:tplc="6674EF32">
      <w:start w:val="22"/>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nsid w:val="3DC27190"/>
    <w:multiLevelType w:val="hybridMultilevel"/>
    <w:tmpl w:val="F0AEC70A"/>
    <w:lvl w:ilvl="0" w:tplc="2DA0D25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9">
    <w:nsid w:val="3DD71CBB"/>
    <w:multiLevelType w:val="hybridMultilevel"/>
    <w:tmpl w:val="4844EF04"/>
    <w:lvl w:ilvl="0" w:tplc="0C0A0001">
      <w:start w:val="1"/>
      <w:numFmt w:val="bullet"/>
      <w:lvlText w:val=""/>
      <w:lvlJc w:val="left"/>
      <w:pPr>
        <w:tabs>
          <w:tab w:val="num" w:pos="360"/>
        </w:tabs>
        <w:ind w:left="360" w:hanging="360"/>
      </w:pPr>
      <w:rPr>
        <w:rFonts w:ascii="Symbol" w:hAnsi="Symbol" w:hint="default"/>
      </w:rPr>
    </w:lvl>
    <w:lvl w:ilvl="1" w:tplc="2EDC1F48">
      <w:start w:val="189"/>
      <w:numFmt w:val="decimal"/>
      <w:lvlText w:val="%2."/>
      <w:lvlJc w:val="left"/>
      <w:pPr>
        <w:tabs>
          <w:tab w:val="num" w:pos="1140"/>
        </w:tabs>
        <w:ind w:left="1140" w:hanging="420"/>
      </w:pPr>
      <w:rPr>
        <w:rFonts w:hint="default"/>
        <w:b w:val="0"/>
        <w:sz w:val="24"/>
        <w:szCs w:val="24"/>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0">
    <w:nsid w:val="40066353"/>
    <w:multiLevelType w:val="hybridMultilevel"/>
    <w:tmpl w:val="A41E7C64"/>
    <w:lvl w:ilvl="0" w:tplc="0C0A0001">
      <w:start w:val="1"/>
      <w:numFmt w:val="bullet"/>
      <w:lvlText w:val=""/>
      <w:lvlJc w:val="left"/>
      <w:pPr>
        <w:tabs>
          <w:tab w:val="num" w:pos="720"/>
        </w:tabs>
        <w:ind w:left="720" w:hanging="360"/>
      </w:pPr>
      <w:rPr>
        <w:rFonts w:ascii="Symbol" w:hAnsi="Symbol" w:hint="default"/>
      </w:rPr>
    </w:lvl>
    <w:lvl w:ilvl="1" w:tplc="19AEADE4">
      <w:start w:val="189"/>
      <w:numFmt w:val="decimal"/>
      <w:lvlText w:val="%2."/>
      <w:lvlJc w:val="left"/>
      <w:pPr>
        <w:tabs>
          <w:tab w:val="num" w:pos="1500"/>
        </w:tabs>
        <w:ind w:left="1500" w:hanging="420"/>
      </w:pPr>
      <w:rPr>
        <w:rFonts w:ascii="Times New Roman" w:hAnsi="Times New Roman" w:cs="Times New Roman" w:hint="default"/>
        <w:b w:val="0"/>
        <w:i w:val="0"/>
        <w:sz w:val="24"/>
        <w:szCs w:val="24"/>
      </w:rPr>
    </w:lvl>
    <w:lvl w:ilvl="2" w:tplc="82E87F32">
      <w:start w:val="1"/>
      <w:numFmt w:val="upp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1">
    <w:nsid w:val="40566D8F"/>
    <w:multiLevelType w:val="hybridMultilevel"/>
    <w:tmpl w:val="0706C658"/>
    <w:lvl w:ilvl="0" w:tplc="B4DE3EBC">
      <w:start w:val="2"/>
      <w:numFmt w:val="decimal"/>
      <w:lvlText w:val="%1."/>
      <w:lvlJc w:val="left"/>
      <w:pPr>
        <w:tabs>
          <w:tab w:val="num" w:pos="643"/>
        </w:tabs>
        <w:ind w:left="643" w:hanging="283"/>
      </w:pPr>
      <w:rPr>
        <w:rFonts w:ascii="Times New Roman" w:hAnsi="Times New Roman" w:cs="Times New Roman" w:hint="default"/>
        <w:b w:val="0"/>
        <w:i w:val="0"/>
        <w:strike w:val="0"/>
        <w:color w:val="auto"/>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4EE4DBFE">
      <w:start w:val="1"/>
      <w:numFmt w:val="upperRoman"/>
      <w:lvlText w:val="%9."/>
      <w:lvlJc w:val="left"/>
      <w:pPr>
        <w:tabs>
          <w:tab w:val="num" w:pos="7020"/>
        </w:tabs>
        <w:ind w:left="7020" w:hanging="720"/>
      </w:pPr>
      <w:rPr>
        <w:rFonts w:hint="default"/>
      </w:rPr>
    </w:lvl>
  </w:abstractNum>
  <w:abstractNum w:abstractNumId="72">
    <w:nsid w:val="405D745A"/>
    <w:multiLevelType w:val="multilevel"/>
    <w:tmpl w:val="04465CAA"/>
    <w:lvl w:ilvl="0">
      <w:start w:val="1"/>
      <w:numFmt w:val="bullet"/>
      <w:lvlText w:val=""/>
      <w:lvlJc w:val="left"/>
      <w:pPr>
        <w:tabs>
          <w:tab w:val="num" w:pos="720"/>
        </w:tabs>
        <w:ind w:left="720" w:hanging="360"/>
      </w:pPr>
      <w:rPr>
        <w:rFonts w:ascii="Symbol" w:hAnsi="Symbol"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41936889"/>
    <w:multiLevelType w:val="hybridMultilevel"/>
    <w:tmpl w:val="2480AC14"/>
    <w:lvl w:ilvl="0" w:tplc="0FF8E89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4">
    <w:nsid w:val="46167263"/>
    <w:multiLevelType w:val="hybridMultilevel"/>
    <w:tmpl w:val="9ED4A14A"/>
    <w:lvl w:ilvl="0" w:tplc="0C0A000F">
      <w:start w:val="1"/>
      <w:numFmt w:val="decimal"/>
      <w:lvlText w:val="%1."/>
      <w:lvlJc w:val="left"/>
      <w:pPr>
        <w:tabs>
          <w:tab w:val="num" w:pos="720"/>
        </w:tabs>
        <w:ind w:left="720" w:hanging="360"/>
      </w:pPr>
    </w:lvl>
    <w:lvl w:ilvl="1" w:tplc="3D9E5450">
      <w:start w:val="2"/>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nsid w:val="47D9172E"/>
    <w:multiLevelType w:val="multilevel"/>
    <w:tmpl w:val="F478665C"/>
    <w:lvl w:ilvl="0">
      <w:start w:val="3"/>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47DC7541"/>
    <w:multiLevelType w:val="hybridMultilevel"/>
    <w:tmpl w:val="EC90CFDA"/>
    <w:lvl w:ilvl="0" w:tplc="0C0A0015">
      <w:start w:val="1"/>
      <w:numFmt w:val="upp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990AAC3C">
      <w:start w:val="579"/>
      <w:numFmt w:val="decimal"/>
      <w:lvlText w:val="%3."/>
      <w:lvlJc w:val="left"/>
      <w:pPr>
        <w:tabs>
          <w:tab w:val="num" w:pos="2400"/>
        </w:tabs>
        <w:ind w:left="2400" w:hanging="420"/>
      </w:pPr>
      <w:rPr>
        <w:rFonts w:hint="default"/>
        <w:color w:val="auto"/>
      </w:r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7">
    <w:nsid w:val="48024093"/>
    <w:multiLevelType w:val="hybridMultilevel"/>
    <w:tmpl w:val="B34CF71E"/>
    <w:lvl w:ilvl="0" w:tplc="F8BE3910">
      <w:start w:val="1"/>
      <w:numFmt w:val="bullet"/>
      <w:lvlText w:val=""/>
      <w:lvlJc w:val="left"/>
      <w:pPr>
        <w:tabs>
          <w:tab w:val="num" w:pos="567"/>
        </w:tabs>
        <w:ind w:left="567" w:hanging="567"/>
      </w:pPr>
      <w:rPr>
        <w:rFonts w:ascii="Symbol" w:hAnsi="Symbol"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48135309"/>
    <w:multiLevelType w:val="hybridMultilevel"/>
    <w:tmpl w:val="E30CE41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9">
    <w:nsid w:val="483721D9"/>
    <w:multiLevelType w:val="hybridMultilevel"/>
    <w:tmpl w:val="84BA6C80"/>
    <w:lvl w:ilvl="0" w:tplc="E2881464">
      <w:start w:val="1"/>
      <w:numFmt w:val="bullet"/>
      <w:lvlText w:val="–"/>
      <w:lvlJc w:val="left"/>
      <w:pPr>
        <w:tabs>
          <w:tab w:val="num" w:pos="1191"/>
        </w:tabs>
        <w:ind w:left="1191" w:hanging="624"/>
      </w:pPr>
      <w:rPr>
        <w:rFonts w:ascii="Times New Roman" w:hAnsi="Times New Roman" w:cs="Times New Roman" w:hint="default"/>
      </w:rPr>
    </w:lvl>
    <w:lvl w:ilvl="1" w:tplc="04190003" w:tentative="1">
      <w:start w:val="1"/>
      <w:numFmt w:val="bullet"/>
      <w:lvlText w:val="o"/>
      <w:lvlJc w:val="left"/>
      <w:pPr>
        <w:tabs>
          <w:tab w:val="num" w:pos="873"/>
        </w:tabs>
        <w:ind w:left="873" w:hanging="360"/>
      </w:pPr>
      <w:rPr>
        <w:rFonts w:ascii="Courier New" w:hAnsi="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80">
    <w:nsid w:val="49102C3B"/>
    <w:multiLevelType w:val="hybridMultilevel"/>
    <w:tmpl w:val="4028B082"/>
    <w:lvl w:ilvl="0" w:tplc="0C0A0001">
      <w:start w:val="1"/>
      <w:numFmt w:val="bullet"/>
      <w:lvlText w:val=""/>
      <w:lvlJc w:val="left"/>
      <w:pPr>
        <w:tabs>
          <w:tab w:val="num" w:pos="1800"/>
        </w:tabs>
        <w:ind w:left="1800" w:hanging="360"/>
      </w:pPr>
      <w:rPr>
        <w:rFonts w:ascii="Symbol" w:hAnsi="Symbol" w:hint="default"/>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81">
    <w:nsid w:val="499F0A03"/>
    <w:multiLevelType w:val="hybridMultilevel"/>
    <w:tmpl w:val="31BEA9E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2">
    <w:nsid w:val="4A3754F4"/>
    <w:multiLevelType w:val="hybridMultilevel"/>
    <w:tmpl w:val="AEAA237C"/>
    <w:lvl w:ilvl="0" w:tplc="0C0A0015">
      <w:start w:val="1"/>
      <w:numFmt w:val="upp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4C84BBFA">
      <w:start w:val="1"/>
      <w:numFmt w:val="lowerLetter"/>
      <w:lvlText w:val="%3."/>
      <w:lvlJc w:val="left"/>
      <w:pPr>
        <w:tabs>
          <w:tab w:val="num" w:pos="2340"/>
        </w:tabs>
        <w:ind w:left="2340" w:hanging="360"/>
      </w:pPr>
      <w:rPr>
        <w:rFonts w:hint="default"/>
        <w:b/>
      </w:rPr>
    </w:lvl>
    <w:lvl w:ilvl="3" w:tplc="BC546300">
      <w:start w:val="1"/>
      <w:numFmt w:val="decimal"/>
      <w:lvlText w:val="%4."/>
      <w:lvlJc w:val="left"/>
      <w:pPr>
        <w:tabs>
          <w:tab w:val="num" w:pos="2880"/>
        </w:tabs>
        <w:ind w:left="2880" w:hanging="360"/>
      </w:pPr>
      <w:rPr>
        <w:rFonts w:hint="default"/>
      </w:rPr>
    </w:lvl>
    <w:lvl w:ilvl="4" w:tplc="0C0A0001">
      <w:start w:val="1"/>
      <w:numFmt w:val="bullet"/>
      <w:lvlText w:val=""/>
      <w:lvlJc w:val="left"/>
      <w:pPr>
        <w:tabs>
          <w:tab w:val="num" w:pos="3600"/>
        </w:tabs>
        <w:ind w:left="3600" w:hanging="360"/>
      </w:pPr>
      <w:rPr>
        <w:rFonts w:ascii="Symbol" w:hAnsi="Symbol"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3">
    <w:nsid w:val="4AB533D5"/>
    <w:multiLevelType w:val="hybridMultilevel"/>
    <w:tmpl w:val="420E9038"/>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4">
    <w:nsid w:val="4E2A6E7E"/>
    <w:multiLevelType w:val="hybridMultilevel"/>
    <w:tmpl w:val="B7CA3D5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5">
    <w:nsid w:val="4ED87A6B"/>
    <w:multiLevelType w:val="hybridMultilevel"/>
    <w:tmpl w:val="812C190C"/>
    <w:lvl w:ilvl="0" w:tplc="416E6416">
      <w:start w:val="133"/>
      <w:numFmt w:val="decimal"/>
      <w:lvlText w:val="%1."/>
      <w:lvlJc w:val="left"/>
      <w:pPr>
        <w:tabs>
          <w:tab w:val="num" w:pos="780"/>
        </w:tabs>
        <w:ind w:left="780" w:hanging="420"/>
      </w:pPr>
      <w:rPr>
        <w:rFonts w:hint="default"/>
        <w:color w:val="auto"/>
      </w:rPr>
    </w:lvl>
    <w:lvl w:ilvl="1" w:tplc="0C0A0001">
      <w:start w:val="1"/>
      <w:numFmt w:val="bullet"/>
      <w:lvlText w:val=""/>
      <w:lvlJc w:val="left"/>
      <w:pPr>
        <w:tabs>
          <w:tab w:val="num" w:pos="1440"/>
        </w:tabs>
        <w:ind w:left="1440" w:hanging="360"/>
      </w:pPr>
      <w:rPr>
        <w:rFonts w:ascii="Symbol" w:hAnsi="Symbol" w:hint="default"/>
        <w:color w:val="auto"/>
      </w:rPr>
    </w:lvl>
    <w:lvl w:ilvl="2" w:tplc="0C0A000F">
      <w:start w:val="1"/>
      <w:numFmt w:val="decimal"/>
      <w:lvlText w:val="%3."/>
      <w:lvlJc w:val="left"/>
      <w:pPr>
        <w:tabs>
          <w:tab w:val="num" w:pos="2340"/>
        </w:tabs>
        <w:ind w:left="2340" w:hanging="360"/>
      </w:pPr>
      <w:rPr>
        <w:rFont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6">
    <w:nsid w:val="4F6F1043"/>
    <w:multiLevelType w:val="hybridMultilevel"/>
    <w:tmpl w:val="2672473A"/>
    <w:lvl w:ilvl="0" w:tplc="DAA6B93A">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87">
    <w:nsid w:val="4F937FAA"/>
    <w:multiLevelType w:val="hybridMultilevel"/>
    <w:tmpl w:val="CCE062CA"/>
    <w:lvl w:ilvl="0" w:tplc="A14ED85A">
      <w:start w:val="1"/>
      <w:numFmt w:val="bullet"/>
      <w:lvlText w:val="–"/>
      <w:lvlJc w:val="left"/>
      <w:pPr>
        <w:tabs>
          <w:tab w:val="num" w:pos="1191"/>
        </w:tabs>
        <w:ind w:left="1191" w:hanging="624"/>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8">
    <w:nsid w:val="50761844"/>
    <w:multiLevelType w:val="hybridMultilevel"/>
    <w:tmpl w:val="45B23EC4"/>
    <w:lvl w:ilvl="0" w:tplc="0C0A0015">
      <w:start w:val="1"/>
      <w:numFmt w:val="upp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nsid w:val="511269F7"/>
    <w:multiLevelType w:val="hybridMultilevel"/>
    <w:tmpl w:val="D07CC2CC"/>
    <w:lvl w:ilvl="0" w:tplc="44086C62">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0">
    <w:nsid w:val="53AA795A"/>
    <w:multiLevelType w:val="hybridMultilevel"/>
    <w:tmpl w:val="6EFC29D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91">
    <w:nsid w:val="53D54D8A"/>
    <w:multiLevelType w:val="hybridMultilevel"/>
    <w:tmpl w:val="7CE86ECA"/>
    <w:lvl w:ilvl="0" w:tplc="CF5C8CA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2">
    <w:nsid w:val="54300C47"/>
    <w:multiLevelType w:val="hybridMultilevel"/>
    <w:tmpl w:val="737A899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3">
    <w:nsid w:val="597C3EA8"/>
    <w:multiLevelType w:val="hybridMultilevel"/>
    <w:tmpl w:val="0EE25F4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4">
    <w:nsid w:val="5AC9135C"/>
    <w:multiLevelType w:val="hybridMultilevel"/>
    <w:tmpl w:val="B7642F9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5">
    <w:nsid w:val="5BEF3741"/>
    <w:multiLevelType w:val="hybridMultilevel"/>
    <w:tmpl w:val="B3649C36"/>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6">
    <w:nsid w:val="5C0A2E98"/>
    <w:multiLevelType w:val="hybridMultilevel"/>
    <w:tmpl w:val="2672473A"/>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97">
    <w:nsid w:val="5D572144"/>
    <w:multiLevelType w:val="hybridMultilevel"/>
    <w:tmpl w:val="5DC6E560"/>
    <w:lvl w:ilvl="0" w:tplc="290CF5E6">
      <w:start w:val="1"/>
      <w:numFmt w:val="decimal"/>
      <w:lvlText w:val="%1."/>
      <w:lvlJc w:val="left"/>
      <w:pPr>
        <w:tabs>
          <w:tab w:val="num" w:pos="720"/>
        </w:tabs>
        <w:ind w:left="0" w:firstLine="0"/>
      </w:pPr>
      <w:rPr>
        <w:rFonts w:hint="default"/>
      </w:rPr>
    </w:lvl>
    <w:lvl w:ilvl="1" w:tplc="59743274">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8">
    <w:nsid w:val="5D7F2B54"/>
    <w:multiLevelType w:val="hybridMultilevel"/>
    <w:tmpl w:val="067E69E2"/>
    <w:lvl w:ilvl="0" w:tplc="44086C62">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9">
    <w:nsid w:val="5DFB3A86"/>
    <w:multiLevelType w:val="hybridMultilevel"/>
    <w:tmpl w:val="D85604E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nsid w:val="5E006D93"/>
    <w:multiLevelType w:val="hybridMultilevel"/>
    <w:tmpl w:val="C240A4A8"/>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1">
    <w:nsid w:val="5F383DF0"/>
    <w:multiLevelType w:val="hybridMultilevel"/>
    <w:tmpl w:val="E6669C32"/>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102">
    <w:nsid w:val="600C0752"/>
    <w:multiLevelType w:val="multilevel"/>
    <w:tmpl w:val="F478665C"/>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3">
    <w:nsid w:val="60F67B05"/>
    <w:multiLevelType w:val="multilevel"/>
    <w:tmpl w:val="741CC23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4">
    <w:nsid w:val="62884048"/>
    <w:multiLevelType w:val="hybridMultilevel"/>
    <w:tmpl w:val="A40CF58E"/>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5">
    <w:nsid w:val="62E65D63"/>
    <w:multiLevelType w:val="hybridMultilevel"/>
    <w:tmpl w:val="5934ADA2"/>
    <w:lvl w:ilvl="0" w:tplc="0C0A0015">
      <w:start w:val="1"/>
      <w:numFmt w:val="upp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6">
    <w:nsid w:val="63A73B6F"/>
    <w:multiLevelType w:val="hybridMultilevel"/>
    <w:tmpl w:val="C94C16A2"/>
    <w:lvl w:ilvl="0" w:tplc="0C0A0001">
      <w:start w:val="1"/>
      <w:numFmt w:val="bullet"/>
      <w:lvlText w:val=""/>
      <w:lvlJc w:val="left"/>
      <w:pPr>
        <w:tabs>
          <w:tab w:val="num" w:pos="720"/>
        </w:tabs>
        <w:ind w:left="720" w:hanging="360"/>
      </w:pPr>
      <w:rPr>
        <w:rFonts w:ascii="Symbol" w:hAnsi="Symbol" w:hint="default"/>
      </w:rPr>
    </w:lvl>
    <w:lvl w:ilvl="1" w:tplc="19AEADE4">
      <w:start w:val="189"/>
      <w:numFmt w:val="decimal"/>
      <w:lvlText w:val="%2."/>
      <w:lvlJc w:val="left"/>
      <w:pPr>
        <w:tabs>
          <w:tab w:val="num" w:pos="1500"/>
        </w:tabs>
        <w:ind w:left="1500" w:hanging="420"/>
      </w:pPr>
      <w:rPr>
        <w:rFonts w:ascii="Times New Roman" w:hAnsi="Times New Roman" w:cs="Times New Roman" w:hint="default"/>
        <w:b w:val="0"/>
        <w:i w:val="0"/>
        <w:sz w:val="24"/>
        <w:szCs w:val="24"/>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7">
    <w:nsid w:val="64316957"/>
    <w:multiLevelType w:val="hybridMultilevel"/>
    <w:tmpl w:val="4008D69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8">
    <w:nsid w:val="64EB6B02"/>
    <w:multiLevelType w:val="hybridMultilevel"/>
    <w:tmpl w:val="FAEEFF6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9">
    <w:nsid w:val="65497F8B"/>
    <w:multiLevelType w:val="hybridMultilevel"/>
    <w:tmpl w:val="60FE4C0C"/>
    <w:lvl w:ilvl="0" w:tplc="44086C62">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0">
    <w:nsid w:val="680379F9"/>
    <w:multiLevelType w:val="hybridMultilevel"/>
    <w:tmpl w:val="2DD49616"/>
    <w:lvl w:ilvl="0" w:tplc="44086C62">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1">
    <w:nsid w:val="68B7730E"/>
    <w:multiLevelType w:val="multilevel"/>
    <w:tmpl w:val="F478665C"/>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2">
    <w:nsid w:val="69F70796"/>
    <w:multiLevelType w:val="hybridMultilevel"/>
    <w:tmpl w:val="55F4D19E"/>
    <w:lvl w:ilvl="0" w:tplc="3364ED76">
      <w:start w:val="1"/>
      <w:numFmt w:val="decimal"/>
      <w:lvlText w:val="%1."/>
      <w:lvlJc w:val="left"/>
      <w:pPr>
        <w:tabs>
          <w:tab w:val="num" w:pos="720"/>
        </w:tabs>
        <w:ind w:left="720" w:hanging="360"/>
      </w:pPr>
      <w:rPr>
        <w:rFonts w:hint="default"/>
      </w:rPr>
    </w:lvl>
    <w:lvl w:ilvl="1" w:tplc="74626564">
      <w:numFmt w:val="none"/>
      <w:lvlText w:val=""/>
      <w:lvlJc w:val="left"/>
      <w:pPr>
        <w:tabs>
          <w:tab w:val="num" w:pos="360"/>
        </w:tabs>
      </w:pPr>
    </w:lvl>
    <w:lvl w:ilvl="2" w:tplc="3ADA0F50">
      <w:numFmt w:val="none"/>
      <w:lvlText w:val=""/>
      <w:lvlJc w:val="left"/>
      <w:pPr>
        <w:tabs>
          <w:tab w:val="num" w:pos="360"/>
        </w:tabs>
      </w:pPr>
    </w:lvl>
    <w:lvl w:ilvl="3" w:tplc="DD64FDEE">
      <w:numFmt w:val="none"/>
      <w:lvlText w:val=""/>
      <w:lvlJc w:val="left"/>
      <w:pPr>
        <w:tabs>
          <w:tab w:val="num" w:pos="360"/>
        </w:tabs>
      </w:pPr>
    </w:lvl>
    <w:lvl w:ilvl="4" w:tplc="62524BD4">
      <w:numFmt w:val="none"/>
      <w:lvlText w:val=""/>
      <w:lvlJc w:val="left"/>
      <w:pPr>
        <w:tabs>
          <w:tab w:val="num" w:pos="360"/>
        </w:tabs>
      </w:pPr>
    </w:lvl>
    <w:lvl w:ilvl="5" w:tplc="8EC21032">
      <w:numFmt w:val="none"/>
      <w:lvlText w:val=""/>
      <w:lvlJc w:val="left"/>
      <w:pPr>
        <w:tabs>
          <w:tab w:val="num" w:pos="360"/>
        </w:tabs>
      </w:pPr>
    </w:lvl>
    <w:lvl w:ilvl="6" w:tplc="92B80BD4">
      <w:numFmt w:val="none"/>
      <w:lvlText w:val=""/>
      <w:lvlJc w:val="left"/>
      <w:pPr>
        <w:tabs>
          <w:tab w:val="num" w:pos="360"/>
        </w:tabs>
      </w:pPr>
    </w:lvl>
    <w:lvl w:ilvl="7" w:tplc="0316BAC8">
      <w:numFmt w:val="none"/>
      <w:lvlText w:val=""/>
      <w:lvlJc w:val="left"/>
      <w:pPr>
        <w:tabs>
          <w:tab w:val="num" w:pos="360"/>
        </w:tabs>
      </w:pPr>
    </w:lvl>
    <w:lvl w:ilvl="8" w:tplc="10583C42">
      <w:numFmt w:val="none"/>
      <w:lvlText w:val=""/>
      <w:lvlJc w:val="left"/>
      <w:pPr>
        <w:tabs>
          <w:tab w:val="num" w:pos="360"/>
        </w:tabs>
      </w:pPr>
    </w:lvl>
  </w:abstractNum>
  <w:abstractNum w:abstractNumId="113">
    <w:nsid w:val="6AA928FB"/>
    <w:multiLevelType w:val="hybridMultilevel"/>
    <w:tmpl w:val="E0EEA91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4">
    <w:nsid w:val="6B416953"/>
    <w:multiLevelType w:val="hybridMultilevel"/>
    <w:tmpl w:val="4F666638"/>
    <w:lvl w:ilvl="0" w:tplc="44086C62">
      <w:start w:val="1"/>
      <w:numFmt w:val="bullet"/>
      <w:lvlText w:val=""/>
      <w:lvlJc w:val="left"/>
      <w:pPr>
        <w:tabs>
          <w:tab w:val="num" w:pos="1134"/>
        </w:tabs>
        <w:ind w:left="1134" w:hanging="567"/>
      </w:pPr>
      <w:rPr>
        <w:rFonts w:ascii="Symbol" w:hAnsi="Symbol" w:hint="default"/>
        <w:color w:val="auto"/>
      </w:rPr>
    </w:lvl>
    <w:lvl w:ilvl="1" w:tplc="1B3E8E0E">
      <w:start w:val="1"/>
      <w:numFmt w:val="bullet"/>
      <w:lvlText w:val="–"/>
      <w:lvlJc w:val="left"/>
      <w:pPr>
        <w:tabs>
          <w:tab w:val="num" w:pos="2214"/>
        </w:tabs>
        <w:ind w:left="2214" w:hanging="567"/>
      </w:pPr>
      <w:rPr>
        <w:rFonts w:ascii="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5">
    <w:nsid w:val="6B864A0E"/>
    <w:multiLevelType w:val="hybridMultilevel"/>
    <w:tmpl w:val="B7642F9E"/>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16">
    <w:nsid w:val="6BFF6E8E"/>
    <w:multiLevelType w:val="hybridMultilevel"/>
    <w:tmpl w:val="0CFEC7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7">
    <w:nsid w:val="6C9D2044"/>
    <w:multiLevelType w:val="singleLevel"/>
    <w:tmpl w:val="F4921CB8"/>
    <w:lvl w:ilvl="0">
      <w:start w:val="234"/>
      <w:numFmt w:val="decimal"/>
      <w:lvlText w:val="%1."/>
      <w:legacy w:legacy="1" w:legacySpace="0" w:legacyIndent="566"/>
      <w:lvlJc w:val="left"/>
      <w:rPr>
        <w:rFonts w:ascii="Times New Roman" w:hAnsi="Times New Roman" w:cs="Times New Roman" w:hint="default"/>
      </w:rPr>
    </w:lvl>
  </w:abstractNum>
  <w:abstractNum w:abstractNumId="118">
    <w:nsid w:val="6D2D2B94"/>
    <w:multiLevelType w:val="hybridMultilevel"/>
    <w:tmpl w:val="DDCA454C"/>
    <w:lvl w:ilvl="0" w:tplc="EAB4B4E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9">
    <w:nsid w:val="6EA3297F"/>
    <w:multiLevelType w:val="singleLevel"/>
    <w:tmpl w:val="75C6B8B0"/>
    <w:lvl w:ilvl="0">
      <w:start w:val="219"/>
      <w:numFmt w:val="decimal"/>
      <w:lvlText w:val="%1."/>
      <w:legacy w:legacy="1" w:legacySpace="0" w:legacyIndent="566"/>
      <w:lvlJc w:val="left"/>
      <w:rPr>
        <w:rFonts w:ascii="Times New Roman" w:hAnsi="Times New Roman" w:cs="Times New Roman" w:hint="default"/>
      </w:rPr>
    </w:lvl>
  </w:abstractNum>
  <w:abstractNum w:abstractNumId="120">
    <w:nsid w:val="70467C3B"/>
    <w:multiLevelType w:val="singleLevel"/>
    <w:tmpl w:val="7956445E"/>
    <w:lvl w:ilvl="0">
      <w:start w:val="221"/>
      <w:numFmt w:val="decimal"/>
      <w:lvlText w:val="%1."/>
      <w:legacy w:legacy="1" w:legacySpace="0" w:legacyIndent="571"/>
      <w:lvlJc w:val="left"/>
      <w:rPr>
        <w:rFonts w:ascii="Times New Roman" w:hAnsi="Times New Roman" w:cs="Times New Roman" w:hint="default"/>
      </w:rPr>
    </w:lvl>
  </w:abstractNum>
  <w:abstractNum w:abstractNumId="121">
    <w:nsid w:val="711040F3"/>
    <w:multiLevelType w:val="hybridMultilevel"/>
    <w:tmpl w:val="E572EFE4"/>
    <w:lvl w:ilvl="0" w:tplc="290CF5E6">
      <w:start w:val="1"/>
      <w:numFmt w:val="decimal"/>
      <w:lvlText w:val="%1."/>
      <w:lvlJc w:val="left"/>
      <w:pPr>
        <w:tabs>
          <w:tab w:val="num" w:pos="720"/>
        </w:tabs>
        <w:ind w:left="0" w:firstLine="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2">
    <w:nsid w:val="72F448AA"/>
    <w:multiLevelType w:val="hybridMultilevel"/>
    <w:tmpl w:val="C240A4A8"/>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3">
    <w:nsid w:val="73386CE0"/>
    <w:multiLevelType w:val="multilevel"/>
    <w:tmpl w:val="39F00FE8"/>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4">
    <w:nsid w:val="744E196D"/>
    <w:multiLevelType w:val="hybridMultilevel"/>
    <w:tmpl w:val="42761F18"/>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5">
    <w:nsid w:val="75B31A54"/>
    <w:multiLevelType w:val="singleLevel"/>
    <w:tmpl w:val="5D609094"/>
    <w:lvl w:ilvl="0">
      <w:start w:val="1"/>
      <w:numFmt w:val="lowerLetter"/>
      <w:lvlText w:val="%1)"/>
      <w:legacy w:legacy="1" w:legacySpace="0" w:legacyIndent="566"/>
      <w:lvlJc w:val="left"/>
      <w:rPr>
        <w:rFonts w:ascii="Times New Roman" w:hAnsi="Times New Roman" w:cs="Times New Roman" w:hint="default"/>
      </w:rPr>
    </w:lvl>
  </w:abstractNum>
  <w:abstractNum w:abstractNumId="126">
    <w:nsid w:val="75C00754"/>
    <w:multiLevelType w:val="singleLevel"/>
    <w:tmpl w:val="C62C41CE"/>
    <w:lvl w:ilvl="0">
      <w:start w:val="215"/>
      <w:numFmt w:val="decimal"/>
      <w:lvlText w:val="%1."/>
      <w:legacy w:legacy="1" w:legacySpace="0" w:legacyIndent="562"/>
      <w:lvlJc w:val="left"/>
      <w:rPr>
        <w:rFonts w:ascii="Times New Roman" w:hAnsi="Times New Roman" w:cs="Times New Roman" w:hint="default"/>
      </w:rPr>
    </w:lvl>
  </w:abstractNum>
  <w:abstractNum w:abstractNumId="127">
    <w:nsid w:val="77111D86"/>
    <w:multiLevelType w:val="hybridMultilevel"/>
    <w:tmpl w:val="A06001C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8">
    <w:nsid w:val="783A24C6"/>
    <w:multiLevelType w:val="hybridMultilevel"/>
    <w:tmpl w:val="EF063C7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9">
    <w:nsid w:val="78F0656D"/>
    <w:multiLevelType w:val="hybridMultilevel"/>
    <w:tmpl w:val="9C7A7D92"/>
    <w:lvl w:ilvl="0" w:tplc="0C0A0001">
      <w:start w:val="1"/>
      <w:numFmt w:val="bullet"/>
      <w:lvlText w:val=""/>
      <w:lvlJc w:val="left"/>
      <w:pPr>
        <w:tabs>
          <w:tab w:val="num" w:pos="720"/>
        </w:tabs>
        <w:ind w:left="720" w:hanging="360"/>
      </w:pPr>
      <w:rPr>
        <w:rFonts w:ascii="Symbol" w:hAnsi="Symbol" w:hint="default"/>
      </w:rPr>
    </w:lvl>
    <w:lvl w:ilvl="1" w:tplc="19AEADE4">
      <w:start w:val="189"/>
      <w:numFmt w:val="decimal"/>
      <w:lvlText w:val="%2."/>
      <w:lvlJc w:val="left"/>
      <w:pPr>
        <w:tabs>
          <w:tab w:val="num" w:pos="1500"/>
        </w:tabs>
        <w:ind w:left="1500" w:hanging="420"/>
      </w:pPr>
      <w:rPr>
        <w:rFonts w:ascii="Times New Roman" w:hAnsi="Times New Roman" w:cs="Times New Roman" w:hint="default"/>
        <w:b w:val="0"/>
        <w:i w:val="0"/>
        <w:sz w:val="24"/>
        <w:szCs w:val="24"/>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0">
    <w:nsid w:val="79F15C64"/>
    <w:multiLevelType w:val="hybridMultilevel"/>
    <w:tmpl w:val="F274F68A"/>
    <w:lvl w:ilvl="0" w:tplc="0C0A0001">
      <w:start w:val="1"/>
      <w:numFmt w:val="bullet"/>
      <w:lvlText w:val=""/>
      <w:lvlJc w:val="left"/>
      <w:pPr>
        <w:tabs>
          <w:tab w:val="num" w:pos="720"/>
        </w:tabs>
        <w:ind w:left="720" w:hanging="360"/>
      </w:pPr>
      <w:rPr>
        <w:rFonts w:ascii="Symbol" w:hAnsi="Symbol" w:hint="default"/>
      </w:rPr>
    </w:lvl>
    <w:lvl w:ilvl="1" w:tplc="19AEADE4">
      <w:start w:val="189"/>
      <w:numFmt w:val="decimal"/>
      <w:lvlText w:val="%2."/>
      <w:lvlJc w:val="left"/>
      <w:pPr>
        <w:tabs>
          <w:tab w:val="num" w:pos="1500"/>
        </w:tabs>
        <w:ind w:left="1500" w:hanging="420"/>
      </w:pPr>
      <w:rPr>
        <w:rFonts w:ascii="Times New Roman" w:hAnsi="Times New Roman" w:cs="Times New Roman" w:hint="default"/>
        <w:b w:val="0"/>
        <w:i w:val="0"/>
        <w:sz w:val="24"/>
        <w:szCs w:val="24"/>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1">
    <w:nsid w:val="7C4E1843"/>
    <w:multiLevelType w:val="hybridMultilevel"/>
    <w:tmpl w:val="0FEADFEE"/>
    <w:lvl w:ilvl="0" w:tplc="CF5C8CA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2">
    <w:nsid w:val="7CAD482A"/>
    <w:multiLevelType w:val="singleLevel"/>
    <w:tmpl w:val="7D327D0A"/>
    <w:lvl w:ilvl="0">
      <w:start w:val="1"/>
      <w:numFmt w:val="lowerLetter"/>
      <w:lvlText w:val="%1)"/>
      <w:legacy w:legacy="1" w:legacySpace="0" w:legacyIndent="562"/>
      <w:lvlJc w:val="left"/>
      <w:rPr>
        <w:rFonts w:ascii="Times New Roman" w:hAnsi="Times New Roman" w:cs="Times New Roman" w:hint="default"/>
      </w:rPr>
    </w:lvl>
  </w:abstractNum>
  <w:abstractNum w:abstractNumId="133">
    <w:nsid w:val="7D74221D"/>
    <w:multiLevelType w:val="hybridMultilevel"/>
    <w:tmpl w:val="2DD49616"/>
    <w:lvl w:ilvl="0" w:tplc="1B3E8E0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4">
    <w:nsid w:val="7FF81213"/>
    <w:multiLevelType w:val="hybridMultilevel"/>
    <w:tmpl w:val="2CA62070"/>
    <w:lvl w:ilvl="0" w:tplc="6B840D76">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4"/>
  </w:num>
  <w:num w:numId="3">
    <w:abstractNumId w:val="40"/>
  </w:num>
  <w:num w:numId="4">
    <w:abstractNumId w:val="22"/>
  </w:num>
  <w:num w:numId="5">
    <w:abstractNumId w:val="26"/>
  </w:num>
  <w:num w:numId="6">
    <w:abstractNumId w:val="8"/>
  </w:num>
  <w:num w:numId="7">
    <w:abstractNumId w:val="18"/>
  </w:num>
  <w:num w:numId="8">
    <w:abstractNumId w:val="60"/>
  </w:num>
  <w:num w:numId="9">
    <w:abstractNumId w:val="134"/>
  </w:num>
  <w:num w:numId="10">
    <w:abstractNumId w:val="9"/>
  </w:num>
  <w:num w:numId="11">
    <w:abstractNumId w:val="63"/>
  </w:num>
  <w:num w:numId="12">
    <w:abstractNumId w:val="5"/>
  </w:num>
  <w:num w:numId="13">
    <w:abstractNumId w:val="46"/>
  </w:num>
  <w:num w:numId="14">
    <w:abstractNumId w:val="56"/>
  </w:num>
  <w:num w:numId="15">
    <w:abstractNumId w:val="82"/>
  </w:num>
  <w:num w:numId="16">
    <w:abstractNumId w:val="25"/>
  </w:num>
  <w:num w:numId="17">
    <w:abstractNumId w:val="112"/>
  </w:num>
  <w:num w:numId="18">
    <w:abstractNumId w:val="3"/>
  </w:num>
  <w:num w:numId="19">
    <w:abstractNumId w:val="123"/>
  </w:num>
  <w:num w:numId="20">
    <w:abstractNumId w:val="102"/>
  </w:num>
  <w:num w:numId="21">
    <w:abstractNumId w:val="111"/>
  </w:num>
  <w:num w:numId="22">
    <w:abstractNumId w:val="62"/>
  </w:num>
  <w:num w:numId="23">
    <w:abstractNumId w:val="45"/>
  </w:num>
  <w:num w:numId="24">
    <w:abstractNumId w:val="2"/>
  </w:num>
  <w:num w:numId="25">
    <w:abstractNumId w:val="28"/>
  </w:num>
  <w:num w:numId="26">
    <w:abstractNumId w:val="106"/>
  </w:num>
  <w:num w:numId="27">
    <w:abstractNumId w:val="130"/>
  </w:num>
  <w:num w:numId="28">
    <w:abstractNumId w:val="70"/>
  </w:num>
  <w:num w:numId="29">
    <w:abstractNumId w:val="13"/>
  </w:num>
  <w:num w:numId="30">
    <w:abstractNumId w:val="75"/>
  </w:num>
  <w:num w:numId="31">
    <w:abstractNumId w:val="76"/>
  </w:num>
  <w:num w:numId="32">
    <w:abstractNumId w:val="7"/>
  </w:num>
  <w:num w:numId="33">
    <w:abstractNumId w:val="38"/>
  </w:num>
  <w:num w:numId="34">
    <w:abstractNumId w:val="105"/>
  </w:num>
  <w:num w:numId="35">
    <w:abstractNumId w:val="51"/>
  </w:num>
  <w:num w:numId="36">
    <w:abstractNumId w:val="64"/>
  </w:num>
  <w:num w:numId="37">
    <w:abstractNumId w:val="128"/>
  </w:num>
  <w:num w:numId="38">
    <w:abstractNumId w:val="52"/>
  </w:num>
  <w:num w:numId="39">
    <w:abstractNumId w:val="41"/>
  </w:num>
  <w:num w:numId="40">
    <w:abstractNumId w:val="43"/>
  </w:num>
  <w:num w:numId="41">
    <w:abstractNumId w:val="69"/>
  </w:num>
  <w:num w:numId="42">
    <w:abstractNumId w:val="65"/>
  </w:num>
  <w:num w:numId="43">
    <w:abstractNumId w:val="59"/>
  </w:num>
  <w:num w:numId="44">
    <w:abstractNumId w:val="31"/>
  </w:num>
  <w:num w:numId="45">
    <w:abstractNumId w:val="50"/>
  </w:num>
  <w:num w:numId="46">
    <w:abstractNumId w:val="103"/>
  </w:num>
  <w:num w:numId="47">
    <w:abstractNumId w:val="84"/>
  </w:num>
  <w:num w:numId="48">
    <w:abstractNumId w:val="78"/>
  </w:num>
  <w:num w:numId="49">
    <w:abstractNumId w:val="107"/>
  </w:num>
  <w:num w:numId="50">
    <w:abstractNumId w:val="127"/>
  </w:num>
  <w:num w:numId="51">
    <w:abstractNumId w:val="15"/>
  </w:num>
  <w:num w:numId="52">
    <w:abstractNumId w:val="108"/>
  </w:num>
  <w:num w:numId="53">
    <w:abstractNumId w:val="99"/>
  </w:num>
  <w:num w:numId="54">
    <w:abstractNumId w:val="6"/>
  </w:num>
  <w:num w:numId="55">
    <w:abstractNumId w:val="58"/>
  </w:num>
  <w:num w:numId="56">
    <w:abstractNumId w:val="116"/>
  </w:num>
  <w:num w:numId="57">
    <w:abstractNumId w:val="92"/>
  </w:num>
  <w:num w:numId="58">
    <w:abstractNumId w:val="39"/>
  </w:num>
  <w:num w:numId="59">
    <w:abstractNumId w:val="21"/>
  </w:num>
  <w:num w:numId="60">
    <w:abstractNumId w:val="129"/>
  </w:num>
  <w:num w:numId="61">
    <w:abstractNumId w:val="42"/>
  </w:num>
  <w:num w:numId="62">
    <w:abstractNumId w:val="11"/>
  </w:num>
  <w:num w:numId="63">
    <w:abstractNumId w:val="81"/>
  </w:num>
  <w:num w:numId="64">
    <w:abstractNumId w:val="55"/>
  </w:num>
  <w:num w:numId="65">
    <w:abstractNumId w:val="33"/>
  </w:num>
  <w:num w:numId="66">
    <w:abstractNumId w:val="53"/>
  </w:num>
  <w:num w:numId="67">
    <w:abstractNumId w:val="72"/>
  </w:num>
  <w:num w:numId="68">
    <w:abstractNumId w:val="85"/>
  </w:num>
  <w:num w:numId="69">
    <w:abstractNumId w:val="122"/>
  </w:num>
  <w:num w:numId="70">
    <w:abstractNumId w:val="94"/>
  </w:num>
  <w:num w:numId="71">
    <w:abstractNumId w:val="93"/>
  </w:num>
  <w:num w:numId="72">
    <w:abstractNumId w:val="32"/>
  </w:num>
  <w:num w:numId="73">
    <w:abstractNumId w:val="88"/>
  </w:num>
  <w:num w:numId="74">
    <w:abstractNumId w:val="20"/>
  </w:num>
  <w:num w:numId="75">
    <w:abstractNumId w:val="19"/>
  </w:num>
  <w:num w:numId="76">
    <w:abstractNumId w:val="71"/>
  </w:num>
  <w:num w:numId="77">
    <w:abstractNumId w:val="67"/>
  </w:num>
  <w:num w:numId="78">
    <w:abstractNumId w:val="16"/>
  </w:num>
  <w:num w:numId="79">
    <w:abstractNumId w:val="47"/>
  </w:num>
  <w:num w:numId="80">
    <w:abstractNumId w:val="48"/>
  </w:num>
  <w:num w:numId="81">
    <w:abstractNumId w:val="77"/>
  </w:num>
  <w:num w:numId="82">
    <w:abstractNumId w:val="44"/>
  </w:num>
  <w:num w:numId="83">
    <w:abstractNumId w:val="118"/>
  </w:num>
  <w:num w:numId="84">
    <w:abstractNumId w:val="14"/>
  </w:num>
  <w:num w:numId="85">
    <w:abstractNumId w:val="73"/>
  </w:num>
  <w:num w:numId="86">
    <w:abstractNumId w:val="68"/>
  </w:num>
  <w:num w:numId="87">
    <w:abstractNumId w:val="87"/>
  </w:num>
  <w:num w:numId="88">
    <w:abstractNumId w:val="61"/>
  </w:num>
  <w:num w:numId="89">
    <w:abstractNumId w:val="86"/>
  </w:num>
  <w:num w:numId="90">
    <w:abstractNumId w:val="34"/>
  </w:num>
  <w:num w:numId="91">
    <w:abstractNumId w:val="91"/>
  </w:num>
  <w:num w:numId="92">
    <w:abstractNumId w:val="131"/>
  </w:num>
  <w:num w:numId="93">
    <w:abstractNumId w:val="17"/>
  </w:num>
  <w:num w:numId="94">
    <w:abstractNumId w:val="101"/>
  </w:num>
  <w:num w:numId="95">
    <w:abstractNumId w:val="96"/>
  </w:num>
  <w:num w:numId="96">
    <w:abstractNumId w:val="126"/>
  </w:num>
  <w:num w:numId="97">
    <w:abstractNumId w:val="119"/>
  </w:num>
  <w:num w:numId="98">
    <w:abstractNumId w:val="120"/>
  </w:num>
  <w:num w:numId="99">
    <w:abstractNumId w:val="109"/>
  </w:num>
  <w:num w:numId="100">
    <w:abstractNumId w:val="89"/>
  </w:num>
  <w:num w:numId="101">
    <w:abstractNumId w:val="110"/>
  </w:num>
  <w:num w:numId="102">
    <w:abstractNumId w:val="12"/>
  </w:num>
  <w:num w:numId="103">
    <w:abstractNumId w:val="10"/>
  </w:num>
  <w:num w:numId="104">
    <w:abstractNumId w:val="98"/>
  </w:num>
  <w:num w:numId="105">
    <w:abstractNumId w:val="114"/>
  </w:num>
  <w:num w:numId="106">
    <w:abstractNumId w:val="124"/>
  </w:num>
  <w:num w:numId="107">
    <w:abstractNumId w:val="30"/>
  </w:num>
  <w:num w:numId="108">
    <w:abstractNumId w:val="66"/>
  </w:num>
  <w:num w:numId="109">
    <w:abstractNumId w:val="133"/>
  </w:num>
  <w:num w:numId="110">
    <w:abstractNumId w:val="95"/>
  </w:num>
  <w:num w:numId="111">
    <w:abstractNumId w:val="117"/>
  </w:num>
  <w:num w:numId="112">
    <w:abstractNumId w:val="27"/>
  </w:num>
  <w:num w:numId="113">
    <w:abstractNumId w:val="1"/>
    <w:lvlOverride w:ilvl="0">
      <w:lvl w:ilvl="0">
        <w:start w:val="65535"/>
        <w:numFmt w:val="bullet"/>
        <w:lvlText w:val="•"/>
        <w:legacy w:legacy="1" w:legacySpace="0" w:legacyIndent="355"/>
        <w:lvlJc w:val="left"/>
        <w:rPr>
          <w:rFonts w:ascii="Times New Roman" w:hAnsi="Times New Roman" w:cs="Times New Roman" w:hint="default"/>
        </w:rPr>
      </w:lvl>
    </w:lvlOverride>
  </w:num>
  <w:num w:numId="114">
    <w:abstractNumId w:val="1"/>
    <w:lvlOverride w:ilvl="0">
      <w:lvl w:ilvl="0">
        <w:start w:val="65535"/>
        <w:numFmt w:val="bullet"/>
        <w:lvlText w:val="•"/>
        <w:legacy w:legacy="1" w:legacySpace="0" w:legacyIndent="350"/>
        <w:lvlJc w:val="left"/>
        <w:rPr>
          <w:rFonts w:ascii="Times New Roman" w:hAnsi="Times New Roman" w:cs="Times New Roman" w:hint="default"/>
        </w:rPr>
      </w:lvl>
    </w:lvlOverride>
  </w:num>
  <w:num w:numId="115">
    <w:abstractNumId w:val="125"/>
  </w:num>
  <w:num w:numId="116">
    <w:abstractNumId w:val="125"/>
    <w:lvlOverride w:ilvl="0">
      <w:lvl w:ilvl="0">
        <w:start w:val="3"/>
        <w:numFmt w:val="lowerLetter"/>
        <w:lvlText w:val="%1)"/>
        <w:legacy w:legacy="1" w:legacySpace="0" w:legacyIndent="557"/>
        <w:lvlJc w:val="left"/>
        <w:rPr>
          <w:rFonts w:ascii="Times New Roman" w:hAnsi="Times New Roman" w:cs="Times New Roman" w:hint="default"/>
        </w:rPr>
      </w:lvl>
    </w:lvlOverride>
  </w:num>
  <w:num w:numId="117">
    <w:abstractNumId w:val="132"/>
  </w:num>
  <w:num w:numId="118">
    <w:abstractNumId w:val="74"/>
  </w:num>
  <w:num w:numId="119">
    <w:abstractNumId w:val="115"/>
  </w:num>
  <w:num w:numId="120">
    <w:abstractNumId w:val="54"/>
  </w:num>
  <w:num w:numId="121">
    <w:abstractNumId w:val="100"/>
  </w:num>
  <w:num w:numId="122">
    <w:abstractNumId w:val="4"/>
  </w:num>
  <w:num w:numId="123">
    <w:abstractNumId w:val="35"/>
  </w:num>
  <w:num w:numId="124">
    <w:abstractNumId w:val="104"/>
  </w:num>
  <w:num w:numId="125">
    <w:abstractNumId w:val="113"/>
  </w:num>
  <w:num w:numId="126">
    <w:abstractNumId w:val="83"/>
  </w:num>
  <w:num w:numId="127">
    <w:abstractNumId w:val="80"/>
  </w:num>
  <w:num w:numId="128">
    <w:abstractNumId w:val="23"/>
  </w:num>
  <w:num w:numId="129">
    <w:abstractNumId w:val="57"/>
  </w:num>
  <w:num w:numId="130">
    <w:abstractNumId w:val="97"/>
  </w:num>
  <w:num w:numId="131">
    <w:abstractNumId w:val="36"/>
  </w:num>
  <w:num w:numId="132">
    <w:abstractNumId w:val="121"/>
  </w:num>
  <w:num w:numId="133">
    <w:abstractNumId w:val="90"/>
  </w:num>
  <w:num w:numId="134">
    <w:abstractNumId w:val="29"/>
  </w:num>
  <w:num w:numId="135">
    <w:abstractNumId w:val="49"/>
  </w:num>
  <w:num w:numId="136">
    <w:abstractNumId w:val="37"/>
  </w:num>
  <w:num w:numId="137">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ctiveWritingStyle w:appName="MSWord" w:lang="fr-FR" w:vendorID="9" w:dllVersion="512" w:checkStyle="1"/>
  <w:proofState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tabs>
        <w:tab w:val="clear" w:pos="567"/>
        <w:tab w:val="clear" w:pos="1134"/>
        <w:tab w:val="clear" w:pos="1701"/>
        <w:tab w:val="clear" w:pos="2268"/>
        <w:tab w:val="clear" w:pos="6237"/>
      </w:tabs>
      <w:spacing w:after="240" w:line="240" w:lineRule="auto"/>
      <w:jc w:val="both"/>
    </w:pPr>
    <w:rPr>
      <w:szCs w:val="24"/>
      <w:lang w:val="es-PY" w:eastAsia="es-ES"/>
    </w:rPr>
  </w:style>
  <w:style w:type="character" w:styleId="Hyperlink">
    <w:name w:val="Hyperlink"/>
    <w:semiHidden/>
    <w:rPr>
      <w:color w:val="0000FF"/>
      <w:u w:val="single"/>
    </w:rPr>
  </w:style>
  <w:style w:type="paragraph" w:styleId="BodyText2">
    <w:name w:val="Body Text 2"/>
    <w:basedOn w:val="Normal"/>
    <w:semiHidden/>
    <w:pPr>
      <w:tabs>
        <w:tab w:val="clear" w:pos="567"/>
        <w:tab w:val="clear" w:pos="1134"/>
        <w:tab w:val="clear" w:pos="1701"/>
        <w:tab w:val="clear" w:pos="2268"/>
        <w:tab w:val="clear" w:pos="6237"/>
      </w:tabs>
      <w:spacing w:after="120" w:line="480" w:lineRule="auto"/>
    </w:pPr>
    <w:rPr>
      <w:szCs w:val="24"/>
      <w:lang w:val="es-ES" w:eastAsia="es-ES"/>
    </w:rPr>
  </w:style>
  <w:style w:type="paragraph" w:styleId="BodyTextIndent">
    <w:name w:val="Body Text Indent"/>
    <w:basedOn w:val="Normal"/>
    <w:semiHidden/>
    <w:pPr>
      <w:tabs>
        <w:tab w:val="clear" w:pos="567"/>
        <w:tab w:val="clear" w:pos="1134"/>
        <w:tab w:val="clear" w:pos="1701"/>
        <w:tab w:val="clear" w:pos="2268"/>
        <w:tab w:val="clear" w:pos="6237"/>
      </w:tabs>
      <w:spacing w:after="120" w:line="240" w:lineRule="auto"/>
      <w:ind w:left="283"/>
    </w:pPr>
    <w:rPr>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13.xml"/><Relationship Id="rId21" Type="http://schemas.openxmlformats.org/officeDocument/2006/relationships/header" Target="header8.xml"/><Relationship Id="rId42" Type="http://schemas.openxmlformats.org/officeDocument/2006/relationships/oleObject" Target="embeddings/oleObject10.bin"/><Relationship Id="rId47" Type="http://schemas.openxmlformats.org/officeDocument/2006/relationships/oleObject" Target="embeddings/oleObject12.bin"/><Relationship Id="rId63" Type="http://schemas.openxmlformats.org/officeDocument/2006/relationships/oleObject" Target="embeddings/oleObject19.bin"/><Relationship Id="rId68" Type="http://schemas.openxmlformats.org/officeDocument/2006/relationships/footer" Target="footer2.xml"/><Relationship Id="rId84" Type="http://schemas.openxmlformats.org/officeDocument/2006/relationships/oleObject" Target="embeddings/oleObject23.bin"/><Relationship Id="rId89" Type="http://schemas.openxmlformats.org/officeDocument/2006/relationships/image" Target="media/image31.wmf"/><Relationship Id="rId112" Type="http://schemas.openxmlformats.org/officeDocument/2006/relationships/oleObject" Target="embeddings/oleObject34.bin"/><Relationship Id="rId16" Type="http://schemas.openxmlformats.org/officeDocument/2006/relationships/header" Target="header4.xml"/><Relationship Id="rId107" Type="http://schemas.openxmlformats.org/officeDocument/2006/relationships/image" Target="media/image37.wmf"/><Relationship Id="rId11" Type="http://schemas.openxmlformats.org/officeDocument/2006/relationships/image" Target="media/image3.wmf"/><Relationship Id="rId24" Type="http://schemas.openxmlformats.org/officeDocument/2006/relationships/header" Target="header11.xml"/><Relationship Id="rId32" Type="http://schemas.openxmlformats.org/officeDocument/2006/relationships/oleObject" Target="embeddings/oleObject5.bin"/><Relationship Id="rId37" Type="http://schemas.openxmlformats.org/officeDocument/2006/relationships/image" Target="media/image8.wmf"/><Relationship Id="rId40" Type="http://schemas.openxmlformats.org/officeDocument/2006/relationships/oleObject" Target="embeddings/oleObject9.bin"/><Relationship Id="rId45" Type="http://schemas.openxmlformats.org/officeDocument/2006/relationships/oleObject" Target="embeddings/oleObject11.bin"/><Relationship Id="rId53" Type="http://schemas.openxmlformats.org/officeDocument/2006/relationships/oleObject" Target="embeddings/oleObject15.bin"/><Relationship Id="rId58" Type="http://schemas.openxmlformats.org/officeDocument/2006/relationships/oleObject" Target="embeddings/oleObject17.bin"/><Relationship Id="rId66" Type="http://schemas.openxmlformats.org/officeDocument/2006/relationships/header" Target="header15.xml"/><Relationship Id="rId74" Type="http://schemas.openxmlformats.org/officeDocument/2006/relationships/oleObject" Target="embeddings/oleObject21.bin"/><Relationship Id="rId79" Type="http://schemas.openxmlformats.org/officeDocument/2006/relationships/footer" Target="footer3.xml"/><Relationship Id="rId87" Type="http://schemas.openxmlformats.org/officeDocument/2006/relationships/image" Target="media/image30.wmf"/><Relationship Id="rId102" Type="http://schemas.openxmlformats.org/officeDocument/2006/relationships/oleObject" Target="embeddings/oleObject29.bin"/><Relationship Id="rId110" Type="http://schemas.openxmlformats.org/officeDocument/2006/relationships/oleObject" Target="embeddings/oleObject33.bin"/><Relationship Id="rId115"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oleObject" Target="embeddings/oleObject18.bin"/><Relationship Id="rId82" Type="http://schemas.openxmlformats.org/officeDocument/2006/relationships/oleObject" Target="embeddings/oleObject22.bin"/><Relationship Id="rId90" Type="http://schemas.openxmlformats.org/officeDocument/2006/relationships/oleObject" Target="embeddings/oleObject26.bin"/><Relationship Id="rId95" Type="http://schemas.openxmlformats.org/officeDocument/2006/relationships/header" Target="header26.xml"/><Relationship Id="rId19" Type="http://schemas.openxmlformats.org/officeDocument/2006/relationships/header" Target="header6.xml"/><Relationship Id="rId14" Type="http://schemas.openxmlformats.org/officeDocument/2006/relationships/header" Target="header2.xml"/><Relationship Id="rId22" Type="http://schemas.openxmlformats.org/officeDocument/2006/relationships/header" Target="header9.xml"/><Relationship Id="rId27" Type="http://schemas.openxmlformats.org/officeDocument/2006/relationships/header" Target="header14.xml"/><Relationship Id="rId30" Type="http://schemas.openxmlformats.org/officeDocument/2006/relationships/oleObject" Target="embeddings/oleObject4.bin"/><Relationship Id="rId35" Type="http://schemas.openxmlformats.org/officeDocument/2006/relationships/image" Target="media/image7.wmf"/><Relationship Id="rId43" Type="http://schemas.openxmlformats.org/officeDocument/2006/relationships/image" Target="media/image11.wmf"/><Relationship Id="rId48" Type="http://schemas.openxmlformats.org/officeDocument/2006/relationships/image" Target="media/image14.wmf"/><Relationship Id="rId56" Type="http://schemas.openxmlformats.org/officeDocument/2006/relationships/image" Target="media/image18.png"/><Relationship Id="rId64" Type="http://schemas.openxmlformats.org/officeDocument/2006/relationships/image" Target="media/image23.wmf"/><Relationship Id="rId69" Type="http://schemas.openxmlformats.org/officeDocument/2006/relationships/header" Target="header17.xml"/><Relationship Id="rId77" Type="http://schemas.openxmlformats.org/officeDocument/2006/relationships/header" Target="header21.xml"/><Relationship Id="rId100" Type="http://schemas.openxmlformats.org/officeDocument/2006/relationships/oleObject" Target="embeddings/oleObject28.bin"/><Relationship Id="rId105" Type="http://schemas.openxmlformats.org/officeDocument/2006/relationships/image" Target="media/image36.wmf"/><Relationship Id="rId113" Type="http://schemas.openxmlformats.org/officeDocument/2006/relationships/header" Target="header27.xml"/><Relationship Id="rId8" Type="http://schemas.openxmlformats.org/officeDocument/2006/relationships/oleObject" Target="embeddings/oleObject1.bin"/><Relationship Id="rId51" Type="http://schemas.openxmlformats.org/officeDocument/2006/relationships/oleObject" Target="embeddings/oleObject14.bin"/><Relationship Id="rId72" Type="http://schemas.openxmlformats.org/officeDocument/2006/relationships/oleObject" Target="embeddings/Microsoft_Word_97_-_2003_Document1.doc"/><Relationship Id="rId80" Type="http://schemas.openxmlformats.org/officeDocument/2006/relationships/image" Target="media/image26.png"/><Relationship Id="rId85" Type="http://schemas.openxmlformats.org/officeDocument/2006/relationships/image" Target="media/image29.png"/><Relationship Id="rId93" Type="http://schemas.openxmlformats.org/officeDocument/2006/relationships/footer" Target="footer4.xml"/><Relationship Id="rId98" Type="http://schemas.openxmlformats.org/officeDocument/2006/relationships/oleObject" Target="embeddings/oleObject27.bin"/><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footer" Target="footer1.xml"/><Relationship Id="rId25" Type="http://schemas.openxmlformats.org/officeDocument/2006/relationships/header" Target="header12.xml"/><Relationship Id="rId33" Type="http://schemas.openxmlformats.org/officeDocument/2006/relationships/image" Target="media/image6.wmf"/><Relationship Id="rId38" Type="http://schemas.openxmlformats.org/officeDocument/2006/relationships/oleObject" Target="embeddings/oleObject8.bin"/><Relationship Id="rId46" Type="http://schemas.openxmlformats.org/officeDocument/2006/relationships/image" Target="media/image13.wmf"/><Relationship Id="rId59" Type="http://schemas.openxmlformats.org/officeDocument/2006/relationships/image" Target="media/image20.png"/><Relationship Id="rId67" Type="http://schemas.openxmlformats.org/officeDocument/2006/relationships/header" Target="header16.xml"/><Relationship Id="rId103" Type="http://schemas.openxmlformats.org/officeDocument/2006/relationships/image" Target="media/image35.wmf"/><Relationship Id="rId108" Type="http://schemas.openxmlformats.org/officeDocument/2006/relationships/oleObject" Target="embeddings/oleObject32.bin"/><Relationship Id="rId116" Type="http://schemas.openxmlformats.org/officeDocument/2006/relationships/theme" Target="theme/theme1.xml"/><Relationship Id="rId20" Type="http://schemas.openxmlformats.org/officeDocument/2006/relationships/header" Target="header7.xml"/><Relationship Id="rId41" Type="http://schemas.openxmlformats.org/officeDocument/2006/relationships/image" Target="media/image10.wmf"/><Relationship Id="rId54" Type="http://schemas.openxmlformats.org/officeDocument/2006/relationships/image" Target="media/image17.wmf"/><Relationship Id="rId62" Type="http://schemas.openxmlformats.org/officeDocument/2006/relationships/image" Target="media/image22.wmf"/><Relationship Id="rId70" Type="http://schemas.openxmlformats.org/officeDocument/2006/relationships/header" Target="header18.xml"/><Relationship Id="rId75" Type="http://schemas.openxmlformats.org/officeDocument/2006/relationships/header" Target="header19.xml"/><Relationship Id="rId83" Type="http://schemas.openxmlformats.org/officeDocument/2006/relationships/image" Target="media/image28.png"/><Relationship Id="rId88" Type="http://schemas.openxmlformats.org/officeDocument/2006/relationships/oleObject" Target="embeddings/oleObject25.bin"/><Relationship Id="rId91" Type="http://schemas.openxmlformats.org/officeDocument/2006/relationships/header" Target="header23.xml"/><Relationship Id="rId96" Type="http://schemas.openxmlformats.org/officeDocument/2006/relationships/footer" Target="footer5.xml"/><Relationship Id="rId111" Type="http://schemas.openxmlformats.org/officeDocument/2006/relationships/image" Target="media/image39.w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3.xml"/><Relationship Id="rId23" Type="http://schemas.openxmlformats.org/officeDocument/2006/relationships/header" Target="header10.xml"/><Relationship Id="rId28" Type="http://schemas.openxmlformats.org/officeDocument/2006/relationships/hyperlink" Target="http://www.winnernet.org" TargetMode="External"/><Relationship Id="rId36" Type="http://schemas.openxmlformats.org/officeDocument/2006/relationships/oleObject" Target="embeddings/oleObject7.bin"/><Relationship Id="rId49" Type="http://schemas.openxmlformats.org/officeDocument/2006/relationships/oleObject" Target="embeddings/oleObject13.bin"/><Relationship Id="rId57" Type="http://schemas.openxmlformats.org/officeDocument/2006/relationships/image" Target="media/image19.wmf"/><Relationship Id="rId106" Type="http://schemas.openxmlformats.org/officeDocument/2006/relationships/oleObject" Target="embeddings/oleObject31.bin"/><Relationship Id="rId114" Type="http://schemas.openxmlformats.org/officeDocument/2006/relationships/header" Target="header28.xml"/><Relationship Id="rId10" Type="http://schemas.openxmlformats.org/officeDocument/2006/relationships/oleObject" Target="embeddings/oleObject2.bin"/><Relationship Id="rId31" Type="http://schemas.openxmlformats.org/officeDocument/2006/relationships/image" Target="media/image5.wmf"/><Relationship Id="rId44" Type="http://schemas.openxmlformats.org/officeDocument/2006/relationships/image" Target="media/image12.wmf"/><Relationship Id="rId52" Type="http://schemas.openxmlformats.org/officeDocument/2006/relationships/image" Target="media/image16.wmf"/><Relationship Id="rId60" Type="http://schemas.openxmlformats.org/officeDocument/2006/relationships/image" Target="media/image21.wmf"/><Relationship Id="rId65" Type="http://schemas.openxmlformats.org/officeDocument/2006/relationships/oleObject" Target="embeddings/oleObject20.bin"/><Relationship Id="rId73" Type="http://schemas.openxmlformats.org/officeDocument/2006/relationships/image" Target="media/image25.wmf"/><Relationship Id="rId78" Type="http://schemas.openxmlformats.org/officeDocument/2006/relationships/header" Target="header22.xml"/><Relationship Id="rId81" Type="http://schemas.openxmlformats.org/officeDocument/2006/relationships/image" Target="media/image27.wmf"/><Relationship Id="rId86" Type="http://schemas.openxmlformats.org/officeDocument/2006/relationships/oleObject" Target="embeddings/oleObject24.bin"/><Relationship Id="rId94" Type="http://schemas.openxmlformats.org/officeDocument/2006/relationships/header" Target="header25.xml"/><Relationship Id="rId99" Type="http://schemas.openxmlformats.org/officeDocument/2006/relationships/image" Target="media/image33.wmf"/><Relationship Id="rId101" Type="http://schemas.openxmlformats.org/officeDocument/2006/relationships/image" Target="media/image34.wmf"/><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header" Target="header1.xml"/><Relationship Id="rId18" Type="http://schemas.openxmlformats.org/officeDocument/2006/relationships/header" Target="header5.xml"/><Relationship Id="rId39" Type="http://schemas.openxmlformats.org/officeDocument/2006/relationships/image" Target="media/image9.wmf"/><Relationship Id="rId109" Type="http://schemas.openxmlformats.org/officeDocument/2006/relationships/image" Target="media/image38.wmf"/><Relationship Id="rId34" Type="http://schemas.openxmlformats.org/officeDocument/2006/relationships/oleObject" Target="embeddings/oleObject6.bin"/><Relationship Id="rId50" Type="http://schemas.openxmlformats.org/officeDocument/2006/relationships/image" Target="media/image15.wmf"/><Relationship Id="rId55" Type="http://schemas.openxmlformats.org/officeDocument/2006/relationships/oleObject" Target="embeddings/oleObject16.bin"/><Relationship Id="rId76" Type="http://schemas.openxmlformats.org/officeDocument/2006/relationships/header" Target="header20.xml"/><Relationship Id="rId97" Type="http://schemas.openxmlformats.org/officeDocument/2006/relationships/image" Target="media/image32.wmf"/><Relationship Id="rId104" Type="http://schemas.openxmlformats.org/officeDocument/2006/relationships/oleObject" Target="embeddings/oleObject30.bin"/><Relationship Id="rId7" Type="http://schemas.openxmlformats.org/officeDocument/2006/relationships/image" Target="media/image1.wmf"/><Relationship Id="rId71" Type="http://schemas.openxmlformats.org/officeDocument/2006/relationships/image" Target="media/image24.wmf"/><Relationship Id="rId92" Type="http://schemas.openxmlformats.org/officeDocument/2006/relationships/header" Target="header24.xml"/><Relationship Id="rId2" Type="http://schemas.openxmlformats.org/officeDocument/2006/relationships/styles" Target="styles.xml"/><Relationship Id="rId29" Type="http://schemas.openxmlformats.org/officeDocument/2006/relationships/image" Target="media/image4.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76835</Words>
  <Characters>437961</Characters>
  <Application>Microsoft Office Word</Application>
  <DocSecurity>4</DocSecurity>
  <Lines>3649</Lines>
  <Paragraphs>875</Paragraphs>
  <ScaleCrop>false</ScaleCrop>
  <HeadingPairs>
    <vt:vector size="2" baseType="variant">
      <vt:variant>
        <vt:lpstr>Название</vt:lpstr>
      </vt:variant>
      <vt:variant>
        <vt:i4>1</vt:i4>
      </vt:variant>
    </vt:vector>
  </HeadingPairs>
  <TitlesOfParts>
    <vt:vector size="1" baseType="lpstr">
      <vt:lpstr>40678.01.</vt:lpstr>
    </vt:vector>
  </TitlesOfParts>
  <Company>ONU</Company>
  <LinksUpToDate>false</LinksUpToDate>
  <CharactersWithSpaces>537846</CharactersWithSpaces>
  <SharedDoc>false</SharedDoc>
  <HLinks>
    <vt:vector size="6" baseType="variant">
      <vt:variant>
        <vt:i4>4522012</vt:i4>
      </vt:variant>
      <vt:variant>
        <vt:i4>24</vt:i4>
      </vt:variant>
      <vt:variant>
        <vt:i4>0</vt:i4>
      </vt:variant>
      <vt:variant>
        <vt:i4>5</vt:i4>
      </vt:variant>
      <vt:variant>
        <vt:lpwstr>http://www.winnernet.org/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40678.01.</dc:title>
  <dc:subject/>
  <dc:creator>Tcherniaeva</dc:creator>
  <cp:keywords/>
  <dc:description/>
  <cp:lastModifiedBy>Черняева</cp:lastModifiedBy>
  <cp:revision>3</cp:revision>
  <cp:lastPrinted>2007-07-19T11:59:00Z</cp:lastPrinted>
  <dcterms:created xsi:type="dcterms:W3CDTF">2007-07-19T11:58:00Z</dcterms:created>
  <dcterms:modified xsi:type="dcterms:W3CDTF">2007-07-19T12:00:00Z</dcterms:modified>
</cp:coreProperties>
</file>