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45243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201204   211204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9353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fr-FR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fr-FR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fr-FR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fr-FR"/>
              </w:rPr>
              <w:t>E/</w:t>
            </w:r>
            <w:proofErr w:type="spellStart"/>
            <w:r>
              <w:rPr>
                <w:lang w:val="fr-FR"/>
              </w:rPr>
              <w:t>C.12</w:t>
            </w:r>
            <w:proofErr w:type="spellEnd"/>
            <w:r>
              <w:rPr>
                <w:lang w:val="fr-FR"/>
              </w:rPr>
              <w:t>/Q/LIE/1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December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29 ноября - 3 декабря 2004 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16"/>
      </w:pPr>
    </w:p>
    <w:p w:rsidR="00000000" w:rsidRDefault="00000000">
      <w:pPr>
        <w:pStyle w:val="FootnoteText"/>
        <w:spacing w:line="288" w:lineRule="auto"/>
        <w:jc w:val="center"/>
      </w:pPr>
      <w:r>
        <w:t>Перечень вопросов, которые надлежит затронуть в связи с рассмотрением первоначального доклада Лихтенштейна об осуществлении прав, охватываемых</w:t>
      </w:r>
      <w:r>
        <w:rPr>
          <w:lang w:val="en-US"/>
        </w:rPr>
        <w:t> </w:t>
      </w:r>
      <w:r>
        <w:t>статьями 1-15 Международного пакта об экономических,</w:t>
      </w:r>
      <w:r>
        <w:br/>
        <w:t>социальных и культурных правах (Е/1990/5/</w:t>
      </w:r>
      <w:r>
        <w:rPr>
          <w:lang w:val="en-US"/>
        </w:rPr>
        <w:t>Add</w:t>
      </w:r>
      <w:r>
        <w:t>.66)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tabs>
          <w:tab w:val="clear" w:pos="567"/>
          <w:tab w:val="right" w:pos="561"/>
        </w:tabs>
        <w:spacing w:line="288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ОБЩЕПРАВОВЫЕ РАМКИ ОСУЩЕСТВЛЕНИЯ ПАКТА</w:t>
      </w:r>
    </w:p>
    <w:p w:rsidR="00000000" w:rsidRDefault="00000000">
      <w:pPr>
        <w:pStyle w:val="FootnoteText"/>
        <w:tabs>
          <w:tab w:val="clear" w:pos="567"/>
          <w:tab w:val="righ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1.</w:t>
      </w:r>
      <w:r>
        <w:tab/>
        <w:t>В докладе государства-участника говорится о том, что положения Пакта были инкорпорированы в национальное законодательство.  Просьба привести примеры решений национальных судов, содержащих ссылки на положения Пакта, если такие  решения выносились.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2.</w:t>
      </w:r>
      <w:r>
        <w:tab/>
        <w:t xml:space="preserve">Просьба сообщить, намерено ли государство-участник принять и осуществлять национальный план действий в области прав человека в соответствии с Венской декларацией и Программой действий 1993 года.  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br w:type="page"/>
        <w:t>3.</w:t>
      </w:r>
      <w:r>
        <w:tab/>
        <w:t xml:space="preserve">Просьба сообщить, намерено ли государство-участник, в соответствии с Парижскими принципами (резолюция 48/134 Генеральной Ассамблеи от 20 декабря 1993 года, приложение), создать независимое национальное правозащитное учреждение с мандатом поощрять и защищать все права человека, включая экономические, социальные и культурные права.  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4.</w:t>
      </w:r>
      <w:r>
        <w:tab/>
        <w:t xml:space="preserve">Просьба сообщить, намерено ли государство-участник ратифицировать Международную конвенцию о защите прав всех трудящихся-мигрантов и членов их семей.  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5.</w:t>
      </w:r>
      <w:r>
        <w:tab/>
        <w:t>В докладе государства-участника говорится о том, что Правящий Князь правомочен назначать судей, которые избираются парламентом по рекомендации "специального органа".  Просьба сообщить, как в государстве-участнике гарантируется независимость судебных органов.  Проводились ли консультации с представителями гражданского общества в рамках подготовки первоначального доклада государства-участника?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right" w:pos="561"/>
        </w:tabs>
        <w:spacing w:line="288" w:lineRule="auto"/>
        <w:ind w:left="1134" w:hanging="1134"/>
        <w:rPr>
          <w:b/>
          <w:bCs/>
        </w:rPr>
      </w:pPr>
      <w:r>
        <w:tab/>
      </w: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 1-5)</w:t>
      </w:r>
    </w:p>
    <w:p w:rsidR="00000000" w:rsidRDefault="00000000">
      <w:pPr>
        <w:pStyle w:val="FootnoteText"/>
        <w:tabs>
          <w:tab w:val="clear" w:pos="567"/>
          <w:tab w:val="right" w:pos="561"/>
        </w:tabs>
        <w:spacing w:line="288" w:lineRule="auto"/>
        <w:ind w:left="1134" w:hanging="1134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rPr>
          <w:b/>
          <w:bCs/>
        </w:rPr>
      </w:pPr>
      <w:r>
        <w:rPr>
          <w:b/>
          <w:bCs/>
        </w:rPr>
        <w:t>Статья 2.2:</w:t>
      </w:r>
      <w:r>
        <w:rPr>
          <w:b/>
          <w:bCs/>
        </w:rPr>
        <w:tab/>
        <w:t>Запрещение дискриминации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7.</w:t>
      </w:r>
      <w:r>
        <w:tab/>
        <w:t>Просьба пояснить, почему в государстве-участнике равенство между подданными и иностранцами в плане пользования основополагающими правами не установлено в качестве общего принципа, а зависит от двусторонних договоров, применяемых в каждом конкретном случае.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8.</w:t>
      </w:r>
      <w:r>
        <w:tab/>
        <w:t>Просьба представить информацию о мерах, принимаемых государством-участником для борьбы с расовой дискриминацией и ксенофобией.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9.</w:t>
      </w:r>
      <w:r>
        <w:tab/>
        <w:t>Просьба указать численность и гражданство просителей убежища, которые ходатайствовали о получении статуса беженца в течение последних пяти лет, а также число удовлетворенных ходатайств.  Просьба рассказать о мерах, принимаемых для обеспечения того, чтобы с просителями убежища и беженцами обращались без какой бы то ни было дискриминации.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  <w:rPr>
          <w:b/>
          <w:bCs/>
        </w:rPr>
      </w:pPr>
      <w:r>
        <w:rPr>
          <w:b/>
          <w:bCs/>
        </w:rPr>
        <w:t>Статья 3:</w:t>
      </w:r>
      <w:r>
        <w:rPr>
          <w:b/>
          <w:bCs/>
        </w:rPr>
        <w:tab/>
        <w:t>Равенство мужчин и женщин</w:t>
      </w:r>
    </w:p>
    <w:p w:rsidR="00000000" w:rsidRDefault="00000000">
      <w:pPr>
        <w:pStyle w:val="FootnoteText"/>
        <w:keepNext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10.</w:t>
      </w:r>
      <w:r>
        <w:tab/>
        <w:t>Просьба представить информацию о мерах, принимаемых в целях ликвидации де</w:t>
      </w:r>
      <w:r>
        <w:noBreakHyphen/>
        <w:t xml:space="preserve">факто дискриминации в отношении женщин в том, что касается пользования экономическими, социальными и культурными правами.  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  <w:rPr>
          <w:b/>
          <w:bCs/>
        </w:rPr>
      </w:pPr>
      <w:r>
        <w:rPr>
          <w:b/>
          <w:bCs/>
        </w:rPr>
        <w:t>Статья 4:</w:t>
      </w:r>
      <w:r>
        <w:rPr>
          <w:b/>
          <w:bCs/>
        </w:rPr>
        <w:tab/>
        <w:t>Ограничения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11.</w:t>
      </w:r>
      <w:r>
        <w:tab/>
        <w:t>Просьба сообщить, вводились ли в течение охватываемого докладом периода в отношении пользования правами какие-либо ограничения, которые государство-участник обосновывало, ссылаясь на положения статьи 4 Международного пакта об экономических, социальных и культурных правах (пункт 23 доклада).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right" w:pos="561"/>
        </w:tabs>
        <w:spacing w:line="288" w:lineRule="auto"/>
        <w:ind w:left="1134" w:hanging="1134"/>
        <w:rPr>
          <w:b/>
          <w:bCs/>
        </w:rPr>
      </w:pPr>
      <w:r>
        <w:tab/>
      </w: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 (СТАТЬИ 6-15)</w:t>
      </w:r>
    </w:p>
    <w:p w:rsidR="00000000" w:rsidRDefault="00000000">
      <w:pPr>
        <w:pStyle w:val="FootnoteText"/>
        <w:tabs>
          <w:tab w:val="clear" w:pos="567"/>
          <w:tab w:val="right" w:pos="561"/>
        </w:tabs>
        <w:spacing w:line="288" w:lineRule="auto"/>
        <w:ind w:left="1134" w:hanging="1134"/>
        <w:rPr>
          <w:b/>
          <w:bCs/>
        </w:rPr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  <w:rPr>
          <w:b/>
          <w:bCs/>
        </w:rPr>
      </w:pPr>
      <w:r>
        <w:rPr>
          <w:b/>
          <w:bCs/>
        </w:rPr>
        <w:t>Статья 6:</w:t>
      </w:r>
      <w:r>
        <w:rPr>
          <w:b/>
          <w:bCs/>
        </w:rPr>
        <w:tab/>
        <w:t>Право на труд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12.</w:t>
      </w:r>
      <w:r>
        <w:tab/>
        <w:t>В докладе говорится о том, что доля безработных среди лиц моложе 25 лет достигла за последние годы до 25% от общего числа безработных.  Просьба рассказать о главных причинах такой динамики и представить информацию об эффективности мер, принимаемых государством-участником для исправления сложившейся ситуации.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13.</w:t>
      </w:r>
      <w:r>
        <w:tab/>
        <w:t>Просьба сообщить, планирует ли государство-участник стать в ближайшем будущем членом Международной организации труда.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  <w:rPr>
          <w:b/>
          <w:bCs/>
        </w:rPr>
      </w:pPr>
      <w:r>
        <w:rPr>
          <w:b/>
          <w:bCs/>
        </w:rPr>
        <w:t>Статья 7:</w:t>
      </w:r>
      <w:r>
        <w:rPr>
          <w:b/>
          <w:bCs/>
        </w:rPr>
        <w:tab/>
        <w:t>Право на справедливые и благоприятные условия труда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14.</w:t>
      </w:r>
      <w:r>
        <w:tab/>
        <w:t>Просьба пояснить, гарантирует ли Закон о страховании по инвалидности, направленный на поощрение социальной реинтеграции инвалидов, способных работать неполный рабочий день, равное вознаграждение за труд равной ценности.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15.</w:t>
      </w:r>
      <w:r>
        <w:tab/>
        <w:t xml:space="preserve">Просьба сообщить, какие меры принимает государство-участник для обеспечения того, чтобы размер заработной платы, согласованный на основе принципа добровольного заключения трудовых договоров, обеспечивал трудящимся справедливую заработную плату, которая соответствует стандартам уровня жизни в государстве-участнике.  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16.</w:t>
      </w:r>
      <w:r>
        <w:tab/>
        <w:t>Просьба рассказать об установленном законом минимальном возрасте для приема на работу в государстве-участнике и сообщить, какие другие конкретные меры принимает государство-участник для защиты работающих несовершеннолетних.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17.</w:t>
      </w:r>
      <w:r>
        <w:tab/>
        <w:t>Просьба рассказать о нормативных актах, регулирующих в государстве-участнике работу трудящихся-мигрантов, включая проживающих в Лихтенштейне, прибывающих из-за границы и сезонных рабочих (контрактный статус, размер заработной платы, социальное обеспечение и т.д.).  Просьба рассказать также о том, как регулируется работа по найму местных трудящихся.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</w:pPr>
      <w:r>
        <w:rPr>
          <w:b/>
          <w:bCs/>
        </w:rPr>
        <w:t>Статья 8:</w:t>
      </w:r>
      <w:r>
        <w:rPr>
          <w:b/>
          <w:bCs/>
        </w:rPr>
        <w:tab/>
        <w:t>Профсоюзные права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18.</w:t>
      </w:r>
      <w:r>
        <w:tab/>
        <w:t>Просьба сообщить, какие меры государство-участник планирует принять для закрепления существующей презумпции права на забастовку в конкретном положении национального законодательства.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19.</w:t>
      </w:r>
      <w:r>
        <w:tab/>
        <w:t>Просьба сообщить, намерено ли государство-участник принять меры с целью обеспечения и регулирования свободы ассоциации и права на организацию для государственных служащих.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  <w:rPr>
          <w:b/>
          <w:bCs/>
        </w:rPr>
      </w:pPr>
      <w:r>
        <w:rPr>
          <w:b/>
          <w:bCs/>
        </w:rPr>
        <w:t>Статья 10:</w:t>
      </w:r>
      <w:r>
        <w:rPr>
          <w:b/>
          <w:bCs/>
        </w:rPr>
        <w:tab/>
        <w:t>Охрана семьи, материнства и детства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20.</w:t>
      </w:r>
      <w:r>
        <w:tab/>
        <w:t xml:space="preserve">Просьба сообщить, какие эффективные меры намерено принять государство-участник для решения проблемы бытового насилия, особенно в отношении женщин. 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21.</w:t>
      </w:r>
      <w:r>
        <w:tab/>
        <w:t>Просьба представить информацию о масштабах проблемы торговли людьми, особенно женщинами и детьми, в государстве-участнике.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  <w:rPr>
          <w:b/>
          <w:bCs/>
        </w:rPr>
      </w:pPr>
      <w:r>
        <w:rPr>
          <w:b/>
          <w:bCs/>
        </w:rPr>
        <w:t>Статья 12:</w:t>
      </w:r>
      <w:r>
        <w:rPr>
          <w:b/>
          <w:bCs/>
        </w:rPr>
        <w:tab/>
        <w:t>Право на физическое и психическое здоровье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22.</w:t>
      </w:r>
      <w:r>
        <w:tab/>
        <w:t>Просьба представить информацию о мерах, принимаемых для борьбы с алкоголизмом, табакокурением и наркоманией.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23.</w:t>
      </w:r>
      <w:r>
        <w:tab/>
        <w:t>Просьба представить подробную информацию, включая статистические данные, о лицах, инфицированных ВИЧ/больных СПИДом, и о мерах, принимаемых государством-участником для борьбы с ВИЧ/СПИДом.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  <w:rPr>
          <w:b/>
          <w:bCs/>
        </w:rPr>
      </w:pPr>
      <w:r>
        <w:rPr>
          <w:b/>
          <w:bCs/>
        </w:rPr>
        <w:t>Статьи 13 и 14:</w:t>
      </w:r>
      <w:r>
        <w:rPr>
          <w:b/>
          <w:bCs/>
        </w:rPr>
        <w:tab/>
        <w:t xml:space="preserve">   Право на образование</w:t>
      </w:r>
    </w:p>
    <w:p w:rsidR="00000000" w:rsidRDefault="00000000">
      <w:pPr>
        <w:pStyle w:val="FootnoteText"/>
        <w:keepNext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keepNext/>
        <w:tabs>
          <w:tab w:val="clear" w:pos="567"/>
          <w:tab w:val="left" w:pos="561"/>
        </w:tabs>
        <w:spacing w:line="288" w:lineRule="auto"/>
      </w:pPr>
      <w:r>
        <w:t>24.</w:t>
      </w:r>
      <w:r>
        <w:tab/>
        <w:t>Просьба сообщить, располагают ли иностранцы, законно проживающие на территории государства-участника, такой же возможностью учиться за границей, которую имеют подданные Лихтенштейна благодаря двухсторонним договорам.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25.</w:t>
      </w:r>
      <w:r>
        <w:tab/>
        <w:t>В докладе говорится о том, что школьная учебная программа предусматривает изучение детьми вопросов прав человека.  Осуществляются ли также программы по повышению уровня информированности о Международном пакте об экономических, социальных и культурных правах населения в целом и судей, сотрудников полиции и служб безопасности в частности?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keepNext/>
        <w:tabs>
          <w:tab w:val="clear" w:pos="567"/>
          <w:tab w:val="clear" w:pos="1134"/>
          <w:tab w:val="left" w:pos="561"/>
          <w:tab w:val="left" w:pos="1418"/>
        </w:tabs>
        <w:spacing w:line="288" w:lineRule="auto"/>
        <w:rPr>
          <w:b/>
          <w:bCs/>
        </w:rPr>
      </w:pPr>
      <w:r>
        <w:rPr>
          <w:b/>
          <w:bCs/>
        </w:rPr>
        <w:t>Статья 15:</w:t>
      </w:r>
      <w:r>
        <w:rPr>
          <w:b/>
          <w:bCs/>
        </w:rPr>
        <w:tab/>
        <w:t>Культурные права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rPr>
          <w:b/>
          <w:bCs/>
        </w:rPr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  <w:r>
        <w:t>26.</w:t>
      </w:r>
      <w:r>
        <w:tab/>
        <w:t>С учетом высокой доли проживающих в Лихтенштейне иностранцев, которые приезжают в страну главным образом для работы, просьба сообщить, осуществляются ли какие-либо программы, направленные на поощрение межкультурных связей.</w:t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left" w:pos="561"/>
        </w:tabs>
        <w:spacing w:line="288" w:lineRule="auto"/>
      </w:pP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E/C.12/Q/LIE/1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E/C.12/Q/LIE/1</w:t>
    </w:r>
  </w:p>
  <w:p w:rsidR="00000000" w:rsidRDefault="00000000">
    <w:pPr>
      <w:pStyle w:val="Header"/>
      <w:tabs>
        <w:tab w:val="left" w:pos="7230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230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1049</Words>
  <Characters>5984</Characters>
  <Application>Microsoft Office Word</Application>
  <DocSecurity>4</DocSecurity>
  <Lines>49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0445243.DOC</vt:lpstr>
    </vt:vector>
  </TitlesOfParts>
  <Company> </Company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0445243.DOC</dc:title>
  <dc:subject>КЛОКОВ</dc:subject>
  <dc:creator>Аргунова</dc:creator>
  <cp:keywords/>
  <dc:description/>
  <cp:lastModifiedBy>Аргунова</cp:lastModifiedBy>
  <cp:revision>3</cp:revision>
  <cp:lastPrinted>2004-12-21T07:58:00Z</cp:lastPrinted>
  <dcterms:created xsi:type="dcterms:W3CDTF">2004-12-21T07:57:00Z</dcterms:created>
  <dcterms:modified xsi:type="dcterms:W3CDTF">2004-12-21T07:59:00Z</dcterms:modified>
</cp:coreProperties>
</file>