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5C1" w:rsidRDefault="00C545C1" w:rsidP="00C545C1">
      <w:pPr>
        <w:spacing w:line="240" w:lineRule="auto"/>
        <w:jc w:val="left"/>
        <w:rPr>
          <w:rFonts w:hint="cs"/>
          <w:szCs w:val="6"/>
        </w:rPr>
        <w:sectPr w:rsidR="00C545C1" w:rsidSect="00C545C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5E086A" w:rsidRPr="005E4AEE" w:rsidRDefault="005E086A" w:rsidP="005E086A">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5E4AEE">
        <w:rPr>
          <w:rtl/>
        </w:rPr>
        <w:t>اللجنة المعنية بالقضاء على التمييز ضد المرأة</w:t>
      </w:r>
    </w:p>
    <w:p w:rsidR="005E086A" w:rsidRPr="005E4AEE" w:rsidRDefault="005E086A" w:rsidP="005E086A">
      <w:pPr>
        <w:tabs>
          <w:tab w:val="left" w:pos="662"/>
          <w:tab w:val="left" w:pos="1267"/>
          <w:tab w:val="left" w:pos="1987"/>
          <w:tab w:val="left" w:pos="2650"/>
        </w:tabs>
        <w:rPr>
          <w:rFonts w:hint="cs"/>
          <w:b/>
          <w:bCs/>
          <w:rtl/>
        </w:rPr>
      </w:pPr>
      <w:r w:rsidRPr="005E4AEE">
        <w:rPr>
          <w:rFonts w:hint="cs"/>
          <w:b/>
          <w:bCs/>
          <w:rtl/>
        </w:rPr>
        <w:t xml:space="preserve">الفريق العامل لما قبل الدورة </w:t>
      </w:r>
      <w:r>
        <w:rPr>
          <w:rFonts w:hint="cs"/>
          <w:b/>
          <w:bCs/>
          <w:rtl/>
        </w:rPr>
        <w:t>السادسة</w:t>
      </w:r>
      <w:r w:rsidRPr="005E4AEE">
        <w:rPr>
          <w:rFonts w:hint="cs"/>
          <w:b/>
          <w:bCs/>
          <w:rtl/>
        </w:rPr>
        <w:t xml:space="preserve"> والثلاثين</w:t>
      </w:r>
    </w:p>
    <w:p w:rsidR="005E086A" w:rsidRDefault="005E086A" w:rsidP="005E086A">
      <w:pPr>
        <w:tabs>
          <w:tab w:val="left" w:pos="662"/>
          <w:tab w:val="left" w:pos="1267"/>
          <w:tab w:val="left" w:pos="1987"/>
          <w:tab w:val="left" w:pos="2650"/>
        </w:tabs>
        <w:rPr>
          <w:rFonts w:hint="cs"/>
          <w:rtl/>
        </w:rPr>
      </w:pPr>
      <w:r>
        <w:rPr>
          <w:rFonts w:hint="cs"/>
          <w:rtl/>
        </w:rPr>
        <w:t>7-25 آب/أغسطس 2006</w:t>
      </w:r>
    </w:p>
    <w:p w:rsidR="00097E85" w:rsidRPr="00097E85" w:rsidRDefault="00097E85" w:rsidP="00097E85">
      <w:pPr>
        <w:tabs>
          <w:tab w:val="left" w:pos="662"/>
          <w:tab w:val="left" w:pos="1267"/>
          <w:tab w:val="left" w:pos="1987"/>
          <w:tab w:val="left" w:pos="2650"/>
        </w:tabs>
        <w:spacing w:line="120" w:lineRule="exact"/>
        <w:rPr>
          <w:rFonts w:hint="cs"/>
          <w:sz w:val="10"/>
          <w:rtl/>
        </w:rPr>
      </w:pPr>
    </w:p>
    <w:p w:rsidR="005E086A" w:rsidRPr="005E4AEE" w:rsidRDefault="005E086A" w:rsidP="005E086A">
      <w:pPr>
        <w:tabs>
          <w:tab w:val="left" w:pos="662"/>
          <w:tab w:val="left" w:pos="1267"/>
          <w:tab w:val="left" w:pos="1987"/>
          <w:tab w:val="left" w:pos="2650"/>
        </w:tabs>
        <w:spacing w:line="120" w:lineRule="exact"/>
        <w:rPr>
          <w:rFonts w:hint="cs"/>
          <w:sz w:val="12"/>
          <w:rtl/>
        </w:rPr>
      </w:pPr>
    </w:p>
    <w:p w:rsidR="005E086A" w:rsidRDefault="005E086A" w:rsidP="005E086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F801E8">
        <w:rPr>
          <w:rtl/>
        </w:rPr>
        <w:t>قائمة القضايا والأسئلة الم</w:t>
      </w:r>
      <w:r>
        <w:rPr>
          <w:rFonts w:hint="cs"/>
          <w:rtl/>
        </w:rPr>
        <w:t xml:space="preserve">طروحة فيما يتعلق بالنظر في </w:t>
      </w:r>
      <w:r w:rsidRPr="00F801E8">
        <w:rPr>
          <w:rtl/>
        </w:rPr>
        <w:t>التقارير الدورية</w:t>
      </w:r>
    </w:p>
    <w:p w:rsidR="00995C13" w:rsidRPr="00995C13" w:rsidRDefault="00995C13" w:rsidP="00995C1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5E086A" w:rsidRPr="00F801E8" w:rsidRDefault="005E086A" w:rsidP="00097E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10"/>
          <w:rtl/>
        </w:rPr>
      </w:pPr>
      <w:r>
        <w:rPr>
          <w:rFonts w:hint="cs"/>
          <w:rtl/>
        </w:rPr>
        <w:tab/>
      </w:r>
      <w:r>
        <w:rPr>
          <w:rFonts w:hint="cs"/>
          <w:rtl/>
        </w:rPr>
        <w:tab/>
        <w:t xml:space="preserve">جمهورية </w:t>
      </w:r>
      <w:r w:rsidR="00E61B83">
        <w:rPr>
          <w:rFonts w:hint="cs"/>
          <w:rtl/>
        </w:rPr>
        <w:t>مولدوف</w:t>
      </w:r>
      <w:r w:rsidR="00E61B83">
        <w:rPr>
          <w:rFonts w:hint="eastAsia"/>
          <w:rtl/>
        </w:rPr>
        <w:t>ا</w:t>
      </w:r>
    </w:p>
    <w:p w:rsidR="00097E85" w:rsidRPr="00097E85" w:rsidRDefault="00097E85" w:rsidP="00097E85">
      <w:pPr>
        <w:pStyle w:val="SingleTxt"/>
        <w:spacing w:after="0" w:line="120" w:lineRule="exact"/>
        <w:rPr>
          <w:rFonts w:hint="cs"/>
          <w:sz w:val="10"/>
          <w:rtl/>
        </w:rPr>
      </w:pPr>
    </w:p>
    <w:p w:rsidR="005E086A" w:rsidRDefault="00097E85" w:rsidP="005E086A">
      <w:pPr>
        <w:pStyle w:val="SingleTxt"/>
        <w:rPr>
          <w:rFonts w:hint="cs"/>
          <w:rtl/>
        </w:rPr>
      </w:pPr>
      <w:r>
        <w:rPr>
          <w:rFonts w:hint="cs"/>
          <w:rtl/>
        </w:rPr>
        <w:tab/>
      </w:r>
      <w:r w:rsidR="005E086A">
        <w:rPr>
          <w:rFonts w:hint="cs"/>
          <w:rtl/>
        </w:rPr>
        <w:t>نظ</w:t>
      </w:r>
      <w:r w:rsidR="005E086A" w:rsidRPr="00F801E8">
        <w:rPr>
          <w:rFonts w:hint="cs"/>
          <w:rtl/>
        </w:rPr>
        <w:t xml:space="preserve">ر الفريق العامل لما قبل الدورة في التقرير الدوري </w:t>
      </w:r>
      <w:r w:rsidR="005E086A">
        <w:rPr>
          <w:rFonts w:hint="cs"/>
          <w:rtl/>
        </w:rPr>
        <w:t xml:space="preserve">الجامع للتقريرين الثاني والثالث لجمهورية مولدوفا </w:t>
      </w:r>
      <w:r w:rsidR="005E086A" w:rsidRPr="00F801E8">
        <w:rPr>
          <w:rFonts w:hint="cs"/>
          <w:rtl/>
        </w:rPr>
        <w:t>(</w:t>
      </w:r>
      <w:r w:rsidR="005E086A" w:rsidRPr="00F801E8">
        <w:t>CEDAW/C/</w:t>
      </w:r>
      <w:r w:rsidR="005E086A">
        <w:t>MDA</w:t>
      </w:r>
      <w:r w:rsidR="005E086A" w:rsidRPr="00F801E8">
        <w:t>/</w:t>
      </w:r>
      <w:r w:rsidR="005E086A">
        <w:t>2-3</w:t>
      </w:r>
      <w:r w:rsidR="005E086A">
        <w:rPr>
          <w:rFonts w:hint="cs"/>
          <w:rtl/>
        </w:rPr>
        <w:t>).</w:t>
      </w:r>
    </w:p>
    <w:p w:rsidR="005E086A" w:rsidRPr="005E086A" w:rsidRDefault="005E086A" w:rsidP="005E086A">
      <w:pPr>
        <w:pStyle w:val="SingleTxt"/>
        <w:spacing w:after="0" w:line="120" w:lineRule="exact"/>
        <w:rPr>
          <w:rFonts w:hint="cs"/>
          <w:sz w:val="12"/>
          <w:rtl/>
        </w:rPr>
      </w:pPr>
    </w:p>
    <w:p w:rsidR="005E086A" w:rsidRPr="0086769D" w:rsidRDefault="005E086A" w:rsidP="005E086A">
      <w:pPr>
        <w:pStyle w:val="SingleTxt"/>
        <w:rPr>
          <w:rFonts w:hint="cs"/>
          <w:b/>
          <w:bCs/>
          <w:rtl/>
        </w:rPr>
      </w:pPr>
      <w:r w:rsidRPr="0086769D">
        <w:rPr>
          <w:rFonts w:hint="cs"/>
          <w:b/>
          <w:bCs/>
          <w:rtl/>
        </w:rPr>
        <w:t>معلومات عامة</w:t>
      </w:r>
    </w:p>
    <w:p w:rsidR="005E086A" w:rsidRPr="00856E8A" w:rsidRDefault="005E086A" w:rsidP="005E086A">
      <w:pPr>
        <w:pStyle w:val="SingleTxt"/>
        <w:rPr>
          <w:rFonts w:hint="cs"/>
          <w:rtl/>
        </w:rPr>
      </w:pPr>
      <w:r>
        <w:rPr>
          <w:rFonts w:hint="cs"/>
          <w:rtl/>
        </w:rPr>
        <w:t>1 -</w:t>
      </w:r>
      <w:r>
        <w:rPr>
          <w:rFonts w:hint="cs"/>
          <w:rtl/>
        </w:rPr>
        <w:tab/>
      </w:r>
      <w:r w:rsidRPr="00856E8A">
        <w:rPr>
          <w:rtl/>
        </w:rPr>
        <w:t xml:space="preserve">يرجى </w:t>
      </w:r>
      <w:r w:rsidRPr="00856E8A">
        <w:rPr>
          <w:rFonts w:hint="cs"/>
          <w:rtl/>
        </w:rPr>
        <w:t>تقديم</w:t>
      </w:r>
      <w:r w:rsidRPr="00856E8A">
        <w:rPr>
          <w:rtl/>
        </w:rPr>
        <w:t xml:space="preserve"> مزيد من المعلومات التفصيلية عن</w:t>
      </w:r>
      <w:r w:rsidRPr="00856E8A">
        <w:rPr>
          <w:rFonts w:hint="cs"/>
          <w:rtl/>
        </w:rPr>
        <w:t xml:space="preserve"> عملية إعداد التقرير الدوري الجامع للتقريرين الثاني والثالث لجمهورية مولدوفا. وينبغي أن تشير </w:t>
      </w:r>
      <w:r>
        <w:rPr>
          <w:rFonts w:hint="cs"/>
          <w:rtl/>
        </w:rPr>
        <w:t xml:space="preserve">هذه </w:t>
      </w:r>
      <w:r w:rsidRPr="00856E8A">
        <w:rPr>
          <w:rFonts w:hint="cs"/>
          <w:rtl/>
        </w:rPr>
        <w:t xml:space="preserve">المعلومات إلى </w:t>
      </w:r>
      <w:r>
        <w:rPr>
          <w:rFonts w:hint="cs"/>
          <w:rtl/>
        </w:rPr>
        <w:t>الإدارات</w:t>
      </w:r>
      <w:r w:rsidRPr="00856E8A">
        <w:rPr>
          <w:rFonts w:hint="cs"/>
          <w:rtl/>
        </w:rPr>
        <w:t xml:space="preserve"> والمؤسسات الحكومية </w:t>
      </w:r>
      <w:r>
        <w:rPr>
          <w:rFonts w:hint="cs"/>
          <w:rtl/>
        </w:rPr>
        <w:t xml:space="preserve">التي شاركت </w:t>
      </w:r>
      <w:r w:rsidRPr="00856E8A">
        <w:rPr>
          <w:rFonts w:hint="cs"/>
          <w:rtl/>
        </w:rPr>
        <w:t xml:space="preserve">في العملية وطبيعة ومدى مشاركتها، وما إذا أجريت مشاورات مع </w:t>
      </w:r>
      <w:r>
        <w:rPr>
          <w:rFonts w:hint="cs"/>
          <w:rtl/>
        </w:rPr>
        <w:t>ال</w:t>
      </w:r>
      <w:r w:rsidRPr="00856E8A">
        <w:rPr>
          <w:rFonts w:hint="cs"/>
          <w:rtl/>
        </w:rPr>
        <w:t xml:space="preserve">منظمات غير </w:t>
      </w:r>
      <w:r>
        <w:rPr>
          <w:rFonts w:hint="cs"/>
          <w:rtl/>
        </w:rPr>
        <w:t>ال</w:t>
      </w:r>
      <w:r w:rsidRPr="00856E8A">
        <w:rPr>
          <w:rFonts w:hint="cs"/>
          <w:rtl/>
        </w:rPr>
        <w:t xml:space="preserve">حكومية </w:t>
      </w:r>
      <w:r>
        <w:rPr>
          <w:rFonts w:hint="cs"/>
          <w:rtl/>
        </w:rPr>
        <w:t>أو</w:t>
      </w:r>
      <w:r w:rsidRPr="00856E8A">
        <w:rPr>
          <w:rFonts w:hint="cs"/>
          <w:rtl/>
        </w:rPr>
        <w:t xml:space="preserve"> اعتمدت الحكومة التقرير </w:t>
      </w:r>
      <w:r>
        <w:rPr>
          <w:rFonts w:hint="cs"/>
          <w:rtl/>
        </w:rPr>
        <w:t xml:space="preserve">أو </w:t>
      </w:r>
      <w:r w:rsidRPr="00856E8A">
        <w:rPr>
          <w:rFonts w:hint="cs"/>
          <w:rtl/>
        </w:rPr>
        <w:t>قُدم إلى البرلمان.</w:t>
      </w:r>
    </w:p>
    <w:p w:rsidR="005E086A" w:rsidRDefault="005E086A" w:rsidP="00097E85">
      <w:pPr>
        <w:pStyle w:val="SingleTxt"/>
        <w:rPr>
          <w:rFonts w:hint="cs"/>
          <w:sz w:val="12"/>
          <w:rtl/>
        </w:rPr>
      </w:pPr>
      <w:r>
        <w:rPr>
          <w:rFonts w:hint="cs"/>
          <w:rtl/>
        </w:rPr>
        <w:t>2 -</w:t>
      </w:r>
      <w:r w:rsidRPr="00856E8A">
        <w:rPr>
          <w:rFonts w:hint="cs"/>
          <w:rtl/>
        </w:rPr>
        <w:tab/>
      </w:r>
      <w:r>
        <w:rPr>
          <w:rFonts w:hint="cs"/>
          <w:rtl/>
        </w:rPr>
        <w:t>و</w:t>
      </w:r>
      <w:r>
        <w:rPr>
          <w:rFonts w:hint="cs"/>
          <w:sz w:val="12"/>
          <w:rtl/>
        </w:rPr>
        <w:t>دعت اللجنة، في تعليقاتها الختامية على تقرير جمهورية مولدوفا الأولي لعام 2000</w:t>
      </w:r>
      <w:r w:rsidRPr="005E086A">
        <w:rPr>
          <w:sz w:val="12"/>
          <w:vertAlign w:val="superscript"/>
          <w:rtl/>
        </w:rPr>
        <w:t>(</w:t>
      </w:r>
      <w:r>
        <w:rPr>
          <w:rStyle w:val="FootnoteReference"/>
          <w:rtl/>
        </w:rPr>
        <w:footnoteReference w:id="1"/>
      </w:r>
      <w:r w:rsidRPr="005E086A">
        <w:rPr>
          <w:sz w:val="12"/>
          <w:vertAlign w:val="superscript"/>
          <w:rtl/>
        </w:rPr>
        <w:t>)</w:t>
      </w:r>
      <w:r>
        <w:rPr>
          <w:rFonts w:hint="cs"/>
          <w:sz w:val="12"/>
          <w:rtl/>
        </w:rPr>
        <w:t>، إلى وضع سياسة متكاملة لتحقيق المساواة بين الجنسين. يرجى تقديم معلومات</w:t>
      </w:r>
      <w:r>
        <w:rPr>
          <w:rFonts w:hint="eastAsia"/>
          <w:sz w:val="12"/>
          <w:rtl/>
        </w:rPr>
        <w:t> </w:t>
      </w:r>
      <w:r>
        <w:rPr>
          <w:rFonts w:hint="cs"/>
          <w:sz w:val="12"/>
          <w:rtl/>
        </w:rPr>
        <w:t>عن تنفيذ وتقييم الخطة الوطنية لتعزيز المساواة بين الجنسين في المجتمع للفترة 2003-2005.</w:t>
      </w:r>
    </w:p>
    <w:p w:rsidR="005E086A" w:rsidRDefault="005E086A" w:rsidP="005E086A">
      <w:pPr>
        <w:pStyle w:val="SingleTxt"/>
        <w:rPr>
          <w:rFonts w:hint="cs"/>
          <w:b/>
          <w:bCs/>
          <w:sz w:val="12"/>
          <w:rtl/>
        </w:rPr>
      </w:pPr>
    </w:p>
    <w:p w:rsidR="005E086A" w:rsidRPr="0086769D" w:rsidRDefault="005E086A" w:rsidP="005E086A">
      <w:pPr>
        <w:pStyle w:val="SingleTxt"/>
        <w:rPr>
          <w:rFonts w:hint="cs"/>
          <w:b/>
          <w:bCs/>
          <w:sz w:val="12"/>
          <w:rtl/>
        </w:rPr>
      </w:pPr>
      <w:r w:rsidRPr="0086769D">
        <w:rPr>
          <w:rFonts w:hint="cs"/>
          <w:b/>
          <w:bCs/>
          <w:sz w:val="12"/>
          <w:rtl/>
        </w:rPr>
        <w:t>الإطار الدستوري والتشريعي والمؤسسي وحالة الاتفاقية</w:t>
      </w:r>
    </w:p>
    <w:p w:rsidR="005E086A" w:rsidRDefault="005E086A" w:rsidP="005E086A">
      <w:pPr>
        <w:pStyle w:val="SingleTxt"/>
        <w:rPr>
          <w:rFonts w:hint="cs"/>
          <w:rtl/>
        </w:rPr>
      </w:pPr>
      <w:r>
        <w:rPr>
          <w:rFonts w:hint="cs"/>
          <w:sz w:val="12"/>
          <w:rtl/>
        </w:rPr>
        <w:t>3 -</w:t>
      </w:r>
      <w:r>
        <w:rPr>
          <w:rFonts w:hint="cs"/>
          <w:sz w:val="12"/>
          <w:rtl/>
        </w:rPr>
        <w:tab/>
        <w:t xml:space="preserve">دعت اللجنة، في تعليقاتها الختامية السابقة، الحكومة إلى التشجيع على إدخال تعديل دستوري من أجل </w:t>
      </w:r>
      <w:r>
        <w:rPr>
          <w:rFonts w:hint="eastAsia"/>
          <w:sz w:val="12"/>
          <w:rtl/>
        </w:rPr>
        <w:t>”</w:t>
      </w:r>
      <w:r>
        <w:rPr>
          <w:rtl/>
        </w:rPr>
        <w:t>إدماج المساواة على أساس نوع الجنس في الدستور، وكفالة أن يعكس الدستور على نحو</w:t>
      </w:r>
      <w:r>
        <w:t xml:space="preserve"> </w:t>
      </w:r>
      <w:r>
        <w:rPr>
          <w:rtl/>
        </w:rPr>
        <w:t>كامل المادة 1 من الاتفاقية</w:t>
      </w:r>
      <w:r>
        <w:rPr>
          <w:rFonts w:hint="eastAsia"/>
          <w:rtl/>
        </w:rPr>
        <w:t>“</w:t>
      </w:r>
      <w:r>
        <w:rPr>
          <w:rFonts w:hint="cs"/>
          <w:rtl/>
        </w:rPr>
        <w:t>، التي تحظر التمييز المباشر وغير المباشر. يرجى تقديم معلومات عن الخطوات المتخذة استجابة لهذه التوصية، وبيان الحالة القانونية للاتفاقية في جمهورية مولدوفا.</w:t>
      </w:r>
    </w:p>
    <w:p w:rsidR="005E086A" w:rsidRDefault="005E086A" w:rsidP="005E086A">
      <w:pPr>
        <w:pStyle w:val="SingleTxt"/>
        <w:rPr>
          <w:rFonts w:hint="cs"/>
          <w:sz w:val="12"/>
          <w:rtl/>
        </w:rPr>
      </w:pPr>
      <w:r>
        <w:rPr>
          <w:rFonts w:hint="cs"/>
          <w:rtl/>
        </w:rPr>
        <w:t>4 -</w:t>
      </w:r>
      <w:r>
        <w:rPr>
          <w:rFonts w:hint="cs"/>
          <w:rtl/>
        </w:rPr>
        <w:tab/>
        <w:t>ويشير التقرير إلى أن قانون المساواة بين الجنسي</w:t>
      </w:r>
      <w:r w:rsidR="00097E85">
        <w:rPr>
          <w:rFonts w:hint="cs"/>
          <w:rtl/>
        </w:rPr>
        <w:t>ن يوجد قيد الصياغة (انظر الفقرة</w:t>
      </w:r>
      <w:r w:rsidR="00097E85">
        <w:rPr>
          <w:rFonts w:hint="eastAsia"/>
          <w:rtl/>
        </w:rPr>
        <w:t> </w:t>
      </w:r>
      <w:r>
        <w:rPr>
          <w:rFonts w:hint="cs"/>
          <w:rtl/>
        </w:rPr>
        <w:t xml:space="preserve">21). يرجى تقديم معلومات عن نطاق مشروع القانون وما إذا </w:t>
      </w:r>
      <w:r>
        <w:rPr>
          <w:rFonts w:hint="cs"/>
          <w:sz w:val="12"/>
          <w:rtl/>
        </w:rPr>
        <w:t>كان يتضمن حظرا على التمييز المباشر وغير المباشر ضد المرأة وفقا للمادة 1 من الاتفاقية، وكذلك إطارا زمنيا لاعتماده.</w:t>
      </w:r>
    </w:p>
    <w:p w:rsidR="005E086A" w:rsidRDefault="005E086A" w:rsidP="005E086A">
      <w:pPr>
        <w:pStyle w:val="SingleTxt"/>
        <w:rPr>
          <w:rFonts w:hint="cs"/>
          <w:sz w:val="12"/>
          <w:rtl/>
        </w:rPr>
      </w:pPr>
      <w:r>
        <w:rPr>
          <w:rFonts w:hint="cs"/>
          <w:sz w:val="12"/>
          <w:rtl/>
        </w:rPr>
        <w:t>5 -</w:t>
      </w:r>
      <w:r>
        <w:rPr>
          <w:rFonts w:hint="cs"/>
          <w:sz w:val="12"/>
          <w:rtl/>
        </w:rPr>
        <w:tab/>
        <w:t>ويرد في التقرير (انظر الفقرة 17) أن الآلية القانونية الكفيلة بحماية المرأة ضد التمييز لم تتحدد بعد وأن الجوانب المعيارية والعملية لإنشائها لم تكتمل بعد. ما هي الأسباب و/أو العقبات التي تواجهها الحكومة في إكمال هذه الآلية القانونية المزودة أيضا بوسائل إنفاذ وافية.</w:t>
      </w:r>
    </w:p>
    <w:p w:rsidR="005E086A" w:rsidRDefault="005E086A" w:rsidP="005E086A">
      <w:pPr>
        <w:pStyle w:val="SingleTxt"/>
        <w:rPr>
          <w:rFonts w:hint="cs"/>
          <w:sz w:val="12"/>
          <w:rtl/>
        </w:rPr>
      </w:pPr>
      <w:r>
        <w:rPr>
          <w:rFonts w:hint="cs"/>
          <w:sz w:val="12"/>
          <w:rtl/>
        </w:rPr>
        <w:t>6 -</w:t>
      </w:r>
      <w:r>
        <w:rPr>
          <w:rFonts w:hint="cs"/>
          <w:sz w:val="12"/>
          <w:rtl/>
        </w:rPr>
        <w:tab/>
        <w:t>يرجى تقديم معلومات، بناء على الطلب الوارد في تعليقات اللجنة الختامية</w:t>
      </w:r>
      <w:r w:rsidRPr="005E086A">
        <w:rPr>
          <w:sz w:val="12"/>
          <w:vertAlign w:val="superscript"/>
          <w:rtl/>
        </w:rPr>
        <w:t>(</w:t>
      </w:r>
      <w:r>
        <w:rPr>
          <w:rStyle w:val="FootnoteReference"/>
          <w:rtl/>
        </w:rPr>
        <w:footnoteReference w:id="2"/>
      </w:r>
      <w:r w:rsidRPr="005E086A">
        <w:rPr>
          <w:sz w:val="12"/>
          <w:vertAlign w:val="superscript"/>
          <w:rtl/>
        </w:rPr>
        <w:t>)</w:t>
      </w:r>
      <w:r>
        <w:rPr>
          <w:rFonts w:hint="cs"/>
          <w:sz w:val="12"/>
          <w:rtl/>
        </w:rPr>
        <w:t>، عن وسائل الانتصاف المتاحة للمرأة والدعاوى المرفوعة، في حال وجودها، أمام المحاكم من قبل نساء تعرضن للتمييز.</w:t>
      </w:r>
    </w:p>
    <w:p w:rsidR="005E086A" w:rsidRDefault="005E086A" w:rsidP="005E086A">
      <w:pPr>
        <w:pStyle w:val="SingleTxt"/>
        <w:rPr>
          <w:rFonts w:hint="cs"/>
          <w:rtl/>
        </w:rPr>
      </w:pPr>
      <w:r>
        <w:rPr>
          <w:rFonts w:hint="cs"/>
          <w:rtl/>
        </w:rPr>
        <w:t>7 -</w:t>
      </w:r>
      <w:r>
        <w:rPr>
          <w:rFonts w:hint="cs"/>
          <w:rtl/>
        </w:rPr>
        <w:tab/>
        <w:t>ويعترف التقرير بعدم وجود آلية وطنية راسخة ودائمة للمساواة بين الجنسين والأثر السلبي المترتب على ذلك في تنفيذ السياسات الجنسانية (انظر الفقرة 99). ما هي التدابير التي اتخذتها الحكومة لتنفيذ توصية اللجنة</w:t>
      </w:r>
      <w:r w:rsidRPr="005E086A">
        <w:rPr>
          <w:vertAlign w:val="superscript"/>
          <w:rtl/>
        </w:rPr>
        <w:t>(</w:t>
      </w:r>
      <w:r>
        <w:rPr>
          <w:rStyle w:val="FootnoteReference"/>
          <w:rtl/>
        </w:rPr>
        <w:footnoteReference w:id="3"/>
      </w:r>
      <w:r w:rsidRPr="005E086A">
        <w:rPr>
          <w:vertAlign w:val="superscript"/>
          <w:rtl/>
        </w:rPr>
        <w:t>)</w:t>
      </w:r>
      <w:r>
        <w:rPr>
          <w:rFonts w:hint="cs"/>
          <w:rtl/>
        </w:rPr>
        <w:t xml:space="preserve"> الواردة في تعليقاتها الختامية بأن تقوم الحكومة بتقييم قدرات الآلية الوطنية وتخويلها صلاحيات صنع القرار </w:t>
      </w:r>
      <w:r>
        <w:rPr>
          <w:rtl/>
        </w:rPr>
        <w:t>و</w:t>
      </w:r>
      <w:r>
        <w:rPr>
          <w:rFonts w:hint="cs"/>
          <w:rtl/>
        </w:rPr>
        <w:t>تزويدها ب</w:t>
      </w:r>
      <w:r>
        <w:rPr>
          <w:rtl/>
        </w:rPr>
        <w:t>الموارد البشرية والمالية اللازمة</w:t>
      </w:r>
      <w:r>
        <w:rPr>
          <w:rFonts w:hint="cs"/>
          <w:rtl/>
        </w:rPr>
        <w:t>؟</w:t>
      </w:r>
    </w:p>
    <w:p w:rsidR="005E086A" w:rsidRPr="002E0E9B" w:rsidRDefault="005E086A" w:rsidP="005E086A">
      <w:pPr>
        <w:pStyle w:val="SingleTxt"/>
        <w:rPr>
          <w:rFonts w:hint="cs"/>
          <w:b/>
          <w:bCs/>
          <w:rtl/>
        </w:rPr>
      </w:pPr>
      <w:r w:rsidRPr="002E0E9B">
        <w:rPr>
          <w:rFonts w:hint="cs"/>
          <w:b/>
          <w:bCs/>
          <w:rtl/>
        </w:rPr>
        <w:t>العنف المرتكب ضد المرأة</w:t>
      </w:r>
    </w:p>
    <w:p w:rsidR="005E086A" w:rsidRDefault="005E086A" w:rsidP="005E086A">
      <w:pPr>
        <w:pStyle w:val="SingleTxt"/>
        <w:rPr>
          <w:rFonts w:hint="cs"/>
          <w:rtl/>
        </w:rPr>
      </w:pPr>
      <w:r>
        <w:rPr>
          <w:rFonts w:hint="cs"/>
          <w:rtl/>
        </w:rPr>
        <w:t>8 -</w:t>
      </w:r>
      <w:r>
        <w:rPr>
          <w:rFonts w:hint="cs"/>
          <w:rtl/>
        </w:rPr>
        <w:tab/>
        <w:t>يشير التقرير إلى أنه يجري حاليا وضع مشروع قانو</w:t>
      </w:r>
      <w:r w:rsidR="00801D5A">
        <w:rPr>
          <w:rFonts w:hint="cs"/>
          <w:rtl/>
        </w:rPr>
        <w:t>ن عن العنف العائلي (انظر الفقرة</w:t>
      </w:r>
      <w:r w:rsidR="00801D5A">
        <w:rPr>
          <w:rFonts w:hint="eastAsia"/>
          <w:rtl/>
        </w:rPr>
        <w:t> </w:t>
      </w:r>
      <w:r>
        <w:rPr>
          <w:rFonts w:hint="cs"/>
          <w:rtl/>
        </w:rPr>
        <w:t>86). يرجى تقديم معلومات تفصيلية عن مشروع هذا القانون، بما في ذلك نطاقه والإطار الزمني لاعتماده.</w:t>
      </w:r>
    </w:p>
    <w:p w:rsidR="005E086A" w:rsidRDefault="005E086A" w:rsidP="005E086A">
      <w:pPr>
        <w:pStyle w:val="SingleTxt"/>
        <w:rPr>
          <w:rFonts w:hint="cs"/>
          <w:rtl/>
        </w:rPr>
      </w:pPr>
      <w:r>
        <w:rPr>
          <w:rFonts w:hint="cs"/>
          <w:rtl/>
        </w:rPr>
        <w:t>9 -</w:t>
      </w:r>
      <w:r>
        <w:rPr>
          <w:rFonts w:hint="cs"/>
          <w:rtl/>
        </w:rPr>
        <w:tab/>
        <w:t>ويقدم التقرير أيضا معلومات عن القانون الجنائي الجديد (انظر الفقرة 28) مع الإشارة إلى ظروف جديدة مشددة للعقوبة على الأضرار المادية أو الصحية الجسيمة التي تلحق بأحد الزوجين (المادة 151، الفقرة 2 (أ))، والمعاقبة بالسجن على الأضرار المادية أو</w:t>
      </w:r>
      <w:r>
        <w:rPr>
          <w:rFonts w:hint="eastAsia"/>
          <w:rtl/>
        </w:rPr>
        <w:t> </w:t>
      </w:r>
      <w:r>
        <w:rPr>
          <w:rFonts w:hint="cs"/>
          <w:rtl/>
        </w:rPr>
        <w:t xml:space="preserve">الصحية المتوسطة التي تلحق بأحد الزوجين (المادة 152، الفقرة 2 (ج)). ويشمل القانون الجنائي أيضا جريمة </w:t>
      </w:r>
      <w:r>
        <w:rPr>
          <w:rFonts w:hint="eastAsia"/>
          <w:rtl/>
        </w:rPr>
        <w:t>”</w:t>
      </w:r>
      <w:r>
        <w:rPr>
          <w:rFonts w:hint="cs"/>
          <w:rtl/>
        </w:rPr>
        <w:t>الأضرار المادية أو الصحية البسيطة المتعمدة</w:t>
      </w:r>
      <w:r>
        <w:rPr>
          <w:rFonts w:hint="eastAsia"/>
          <w:rtl/>
        </w:rPr>
        <w:t>“</w:t>
      </w:r>
      <w:r>
        <w:rPr>
          <w:rFonts w:hint="cs"/>
          <w:rtl/>
        </w:rPr>
        <w:t xml:space="preserve"> (المادة 153)، التي كانت تندرج سابقا تحت فئة المخالفات الإدارية في القانون الجنائي. يرجى تقديم مزيد من المعلومات عن هذه الأحكام، بما في ذلك تفاصيل عن شروط الإثبات والعقوبات. وهل يعتبر الاغتصاب في إطار الزواج فعلا إجراميا؟</w:t>
      </w:r>
    </w:p>
    <w:p w:rsidR="005E086A" w:rsidRDefault="005E086A" w:rsidP="00A26109">
      <w:pPr>
        <w:pStyle w:val="SingleTxt"/>
        <w:rPr>
          <w:rFonts w:hint="cs"/>
          <w:rtl/>
        </w:rPr>
      </w:pPr>
      <w:r>
        <w:rPr>
          <w:rFonts w:hint="cs"/>
          <w:rtl/>
        </w:rPr>
        <w:t>10 -</w:t>
      </w:r>
      <w:r>
        <w:rPr>
          <w:rFonts w:hint="cs"/>
          <w:rtl/>
        </w:rPr>
        <w:tab/>
        <w:t>وأعربت ال</w:t>
      </w:r>
      <w:r>
        <w:rPr>
          <w:rtl/>
        </w:rPr>
        <w:t>مقررة</w:t>
      </w:r>
      <w:r>
        <w:rPr>
          <w:rFonts w:hint="cs"/>
          <w:rtl/>
        </w:rPr>
        <w:t xml:space="preserve"> الخاصة</w:t>
      </w:r>
      <w:r>
        <w:rPr>
          <w:rtl/>
        </w:rPr>
        <w:t xml:space="preserve"> المعنية بالعنف ضد المرأة وأسبابه ونتائجه</w:t>
      </w:r>
      <w:r>
        <w:rPr>
          <w:rFonts w:hint="cs"/>
          <w:rtl/>
        </w:rPr>
        <w:t xml:space="preserve"> التابعة للجنة المعنية بحقوق الإنسان، في تقريرها عن القلق إزاء انتشار العنف </w:t>
      </w:r>
      <w:r w:rsidR="00A26109">
        <w:rPr>
          <w:rFonts w:hint="cs"/>
          <w:rtl/>
        </w:rPr>
        <w:t>العائلي</w:t>
      </w:r>
      <w:r>
        <w:rPr>
          <w:rFonts w:hint="cs"/>
          <w:rtl/>
        </w:rPr>
        <w:t xml:space="preserve"> على نطاق واسع وعدم الإبلاغ عنه بما فيه الكفاية (</w:t>
      </w:r>
      <w:r>
        <w:t>E/CN.4/2003.75/Add.1</w:t>
      </w:r>
      <w:r>
        <w:rPr>
          <w:rFonts w:hint="cs"/>
          <w:rtl/>
        </w:rPr>
        <w:t xml:space="preserve">). وذكرت الحكومة، لدى عرض تقريرها الأولي المقدم إلى اللجنة، أن التنقيحات المقرر إدخالها على القانون الجنائي وقانون الإجراءات الجنائية ستعالج مسألة إمكانية لجوء ضحايا العنف </w:t>
      </w:r>
      <w:r w:rsidR="00A26109">
        <w:rPr>
          <w:rFonts w:hint="cs"/>
          <w:rtl/>
        </w:rPr>
        <w:t>العائلي</w:t>
      </w:r>
      <w:r>
        <w:rPr>
          <w:rFonts w:hint="cs"/>
          <w:rtl/>
        </w:rPr>
        <w:t xml:space="preserve"> إلى القضاء</w:t>
      </w:r>
      <w:r w:rsidR="00A26109" w:rsidRPr="00A26109">
        <w:rPr>
          <w:vertAlign w:val="superscript"/>
          <w:rtl/>
        </w:rPr>
        <w:t>(</w:t>
      </w:r>
      <w:r w:rsidR="00A26109">
        <w:rPr>
          <w:rStyle w:val="FootnoteReference"/>
          <w:rtl/>
        </w:rPr>
        <w:footnoteReference w:id="4"/>
      </w:r>
      <w:r w:rsidR="00A26109" w:rsidRPr="00A26109">
        <w:rPr>
          <w:vertAlign w:val="superscript"/>
          <w:rtl/>
        </w:rPr>
        <w:t>)</w:t>
      </w:r>
      <w:r w:rsidR="00A26109">
        <w:rPr>
          <w:rFonts w:hint="cs"/>
          <w:rtl/>
        </w:rPr>
        <w:t xml:space="preserve">. </w:t>
      </w:r>
      <w:r>
        <w:rPr>
          <w:rFonts w:hint="cs"/>
          <w:rtl/>
        </w:rPr>
        <w:t xml:space="preserve">يرجى بيان الطريقة التي سيعزز بها تنقيح القانون الجنائي وقانون الإجراءات الجنائية إمكانية لجوء المرأة إلى القضاء وتشجيع النساء ضحايا العنف </w:t>
      </w:r>
      <w:r w:rsidR="00A26109">
        <w:rPr>
          <w:rFonts w:hint="cs"/>
          <w:rtl/>
        </w:rPr>
        <w:t>العائلي</w:t>
      </w:r>
      <w:r>
        <w:rPr>
          <w:rFonts w:hint="cs"/>
          <w:rtl/>
        </w:rPr>
        <w:t xml:space="preserve"> على الإبلاغ عن هذا النوع من العنف. وهل يتيح التنقيح بوجه خاص إمكانية استفادة الضحايا من المساعدة القانونية؟</w:t>
      </w:r>
    </w:p>
    <w:p w:rsidR="005E086A" w:rsidRDefault="00A26109" w:rsidP="005E086A">
      <w:pPr>
        <w:pStyle w:val="SingleTxt"/>
        <w:rPr>
          <w:rFonts w:hint="cs"/>
          <w:rtl/>
        </w:rPr>
      </w:pPr>
      <w:r>
        <w:rPr>
          <w:rFonts w:hint="cs"/>
          <w:rtl/>
        </w:rPr>
        <w:t>11 -</w:t>
      </w:r>
      <w:r w:rsidR="005E086A">
        <w:rPr>
          <w:rFonts w:hint="cs"/>
          <w:rtl/>
        </w:rPr>
        <w:tab/>
        <w:t>يرجى وصف التدابير المتخذة لجمع وتحليل واستخدام البيانات والإحصاءات المصنفة حسب نوع الجنس والأصل العرقي بشأن جميع أشكال العنف المرتكب ضد المرأة.</w:t>
      </w:r>
    </w:p>
    <w:p w:rsidR="00A26109" w:rsidRPr="00A26109" w:rsidRDefault="00A26109" w:rsidP="00A26109">
      <w:pPr>
        <w:pStyle w:val="SingleTxt"/>
        <w:spacing w:after="0" w:line="120" w:lineRule="exact"/>
        <w:rPr>
          <w:rFonts w:hint="cs"/>
          <w:b/>
          <w:bCs/>
          <w:sz w:val="12"/>
          <w:rtl/>
        </w:rPr>
      </w:pPr>
    </w:p>
    <w:p w:rsidR="005E086A" w:rsidRPr="002E0E9B" w:rsidRDefault="005E086A" w:rsidP="005E086A">
      <w:pPr>
        <w:pStyle w:val="SingleTxt"/>
        <w:rPr>
          <w:rFonts w:hint="cs"/>
          <w:b/>
          <w:bCs/>
          <w:rtl/>
        </w:rPr>
      </w:pPr>
      <w:r w:rsidRPr="002E0E9B">
        <w:rPr>
          <w:rFonts w:hint="cs"/>
          <w:b/>
          <w:bCs/>
          <w:rtl/>
        </w:rPr>
        <w:t>الاتجار بالمرأة واستغلال البغاء</w:t>
      </w:r>
    </w:p>
    <w:p w:rsidR="005E086A" w:rsidRDefault="00A26109" w:rsidP="00A26109">
      <w:pPr>
        <w:pStyle w:val="SingleTxt"/>
        <w:rPr>
          <w:rFonts w:hint="cs"/>
          <w:rtl/>
        </w:rPr>
      </w:pPr>
      <w:r>
        <w:rPr>
          <w:rFonts w:hint="cs"/>
          <w:rtl/>
        </w:rPr>
        <w:t>12 -</w:t>
      </w:r>
      <w:r w:rsidR="005E086A">
        <w:rPr>
          <w:rFonts w:hint="cs"/>
          <w:rtl/>
        </w:rPr>
        <w:tab/>
        <w:t>يرد في التقرير أنه يجري حاليا وضع الصيغة النهائية لمشروع قانون منع الاتجار بالبشر و</w:t>
      </w:r>
      <w:r>
        <w:rPr>
          <w:rFonts w:hint="cs"/>
          <w:rtl/>
        </w:rPr>
        <w:t xml:space="preserve">مكافحته </w:t>
      </w:r>
      <w:r w:rsidR="005E086A">
        <w:rPr>
          <w:rFonts w:hint="cs"/>
          <w:rtl/>
        </w:rPr>
        <w:t>(انظر الفقرة 30). يرجى تقديم تفاصيل عن التقدم المحرز فيما يتعلق بمشروع القانون، وكذلك معلومات عن المحتوى الرئيسي للقانون ونطاقه.</w:t>
      </w:r>
    </w:p>
    <w:p w:rsidR="005E086A" w:rsidRDefault="00A26109" w:rsidP="00A26109">
      <w:pPr>
        <w:pStyle w:val="SingleTxt"/>
        <w:rPr>
          <w:rFonts w:hint="cs"/>
          <w:rtl/>
        </w:rPr>
      </w:pPr>
      <w:r>
        <w:rPr>
          <w:rFonts w:hint="cs"/>
          <w:rtl/>
        </w:rPr>
        <w:t>13 -</w:t>
      </w:r>
      <w:r w:rsidR="005E086A">
        <w:rPr>
          <w:rFonts w:hint="cs"/>
          <w:rtl/>
        </w:rPr>
        <w:tab/>
        <w:t xml:space="preserve">وتتعلق معظم الأسباب المذكورة في التقرير (انظر الفقرة 29) لإيضاح الاتجار </w:t>
      </w:r>
      <w:r>
        <w:rPr>
          <w:rFonts w:hint="cs"/>
          <w:rtl/>
        </w:rPr>
        <w:t xml:space="preserve">بالمرأة </w:t>
      </w:r>
      <w:r w:rsidR="005E086A">
        <w:rPr>
          <w:rFonts w:hint="cs"/>
          <w:rtl/>
        </w:rPr>
        <w:t>وهجرته</w:t>
      </w:r>
      <w:r>
        <w:rPr>
          <w:rFonts w:hint="cs"/>
          <w:rtl/>
        </w:rPr>
        <w:t>ا</w:t>
      </w:r>
      <w:r w:rsidR="005E086A">
        <w:rPr>
          <w:rFonts w:hint="cs"/>
          <w:rtl/>
        </w:rPr>
        <w:t xml:space="preserve"> غير المشروعة من جمهورية مولدوفا بسوء حالة المرأة الاقتصادية. ما هي التدابير الوقائية التي اتخذتها الحكومة من أجل تحسين حالة المرأة الاقتصادية استجابة لتعليقات اللجنة الختامية لعا</w:t>
      </w:r>
      <w:r>
        <w:rPr>
          <w:rFonts w:hint="cs"/>
          <w:rtl/>
        </w:rPr>
        <w:t>م 2000</w:t>
      </w:r>
      <w:r w:rsidRPr="00A26109">
        <w:rPr>
          <w:vertAlign w:val="superscript"/>
          <w:rtl/>
        </w:rPr>
        <w:t>(</w:t>
      </w:r>
      <w:r>
        <w:rPr>
          <w:rStyle w:val="FootnoteReference"/>
          <w:rtl/>
        </w:rPr>
        <w:footnoteReference w:id="5"/>
      </w:r>
      <w:r w:rsidRPr="00A26109">
        <w:rPr>
          <w:vertAlign w:val="superscript"/>
          <w:rtl/>
        </w:rPr>
        <w:t>)</w:t>
      </w:r>
      <w:r w:rsidR="005E086A">
        <w:rPr>
          <w:rFonts w:hint="cs"/>
          <w:rtl/>
        </w:rPr>
        <w:t>؟</w:t>
      </w:r>
    </w:p>
    <w:p w:rsidR="005E086A" w:rsidRDefault="00A26109" w:rsidP="005E086A">
      <w:pPr>
        <w:pStyle w:val="SingleTxt"/>
        <w:rPr>
          <w:rFonts w:hint="cs"/>
          <w:rtl/>
        </w:rPr>
      </w:pPr>
      <w:r>
        <w:rPr>
          <w:rFonts w:hint="cs"/>
          <w:rtl/>
        </w:rPr>
        <w:t>14 -</w:t>
      </w:r>
      <w:r w:rsidR="005E086A">
        <w:rPr>
          <w:rFonts w:hint="cs"/>
          <w:rtl/>
        </w:rPr>
        <w:tab/>
        <w:t>يرجى تقديم معلومات، بما فيها بيانات إحصائية، عن ظاهرة بغاء النساء والفتيات، لا</w:t>
      </w:r>
      <w:r>
        <w:rPr>
          <w:rFonts w:hint="cs"/>
          <w:rtl/>
        </w:rPr>
        <w:t xml:space="preserve"> </w:t>
      </w:r>
      <w:r w:rsidR="005E086A">
        <w:rPr>
          <w:rFonts w:hint="cs"/>
          <w:rtl/>
        </w:rPr>
        <w:t>سيما ممارسة البغاء في الشوارع، وعن التدابير المتخذة لمعالجة الأسباب الجذرية، ولمنع الاستغلال الجنسي للمرأة والفتاة، والتوعية بالمخاطر الصحية والمخاطر المتعلقة بالسلامة ولكفالة حماية البغايا وإعادة تأهيلهن وإدماجهن في المجتمع.</w:t>
      </w:r>
    </w:p>
    <w:p w:rsidR="00A26109" w:rsidRPr="00A26109" w:rsidRDefault="00A26109" w:rsidP="00A26109">
      <w:pPr>
        <w:pStyle w:val="SingleTxt"/>
        <w:spacing w:after="0" w:line="120" w:lineRule="exact"/>
        <w:rPr>
          <w:rFonts w:hint="cs"/>
          <w:b/>
          <w:bCs/>
          <w:sz w:val="12"/>
          <w:rtl/>
        </w:rPr>
      </w:pPr>
    </w:p>
    <w:p w:rsidR="005E086A" w:rsidRPr="00686C52" w:rsidRDefault="005E086A" w:rsidP="005E086A">
      <w:pPr>
        <w:pStyle w:val="SingleTxt"/>
        <w:rPr>
          <w:rFonts w:hint="cs"/>
          <w:b/>
          <w:bCs/>
          <w:rtl/>
        </w:rPr>
      </w:pPr>
      <w:r w:rsidRPr="00686C52">
        <w:rPr>
          <w:rFonts w:hint="cs"/>
          <w:b/>
          <w:bCs/>
          <w:rtl/>
        </w:rPr>
        <w:t>القوالب النمطية والتعليم</w:t>
      </w:r>
    </w:p>
    <w:p w:rsidR="005E086A" w:rsidRDefault="00A26109" w:rsidP="00A26109">
      <w:pPr>
        <w:pStyle w:val="SingleTxt"/>
        <w:rPr>
          <w:rFonts w:hint="cs"/>
          <w:rtl/>
        </w:rPr>
      </w:pPr>
      <w:r>
        <w:rPr>
          <w:rFonts w:hint="cs"/>
          <w:rtl/>
        </w:rPr>
        <w:t>15 -</w:t>
      </w:r>
      <w:r w:rsidR="005E086A">
        <w:rPr>
          <w:rFonts w:hint="cs"/>
          <w:rtl/>
        </w:rPr>
        <w:tab/>
        <w:t xml:space="preserve">حثت اللجنة، في تعليقاتها الختامية السابقة، الحكومة على </w:t>
      </w:r>
      <w:r w:rsidR="005E086A">
        <w:rPr>
          <w:rtl/>
        </w:rPr>
        <w:t xml:space="preserve">إصلاح </w:t>
      </w:r>
      <w:r w:rsidR="005E086A">
        <w:rPr>
          <w:rFonts w:hint="cs"/>
          <w:rtl/>
        </w:rPr>
        <w:t>المناهج</w:t>
      </w:r>
      <w:r w:rsidR="005E086A">
        <w:rPr>
          <w:rtl/>
        </w:rPr>
        <w:t xml:space="preserve"> الدراسية وتنقيح الكتب المدرسية بشكل يعالج الصور النمطية</w:t>
      </w:r>
      <w:r w:rsidRPr="00A26109">
        <w:rPr>
          <w:vertAlign w:val="superscript"/>
          <w:rtl/>
        </w:rPr>
        <w:t>(</w:t>
      </w:r>
      <w:r>
        <w:rPr>
          <w:rStyle w:val="FootnoteReference"/>
          <w:rtl/>
        </w:rPr>
        <w:footnoteReference w:id="6"/>
      </w:r>
      <w:r w:rsidRPr="00A26109">
        <w:rPr>
          <w:vertAlign w:val="superscript"/>
          <w:rtl/>
        </w:rPr>
        <w:t>)</w:t>
      </w:r>
      <w:r>
        <w:rPr>
          <w:rFonts w:hint="cs"/>
          <w:rtl/>
        </w:rPr>
        <w:t xml:space="preserve"> </w:t>
      </w:r>
      <w:r w:rsidR="005E086A">
        <w:rPr>
          <w:rFonts w:hint="cs"/>
          <w:rtl/>
        </w:rPr>
        <w:t>يرجى بيان التدابير التي اتخذتها الحكومة بهذا الصدد. ويرجى بوجه خاص ذكر ما إذا كانت قد أعدت أية استراتيجيات للقضاء على القوالب النمطية القائمة على نوع الجنس في جميع مستويات النظام التعليمي ولتعزيز تعليم الفتيات.</w:t>
      </w:r>
    </w:p>
    <w:p w:rsidR="00A26109" w:rsidRPr="00A26109" w:rsidRDefault="00A26109" w:rsidP="00A26109">
      <w:pPr>
        <w:pStyle w:val="SingleTxt"/>
        <w:spacing w:after="0" w:line="120" w:lineRule="exact"/>
        <w:rPr>
          <w:rFonts w:hint="cs"/>
          <w:b/>
          <w:bCs/>
          <w:sz w:val="12"/>
          <w:rtl/>
        </w:rPr>
      </w:pPr>
    </w:p>
    <w:p w:rsidR="005E086A" w:rsidRPr="00686C52" w:rsidRDefault="005E086A" w:rsidP="005E086A">
      <w:pPr>
        <w:pStyle w:val="SingleTxt"/>
        <w:rPr>
          <w:rFonts w:hint="cs"/>
          <w:b/>
          <w:bCs/>
          <w:rtl/>
        </w:rPr>
      </w:pPr>
      <w:r w:rsidRPr="00686C52">
        <w:rPr>
          <w:rFonts w:hint="cs"/>
          <w:b/>
          <w:bCs/>
          <w:rtl/>
        </w:rPr>
        <w:t>المشاركة في الحياة السياسية والعامة والتمثيل على المستوى الدولي</w:t>
      </w:r>
    </w:p>
    <w:p w:rsidR="005E086A" w:rsidRDefault="00125453" w:rsidP="00097E85">
      <w:pPr>
        <w:pStyle w:val="SingleTxt"/>
        <w:rPr>
          <w:rFonts w:hint="cs"/>
          <w:rtl/>
        </w:rPr>
      </w:pPr>
      <w:r>
        <w:rPr>
          <w:rFonts w:hint="cs"/>
          <w:rtl/>
        </w:rPr>
        <w:t>16 -</w:t>
      </w:r>
      <w:r w:rsidR="005E086A">
        <w:rPr>
          <w:rFonts w:hint="cs"/>
          <w:rtl/>
        </w:rPr>
        <w:tab/>
        <w:t>لاحظت اللجنة بقلق، في تعليقاتها الختامية السابقة، استمرار المواقف وأوجه السلوك النمطية إزاء</w:t>
      </w:r>
      <w:r w:rsidR="005E086A">
        <w:rPr>
          <w:rtl/>
        </w:rPr>
        <w:t xml:space="preserve"> </w:t>
      </w:r>
      <w:r w:rsidR="005E086A">
        <w:rPr>
          <w:rFonts w:hint="cs"/>
          <w:rtl/>
        </w:rPr>
        <w:t>دور المرأة والرجل في الأسرة والمجتمع، التي تتجلى في تدني مستوى مشاركة المرأة في عملية صنع القرارات السياسية وعدم تقاسم المسؤوليات عن المنزل والأسر بين المرأة والرجل</w:t>
      </w:r>
      <w:r w:rsidRPr="00125453">
        <w:rPr>
          <w:vertAlign w:val="superscript"/>
          <w:rtl/>
        </w:rPr>
        <w:t>(</w:t>
      </w:r>
      <w:r>
        <w:rPr>
          <w:rStyle w:val="FootnoteReference"/>
          <w:rtl/>
        </w:rPr>
        <w:footnoteReference w:id="7"/>
      </w:r>
      <w:r w:rsidRPr="00125453">
        <w:rPr>
          <w:vertAlign w:val="superscript"/>
          <w:rtl/>
        </w:rPr>
        <w:t>)</w:t>
      </w:r>
      <w:r w:rsidR="005E086A">
        <w:rPr>
          <w:rFonts w:hint="cs"/>
          <w:rtl/>
        </w:rPr>
        <w:t>.</w:t>
      </w:r>
      <w:r>
        <w:rPr>
          <w:rFonts w:hint="cs"/>
          <w:rtl/>
        </w:rPr>
        <w:t xml:space="preserve"> </w:t>
      </w:r>
      <w:r w:rsidR="005E086A">
        <w:rPr>
          <w:rFonts w:hint="cs"/>
          <w:rtl/>
        </w:rPr>
        <w:t xml:space="preserve">ويؤكد التقرير أن </w:t>
      </w:r>
      <w:r>
        <w:rPr>
          <w:rFonts w:hint="eastAsia"/>
          <w:rtl/>
        </w:rPr>
        <w:t>”</w:t>
      </w:r>
      <w:r w:rsidR="005E086A">
        <w:rPr>
          <w:rFonts w:hint="cs"/>
          <w:rtl/>
        </w:rPr>
        <w:t>نصيب المرأة في مستويات صنع القرار ما زال منخفضا للغاية</w:t>
      </w:r>
      <w:r>
        <w:rPr>
          <w:rFonts w:hint="eastAsia"/>
          <w:rtl/>
        </w:rPr>
        <w:t>“</w:t>
      </w:r>
      <w:r w:rsidR="005E086A">
        <w:rPr>
          <w:rFonts w:hint="cs"/>
          <w:rtl/>
        </w:rPr>
        <w:t xml:space="preserve"> وبأن الحكومة </w:t>
      </w:r>
      <w:r>
        <w:rPr>
          <w:rFonts w:hint="eastAsia"/>
          <w:rtl/>
        </w:rPr>
        <w:t>”</w:t>
      </w:r>
      <w:r w:rsidR="005E086A">
        <w:rPr>
          <w:rFonts w:hint="cs"/>
          <w:rtl/>
        </w:rPr>
        <w:t>ستنشئ ...</w:t>
      </w:r>
      <w:r>
        <w:rPr>
          <w:rFonts w:hint="cs"/>
          <w:rtl/>
        </w:rPr>
        <w:t xml:space="preserve"> </w:t>
      </w:r>
      <w:r w:rsidR="005E086A">
        <w:rPr>
          <w:rFonts w:hint="cs"/>
          <w:rtl/>
        </w:rPr>
        <w:t>آليات تكفل تنفيذ سياسات المساواة بين الجنسين في مؤسسات الدولة والأحزاب السياسية</w:t>
      </w:r>
      <w:r>
        <w:rPr>
          <w:rFonts w:hint="eastAsia"/>
          <w:rtl/>
        </w:rPr>
        <w:t>“</w:t>
      </w:r>
      <w:r w:rsidR="005E086A">
        <w:rPr>
          <w:rFonts w:hint="cs"/>
          <w:rtl/>
        </w:rPr>
        <w:t xml:space="preserve"> (انظر الفقرة 95). يرجى تقديم مزيد من التفاصيل عن الآليات التي أنشأتها الحكومة. ويرجى بوجه خاص ذكر ما إذا كانت الحكومة قد اتخذت تدابير خاصة مؤقتة وفقا للفقرة 1 من المادة 4 من الاتفاقية والتوصية العامة 25 للجنة من أجل زيادة عدد النساء في جميع مجالات صنع القرار، بما فيها وزارة الخارجية، وتقديم معلومات محددة عن تحديد أهداف وحصص وجداول زمنية لرصد التقدم المحرز. ويرجى أيضا تقديم معلومات عن نتائج أية تدابير متخذة في هذا الصدد.</w:t>
      </w:r>
    </w:p>
    <w:p w:rsidR="005E086A" w:rsidRPr="00A90D30" w:rsidRDefault="005E086A" w:rsidP="005E086A">
      <w:pPr>
        <w:pStyle w:val="SingleTxt"/>
        <w:rPr>
          <w:rFonts w:hint="cs"/>
          <w:b/>
          <w:bCs/>
          <w:rtl/>
        </w:rPr>
      </w:pPr>
      <w:r w:rsidRPr="00A90D30">
        <w:rPr>
          <w:rFonts w:hint="cs"/>
          <w:b/>
          <w:bCs/>
          <w:rtl/>
        </w:rPr>
        <w:t>العمالة</w:t>
      </w:r>
    </w:p>
    <w:p w:rsidR="005E086A" w:rsidRDefault="00125453" w:rsidP="00097E85">
      <w:pPr>
        <w:pStyle w:val="SingleTxt"/>
        <w:rPr>
          <w:rFonts w:hint="cs"/>
          <w:rtl/>
        </w:rPr>
      </w:pPr>
      <w:r>
        <w:rPr>
          <w:rFonts w:hint="cs"/>
          <w:rtl/>
        </w:rPr>
        <w:t>17 -</w:t>
      </w:r>
      <w:r w:rsidR="005E086A">
        <w:rPr>
          <w:rFonts w:hint="cs"/>
          <w:rtl/>
        </w:rPr>
        <w:tab/>
        <w:t>حثت اللجنة، في تعليقاتها الختامية الأخيرة</w:t>
      </w:r>
      <w:r w:rsidRPr="00125453">
        <w:rPr>
          <w:vertAlign w:val="superscript"/>
          <w:rtl/>
        </w:rPr>
        <w:t>(</w:t>
      </w:r>
      <w:r>
        <w:rPr>
          <w:rStyle w:val="FootnoteReference"/>
          <w:rtl/>
        </w:rPr>
        <w:footnoteReference w:id="8"/>
      </w:r>
      <w:r w:rsidRPr="00125453">
        <w:rPr>
          <w:vertAlign w:val="superscript"/>
          <w:rtl/>
        </w:rPr>
        <w:t>)</w:t>
      </w:r>
      <w:r w:rsidR="005E086A">
        <w:rPr>
          <w:rFonts w:hint="cs"/>
          <w:rtl/>
        </w:rPr>
        <w:t xml:space="preserve">، </w:t>
      </w:r>
      <w:r w:rsidR="005E086A">
        <w:rPr>
          <w:rtl/>
        </w:rPr>
        <w:t xml:space="preserve">الحكومة على </w:t>
      </w:r>
      <w:r>
        <w:rPr>
          <w:rFonts w:hint="eastAsia"/>
          <w:rtl/>
        </w:rPr>
        <w:t>”</w:t>
      </w:r>
      <w:r w:rsidR="005E086A">
        <w:rPr>
          <w:rtl/>
        </w:rPr>
        <w:t xml:space="preserve">كفالة سن تشريعات تحظر التمييز المباشر وغير المباشر في سوق العمل، وتضمن </w:t>
      </w:r>
      <w:r w:rsidR="00097E85">
        <w:rPr>
          <w:rFonts w:hint="cs"/>
          <w:rtl/>
        </w:rPr>
        <w:t>تكافؤ</w:t>
      </w:r>
      <w:r w:rsidR="005E086A">
        <w:rPr>
          <w:rtl/>
        </w:rPr>
        <w:t xml:space="preserve"> الفرص </w:t>
      </w:r>
      <w:r w:rsidR="00097E85">
        <w:rPr>
          <w:rFonts w:hint="cs"/>
          <w:rtl/>
        </w:rPr>
        <w:t xml:space="preserve">للمرأة </w:t>
      </w:r>
      <w:r w:rsidR="00097E85">
        <w:rPr>
          <w:rtl/>
        </w:rPr>
        <w:t>وفقا للمادة</w:t>
      </w:r>
      <w:r w:rsidR="00097E85">
        <w:rPr>
          <w:rFonts w:hint="cs"/>
          <w:rtl/>
        </w:rPr>
        <w:t> </w:t>
      </w:r>
      <w:r w:rsidR="005E086A">
        <w:rPr>
          <w:rtl/>
        </w:rPr>
        <w:t>11 من الاتفاقية واتفاقيات منظمة العمل الدولية ذات الصلة التي صدقت عليها جمهورية مولدوفا</w:t>
      </w:r>
      <w:r>
        <w:rPr>
          <w:rFonts w:hint="eastAsia"/>
          <w:rtl/>
        </w:rPr>
        <w:t>“</w:t>
      </w:r>
      <w:r w:rsidR="005E086A">
        <w:rPr>
          <w:rFonts w:hint="cs"/>
          <w:rtl/>
        </w:rPr>
        <w:t xml:space="preserve">. وحثت كذلك الحكومة على </w:t>
      </w:r>
      <w:r>
        <w:rPr>
          <w:rFonts w:hint="eastAsia"/>
          <w:rtl/>
        </w:rPr>
        <w:t>”</w:t>
      </w:r>
      <w:r w:rsidR="005E086A">
        <w:rPr>
          <w:rtl/>
        </w:rPr>
        <w:t xml:space="preserve">النظر في تنصيب أمين للمظالم معني </w:t>
      </w:r>
      <w:r>
        <w:rPr>
          <w:rFonts w:hint="cs"/>
          <w:rtl/>
        </w:rPr>
        <w:t xml:space="preserve">بتكافؤ </w:t>
      </w:r>
      <w:r w:rsidR="005E086A">
        <w:rPr>
          <w:rtl/>
        </w:rPr>
        <w:t xml:space="preserve">الفرص </w:t>
      </w:r>
      <w:r>
        <w:rPr>
          <w:rFonts w:hint="cs"/>
          <w:rtl/>
        </w:rPr>
        <w:t>ل</w:t>
      </w:r>
      <w:r w:rsidR="005E086A">
        <w:rPr>
          <w:rtl/>
        </w:rPr>
        <w:t>رصد تنفيذ هذه التشريعات، وتخويله سلطة تلقي الشكاوى المتعلقة بالانتهاكات</w:t>
      </w:r>
      <w:r>
        <w:rPr>
          <w:rFonts w:hint="eastAsia"/>
          <w:rtl/>
        </w:rPr>
        <w:t>“</w:t>
      </w:r>
      <w:r w:rsidR="005E086A">
        <w:rPr>
          <w:rFonts w:hint="cs"/>
          <w:rtl/>
        </w:rPr>
        <w:t>. يرجى تقديم معلومات عن الخطوات المتخذة استجابة لهذه التوصية.</w:t>
      </w:r>
    </w:p>
    <w:p w:rsidR="005E086A" w:rsidRDefault="00125453" w:rsidP="005E086A">
      <w:pPr>
        <w:pStyle w:val="SingleTxt"/>
        <w:rPr>
          <w:rFonts w:hint="cs"/>
          <w:rtl/>
        </w:rPr>
      </w:pPr>
      <w:r>
        <w:rPr>
          <w:rFonts w:hint="cs"/>
          <w:rtl/>
        </w:rPr>
        <w:t>18 -</w:t>
      </w:r>
      <w:r w:rsidR="005E086A">
        <w:rPr>
          <w:rFonts w:hint="cs"/>
          <w:rtl/>
        </w:rPr>
        <w:tab/>
        <w:t>يرجى تقديم تفاصيل عن الوضع التشريعي فيما يتعلق بالمساعدة الاجتماعية المقدمة إلى الأشخاص الذين ليس لديهم استحقاقات تقاعدية، مثل المسنّات المحتاجات.</w:t>
      </w:r>
    </w:p>
    <w:p w:rsidR="00125453" w:rsidRPr="00125453" w:rsidRDefault="00125453" w:rsidP="00125453">
      <w:pPr>
        <w:pStyle w:val="SingleTxt"/>
        <w:spacing w:after="0" w:line="120" w:lineRule="exact"/>
        <w:rPr>
          <w:rFonts w:hint="cs"/>
          <w:b/>
          <w:bCs/>
          <w:sz w:val="12"/>
          <w:rtl/>
        </w:rPr>
      </w:pPr>
    </w:p>
    <w:p w:rsidR="005E086A" w:rsidRPr="00A90D30" w:rsidRDefault="005E086A" w:rsidP="005E086A">
      <w:pPr>
        <w:pStyle w:val="SingleTxt"/>
        <w:rPr>
          <w:rFonts w:hint="cs"/>
          <w:b/>
          <w:bCs/>
          <w:rtl/>
        </w:rPr>
      </w:pPr>
      <w:r w:rsidRPr="00A90D30">
        <w:rPr>
          <w:rFonts w:hint="cs"/>
          <w:b/>
          <w:bCs/>
          <w:rtl/>
        </w:rPr>
        <w:t>الصحة</w:t>
      </w:r>
    </w:p>
    <w:p w:rsidR="005E086A" w:rsidRDefault="00125453" w:rsidP="00097E85">
      <w:pPr>
        <w:pStyle w:val="SingleTxt"/>
        <w:rPr>
          <w:rFonts w:hint="cs"/>
          <w:rtl/>
        </w:rPr>
      </w:pPr>
      <w:r>
        <w:rPr>
          <w:rFonts w:hint="cs"/>
          <w:rtl/>
        </w:rPr>
        <w:t>19 -</w:t>
      </w:r>
      <w:r w:rsidR="005E086A">
        <w:rPr>
          <w:rFonts w:hint="cs"/>
          <w:rtl/>
        </w:rPr>
        <w:tab/>
        <w:t xml:space="preserve">ما زال معدل وفيات الأمهات مرتفعا. ويبيّن التقرير أن أعلى معدل لوفيات الأمهات </w:t>
      </w:r>
      <w:r>
        <w:rPr>
          <w:rFonts w:hint="cs"/>
          <w:rtl/>
        </w:rPr>
        <w:t xml:space="preserve">أثناء النفاس </w:t>
      </w:r>
      <w:r w:rsidR="005E086A">
        <w:rPr>
          <w:rFonts w:hint="cs"/>
          <w:rtl/>
        </w:rPr>
        <w:t xml:space="preserve">يسجل في صفوف نساء المناطق الريفية (انظر الفقرة 68) وكذلك حصول زيادة في معدل وفيات الأمهات بسبب حالات الإجهاض غير القانوني في عام 2002 (انظر الفقرة 60، الجدول 25). يرجى بيان التدابير التي اتخذتها الحكومة لتعالج على وجه التحديد وفيات الأمهات </w:t>
      </w:r>
      <w:r w:rsidR="00097E85">
        <w:rPr>
          <w:rFonts w:hint="cs"/>
          <w:rtl/>
        </w:rPr>
        <w:t xml:space="preserve">أثناء النفاس </w:t>
      </w:r>
      <w:r w:rsidR="005E086A">
        <w:rPr>
          <w:rFonts w:hint="cs"/>
          <w:rtl/>
        </w:rPr>
        <w:t>في المناطق الريفية ووفيات الأمهات نتيجة الإجهاض غير القانوني.</w:t>
      </w:r>
    </w:p>
    <w:p w:rsidR="005E086A" w:rsidRDefault="00125453" w:rsidP="00125453">
      <w:pPr>
        <w:pStyle w:val="SingleTxt"/>
        <w:rPr>
          <w:rFonts w:hint="cs"/>
          <w:rtl/>
        </w:rPr>
      </w:pPr>
      <w:r>
        <w:rPr>
          <w:rFonts w:hint="cs"/>
          <w:rtl/>
        </w:rPr>
        <w:t>20 -</w:t>
      </w:r>
      <w:r w:rsidR="005E086A">
        <w:rPr>
          <w:rFonts w:hint="cs"/>
          <w:rtl/>
        </w:rPr>
        <w:tab/>
        <w:t xml:space="preserve">وورد في التقرير أنه </w:t>
      </w:r>
      <w:r>
        <w:rPr>
          <w:rFonts w:hint="eastAsia"/>
          <w:rtl/>
        </w:rPr>
        <w:t>”</w:t>
      </w:r>
      <w:r w:rsidR="005E086A">
        <w:rPr>
          <w:rFonts w:hint="cs"/>
          <w:rtl/>
        </w:rPr>
        <w:t>يمكن للاستعمال الجائح للتبغ أن يصبح السبب الأساسي للوفيات التي يمكن تجنبها وللوفيات المبكرة</w:t>
      </w:r>
      <w:r>
        <w:rPr>
          <w:rFonts w:hint="eastAsia"/>
          <w:rtl/>
        </w:rPr>
        <w:t>“</w:t>
      </w:r>
      <w:r w:rsidR="005E086A">
        <w:rPr>
          <w:rFonts w:hint="cs"/>
          <w:rtl/>
        </w:rPr>
        <w:t xml:space="preserve"> (انظر الفقرة 63). وعدد الوفيات أكثر مدعاة القلق فيما يتعلق بالمدخنات من الشابات الصغيرات السن، </w:t>
      </w:r>
      <w:r>
        <w:rPr>
          <w:rFonts w:hint="cs"/>
          <w:rtl/>
        </w:rPr>
        <w:t xml:space="preserve">اللاتي </w:t>
      </w:r>
      <w:r w:rsidR="005E086A">
        <w:rPr>
          <w:rFonts w:hint="cs"/>
          <w:rtl/>
        </w:rPr>
        <w:t>يقل عمر 81 في المائة منهن عن 20 عاما. فهل وضعت الحكومة استراتيجيات وطنية تستهدف هذه الفئة وترمي إلى التوعية بالمخاطر الصحية؟</w:t>
      </w:r>
    </w:p>
    <w:p w:rsidR="005E086A" w:rsidRDefault="00125453" w:rsidP="00125453">
      <w:pPr>
        <w:pStyle w:val="SingleTxt"/>
        <w:rPr>
          <w:rFonts w:hint="cs"/>
          <w:rtl/>
        </w:rPr>
      </w:pPr>
      <w:r>
        <w:rPr>
          <w:rFonts w:hint="cs"/>
          <w:rtl/>
        </w:rPr>
        <w:t>21 -</w:t>
      </w:r>
      <w:r w:rsidR="005E086A">
        <w:rPr>
          <w:rFonts w:hint="cs"/>
          <w:rtl/>
        </w:rPr>
        <w:tab/>
        <w:t xml:space="preserve">يرجى تقديم معلومات تفصيلية عن تعاطي النساء للمخدرات والمؤثرات العقلية وكذلك التدابير المتخذة لمعالجة هذا </w:t>
      </w:r>
      <w:r>
        <w:rPr>
          <w:rFonts w:hint="eastAsia"/>
          <w:rtl/>
        </w:rPr>
        <w:t>”</w:t>
      </w:r>
      <w:r w:rsidR="005E086A">
        <w:rPr>
          <w:rFonts w:hint="cs"/>
          <w:rtl/>
        </w:rPr>
        <w:t>الخطر البالغ الذي</w:t>
      </w:r>
      <w:r>
        <w:rPr>
          <w:rFonts w:hint="cs"/>
          <w:rtl/>
        </w:rPr>
        <w:t xml:space="preserve"> </w:t>
      </w:r>
      <w:r w:rsidR="005E086A">
        <w:rPr>
          <w:rFonts w:hint="cs"/>
          <w:rtl/>
        </w:rPr>
        <w:t>يهدد الصحة العامة في جمهورية مولدوفا</w:t>
      </w:r>
      <w:r>
        <w:rPr>
          <w:rFonts w:hint="eastAsia"/>
          <w:rtl/>
        </w:rPr>
        <w:t>“</w:t>
      </w:r>
      <w:r w:rsidR="005E086A">
        <w:rPr>
          <w:rFonts w:hint="cs"/>
          <w:rtl/>
        </w:rPr>
        <w:t xml:space="preserve"> (انظر الفقرة 62).</w:t>
      </w:r>
    </w:p>
    <w:p w:rsidR="005E086A" w:rsidRDefault="00125453" w:rsidP="00125453">
      <w:pPr>
        <w:pStyle w:val="SingleTxt"/>
        <w:rPr>
          <w:rFonts w:hint="cs"/>
          <w:rtl/>
        </w:rPr>
      </w:pPr>
      <w:r>
        <w:rPr>
          <w:rFonts w:hint="cs"/>
          <w:rtl/>
        </w:rPr>
        <w:t>22 -</w:t>
      </w:r>
      <w:r w:rsidR="005E086A">
        <w:rPr>
          <w:rFonts w:hint="cs"/>
          <w:rtl/>
        </w:rPr>
        <w:tab/>
        <w:t>يرجى تقديم بيانات مصنفة حسب نوع الجنس والأقلية والسن بشأن مدى انتشار فيروس نقص المناعة البشرية/الإيدز في البلد. ويرجى أيضا وصف التدابير التي اتخذتها الحكومة لمكافحة فيروس نقص المناعة البشرية/الإيدز وغيره من الأمراض المنقولة عن طريق الاتصال الجنسي في صفوف النساء، بناء على الطلب الوارد في تعليقات اللجنة الختامية الأخيرة</w:t>
      </w:r>
      <w:r w:rsidRPr="00125453">
        <w:rPr>
          <w:vertAlign w:val="superscript"/>
          <w:rtl/>
        </w:rPr>
        <w:t>(</w:t>
      </w:r>
      <w:r>
        <w:rPr>
          <w:rStyle w:val="FootnoteReference"/>
          <w:rtl/>
        </w:rPr>
        <w:footnoteReference w:id="9"/>
      </w:r>
      <w:r w:rsidRPr="00125453">
        <w:rPr>
          <w:vertAlign w:val="superscript"/>
          <w:rtl/>
        </w:rPr>
        <w:t>)</w:t>
      </w:r>
      <w:r w:rsidR="005E086A">
        <w:rPr>
          <w:rFonts w:hint="cs"/>
          <w:rtl/>
        </w:rPr>
        <w:t>، ويرجى ذكر ما إذا أدمِج منظور جنساني في تدابير الوقاية من الإيدز.</w:t>
      </w:r>
    </w:p>
    <w:p w:rsidR="00125453" w:rsidRPr="00125453" w:rsidRDefault="00125453" w:rsidP="00125453">
      <w:pPr>
        <w:pStyle w:val="SingleTxt"/>
        <w:spacing w:after="0" w:line="120" w:lineRule="exact"/>
        <w:rPr>
          <w:rFonts w:hint="cs"/>
          <w:b/>
          <w:bCs/>
          <w:sz w:val="12"/>
          <w:rtl/>
        </w:rPr>
      </w:pPr>
    </w:p>
    <w:p w:rsidR="005E086A" w:rsidRPr="006E1C6A" w:rsidRDefault="005E086A" w:rsidP="005E086A">
      <w:pPr>
        <w:pStyle w:val="SingleTxt"/>
        <w:rPr>
          <w:rFonts w:hint="cs"/>
          <w:b/>
          <w:bCs/>
          <w:rtl/>
        </w:rPr>
      </w:pPr>
      <w:r w:rsidRPr="006E1C6A">
        <w:rPr>
          <w:rFonts w:hint="cs"/>
          <w:b/>
          <w:bCs/>
          <w:rtl/>
        </w:rPr>
        <w:t>المرأة والفقر</w:t>
      </w:r>
    </w:p>
    <w:p w:rsidR="005E086A" w:rsidRDefault="00125453" w:rsidP="00125453">
      <w:pPr>
        <w:pStyle w:val="SingleTxt"/>
        <w:rPr>
          <w:rFonts w:hint="cs"/>
          <w:rtl/>
        </w:rPr>
      </w:pPr>
      <w:r>
        <w:rPr>
          <w:rFonts w:hint="cs"/>
          <w:rtl/>
        </w:rPr>
        <w:t>23 -</w:t>
      </w:r>
      <w:r w:rsidR="005E086A">
        <w:rPr>
          <w:rFonts w:hint="cs"/>
          <w:rtl/>
        </w:rPr>
        <w:tab/>
        <w:t>يتضمن التقرير عدة إشارات إلى زيادة معدلات الفقر وتدهور مستويات المعيشة من جراء التحول الاقتصادي نحو اقتصاد السوق. يرجى تقديم بيانات ح</w:t>
      </w:r>
      <w:r>
        <w:rPr>
          <w:rFonts w:hint="cs"/>
          <w:rtl/>
        </w:rPr>
        <w:t>ديثة</w:t>
      </w:r>
      <w:r w:rsidR="005E086A">
        <w:rPr>
          <w:rFonts w:hint="cs"/>
          <w:rtl/>
        </w:rPr>
        <w:t>، مصنفة حسب نوع الجنس والسن والأصل العرقي، ومناقشة الاتجاهات المتعلقة بنسبة السكان المولد</w:t>
      </w:r>
      <w:r>
        <w:rPr>
          <w:rFonts w:hint="cs"/>
          <w:rtl/>
        </w:rPr>
        <w:t>و</w:t>
      </w:r>
      <w:r w:rsidR="005E086A">
        <w:rPr>
          <w:rFonts w:hint="cs"/>
          <w:rtl/>
        </w:rPr>
        <w:t>فيين الذين يعيشون في فقر بالمناطق الحضرية والريفية، وعدد الأسر المعيشية التي تعولها نساء فقيرات. ويرجى أيضا بيان الجهود المتخذة للقضاء على الفقر وما إذا كانت هناك برامج تستهدف بالتحديد تخفيف حدة الفقر لدى النساء، بمن فيهن المسنات.</w:t>
      </w:r>
    </w:p>
    <w:p w:rsidR="005E086A" w:rsidRDefault="00125453" w:rsidP="00125453">
      <w:pPr>
        <w:pStyle w:val="SingleTxt"/>
        <w:rPr>
          <w:rFonts w:hint="cs"/>
          <w:rtl/>
        </w:rPr>
      </w:pPr>
      <w:r>
        <w:rPr>
          <w:rFonts w:hint="cs"/>
          <w:rtl/>
        </w:rPr>
        <w:t>24 -</w:t>
      </w:r>
      <w:r w:rsidR="005E086A">
        <w:rPr>
          <w:rFonts w:hint="cs"/>
          <w:rtl/>
        </w:rPr>
        <w:tab/>
        <w:t>و</w:t>
      </w:r>
      <w:r>
        <w:rPr>
          <w:rFonts w:hint="cs"/>
          <w:rtl/>
        </w:rPr>
        <w:t xml:space="preserve">نظرا لأوضاع </w:t>
      </w:r>
      <w:r w:rsidR="005E086A">
        <w:rPr>
          <w:rFonts w:hint="cs"/>
          <w:rtl/>
        </w:rPr>
        <w:t>البلد الاقتصادية الصعبة، يرجى بيان كيف</w:t>
      </w:r>
      <w:r>
        <w:rPr>
          <w:rFonts w:hint="cs"/>
          <w:rtl/>
        </w:rPr>
        <w:t xml:space="preserve">ية معالجة </w:t>
      </w:r>
      <w:r w:rsidR="005E086A">
        <w:rPr>
          <w:rFonts w:hint="cs"/>
          <w:rtl/>
        </w:rPr>
        <w:t>تنفيذ الاتفاقية وتحقيق المساواة بين المرأة والرجل في الاستراتيجيات والبرامج الإنمائية الوطنية.</w:t>
      </w:r>
    </w:p>
    <w:p w:rsidR="00125453" w:rsidRPr="00125453" w:rsidRDefault="00125453" w:rsidP="00125453">
      <w:pPr>
        <w:pStyle w:val="SingleTxt"/>
        <w:spacing w:after="0" w:line="120" w:lineRule="exact"/>
        <w:rPr>
          <w:rFonts w:hint="cs"/>
          <w:b/>
          <w:bCs/>
          <w:sz w:val="12"/>
          <w:rtl/>
        </w:rPr>
      </w:pPr>
    </w:p>
    <w:p w:rsidR="005E086A" w:rsidRPr="00CF6EFB" w:rsidRDefault="005E086A" w:rsidP="005E086A">
      <w:pPr>
        <w:pStyle w:val="SingleTxt"/>
        <w:rPr>
          <w:rFonts w:hint="cs"/>
          <w:b/>
          <w:bCs/>
          <w:rtl/>
        </w:rPr>
      </w:pPr>
      <w:r w:rsidRPr="00CF6EFB">
        <w:rPr>
          <w:rFonts w:hint="cs"/>
          <w:b/>
          <w:bCs/>
          <w:rtl/>
        </w:rPr>
        <w:t>النساء الريفيات ونساء الأقليات العرقية</w:t>
      </w:r>
    </w:p>
    <w:p w:rsidR="005E086A" w:rsidRDefault="00125453" w:rsidP="00125453">
      <w:pPr>
        <w:pStyle w:val="SingleTxt"/>
        <w:rPr>
          <w:rFonts w:hint="cs"/>
          <w:rtl/>
        </w:rPr>
      </w:pPr>
      <w:r>
        <w:rPr>
          <w:rFonts w:hint="cs"/>
          <w:rtl/>
        </w:rPr>
        <w:t>25 -</w:t>
      </w:r>
      <w:r w:rsidR="005E086A">
        <w:rPr>
          <w:rFonts w:hint="cs"/>
          <w:rtl/>
        </w:rPr>
        <w:tab/>
        <w:t xml:space="preserve">يعترف التقرير بوجود مجال آخر يثير القلق الشديد، هو تدهور الوضع الاجتماعي والاقتصادي للمرأة في المناطق الريفية (انظر الفقرة 98). ويذكر أيضا بأن المناطق الريفية ستستفيد من دورات تدريبية إضافية بشأن مفهوم المساواة بين الجنسين. ويشير التقرير </w:t>
      </w:r>
      <w:r>
        <w:rPr>
          <w:rFonts w:hint="cs"/>
          <w:rtl/>
        </w:rPr>
        <w:t>كذلك</w:t>
      </w:r>
      <w:r w:rsidR="005E086A">
        <w:rPr>
          <w:rFonts w:hint="cs"/>
          <w:rtl/>
        </w:rPr>
        <w:t xml:space="preserve"> إلى أن الحكومة تضع تطوير ودعم المبادرات الجنسانية للنساء في المناطق الريفية في صدارة أولوياتها. يرجى تقديم معلومات تفصيلية عن الإطار الزمني والوسائل التي من المتوقع الاستعان</w:t>
      </w:r>
      <w:r>
        <w:rPr>
          <w:rFonts w:hint="cs"/>
          <w:rtl/>
        </w:rPr>
        <w:t>ة بها على تنفيذ ذينك التدبيرين.</w:t>
      </w:r>
    </w:p>
    <w:p w:rsidR="005E086A" w:rsidRDefault="00125453" w:rsidP="00125453">
      <w:pPr>
        <w:pStyle w:val="SingleTxt"/>
        <w:rPr>
          <w:rFonts w:hint="cs"/>
          <w:rtl/>
        </w:rPr>
      </w:pPr>
      <w:r>
        <w:rPr>
          <w:rFonts w:hint="cs"/>
          <w:rtl/>
        </w:rPr>
        <w:t>26 -</w:t>
      </w:r>
      <w:r w:rsidR="005E086A">
        <w:rPr>
          <w:rFonts w:hint="cs"/>
          <w:rtl/>
        </w:rPr>
        <w:tab/>
        <w:t xml:space="preserve">وأعربت اللجنة المعنية بحقوق الإنسان في ملاحظاتها الختامية عن </w:t>
      </w:r>
      <w:r>
        <w:rPr>
          <w:rFonts w:hint="eastAsia"/>
          <w:rtl/>
        </w:rPr>
        <w:t>”</w:t>
      </w:r>
      <w:r w:rsidR="005E086A">
        <w:rPr>
          <w:rFonts w:hint="cs"/>
          <w:rtl/>
        </w:rPr>
        <w:t xml:space="preserve">قلقها إزاء حالة </w:t>
      </w:r>
      <w:r>
        <w:rPr>
          <w:rFonts w:hint="cs"/>
          <w:rtl/>
        </w:rPr>
        <w:t xml:space="preserve">طائفتي </w:t>
      </w:r>
      <w:r w:rsidR="005E086A">
        <w:rPr>
          <w:rFonts w:hint="cs"/>
          <w:rtl/>
        </w:rPr>
        <w:t>الغاغوز والروما، الذين ما زالوا يعانون من تمييز خطير، لاسيما في المناطق الريفية</w:t>
      </w:r>
      <w:r>
        <w:rPr>
          <w:rFonts w:hint="eastAsia"/>
          <w:rtl/>
        </w:rPr>
        <w:t>“</w:t>
      </w:r>
      <w:r w:rsidR="005E086A">
        <w:rPr>
          <w:rFonts w:hint="cs"/>
          <w:rtl/>
        </w:rPr>
        <w:t xml:space="preserve"> (</w:t>
      </w:r>
      <w:r w:rsidR="005E086A">
        <w:t>CCPR/CO/75/MDA</w:t>
      </w:r>
      <w:r w:rsidR="005E086A">
        <w:rPr>
          <w:rFonts w:hint="cs"/>
          <w:rtl/>
        </w:rPr>
        <w:t>، الفقرة 19). ولا يقدم التقرير أية معلومات عن هذه المسألة. لذا يرجى تقديم معلومات وبيانات إحصائية عن حالة نساء الأقليات العرقية، ولا</w:t>
      </w:r>
      <w:r w:rsidR="008F25CE">
        <w:rPr>
          <w:rFonts w:hint="cs"/>
          <w:rtl/>
        </w:rPr>
        <w:t xml:space="preserve"> </w:t>
      </w:r>
      <w:r w:rsidR="00097E85">
        <w:rPr>
          <w:rFonts w:hint="cs"/>
          <w:rtl/>
        </w:rPr>
        <w:t>سيما نساء</w:t>
      </w:r>
      <w:r w:rsidR="00097E85">
        <w:rPr>
          <w:rFonts w:hint="eastAsia"/>
          <w:rtl/>
        </w:rPr>
        <w:t> </w:t>
      </w:r>
      <w:r w:rsidR="008F25CE">
        <w:rPr>
          <w:rFonts w:hint="cs"/>
          <w:rtl/>
        </w:rPr>
        <w:t xml:space="preserve">طائفتي </w:t>
      </w:r>
      <w:r w:rsidR="005E086A">
        <w:rPr>
          <w:rFonts w:hint="cs"/>
          <w:rtl/>
        </w:rPr>
        <w:t>الروما والغاغوز، وعلى الخصوص فيما يتعلق بإمكانية حصولهن على التعليم، والصحة، والعمالة ومشاركتهن في الحياة السياسية والعامة، وكذلك عن الجهود التي تبذلها الحكومة لمكافحة انتشار التمييز ضد هؤلاء النساء.</w:t>
      </w:r>
    </w:p>
    <w:p w:rsidR="008F25CE" w:rsidRPr="008F25CE" w:rsidRDefault="008F25CE" w:rsidP="008F25CE">
      <w:pPr>
        <w:pStyle w:val="SingleTxt"/>
        <w:spacing w:after="0" w:line="120" w:lineRule="exact"/>
        <w:rPr>
          <w:rFonts w:hint="cs"/>
          <w:b/>
          <w:bCs/>
          <w:sz w:val="12"/>
          <w:rtl/>
        </w:rPr>
      </w:pPr>
    </w:p>
    <w:p w:rsidR="005E086A" w:rsidRPr="00F80CF6" w:rsidRDefault="005E086A" w:rsidP="008F25CE">
      <w:pPr>
        <w:pStyle w:val="SingleTxt"/>
        <w:rPr>
          <w:rFonts w:hint="cs"/>
          <w:b/>
          <w:bCs/>
          <w:rtl/>
        </w:rPr>
      </w:pPr>
      <w:r w:rsidRPr="00F80CF6">
        <w:rPr>
          <w:rFonts w:hint="cs"/>
          <w:b/>
          <w:bCs/>
          <w:rtl/>
        </w:rPr>
        <w:t xml:space="preserve">الزواج والعلاقات </w:t>
      </w:r>
      <w:r w:rsidR="008F25CE">
        <w:rPr>
          <w:rFonts w:hint="cs"/>
          <w:b/>
          <w:bCs/>
          <w:rtl/>
        </w:rPr>
        <w:t>العائلية</w:t>
      </w:r>
    </w:p>
    <w:p w:rsidR="005E086A" w:rsidRDefault="008F25CE" w:rsidP="008F25CE">
      <w:pPr>
        <w:pStyle w:val="SingleTxt"/>
        <w:rPr>
          <w:rFonts w:hint="cs"/>
          <w:rtl/>
        </w:rPr>
      </w:pPr>
      <w:r>
        <w:rPr>
          <w:rFonts w:hint="cs"/>
          <w:rtl/>
        </w:rPr>
        <w:t>27 -</w:t>
      </w:r>
      <w:r w:rsidR="005E086A">
        <w:rPr>
          <w:rFonts w:hint="cs"/>
          <w:rtl/>
        </w:rPr>
        <w:tab/>
        <w:t>أعربت اللجنة، في تعليقاتها الختامية الأخيرة، عن القلق إزاء ال</w:t>
      </w:r>
      <w:r w:rsidR="005E086A">
        <w:rPr>
          <w:rtl/>
        </w:rPr>
        <w:t>فوارق في سن الزواج</w:t>
      </w:r>
      <w:r w:rsidR="005E086A">
        <w:rPr>
          <w:rFonts w:hint="cs"/>
          <w:rtl/>
        </w:rPr>
        <w:t xml:space="preserve"> المنصوص عليها في قانون الأسرة بالنسبة ل</w:t>
      </w:r>
      <w:r w:rsidR="005E086A">
        <w:rPr>
          <w:rtl/>
        </w:rPr>
        <w:t>لفتيان</w:t>
      </w:r>
      <w:r w:rsidR="005E086A">
        <w:rPr>
          <w:rFonts w:hint="cs"/>
          <w:rtl/>
        </w:rPr>
        <w:t xml:space="preserve"> (18 عاما)</w:t>
      </w:r>
      <w:r w:rsidR="005E086A">
        <w:rPr>
          <w:rtl/>
        </w:rPr>
        <w:t xml:space="preserve"> والفتيات</w:t>
      </w:r>
      <w:r w:rsidR="005E086A">
        <w:rPr>
          <w:rFonts w:hint="cs"/>
          <w:rtl/>
        </w:rPr>
        <w:t xml:space="preserve"> (16 عاما)</w:t>
      </w:r>
      <w:r w:rsidRPr="008F25CE">
        <w:rPr>
          <w:vertAlign w:val="superscript"/>
          <w:rtl/>
        </w:rPr>
        <w:t>(</w:t>
      </w:r>
      <w:r>
        <w:rPr>
          <w:rStyle w:val="FootnoteReference"/>
          <w:rtl/>
        </w:rPr>
        <w:footnoteReference w:id="10"/>
      </w:r>
      <w:r w:rsidRPr="008F25CE">
        <w:rPr>
          <w:vertAlign w:val="superscript"/>
          <w:rtl/>
        </w:rPr>
        <w:t>)</w:t>
      </w:r>
      <w:r w:rsidR="005E086A">
        <w:rPr>
          <w:rFonts w:hint="cs"/>
          <w:rtl/>
        </w:rPr>
        <w:t>. وأعربت لجنة حقوق الطفل عن نفس الشعور بالقلق (</w:t>
      </w:r>
      <w:r w:rsidR="005E086A">
        <w:t>CRC/C/15/Add.192</w:t>
      </w:r>
      <w:r w:rsidR="005E086A">
        <w:rPr>
          <w:rFonts w:hint="cs"/>
          <w:rtl/>
        </w:rPr>
        <w:t>). فهل اتخذت الحكومة أية خطوات لرفع الحد الأدنى لسن الزواج بالنسبة للفتيات ليكون مماثلا للحد الأدنى لسن الزواج لدى الفتيان؟</w:t>
      </w:r>
    </w:p>
    <w:p w:rsidR="008F25CE" w:rsidRPr="008F25CE" w:rsidRDefault="008F25CE" w:rsidP="008F25CE">
      <w:pPr>
        <w:pStyle w:val="SingleTxt"/>
        <w:spacing w:after="0" w:line="120" w:lineRule="exact"/>
        <w:rPr>
          <w:rFonts w:hint="cs"/>
          <w:b/>
          <w:bCs/>
          <w:sz w:val="12"/>
          <w:rtl/>
        </w:rPr>
      </w:pPr>
    </w:p>
    <w:p w:rsidR="005E086A" w:rsidRPr="00F80CF6" w:rsidRDefault="005E086A" w:rsidP="005E086A">
      <w:pPr>
        <w:pStyle w:val="SingleTxt"/>
        <w:rPr>
          <w:rFonts w:hint="cs"/>
          <w:b/>
          <w:bCs/>
          <w:rtl/>
        </w:rPr>
      </w:pPr>
      <w:r w:rsidRPr="00F80CF6">
        <w:rPr>
          <w:rFonts w:hint="cs"/>
          <w:b/>
          <w:bCs/>
          <w:rtl/>
        </w:rPr>
        <w:t>البروتوكول الاختياري</w:t>
      </w:r>
    </w:p>
    <w:p w:rsidR="005E086A" w:rsidRDefault="008F25CE" w:rsidP="008F25CE">
      <w:pPr>
        <w:pStyle w:val="SingleTxt"/>
        <w:rPr>
          <w:rFonts w:hint="cs"/>
          <w:rtl/>
        </w:rPr>
      </w:pPr>
      <w:r>
        <w:rPr>
          <w:rFonts w:hint="cs"/>
          <w:rtl/>
        </w:rPr>
        <w:t>28 -</w:t>
      </w:r>
      <w:r w:rsidR="005E086A">
        <w:rPr>
          <w:rFonts w:hint="cs"/>
          <w:rtl/>
        </w:rPr>
        <w:tab/>
        <w:t>ذكرت الحكومة في مقدمة تقريرها الأولي بأنها شرعت في عملية الانضمام إلى البروتوكول الاختياري لاتفاقية القضاء على جميع أشكال التمييز ضد المرأة</w:t>
      </w:r>
      <w:r w:rsidRPr="008F25CE">
        <w:rPr>
          <w:vertAlign w:val="superscript"/>
          <w:rtl/>
        </w:rPr>
        <w:t>(</w:t>
      </w:r>
      <w:r>
        <w:rPr>
          <w:rStyle w:val="FootnoteReference"/>
          <w:rtl/>
        </w:rPr>
        <w:footnoteReference w:id="11"/>
      </w:r>
      <w:r w:rsidRPr="008F25CE">
        <w:rPr>
          <w:vertAlign w:val="superscript"/>
          <w:rtl/>
        </w:rPr>
        <w:t>)</w:t>
      </w:r>
      <w:r w:rsidR="005E086A">
        <w:rPr>
          <w:rFonts w:hint="cs"/>
          <w:rtl/>
        </w:rPr>
        <w:t>. يرجى بيان ما إذا أحرز أي تقدم فيما يتعلق بالانضمام إلى البروتوكول الاختياري.</w:t>
      </w:r>
    </w:p>
    <w:p w:rsidR="008F25CE" w:rsidRPr="008F25CE" w:rsidRDefault="008F25CE" w:rsidP="008F25CE">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8F25CE" w:rsidRPr="008F25CE" w:rsidSect="00C545C1">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6T14:07:00Z" w:initials="Start">
    <w:p w:rsidR="00097E85" w:rsidRDefault="00097E8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NO&gt;&gt;N0625060A&lt;&lt;ODS JOB NO</w:t>
      </w:r>
      <w:r>
        <w:rPr>
          <w:rtl/>
        </w:rPr>
        <w:t>&gt;&gt;</w:t>
      </w:r>
    </w:p>
    <w:p w:rsidR="00097E85" w:rsidRDefault="00097E85">
      <w:pPr>
        <w:pStyle w:val="CommentText"/>
        <w:rPr>
          <w:rtl/>
        </w:rPr>
      </w:pPr>
      <w:r>
        <w:rPr>
          <w:rtl/>
        </w:rPr>
        <w:t>&lt;&lt;</w:t>
      </w:r>
      <w:r>
        <w:t>ODS DOC SYMBOL1&gt;&gt;CEDAW/C/MDA/Q/3&lt;&lt;ODS DOC SYMBOL1</w:t>
      </w:r>
      <w:r>
        <w:rPr>
          <w:rtl/>
        </w:rPr>
        <w:t>&gt;&gt;</w:t>
      </w:r>
    </w:p>
    <w:p w:rsidR="00097E85" w:rsidRDefault="00097E8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74D" w:rsidRDefault="0085174D">
      <w:r>
        <w:separator/>
      </w:r>
    </w:p>
  </w:endnote>
  <w:endnote w:type="continuationSeparator" w:id="0">
    <w:p w:rsidR="0085174D" w:rsidRDefault="00851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97E85">
      <w:tblPrEx>
        <w:tblCellMar>
          <w:top w:w="0" w:type="dxa"/>
          <w:bottom w:w="0" w:type="dxa"/>
        </w:tblCellMar>
      </w:tblPrEx>
      <w:tc>
        <w:tcPr>
          <w:tcW w:w="5033" w:type="dxa"/>
          <w:shd w:val="clear" w:color="auto" w:fill="auto"/>
        </w:tcPr>
        <w:p w:rsidR="00097E85" w:rsidRPr="00C545C1" w:rsidRDefault="00097E85" w:rsidP="00C545C1">
          <w:pPr>
            <w:pStyle w:val="Footer"/>
            <w:jc w:val="right"/>
            <w:rPr>
              <w:w w:val="103"/>
            </w:rPr>
          </w:pPr>
          <w:r>
            <w:rPr>
              <w:w w:val="103"/>
            </w:rPr>
            <w:fldChar w:fldCharType="begin"/>
          </w:r>
          <w:r>
            <w:rPr>
              <w:w w:val="103"/>
            </w:rPr>
            <w:instrText xml:space="preserve"> PAGE  \* MERGEFORMAT </w:instrText>
          </w:r>
          <w:r>
            <w:rPr>
              <w:w w:val="103"/>
            </w:rPr>
            <w:fldChar w:fldCharType="separate"/>
          </w:r>
          <w:r w:rsidR="00801D5A">
            <w:rPr>
              <w:w w:val="103"/>
            </w:rPr>
            <w:t>2</w:t>
          </w:r>
          <w:r>
            <w:rPr>
              <w:w w:val="103"/>
            </w:rPr>
            <w:fldChar w:fldCharType="end"/>
          </w:r>
        </w:p>
      </w:tc>
      <w:tc>
        <w:tcPr>
          <w:tcW w:w="5033" w:type="dxa"/>
          <w:shd w:val="clear" w:color="auto" w:fill="auto"/>
        </w:tcPr>
        <w:p w:rsidR="00097E85" w:rsidRPr="00C545C1" w:rsidRDefault="00097E85" w:rsidP="00C545C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01D5A">
            <w:rPr>
              <w:b w:val="0"/>
              <w:w w:val="103"/>
            </w:rPr>
            <w:t>06-25060</w:t>
          </w:r>
          <w:r>
            <w:rPr>
              <w:b w:val="0"/>
              <w:w w:val="103"/>
            </w:rPr>
            <w:fldChar w:fldCharType="end"/>
          </w:r>
        </w:p>
      </w:tc>
    </w:tr>
  </w:tbl>
  <w:p w:rsidR="00097E85" w:rsidRPr="00C545C1" w:rsidRDefault="00097E85" w:rsidP="00C545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97E85">
      <w:tblPrEx>
        <w:tblCellMar>
          <w:top w:w="0" w:type="dxa"/>
          <w:bottom w:w="0" w:type="dxa"/>
        </w:tblCellMar>
      </w:tblPrEx>
      <w:tc>
        <w:tcPr>
          <w:tcW w:w="5033" w:type="dxa"/>
          <w:shd w:val="clear" w:color="auto" w:fill="auto"/>
        </w:tcPr>
        <w:p w:rsidR="00097E85" w:rsidRPr="00C545C1" w:rsidRDefault="00097E85" w:rsidP="00C545C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01D5A">
            <w:rPr>
              <w:b w:val="0"/>
              <w:w w:val="103"/>
            </w:rPr>
            <w:t>06-25060</w:t>
          </w:r>
          <w:r>
            <w:rPr>
              <w:b w:val="0"/>
              <w:w w:val="103"/>
            </w:rPr>
            <w:fldChar w:fldCharType="end"/>
          </w:r>
        </w:p>
      </w:tc>
      <w:tc>
        <w:tcPr>
          <w:tcW w:w="5033" w:type="dxa"/>
          <w:shd w:val="clear" w:color="auto" w:fill="auto"/>
        </w:tcPr>
        <w:p w:rsidR="00097E85" w:rsidRPr="00C545C1" w:rsidRDefault="00097E85" w:rsidP="00C545C1">
          <w:pPr>
            <w:pStyle w:val="Footer"/>
            <w:rPr>
              <w:w w:val="103"/>
            </w:rPr>
          </w:pPr>
          <w:r>
            <w:rPr>
              <w:w w:val="103"/>
            </w:rPr>
            <w:fldChar w:fldCharType="begin"/>
          </w:r>
          <w:r>
            <w:rPr>
              <w:w w:val="103"/>
            </w:rPr>
            <w:instrText xml:space="preserve"> PAGE  \* MERGEFORMAT </w:instrText>
          </w:r>
          <w:r>
            <w:rPr>
              <w:w w:val="103"/>
            </w:rPr>
            <w:fldChar w:fldCharType="separate"/>
          </w:r>
          <w:r w:rsidR="00801D5A">
            <w:rPr>
              <w:w w:val="103"/>
            </w:rPr>
            <w:t>7</w:t>
          </w:r>
          <w:r>
            <w:rPr>
              <w:w w:val="103"/>
            </w:rPr>
            <w:fldChar w:fldCharType="end"/>
          </w:r>
        </w:p>
      </w:tc>
    </w:tr>
  </w:tbl>
  <w:p w:rsidR="00097E85" w:rsidRPr="00C545C1" w:rsidRDefault="00097E85" w:rsidP="00C545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E85" w:rsidRDefault="00097E85">
    <w:pPr>
      <w:pStyle w:val="Footer"/>
    </w:pPr>
  </w:p>
  <w:p w:rsidR="00097E85" w:rsidRDefault="00097E85" w:rsidP="00C545C1">
    <w:pPr>
      <w:pStyle w:val="Footer"/>
      <w:jc w:val="right"/>
      <w:rPr>
        <w:rFonts w:cs="Times New Roman"/>
        <w:b w:val="0"/>
        <w:w w:val="103"/>
        <w:sz w:val="20"/>
      </w:rPr>
    </w:pPr>
    <w:r>
      <w:rPr>
        <w:rFonts w:cs="Times New Roman"/>
        <w:b w:val="0"/>
        <w:w w:val="103"/>
        <w:sz w:val="20"/>
      </w:rPr>
      <w:t xml:space="preserve">060306    060306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801D5A">
      <w:rPr>
        <w:rFonts w:cs="Times New Roman"/>
        <w:b w:val="0"/>
        <w:w w:val="103"/>
        <w:sz w:val="20"/>
      </w:rPr>
      <w:t>06-25060 (A)</w:t>
    </w:r>
    <w:r>
      <w:rPr>
        <w:rFonts w:cs="Times New Roman"/>
        <w:b w:val="0"/>
        <w:w w:val="103"/>
        <w:sz w:val="20"/>
      </w:rPr>
      <w:fldChar w:fldCharType="end"/>
    </w:r>
  </w:p>
  <w:p w:rsidR="00097E85" w:rsidRPr="00C545C1" w:rsidRDefault="00097E85" w:rsidP="00C545C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801D5A">
      <w:rPr>
        <w:rFonts w:ascii="Barcode 3 of 9 by request" w:hAnsi="Barcode 3 of 9 by request" w:cs="Times New Roman"/>
        <w:b w:val="0"/>
        <w:sz w:val="24"/>
      </w:rPr>
      <w:t>*0625060*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74D" w:rsidRPr="008F25CE" w:rsidRDefault="0085174D" w:rsidP="008F25CE">
      <w:pPr>
        <w:pStyle w:val="Footer"/>
        <w:bidi/>
        <w:spacing w:after="80"/>
        <w:ind w:left="792"/>
        <w:rPr>
          <w:sz w:val="16"/>
        </w:rPr>
      </w:pPr>
      <w:r w:rsidRPr="008F25CE">
        <w:rPr>
          <w:sz w:val="16"/>
          <w:rtl/>
        </w:rPr>
        <w:t>__________</w:t>
      </w:r>
    </w:p>
  </w:footnote>
  <w:footnote w:type="continuationSeparator" w:id="0">
    <w:p w:rsidR="0085174D" w:rsidRPr="008F25CE" w:rsidRDefault="0085174D" w:rsidP="008F25CE">
      <w:pPr>
        <w:pStyle w:val="Footer"/>
        <w:spacing w:after="80"/>
        <w:ind w:left="792"/>
        <w:rPr>
          <w:sz w:val="16"/>
        </w:rPr>
      </w:pPr>
      <w:r w:rsidRPr="008F25CE">
        <w:rPr>
          <w:sz w:val="16"/>
        </w:rPr>
        <w:t>__________</w:t>
      </w:r>
    </w:p>
  </w:footnote>
  <w:footnote w:id="1">
    <w:p w:rsidR="00097E85" w:rsidRPr="005E086A" w:rsidRDefault="00097E85" w:rsidP="005E086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E086A">
        <w:rPr>
          <w:w w:val="103"/>
          <w:sz w:val="12"/>
          <w:rtl/>
        </w:rPr>
        <w:t>(</w:t>
      </w:r>
      <w:r w:rsidRPr="005E086A">
        <w:rPr>
          <w:rStyle w:val="FootnoteReference"/>
          <w:spacing w:val="0"/>
          <w:w w:val="103"/>
          <w:vertAlign w:val="baseline"/>
          <w:rtl/>
        </w:rPr>
        <w:footnoteRef/>
      </w:r>
      <w:r w:rsidRPr="005E086A">
        <w:rPr>
          <w:w w:val="103"/>
          <w:sz w:val="12"/>
          <w:rtl/>
        </w:rPr>
        <w:t>)</w:t>
      </w:r>
      <w:r w:rsidRPr="005E086A">
        <w:rPr>
          <w:w w:val="103"/>
          <w:rtl/>
        </w:rPr>
        <w:tab/>
      </w:r>
      <w:r>
        <w:rPr>
          <w:rFonts w:hint="cs"/>
          <w:rtl/>
        </w:rPr>
        <w:t xml:space="preserve">انظر </w:t>
      </w:r>
      <w:r w:rsidRPr="00097E85">
        <w:rPr>
          <w:rFonts w:hint="cs"/>
          <w:i/>
          <w:iCs/>
          <w:rtl/>
        </w:rPr>
        <w:t>الوثائق الرسمية للجمعية العامة، الدورة الخامسة والخمسون، الملحق رقم 38</w:t>
      </w:r>
      <w:r>
        <w:rPr>
          <w:rFonts w:hint="cs"/>
          <w:rtl/>
        </w:rPr>
        <w:t xml:space="preserve"> (</w:t>
      </w:r>
      <w:r>
        <w:t>A/55/38</w:t>
      </w:r>
      <w:r>
        <w:rPr>
          <w:rFonts w:hint="cs"/>
          <w:rtl/>
        </w:rPr>
        <w:t>)، الجزء الثاني، الفقرة 96.</w:t>
      </w:r>
    </w:p>
  </w:footnote>
  <w:footnote w:id="2">
    <w:p w:rsidR="00097E85" w:rsidRPr="005E086A" w:rsidRDefault="00097E85" w:rsidP="005E086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E086A">
        <w:rPr>
          <w:w w:val="103"/>
          <w:sz w:val="12"/>
          <w:rtl/>
        </w:rPr>
        <w:t>(</w:t>
      </w:r>
      <w:r w:rsidRPr="005E086A">
        <w:rPr>
          <w:rStyle w:val="FootnoteReference"/>
          <w:spacing w:val="0"/>
          <w:w w:val="103"/>
          <w:vertAlign w:val="baseline"/>
          <w:rtl/>
        </w:rPr>
        <w:footnoteRef/>
      </w:r>
      <w:r w:rsidRPr="005E086A">
        <w:rPr>
          <w:w w:val="103"/>
          <w:sz w:val="12"/>
          <w:rtl/>
        </w:rPr>
        <w:t>)</w:t>
      </w:r>
      <w:r w:rsidRPr="005E086A">
        <w:rPr>
          <w:w w:val="103"/>
          <w:rtl/>
        </w:rPr>
        <w:tab/>
      </w:r>
      <w:r>
        <w:rPr>
          <w:rFonts w:hint="cs"/>
          <w:rtl/>
        </w:rPr>
        <w:t>المرجع نفسه، الفقرة 92.</w:t>
      </w:r>
    </w:p>
  </w:footnote>
  <w:footnote w:id="3">
    <w:p w:rsidR="00097E85" w:rsidRPr="005E086A" w:rsidRDefault="00097E85" w:rsidP="005E086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E086A">
        <w:rPr>
          <w:w w:val="103"/>
          <w:rtl/>
        </w:rPr>
        <w:t>(</w:t>
      </w:r>
      <w:r w:rsidRPr="005E086A">
        <w:rPr>
          <w:rStyle w:val="FootnoteReference"/>
          <w:spacing w:val="0"/>
          <w:w w:val="103"/>
          <w:vertAlign w:val="baseline"/>
          <w:rtl/>
        </w:rPr>
        <w:footnoteRef/>
      </w:r>
      <w:r w:rsidRPr="005E086A">
        <w:rPr>
          <w:w w:val="103"/>
          <w:rtl/>
        </w:rPr>
        <w:t>)</w:t>
      </w:r>
      <w:r w:rsidRPr="005E086A">
        <w:rPr>
          <w:w w:val="103"/>
          <w:rtl/>
        </w:rPr>
        <w:tab/>
      </w:r>
      <w:r>
        <w:rPr>
          <w:rFonts w:hint="cs"/>
          <w:rtl/>
        </w:rPr>
        <w:t>المرجع نفسه، الفقرة 100.</w:t>
      </w:r>
    </w:p>
  </w:footnote>
  <w:footnote w:id="4">
    <w:p w:rsidR="00097E85" w:rsidRPr="00A26109" w:rsidRDefault="00097E85" w:rsidP="00A2610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26109">
        <w:rPr>
          <w:w w:val="103"/>
          <w:rtl/>
        </w:rPr>
        <w:t>(</w:t>
      </w:r>
      <w:r w:rsidRPr="00A26109">
        <w:rPr>
          <w:rStyle w:val="FootnoteReference"/>
          <w:spacing w:val="0"/>
          <w:w w:val="103"/>
          <w:vertAlign w:val="baseline"/>
          <w:rtl/>
        </w:rPr>
        <w:footnoteRef/>
      </w:r>
      <w:r w:rsidRPr="00A26109">
        <w:rPr>
          <w:w w:val="103"/>
          <w:rtl/>
        </w:rPr>
        <w:t>)</w:t>
      </w:r>
      <w:r w:rsidRPr="00A26109">
        <w:rPr>
          <w:w w:val="103"/>
          <w:rtl/>
        </w:rPr>
        <w:tab/>
      </w:r>
      <w:r>
        <w:rPr>
          <w:rFonts w:hint="cs"/>
          <w:rtl/>
        </w:rPr>
        <w:t>المرجع نفسه، الفقرة 80.</w:t>
      </w:r>
    </w:p>
  </w:footnote>
  <w:footnote w:id="5">
    <w:p w:rsidR="00097E85" w:rsidRPr="00A26109" w:rsidRDefault="00097E85" w:rsidP="00A2610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26109">
        <w:rPr>
          <w:w w:val="103"/>
          <w:rtl/>
        </w:rPr>
        <w:t>(</w:t>
      </w:r>
      <w:r w:rsidRPr="00A26109">
        <w:rPr>
          <w:rStyle w:val="FootnoteReference"/>
          <w:spacing w:val="0"/>
          <w:w w:val="103"/>
          <w:vertAlign w:val="baseline"/>
          <w:rtl/>
        </w:rPr>
        <w:footnoteRef/>
      </w:r>
      <w:r w:rsidRPr="00A26109">
        <w:rPr>
          <w:w w:val="103"/>
          <w:rtl/>
        </w:rPr>
        <w:t>)</w:t>
      </w:r>
      <w:r w:rsidRPr="00A26109">
        <w:rPr>
          <w:w w:val="103"/>
          <w:rtl/>
        </w:rPr>
        <w:tab/>
      </w:r>
      <w:r>
        <w:rPr>
          <w:rFonts w:hint="cs"/>
          <w:rtl/>
        </w:rPr>
        <w:t>المرجع نفسه، الفقرة 104.</w:t>
      </w:r>
    </w:p>
  </w:footnote>
  <w:footnote w:id="6">
    <w:p w:rsidR="00097E85" w:rsidRPr="00A26109" w:rsidRDefault="00097E85" w:rsidP="00A2610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26109">
        <w:rPr>
          <w:w w:val="103"/>
          <w:rtl/>
        </w:rPr>
        <w:t>(</w:t>
      </w:r>
      <w:r w:rsidRPr="00A26109">
        <w:rPr>
          <w:rStyle w:val="FootnoteReference"/>
          <w:spacing w:val="0"/>
          <w:w w:val="103"/>
          <w:vertAlign w:val="baseline"/>
          <w:rtl/>
        </w:rPr>
        <w:footnoteRef/>
      </w:r>
      <w:r w:rsidRPr="00A26109">
        <w:rPr>
          <w:w w:val="103"/>
          <w:rtl/>
        </w:rPr>
        <w:t>)</w:t>
      </w:r>
      <w:r w:rsidRPr="00A26109">
        <w:rPr>
          <w:w w:val="103"/>
          <w:rtl/>
        </w:rPr>
        <w:tab/>
      </w:r>
      <w:r>
        <w:rPr>
          <w:rFonts w:hint="cs"/>
          <w:rtl/>
        </w:rPr>
        <w:t>المرجع نفسه، الفقرة 106.</w:t>
      </w:r>
    </w:p>
  </w:footnote>
  <w:footnote w:id="7">
    <w:p w:rsidR="00097E85" w:rsidRPr="00125453" w:rsidRDefault="00097E85" w:rsidP="0012545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25453">
        <w:rPr>
          <w:w w:val="103"/>
          <w:rtl/>
        </w:rPr>
        <w:t>(</w:t>
      </w:r>
      <w:r w:rsidRPr="00125453">
        <w:rPr>
          <w:rStyle w:val="FootnoteReference"/>
          <w:spacing w:val="0"/>
          <w:w w:val="103"/>
          <w:vertAlign w:val="baseline"/>
          <w:rtl/>
        </w:rPr>
        <w:footnoteRef/>
      </w:r>
      <w:r w:rsidRPr="00125453">
        <w:rPr>
          <w:w w:val="103"/>
          <w:rtl/>
        </w:rPr>
        <w:t>)</w:t>
      </w:r>
      <w:r w:rsidRPr="00125453">
        <w:rPr>
          <w:w w:val="103"/>
          <w:rtl/>
        </w:rPr>
        <w:tab/>
      </w:r>
      <w:r>
        <w:rPr>
          <w:rFonts w:hint="cs"/>
          <w:rtl/>
        </w:rPr>
        <w:t>المرجع نفسه، الفقرتان 97 و 98.</w:t>
      </w:r>
    </w:p>
  </w:footnote>
  <w:footnote w:id="8">
    <w:p w:rsidR="00097E85" w:rsidRPr="00125453" w:rsidRDefault="00097E85" w:rsidP="0012545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25453">
        <w:rPr>
          <w:w w:val="103"/>
          <w:rtl/>
        </w:rPr>
        <w:t>(</w:t>
      </w:r>
      <w:r w:rsidRPr="00125453">
        <w:rPr>
          <w:rStyle w:val="FootnoteReference"/>
          <w:spacing w:val="0"/>
          <w:w w:val="103"/>
          <w:vertAlign w:val="baseline"/>
          <w:rtl/>
        </w:rPr>
        <w:footnoteRef/>
      </w:r>
      <w:r w:rsidRPr="00125453">
        <w:rPr>
          <w:w w:val="103"/>
          <w:rtl/>
        </w:rPr>
        <w:t>)</w:t>
      </w:r>
      <w:r w:rsidRPr="00125453">
        <w:rPr>
          <w:w w:val="103"/>
          <w:rtl/>
        </w:rPr>
        <w:tab/>
      </w:r>
      <w:r>
        <w:rPr>
          <w:rFonts w:hint="cs"/>
          <w:rtl/>
        </w:rPr>
        <w:t>المرجع نفسه، الفقرة 108.</w:t>
      </w:r>
    </w:p>
  </w:footnote>
  <w:footnote w:id="9">
    <w:p w:rsidR="00097E85" w:rsidRPr="00125453" w:rsidRDefault="00097E85" w:rsidP="0012545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25453">
        <w:rPr>
          <w:w w:val="103"/>
          <w:rtl/>
        </w:rPr>
        <w:t>(</w:t>
      </w:r>
      <w:r w:rsidRPr="00125453">
        <w:rPr>
          <w:rStyle w:val="FootnoteReference"/>
          <w:spacing w:val="0"/>
          <w:w w:val="103"/>
          <w:vertAlign w:val="baseline"/>
          <w:rtl/>
        </w:rPr>
        <w:footnoteRef/>
      </w:r>
      <w:r w:rsidRPr="00125453">
        <w:rPr>
          <w:w w:val="103"/>
          <w:rtl/>
        </w:rPr>
        <w:t>)</w:t>
      </w:r>
      <w:r w:rsidRPr="00125453">
        <w:rPr>
          <w:w w:val="103"/>
          <w:rtl/>
        </w:rPr>
        <w:tab/>
      </w:r>
      <w:r>
        <w:rPr>
          <w:rFonts w:hint="cs"/>
          <w:rtl/>
        </w:rPr>
        <w:t>المرجع نفسه، الفقرة 110.</w:t>
      </w:r>
    </w:p>
  </w:footnote>
  <w:footnote w:id="10">
    <w:p w:rsidR="00097E85" w:rsidRPr="008F25CE" w:rsidRDefault="00097E85" w:rsidP="008F25C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F25CE">
        <w:rPr>
          <w:w w:val="103"/>
          <w:rtl/>
        </w:rPr>
        <w:t>(</w:t>
      </w:r>
      <w:r w:rsidRPr="008F25CE">
        <w:rPr>
          <w:rStyle w:val="FootnoteReference"/>
          <w:spacing w:val="0"/>
          <w:w w:val="103"/>
          <w:vertAlign w:val="baseline"/>
          <w:rtl/>
        </w:rPr>
        <w:footnoteRef/>
      </w:r>
      <w:r w:rsidRPr="008F25CE">
        <w:rPr>
          <w:w w:val="103"/>
          <w:rtl/>
        </w:rPr>
        <w:t>)</w:t>
      </w:r>
      <w:r w:rsidRPr="008F25CE">
        <w:rPr>
          <w:w w:val="103"/>
          <w:rtl/>
        </w:rPr>
        <w:tab/>
      </w:r>
      <w:r>
        <w:rPr>
          <w:rFonts w:hint="cs"/>
          <w:rtl/>
        </w:rPr>
        <w:t>المرجع نفسه، الفقرتان 113 و114.</w:t>
      </w:r>
    </w:p>
  </w:footnote>
  <w:footnote w:id="11">
    <w:p w:rsidR="00097E85" w:rsidRPr="008F25CE" w:rsidRDefault="00097E85" w:rsidP="008F25C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F25CE">
        <w:rPr>
          <w:w w:val="103"/>
          <w:rtl/>
        </w:rPr>
        <w:t>(</w:t>
      </w:r>
      <w:r w:rsidRPr="008F25CE">
        <w:rPr>
          <w:rStyle w:val="FootnoteReference"/>
          <w:spacing w:val="0"/>
          <w:w w:val="103"/>
          <w:vertAlign w:val="baseline"/>
          <w:rtl/>
        </w:rPr>
        <w:footnoteRef/>
      </w:r>
      <w:r w:rsidRPr="008F25CE">
        <w:rPr>
          <w:w w:val="103"/>
          <w:rtl/>
        </w:rPr>
        <w:t>)</w:t>
      </w:r>
      <w:r w:rsidRPr="008F25CE">
        <w:rPr>
          <w:w w:val="103"/>
          <w:rtl/>
        </w:rPr>
        <w:tab/>
      </w:r>
      <w:r>
        <w:rPr>
          <w:rFonts w:hint="cs"/>
          <w:rtl/>
        </w:rPr>
        <w:t>المرجع نفسه، الفقرة 82.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097E85">
      <w:tblPrEx>
        <w:tblCellMar>
          <w:top w:w="0" w:type="dxa"/>
          <w:bottom w:w="0" w:type="dxa"/>
        </w:tblCellMar>
      </w:tblPrEx>
      <w:trPr>
        <w:trHeight w:hRule="exact" w:val="864"/>
        <w:jc w:val="center"/>
      </w:trPr>
      <w:tc>
        <w:tcPr>
          <w:tcW w:w="5033" w:type="dxa"/>
          <w:shd w:val="clear" w:color="auto" w:fill="auto"/>
          <w:vAlign w:val="bottom"/>
        </w:tcPr>
        <w:p w:rsidR="00097E85" w:rsidRDefault="00097E85" w:rsidP="00C545C1">
          <w:pPr>
            <w:pStyle w:val="Header"/>
            <w:bidi/>
            <w:jc w:val="right"/>
          </w:pPr>
        </w:p>
      </w:tc>
      <w:tc>
        <w:tcPr>
          <w:tcW w:w="5033" w:type="dxa"/>
          <w:shd w:val="clear" w:color="auto" w:fill="auto"/>
          <w:vAlign w:val="bottom"/>
        </w:tcPr>
        <w:p w:rsidR="00097E85" w:rsidRPr="00C545C1" w:rsidRDefault="00097E85" w:rsidP="00C545C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801D5A">
            <w:rPr>
              <w:w w:val="103"/>
            </w:rPr>
            <w:t>CEDAW/C/MDA/Q/3</w:t>
          </w:r>
          <w:r>
            <w:rPr>
              <w:w w:val="103"/>
            </w:rPr>
            <w:fldChar w:fldCharType="end"/>
          </w:r>
        </w:p>
      </w:tc>
    </w:tr>
  </w:tbl>
  <w:p w:rsidR="00097E85" w:rsidRPr="00C545C1" w:rsidRDefault="00097E85" w:rsidP="00C545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097E85">
      <w:tblPrEx>
        <w:tblCellMar>
          <w:top w:w="0" w:type="dxa"/>
          <w:bottom w:w="0" w:type="dxa"/>
        </w:tblCellMar>
      </w:tblPrEx>
      <w:trPr>
        <w:trHeight w:hRule="exact" w:val="864"/>
        <w:jc w:val="center"/>
      </w:trPr>
      <w:tc>
        <w:tcPr>
          <w:tcW w:w="5033" w:type="dxa"/>
          <w:shd w:val="clear" w:color="auto" w:fill="auto"/>
          <w:vAlign w:val="bottom"/>
        </w:tcPr>
        <w:p w:rsidR="00097E85" w:rsidRPr="00C545C1" w:rsidRDefault="00097E85" w:rsidP="00C545C1">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801D5A">
            <w:rPr>
              <w:w w:val="103"/>
            </w:rPr>
            <w:t>CEDAW/C/MDA/Q/3</w:t>
          </w:r>
          <w:r>
            <w:rPr>
              <w:w w:val="103"/>
              <w:rtl/>
            </w:rPr>
            <w:fldChar w:fldCharType="end"/>
          </w:r>
        </w:p>
      </w:tc>
      <w:tc>
        <w:tcPr>
          <w:tcW w:w="5033" w:type="dxa"/>
          <w:shd w:val="clear" w:color="auto" w:fill="auto"/>
          <w:vAlign w:val="bottom"/>
        </w:tcPr>
        <w:p w:rsidR="00097E85" w:rsidRDefault="00097E85" w:rsidP="00C545C1">
          <w:pPr>
            <w:pStyle w:val="Header"/>
          </w:pPr>
        </w:p>
      </w:tc>
    </w:tr>
  </w:tbl>
  <w:p w:rsidR="00097E85" w:rsidRPr="00C545C1" w:rsidRDefault="00097E85" w:rsidP="00C545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97E8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97E85" w:rsidRDefault="00097E85" w:rsidP="00C545C1">
          <w:pPr>
            <w:pStyle w:val="Header"/>
            <w:spacing w:after="120"/>
          </w:pPr>
        </w:p>
      </w:tc>
      <w:tc>
        <w:tcPr>
          <w:tcW w:w="1786" w:type="dxa"/>
          <w:tcBorders>
            <w:bottom w:val="single" w:sz="4" w:space="0" w:color="auto"/>
          </w:tcBorders>
          <w:shd w:val="clear" w:color="auto" w:fill="auto"/>
          <w:vAlign w:val="bottom"/>
        </w:tcPr>
        <w:p w:rsidR="00097E85" w:rsidRPr="00C545C1" w:rsidRDefault="00097E85" w:rsidP="00C545C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97E85" w:rsidRDefault="00097E85" w:rsidP="00C545C1">
          <w:pPr>
            <w:pStyle w:val="Header"/>
            <w:spacing w:after="120"/>
          </w:pPr>
        </w:p>
      </w:tc>
      <w:tc>
        <w:tcPr>
          <w:tcW w:w="6523" w:type="dxa"/>
          <w:gridSpan w:val="3"/>
          <w:tcBorders>
            <w:bottom w:val="single" w:sz="4" w:space="0" w:color="auto"/>
          </w:tcBorders>
          <w:shd w:val="clear" w:color="auto" w:fill="auto"/>
          <w:vAlign w:val="bottom"/>
        </w:tcPr>
        <w:p w:rsidR="00097E85" w:rsidRPr="00C545C1" w:rsidRDefault="00097E85" w:rsidP="00C545C1">
          <w:pPr>
            <w:spacing w:line="380" w:lineRule="exact"/>
            <w:jc w:val="right"/>
          </w:pPr>
          <w:r>
            <w:rPr>
              <w:sz w:val="40"/>
            </w:rPr>
            <w:t>CEDAW</w:t>
          </w:r>
          <w:r>
            <w:t>/C/MDA/Q/3</w:t>
          </w:r>
        </w:p>
      </w:tc>
    </w:tr>
    <w:tr w:rsidR="00097E85" w:rsidRPr="00C545C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97E85" w:rsidRDefault="00097E85" w:rsidP="00C545C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97E85" w:rsidRPr="00C545C1" w:rsidRDefault="00097E85" w:rsidP="00C545C1">
          <w:pPr>
            <w:pStyle w:val="Header"/>
            <w:spacing w:before="109"/>
            <w:jc w:val="right"/>
          </w:pPr>
        </w:p>
      </w:tc>
      <w:tc>
        <w:tcPr>
          <w:tcW w:w="5227" w:type="dxa"/>
          <w:gridSpan w:val="3"/>
          <w:tcBorders>
            <w:top w:val="single" w:sz="4" w:space="0" w:color="auto"/>
            <w:bottom w:val="single" w:sz="12" w:space="0" w:color="auto"/>
          </w:tcBorders>
          <w:shd w:val="clear" w:color="auto" w:fill="auto"/>
        </w:tcPr>
        <w:p w:rsidR="00097E85" w:rsidRPr="00C545C1" w:rsidRDefault="00097E85" w:rsidP="00C545C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97E85" w:rsidRPr="00C545C1" w:rsidRDefault="00097E85" w:rsidP="00C545C1">
          <w:pPr>
            <w:pStyle w:val="Header"/>
            <w:spacing w:before="109"/>
          </w:pPr>
        </w:p>
      </w:tc>
      <w:tc>
        <w:tcPr>
          <w:tcW w:w="3100" w:type="dxa"/>
          <w:gridSpan w:val="2"/>
          <w:tcBorders>
            <w:top w:val="single" w:sz="4" w:space="0" w:color="auto"/>
            <w:bottom w:val="single" w:sz="12" w:space="0" w:color="auto"/>
          </w:tcBorders>
          <w:shd w:val="clear" w:color="auto" w:fill="auto"/>
        </w:tcPr>
        <w:p w:rsidR="00097E85" w:rsidRDefault="00097E85" w:rsidP="00C545C1">
          <w:pPr>
            <w:bidi w:val="0"/>
            <w:spacing w:before="240" w:line="240" w:lineRule="exact"/>
          </w:pPr>
          <w:r>
            <w:t>Distr.: General</w:t>
          </w:r>
        </w:p>
        <w:p w:rsidR="00097E85" w:rsidRDefault="00097E85" w:rsidP="00C545C1">
          <w:pPr>
            <w:bidi w:val="0"/>
            <w:spacing w:line="240" w:lineRule="exact"/>
            <w:jc w:val="left"/>
          </w:pPr>
          <w:r>
            <w:t>22 February 2006</w:t>
          </w:r>
        </w:p>
        <w:p w:rsidR="00097E85" w:rsidRDefault="00097E85" w:rsidP="00C545C1">
          <w:pPr>
            <w:bidi w:val="0"/>
            <w:spacing w:line="240" w:lineRule="exact"/>
            <w:jc w:val="left"/>
          </w:pPr>
          <w:r>
            <w:t>Arabic</w:t>
          </w:r>
        </w:p>
        <w:p w:rsidR="00097E85" w:rsidRPr="00C545C1" w:rsidRDefault="00097E85" w:rsidP="00C545C1">
          <w:pPr>
            <w:bidi w:val="0"/>
            <w:spacing w:line="240" w:lineRule="exact"/>
            <w:jc w:val="left"/>
          </w:pPr>
          <w:r>
            <w:t>Original: English</w:t>
          </w:r>
        </w:p>
      </w:tc>
    </w:tr>
  </w:tbl>
  <w:p w:rsidR="00097E85" w:rsidRPr="00C545C1" w:rsidRDefault="00097E85" w:rsidP="00C545C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5060*"/>
    <w:docVar w:name="CreationDt" w:val="06/03/2006 02:079 م"/>
    <w:docVar w:name="DocCategory" w:val="Doc"/>
    <w:docVar w:name="DocType" w:val="Final"/>
    <w:docVar w:name="FooterJN" w:val="06-25060"/>
    <w:docVar w:name="jobn" w:val="06-25060 (A)"/>
    <w:docVar w:name="jobnDT" w:val="06-25060 (A)   060306"/>
    <w:docVar w:name="jobnDTDT" w:val="06-25060 (A)   060306   060306"/>
    <w:docVar w:name="JobNo" w:val="0625060A"/>
    <w:docVar w:name="OandT" w:val=" "/>
    <w:docVar w:name="sss1" w:val="CEDAW/C/MDA/Q/3"/>
    <w:docVar w:name="sss2" w:val="-"/>
    <w:docVar w:name="Symbol1" w:val="CEDAW/C/MDA/Q/3"/>
    <w:docVar w:name="Symbol2" w:val="-"/>
  </w:docVars>
  <w:rsids>
    <w:rsidRoot w:val="00874059"/>
    <w:rsid w:val="00042425"/>
    <w:rsid w:val="0006648F"/>
    <w:rsid w:val="00087310"/>
    <w:rsid w:val="0009732C"/>
    <w:rsid w:val="00097E85"/>
    <w:rsid w:val="000C4EED"/>
    <w:rsid w:val="000D2CEC"/>
    <w:rsid w:val="00101EE8"/>
    <w:rsid w:val="00113349"/>
    <w:rsid w:val="00121EBF"/>
    <w:rsid w:val="00125453"/>
    <w:rsid w:val="001519A9"/>
    <w:rsid w:val="001737F8"/>
    <w:rsid w:val="00187870"/>
    <w:rsid w:val="001F5DAA"/>
    <w:rsid w:val="001F6786"/>
    <w:rsid w:val="002416C5"/>
    <w:rsid w:val="00266F59"/>
    <w:rsid w:val="00272B6C"/>
    <w:rsid w:val="0027623A"/>
    <w:rsid w:val="00290F2F"/>
    <w:rsid w:val="002937DA"/>
    <w:rsid w:val="002A09C6"/>
    <w:rsid w:val="002C2AF2"/>
    <w:rsid w:val="002C4E1B"/>
    <w:rsid w:val="00312162"/>
    <w:rsid w:val="00314AEE"/>
    <w:rsid w:val="003501D5"/>
    <w:rsid w:val="00371AC4"/>
    <w:rsid w:val="00383CA8"/>
    <w:rsid w:val="003A65ED"/>
    <w:rsid w:val="003D4612"/>
    <w:rsid w:val="003F4B8C"/>
    <w:rsid w:val="00401BDF"/>
    <w:rsid w:val="00411BBD"/>
    <w:rsid w:val="00415922"/>
    <w:rsid w:val="00423BD7"/>
    <w:rsid w:val="0042757D"/>
    <w:rsid w:val="00437C14"/>
    <w:rsid w:val="0044099E"/>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5E086A"/>
    <w:rsid w:val="00616E82"/>
    <w:rsid w:val="006218A3"/>
    <w:rsid w:val="006564CE"/>
    <w:rsid w:val="00663F64"/>
    <w:rsid w:val="00696B7A"/>
    <w:rsid w:val="006C38EE"/>
    <w:rsid w:val="0071531E"/>
    <w:rsid w:val="0071645B"/>
    <w:rsid w:val="00716E9D"/>
    <w:rsid w:val="00747B9E"/>
    <w:rsid w:val="007524BE"/>
    <w:rsid w:val="007525FA"/>
    <w:rsid w:val="0077101C"/>
    <w:rsid w:val="00774FF0"/>
    <w:rsid w:val="0079046D"/>
    <w:rsid w:val="0079753A"/>
    <w:rsid w:val="007A6DD9"/>
    <w:rsid w:val="007D60E0"/>
    <w:rsid w:val="007E32B9"/>
    <w:rsid w:val="00801D5A"/>
    <w:rsid w:val="0081284F"/>
    <w:rsid w:val="00814843"/>
    <w:rsid w:val="008170DE"/>
    <w:rsid w:val="00830E32"/>
    <w:rsid w:val="0085174D"/>
    <w:rsid w:val="00873A11"/>
    <w:rsid w:val="00873AF9"/>
    <w:rsid w:val="00874059"/>
    <w:rsid w:val="008D1C04"/>
    <w:rsid w:val="008E5D5B"/>
    <w:rsid w:val="008F04A0"/>
    <w:rsid w:val="008F25CE"/>
    <w:rsid w:val="008F64A7"/>
    <w:rsid w:val="0090012B"/>
    <w:rsid w:val="0090351F"/>
    <w:rsid w:val="00970BAD"/>
    <w:rsid w:val="009768D1"/>
    <w:rsid w:val="009829B7"/>
    <w:rsid w:val="009927C0"/>
    <w:rsid w:val="00995C13"/>
    <w:rsid w:val="009961E6"/>
    <w:rsid w:val="009B6C65"/>
    <w:rsid w:val="009C0017"/>
    <w:rsid w:val="009C15F4"/>
    <w:rsid w:val="009D62A3"/>
    <w:rsid w:val="009E2A1F"/>
    <w:rsid w:val="00A26109"/>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E40F2"/>
    <w:rsid w:val="00BF0B15"/>
    <w:rsid w:val="00C12CBB"/>
    <w:rsid w:val="00C25A2D"/>
    <w:rsid w:val="00C260F8"/>
    <w:rsid w:val="00C43FBE"/>
    <w:rsid w:val="00C449C6"/>
    <w:rsid w:val="00C545C1"/>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31661"/>
    <w:rsid w:val="00E32B52"/>
    <w:rsid w:val="00E47EB8"/>
    <w:rsid w:val="00E61B83"/>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545C1"/>
    <w:rPr>
      <w:szCs w:val="20"/>
    </w:rPr>
  </w:style>
  <w:style w:type="paragraph" w:styleId="CommentSubject">
    <w:name w:val="annotation subject"/>
    <w:basedOn w:val="CommentText"/>
    <w:next w:val="CommentText"/>
    <w:semiHidden/>
    <w:rsid w:val="00C545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1554</Words>
  <Characters>8858</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Taha Al-Momani</dc:creator>
  <cp:keywords/>
  <dc:description/>
  <cp:lastModifiedBy>Aly.El-sharidy</cp:lastModifiedBy>
  <cp:revision>4</cp:revision>
  <cp:lastPrinted>2006-03-06T17:29:00Z</cp:lastPrinted>
  <dcterms:created xsi:type="dcterms:W3CDTF">2006-03-06T17:17:00Z</dcterms:created>
  <dcterms:modified xsi:type="dcterms:W3CDTF">2006-03-06T17:30:00Z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0625060</vt:lpwstr>
  </property>
  <property fmtid="{D5CDD505-2E9C-101B-9397-08002B2CF9AE}" pid="3" name="Symbol1">
    <vt:lpwstr>CEDAW/C/MDA/Q/3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