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2F7B8D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F7B8D" w:rsidP="002F7B8D">
            <w:pPr>
              <w:jc w:val="right"/>
            </w:pPr>
            <w:r w:rsidRPr="002F7B8D">
              <w:rPr>
                <w:sz w:val="40"/>
              </w:rPr>
              <w:t>CRC</w:t>
            </w:r>
            <w:r>
              <w:t>/C/LBR/Q/2-4</w:t>
            </w:r>
          </w:p>
        </w:tc>
      </w:tr>
      <w:tr w:rsidR="002D5AAC" w:rsidTr="002F7B8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FB2D3D" w:rsidRDefault="004D45DB" w:rsidP="00FB2D3D">
            <w:pPr>
              <w:spacing w:before="120" w:line="440" w:lineRule="exact"/>
              <w:rPr>
                <w:b/>
                <w:sz w:val="40"/>
                <w:szCs w:val="40"/>
              </w:rPr>
            </w:pPr>
            <w:r w:rsidRPr="00FB2D3D">
              <w:rPr>
                <w:b/>
                <w:sz w:val="40"/>
                <w:szCs w:val="40"/>
              </w:rPr>
              <w:t>Convención sobre los</w:t>
            </w:r>
            <w:r w:rsidR="00FB2D3D">
              <w:rPr>
                <w:b/>
                <w:sz w:val="40"/>
                <w:szCs w:val="40"/>
              </w:rPr>
              <w:br/>
            </w:r>
            <w:r w:rsidRPr="00FB2D3D">
              <w:rPr>
                <w:b/>
                <w:sz w:val="40"/>
                <w:szCs w:val="40"/>
              </w:rPr>
              <w:t>Derechos</w:t>
            </w:r>
            <w:r w:rsidR="00FB2D3D">
              <w:rPr>
                <w:b/>
                <w:sz w:val="40"/>
                <w:szCs w:val="40"/>
              </w:rPr>
              <w:t xml:space="preserve"> </w:t>
            </w:r>
            <w:r w:rsidRPr="00FB2D3D">
              <w:rPr>
                <w:b/>
                <w:sz w:val="40"/>
                <w:szCs w:val="40"/>
              </w:rPr>
              <w:t>del Niño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F7B8D" w:rsidRDefault="002F7B8D" w:rsidP="00DD299D">
            <w:pPr>
              <w:spacing w:before="240"/>
            </w:pPr>
            <w:r>
              <w:t>Distr. general</w:t>
            </w:r>
          </w:p>
          <w:p w:rsidR="002F7B8D" w:rsidRDefault="002F7B8D" w:rsidP="002F7B8D">
            <w:pPr>
              <w:spacing w:line="240" w:lineRule="exact"/>
            </w:pPr>
            <w:r>
              <w:t>27 de marzo de 2012</w:t>
            </w:r>
          </w:p>
          <w:p w:rsidR="002F7B8D" w:rsidRDefault="002F7B8D" w:rsidP="002F7B8D">
            <w:pPr>
              <w:spacing w:line="240" w:lineRule="exact"/>
            </w:pPr>
            <w:r>
              <w:t>Español</w:t>
            </w:r>
          </w:p>
          <w:p w:rsidR="002D5AAC" w:rsidRDefault="002F7B8D" w:rsidP="002F7B8D">
            <w:pPr>
              <w:spacing w:line="240" w:lineRule="exact"/>
            </w:pPr>
            <w:r>
              <w:t>Original: inglés</w:t>
            </w:r>
          </w:p>
        </w:tc>
      </w:tr>
    </w:tbl>
    <w:p w:rsidR="002F7B8D" w:rsidRPr="00324B65" w:rsidRDefault="002F7B8D" w:rsidP="002F7B8D">
      <w:pPr>
        <w:spacing w:before="120"/>
        <w:rPr>
          <w:b/>
          <w:sz w:val="24"/>
          <w:szCs w:val="24"/>
        </w:rPr>
      </w:pPr>
      <w:r w:rsidRPr="00324B65">
        <w:rPr>
          <w:b/>
          <w:sz w:val="24"/>
          <w:szCs w:val="24"/>
        </w:rPr>
        <w:t>Comité de los Derechos del Niño</w:t>
      </w:r>
    </w:p>
    <w:p w:rsidR="002F7B8D" w:rsidRPr="00324B65" w:rsidRDefault="002F7B8D" w:rsidP="002F7B8D">
      <w:pPr>
        <w:rPr>
          <w:b/>
        </w:rPr>
      </w:pPr>
      <w:r w:rsidRPr="00324B65">
        <w:rPr>
          <w:b/>
        </w:rPr>
        <w:t>61º período de sesiones</w:t>
      </w:r>
    </w:p>
    <w:p w:rsidR="002F7B8D" w:rsidRPr="00BC5D89" w:rsidRDefault="002F7B8D" w:rsidP="002F7B8D">
      <w:r w:rsidRPr="00BC5D89">
        <w:t>17 de septiembre a 5 de octubre de 2012</w:t>
      </w:r>
    </w:p>
    <w:p w:rsidR="002F7B8D" w:rsidRPr="00BC5D89" w:rsidRDefault="002F7B8D" w:rsidP="002F7B8D">
      <w:pPr>
        <w:pStyle w:val="HChG"/>
      </w:pPr>
      <w:r w:rsidRPr="00BC5D89">
        <w:tab/>
      </w:r>
      <w:r w:rsidRPr="00BC5D89">
        <w:tab/>
        <w:t>Aplicación de la Convención sobre los Derechos</w:t>
      </w:r>
      <w:r>
        <w:t xml:space="preserve"> </w:t>
      </w:r>
      <w:r w:rsidRPr="00BC5D89">
        <w:t>del Niño</w:t>
      </w:r>
    </w:p>
    <w:p w:rsidR="002F7B8D" w:rsidRPr="00BC5D89" w:rsidRDefault="002F7B8D" w:rsidP="002F7B8D">
      <w:pPr>
        <w:pStyle w:val="H1G"/>
      </w:pPr>
      <w:r w:rsidRPr="00BC5D89">
        <w:tab/>
      </w:r>
      <w:r w:rsidRPr="00BC5D89">
        <w:tab/>
        <w:t>Lista de cuestiones que requieren información adicional y</w:t>
      </w:r>
      <w:r>
        <w:t xml:space="preserve"> </w:t>
      </w:r>
      <w:r w:rsidRPr="00BC5D89">
        <w:t>actualizada en relación con el examen de los informes</w:t>
      </w:r>
      <w:r>
        <w:t xml:space="preserve"> </w:t>
      </w:r>
      <w:r w:rsidRPr="00BC5D89">
        <w:t>periódicos combinados segundo, tercero y cuarto de Liberia (CRC/C/LBR/2-4)</w:t>
      </w:r>
    </w:p>
    <w:p w:rsidR="002F7B8D" w:rsidRPr="00324B65" w:rsidRDefault="002F7B8D" w:rsidP="002F7B8D">
      <w:pPr>
        <w:pStyle w:val="SingleTxtG"/>
        <w:rPr>
          <w:b/>
        </w:rPr>
      </w:pPr>
      <w:r w:rsidRPr="00324B65">
        <w:rPr>
          <w:b/>
        </w:rPr>
        <w:t>Se pide al Estado parte que presente por escrito información adicional y actualizada, de ser posible antes del 2 de julio de 2012.</w:t>
      </w:r>
    </w:p>
    <w:p w:rsidR="002F7B8D" w:rsidRPr="00324B65" w:rsidRDefault="002F7B8D" w:rsidP="002F7B8D">
      <w:pPr>
        <w:pStyle w:val="SingleTxtG"/>
        <w:rPr>
          <w:i/>
        </w:rPr>
      </w:pPr>
      <w:r w:rsidRPr="00324B65">
        <w:rPr>
          <w:i/>
        </w:rPr>
        <w:t xml:space="preserve">En el diálogo con el Estado parte, el Comité puede abordar todos los aspectos de los derechos del niño contemplados en la Convención. </w:t>
      </w:r>
    </w:p>
    <w:p w:rsidR="002F7B8D" w:rsidRDefault="002F7B8D" w:rsidP="002F7B8D">
      <w:pPr>
        <w:pStyle w:val="HChG"/>
      </w:pPr>
      <w:r w:rsidRPr="00BC5D89">
        <w:tab/>
      </w:r>
      <w:r w:rsidRPr="00BC5D89">
        <w:tab/>
        <w:t>Parte I</w:t>
      </w:r>
    </w:p>
    <w:p w:rsidR="002F7B8D" w:rsidRPr="00324B65" w:rsidRDefault="002F7B8D" w:rsidP="002F7B8D">
      <w:pPr>
        <w:pStyle w:val="SingleTxtG"/>
        <w:rPr>
          <w:b/>
        </w:rPr>
      </w:pPr>
      <w:r w:rsidRPr="00324B65">
        <w:rPr>
          <w:b/>
        </w:rPr>
        <w:t>En esta sección, se pide al Estado parte que presente las respuestas a las siguientes preguntas (en un máximo de 30 páginas).</w:t>
      </w:r>
    </w:p>
    <w:p w:rsidR="002F7B8D" w:rsidRPr="00BC5D89" w:rsidRDefault="002F7B8D" w:rsidP="002F7B8D">
      <w:pPr>
        <w:pStyle w:val="SingleTxtG"/>
      </w:pPr>
      <w:r w:rsidRPr="00BC5D89">
        <w:t>1.</w:t>
      </w:r>
      <w:r w:rsidRPr="00BC5D89">
        <w:tab/>
        <w:t>Sírvanse proporcionar información acerca de la nueva Ley del niño, en particular respecto de su conformidad con los principios y disposiciones de la Convención sobre los Derechos del Niño y su supremacía sobre el derecho consuetudinario.</w:t>
      </w:r>
    </w:p>
    <w:p w:rsidR="002F7B8D" w:rsidRPr="00BC5D89" w:rsidRDefault="002F7B8D" w:rsidP="002F7B8D">
      <w:pPr>
        <w:pStyle w:val="SingleTxtG"/>
      </w:pPr>
      <w:r w:rsidRPr="00BC5D89">
        <w:t>2.</w:t>
      </w:r>
      <w:r w:rsidRPr="00BC5D89">
        <w:tab/>
        <w:t xml:space="preserve"> Sírva</w:t>
      </w:r>
      <w:r>
        <w:t>n</w:t>
      </w:r>
      <w:r w:rsidRPr="00BC5D89">
        <w:t>se indicar las medidas adoptadas por el Estado parte con miras a elaborar un plan nacional de acción para la infancia que abarque todas las esferas de la Convención.</w:t>
      </w:r>
    </w:p>
    <w:p w:rsidR="002F7B8D" w:rsidRPr="00BC5D89" w:rsidRDefault="002F7B8D" w:rsidP="002F7B8D">
      <w:pPr>
        <w:pStyle w:val="SingleTxtG"/>
      </w:pPr>
      <w:r w:rsidRPr="00BC5D89">
        <w:t>3.</w:t>
      </w:r>
      <w:r w:rsidRPr="00BC5D89">
        <w:tab/>
      </w:r>
      <w:r>
        <w:t xml:space="preserve">Sírvanse </w:t>
      </w:r>
      <w:r w:rsidRPr="00BC5D89">
        <w:t>aclar</w:t>
      </w:r>
      <w:r>
        <w:t>ar</w:t>
      </w:r>
      <w:r w:rsidRPr="00BC5D89">
        <w:t xml:space="preserve"> el mandato y la capacidad de la División de Protección y Desarrollo de la Infancia para coordinar las medidas destinadas a hacer efectivos los derechos del niño en todos los sectores pertinentes, desde el </w:t>
      </w:r>
      <w:r>
        <w:t xml:space="preserve">nivel </w:t>
      </w:r>
      <w:r w:rsidRPr="00BC5D89">
        <w:t>nacional hasta el de condado</w:t>
      </w:r>
      <w:r>
        <w:t>s</w:t>
      </w:r>
      <w:r w:rsidRPr="00BC5D89">
        <w:t>. Acl</w:t>
      </w:r>
      <w:r>
        <w:t>á</w:t>
      </w:r>
      <w:r w:rsidRPr="00BC5D89">
        <w:t>ren</w:t>
      </w:r>
      <w:r>
        <w:t>se</w:t>
      </w:r>
      <w:r w:rsidRPr="00BC5D89">
        <w:t xml:space="preserve"> también la superposición de mandatos y funciones entre la División de la Infancia y el Departamento de Bienestar Social del Ministerio de Salud y Bienestar Social.</w:t>
      </w:r>
    </w:p>
    <w:p w:rsidR="002F7B8D" w:rsidRPr="00BC5D89" w:rsidRDefault="002F7B8D" w:rsidP="002F7B8D">
      <w:pPr>
        <w:pStyle w:val="SingleTxtG"/>
      </w:pPr>
      <w:r w:rsidRPr="00BC5D89">
        <w:t>4.</w:t>
      </w:r>
      <w:r w:rsidRPr="00BC5D89">
        <w:tab/>
        <w:t xml:space="preserve">Sírvanse indicar si existen mecanismos para evaluar los efectos </w:t>
      </w:r>
      <w:r>
        <w:t>que tienen</w:t>
      </w:r>
      <w:r w:rsidRPr="00BC5D89">
        <w:t xml:space="preserve"> las asignaciones presupuestarias sobre los niños en todos los ámbitos.</w:t>
      </w:r>
    </w:p>
    <w:p w:rsidR="002F7B8D" w:rsidRPr="00BC5D89" w:rsidRDefault="002F7B8D" w:rsidP="002F7B8D">
      <w:pPr>
        <w:pStyle w:val="SingleTxtG"/>
      </w:pPr>
      <w:r w:rsidRPr="00BC5D89">
        <w:t>5.</w:t>
      </w:r>
      <w:r w:rsidRPr="00BC5D89">
        <w:tab/>
      </w:r>
      <w:r>
        <w:t>P</w:t>
      </w:r>
      <w:r w:rsidRPr="00BC5D89">
        <w:t>roporci</w:t>
      </w:r>
      <w:r>
        <w:t>ónese</w:t>
      </w:r>
      <w:r w:rsidRPr="00BC5D89">
        <w:t xml:space="preserve"> información detallada sobre las medidas específicas adoptadas para eliminar las actitudes y leyes tradicionales que discriminan a los niños, en particular a las niñas, los niños con discapacidad, los huérfanos, los niños pertenecientes a minorías étnicas y los niños de las zonas rurales.</w:t>
      </w:r>
    </w:p>
    <w:p w:rsidR="002F7B8D" w:rsidRPr="00BC5D89" w:rsidRDefault="002F7B8D" w:rsidP="002F7B8D">
      <w:pPr>
        <w:pStyle w:val="SingleTxtG"/>
      </w:pPr>
      <w:r w:rsidRPr="00BC5D89">
        <w:t>6.</w:t>
      </w:r>
      <w:r w:rsidRPr="00BC5D89">
        <w:tab/>
        <w:t>Sírvanse indicar las medidas adicionales tomadas para evaluar el alcance, la naturaleza y las causas de la violencia contra los niños, especialmente la violencia de género contra las niñas y los abusos y la explotación sexuales, descritos en particular en el párrafo 116 del informe del Estado parte. Ind</w:t>
      </w:r>
      <w:r>
        <w:t>íquese</w:t>
      </w:r>
      <w:r w:rsidRPr="00BC5D89">
        <w:t xml:space="preserve"> asimismo las medidas emprendidas para prevenir y erradicar todas las formas de violencia contra los niños, incluida la prohibición de los castigos corporales en las escuelas, las instituciones de cuidado alternativo y </w:t>
      </w:r>
      <w:r>
        <w:t xml:space="preserve">en </w:t>
      </w:r>
      <w:r w:rsidRPr="00BC5D89">
        <w:t>la familia.</w:t>
      </w:r>
      <w:r w:rsidRPr="00BC5D89" w:rsidDel="003B7357">
        <w:t xml:space="preserve"> </w:t>
      </w:r>
    </w:p>
    <w:p w:rsidR="002F7B8D" w:rsidRPr="00BC5D89" w:rsidRDefault="002F7B8D" w:rsidP="002F7B8D">
      <w:pPr>
        <w:pStyle w:val="SingleTxtG"/>
      </w:pPr>
      <w:r w:rsidRPr="00BC5D89">
        <w:t>7.</w:t>
      </w:r>
      <w:r w:rsidRPr="00BC5D89">
        <w:tab/>
      </w:r>
      <w:r>
        <w:t>P</w:t>
      </w:r>
      <w:r w:rsidRPr="00BC5D89">
        <w:t>roporci</w:t>
      </w:r>
      <w:r>
        <w:t>ónese</w:t>
      </w:r>
      <w:r w:rsidRPr="00BC5D89">
        <w:t xml:space="preserve"> información sobre las medidas adoptadas para evitar el internamiento de los niños en instituciones</w:t>
      </w:r>
      <w:r>
        <w:t xml:space="preserve"> y</w:t>
      </w:r>
      <w:r w:rsidRPr="00BC5D89">
        <w:t xml:space="preserve"> sacar a los niños internados en instituciones para que se reúnan con sus padres biológicos. Expl</w:t>
      </w:r>
      <w:r>
        <w:t>í</w:t>
      </w:r>
      <w:r w:rsidRPr="00BC5D89">
        <w:t>que</w:t>
      </w:r>
      <w:r>
        <w:t>nse</w:t>
      </w:r>
      <w:r w:rsidRPr="00BC5D89">
        <w:t xml:space="preserve"> también las medidas establecidas para acreditar y supervisar periódicamente </w:t>
      </w:r>
      <w:r>
        <w:t xml:space="preserve">a </w:t>
      </w:r>
      <w:r w:rsidRPr="00BC5D89">
        <w:t xml:space="preserve">las instituciones de cuidado alternativo, en particular el nuevo reglamento sobre la utilización apropiada y las condiciones del cuidado de los niños privados del medio familiar aprobado por el Ministerio de Salud y Bienestar Social en febrero de 2010. </w:t>
      </w:r>
    </w:p>
    <w:p w:rsidR="002F7B8D" w:rsidRPr="00BC5D89" w:rsidRDefault="002F7B8D" w:rsidP="002F7B8D">
      <w:pPr>
        <w:pStyle w:val="SingleTxtG"/>
      </w:pPr>
      <w:r w:rsidRPr="00BC5D89">
        <w:t>8.</w:t>
      </w:r>
      <w:r w:rsidRPr="00BC5D89">
        <w:tab/>
        <w:t>Sírvanse indicar las medidas adoptadas para reducir la adopción informal y regular la adopción nacional e internacional. En particular, facil</w:t>
      </w:r>
      <w:r>
        <w:t>í</w:t>
      </w:r>
      <w:r w:rsidRPr="00BC5D89">
        <w:t>te</w:t>
      </w:r>
      <w:r>
        <w:t>se</w:t>
      </w:r>
      <w:r w:rsidRPr="00BC5D89">
        <w:t xml:space="preserve"> al Comité información actualizada sobre los progresos realizados en la finalización del proyecto de ley de adopci</w:t>
      </w:r>
      <w:r>
        <w:t xml:space="preserve">ones </w:t>
      </w:r>
      <w:r w:rsidRPr="00BC5D89">
        <w:t>y los resultados obtenidos respecto de la moratoria relativa a las adopciones declarada recientemente por el Gobierno. Acl</w:t>
      </w:r>
      <w:r>
        <w:t>á</w:t>
      </w:r>
      <w:r w:rsidRPr="00BC5D89">
        <w:t>ren</w:t>
      </w:r>
      <w:r>
        <w:t>se</w:t>
      </w:r>
      <w:r w:rsidRPr="00BC5D89">
        <w:t xml:space="preserve"> también las funciones y responsabilidades de la Comisión de Adopciones, creada en 2008, y </w:t>
      </w:r>
      <w:r>
        <w:t>e</w:t>
      </w:r>
      <w:r w:rsidRPr="00BC5D89">
        <w:t xml:space="preserve">l </w:t>
      </w:r>
      <w:r>
        <w:t>Organismo</w:t>
      </w:r>
      <w:r w:rsidRPr="00BC5D89">
        <w:t xml:space="preserve"> central encargad</w:t>
      </w:r>
      <w:r>
        <w:t>o</w:t>
      </w:r>
      <w:r w:rsidRPr="00BC5D89">
        <w:t xml:space="preserve"> especialmente de las adopciones, establecid</w:t>
      </w:r>
      <w:r>
        <w:t>o</w:t>
      </w:r>
      <w:r w:rsidRPr="00BC5D89">
        <w:t xml:space="preserve"> en 2009.</w:t>
      </w:r>
    </w:p>
    <w:p w:rsidR="002F7B8D" w:rsidRPr="00BC5D89" w:rsidRDefault="002F7B8D" w:rsidP="002F7B8D">
      <w:pPr>
        <w:pStyle w:val="SingleTxtG"/>
      </w:pPr>
      <w:r w:rsidRPr="00BC5D89">
        <w:t>9.</w:t>
      </w:r>
      <w:r w:rsidRPr="00BC5D89">
        <w:tab/>
        <w:t>Sírvanse proporcionar información actualizada sobre las iniciativas emprendidas por el Estado parte para reducir las disparidades existentes en el acceso de los niños a los centros y servicios de salud y al agua potable y las instalaciones de saneamiento, en particular en las zonas rurales. Ind</w:t>
      </w:r>
      <w:r>
        <w:t>íquense</w:t>
      </w:r>
      <w:r w:rsidRPr="00BC5D89">
        <w:t xml:space="preserve"> las medidas específicas adoptadas para combatir la malnutrición y el raquitismo infantiles. Proporci</w:t>
      </w:r>
      <w:r>
        <w:t>ónese</w:t>
      </w:r>
      <w:r w:rsidRPr="00BC5D89">
        <w:t xml:space="preserve"> también información acerca de las iniciativas y los progresos realizados para mejorar la salud reproductiva de los adolescentes. </w:t>
      </w:r>
    </w:p>
    <w:p w:rsidR="002F7B8D" w:rsidRPr="00BC5D89" w:rsidRDefault="002F7B8D" w:rsidP="002F7B8D">
      <w:pPr>
        <w:pStyle w:val="SingleTxtG"/>
      </w:pPr>
      <w:r w:rsidRPr="00BC5D89">
        <w:t>10.</w:t>
      </w:r>
      <w:r w:rsidRPr="00BC5D89">
        <w:tab/>
      </w:r>
      <w:r>
        <w:t>F</w:t>
      </w:r>
      <w:r w:rsidRPr="00BC5D89">
        <w:t>acil</w:t>
      </w:r>
      <w:r>
        <w:t>ítese</w:t>
      </w:r>
      <w:r w:rsidRPr="00BC5D89">
        <w:t xml:space="preserve"> información detallada sobre las medidas adoptadas para prevenir y prohibir las prácticas nocivas contra los niños, como los matrimonios precoces, la mutilación genital femenina y las ordalías. </w:t>
      </w:r>
    </w:p>
    <w:p w:rsidR="002F7B8D" w:rsidRPr="00BC5D89" w:rsidRDefault="002F7B8D" w:rsidP="002F7B8D">
      <w:pPr>
        <w:pStyle w:val="SingleTxtG"/>
      </w:pPr>
      <w:r w:rsidRPr="00BC5D89">
        <w:t>11.</w:t>
      </w:r>
      <w:r w:rsidRPr="00BC5D89">
        <w:tab/>
        <w:t xml:space="preserve">Sírvanse indicar todas las medidas adoptadas por el Estado parte para rehabilitar escuelas en todo el país y aumentar las tasas de escolarización y retención escolar. </w:t>
      </w:r>
      <w:r>
        <w:t>Descríbanse</w:t>
      </w:r>
      <w:r w:rsidRPr="00BC5D89">
        <w:t xml:space="preserve"> también las medidas </w:t>
      </w:r>
      <w:r>
        <w:t xml:space="preserve">adoptadas </w:t>
      </w:r>
      <w:r w:rsidRPr="00BC5D89">
        <w:t>para velar por que las adolescentes embarazadas y los niños con discapacidad gocen efectivamente de su derecho a la educación.</w:t>
      </w:r>
    </w:p>
    <w:p w:rsidR="002F7B8D" w:rsidRPr="00BC5D89" w:rsidRDefault="002F7B8D" w:rsidP="002F7B8D">
      <w:pPr>
        <w:pStyle w:val="SingleTxtG"/>
      </w:pPr>
      <w:r w:rsidRPr="00BC5D89">
        <w:t>12.</w:t>
      </w:r>
      <w:r w:rsidRPr="00BC5D89">
        <w:tab/>
        <w:t xml:space="preserve">Sírvanse facilitar información detallada sobre las medidas adoptadas para evitar el reclutamiento de niños y su utilización en conflictos armados en los países vecinos. </w:t>
      </w:r>
    </w:p>
    <w:p w:rsidR="002F7B8D" w:rsidRPr="00BC5D89" w:rsidRDefault="002F7B8D" w:rsidP="002F7B8D">
      <w:pPr>
        <w:pStyle w:val="SingleTxtG"/>
      </w:pPr>
      <w:r w:rsidRPr="00BC5D89">
        <w:t>13.</w:t>
      </w:r>
      <w:r w:rsidRPr="00BC5D89">
        <w:tab/>
      </w:r>
      <w:r>
        <w:t>Indíquense</w:t>
      </w:r>
      <w:r w:rsidRPr="00BC5D89">
        <w:t xml:space="preserve"> las medidas adoptadas por el Estado parte para </w:t>
      </w:r>
      <w:r>
        <w:t xml:space="preserve">brindar apoyo psicosocial y servicios de </w:t>
      </w:r>
      <w:r w:rsidRPr="00BC5D89">
        <w:t xml:space="preserve">rehabilitación y reintegración a los niños víctimas de violencia, en particular </w:t>
      </w:r>
      <w:r>
        <w:t xml:space="preserve">de </w:t>
      </w:r>
      <w:r w:rsidRPr="00BC5D89">
        <w:t>abusos y explotación sexuales. Asimismo, inf</w:t>
      </w:r>
      <w:r>
        <w:t xml:space="preserve">órmese </w:t>
      </w:r>
      <w:r w:rsidRPr="00BC5D89">
        <w:t>al Comité acerca de las iniciativas emprendidas por el Estado parte para difundir la enmienda del Código Penal introducida en 2005 (denominada Ley sobre la violación) entre los agentes de policía y los jueces y garantizar su estricta aplicación.</w:t>
      </w:r>
    </w:p>
    <w:p w:rsidR="002F7B8D" w:rsidRPr="00BC5D89" w:rsidRDefault="002F7B8D" w:rsidP="002F7B8D">
      <w:pPr>
        <w:pStyle w:val="SingleTxtG"/>
      </w:pPr>
      <w:r w:rsidRPr="00BC5D89">
        <w:t>14.</w:t>
      </w:r>
      <w:r w:rsidRPr="00BC5D89">
        <w:tab/>
        <w:t>Sírvanse proporcionar información actualizada y detallada sobre las medidas adoptadas para combatir la trata en el Estado parte, en particular la aplicación de la Ley contra la trata (2005) y su plan de acción.</w:t>
      </w:r>
    </w:p>
    <w:p w:rsidR="002F7B8D" w:rsidRPr="00BC5D89" w:rsidRDefault="002F7B8D" w:rsidP="002F7B8D">
      <w:pPr>
        <w:pStyle w:val="SingleTxtG"/>
      </w:pPr>
      <w:r w:rsidRPr="00BC5D89">
        <w:t>15.</w:t>
      </w:r>
      <w:r w:rsidRPr="00BC5D89">
        <w:tab/>
        <w:t xml:space="preserve">Sírvanse facilitar al Comité información actualizada acerca de si el Estado parte prevé aumentar a 18 años la edad </w:t>
      </w:r>
      <w:r>
        <w:t xml:space="preserve">de responsabilidad penal de los niños, </w:t>
      </w:r>
      <w:r w:rsidRPr="00BC5D89">
        <w:t>y prohibir la pena de muerte y la cadena perpetua en el caso de los niños. Proporci</w:t>
      </w:r>
      <w:r>
        <w:t>ónese</w:t>
      </w:r>
      <w:r w:rsidRPr="00BC5D89">
        <w:t xml:space="preserve"> al Comité información actualizada sobre las medidas </w:t>
      </w:r>
      <w:r>
        <w:t xml:space="preserve">adoptadas </w:t>
      </w:r>
      <w:r w:rsidRPr="00BC5D89">
        <w:t xml:space="preserve">para establecer tribunales de menores en todos los condados y centros de detención </w:t>
      </w:r>
      <w:r>
        <w:t xml:space="preserve">exclusivamente </w:t>
      </w:r>
      <w:r w:rsidRPr="00BC5D89">
        <w:t>para menores. Ind</w:t>
      </w:r>
      <w:r>
        <w:t>íquense</w:t>
      </w:r>
      <w:r w:rsidRPr="00BC5D89">
        <w:t xml:space="preserve"> también las medidas adoptadas para velar por que los tribunales de menores cuenten con los recursos humanos, técnicos y financieros necesarios par</w:t>
      </w:r>
      <w:r>
        <w:t xml:space="preserve">a funcionar eficazmente, y apórtese </w:t>
      </w:r>
      <w:r w:rsidRPr="00BC5D89">
        <w:t xml:space="preserve">más información acerca de la capacitación sobre los derechos del niño </w:t>
      </w:r>
      <w:r>
        <w:t xml:space="preserve">que se </w:t>
      </w:r>
      <w:r w:rsidRPr="00BC5D89">
        <w:t>impart</w:t>
      </w:r>
      <w:r>
        <w:t>e</w:t>
      </w:r>
      <w:r w:rsidRPr="00BC5D89">
        <w:t xml:space="preserve"> a los jueces.</w:t>
      </w:r>
    </w:p>
    <w:p w:rsidR="002F7B8D" w:rsidRPr="00BC5D89" w:rsidRDefault="002F7B8D" w:rsidP="002F7B8D">
      <w:pPr>
        <w:pStyle w:val="HChG"/>
      </w:pPr>
      <w:r w:rsidRPr="00BC5D89">
        <w:tab/>
      </w:r>
      <w:r w:rsidRPr="00BC5D89">
        <w:tab/>
        <w:t>Parte II</w:t>
      </w:r>
    </w:p>
    <w:p w:rsidR="002F7B8D" w:rsidRPr="00F27B4A" w:rsidRDefault="002F7B8D" w:rsidP="002F7B8D">
      <w:pPr>
        <w:pStyle w:val="SingleTxtG"/>
        <w:rPr>
          <w:b/>
        </w:rPr>
      </w:pPr>
      <w:r w:rsidRPr="00F27B4A">
        <w:rPr>
          <w:b/>
        </w:rPr>
        <w:t>En esta sección, el Comité invita al Estado parte a actualizar brevemente (en tres páginas como máximo) la información proporcionada en su informe en relación con:</w:t>
      </w:r>
    </w:p>
    <w:p w:rsidR="002F7B8D" w:rsidRPr="00BC5D89" w:rsidRDefault="002F7B8D" w:rsidP="002F7B8D">
      <w:pPr>
        <w:pStyle w:val="SingleTxtG"/>
      </w:pPr>
      <w:r>
        <w:tab/>
      </w:r>
      <w:r w:rsidRPr="00BC5D89">
        <w:t>a)</w:t>
      </w:r>
      <w:r w:rsidRPr="00BC5D89">
        <w:tab/>
        <w:t>Las políticas, los programas y los planes iniciados recientemente y su alcance;</w:t>
      </w:r>
    </w:p>
    <w:p w:rsidR="002F7B8D" w:rsidRPr="00BC5D89" w:rsidRDefault="002F7B8D" w:rsidP="002F7B8D">
      <w:pPr>
        <w:pStyle w:val="SingleTxtG"/>
      </w:pPr>
      <w:r>
        <w:tab/>
      </w:r>
      <w:r w:rsidRPr="00BC5D89">
        <w:t>b)</w:t>
      </w:r>
      <w:r w:rsidRPr="00BC5D89">
        <w:tab/>
        <w:t>Las nuevas instituciones o reformas institucionales y sus respectivos mandatos;</w:t>
      </w:r>
    </w:p>
    <w:p w:rsidR="002F7B8D" w:rsidRPr="00BC5D89" w:rsidRDefault="002F7B8D" w:rsidP="002F7B8D">
      <w:pPr>
        <w:pStyle w:val="SingleTxtG"/>
      </w:pPr>
      <w:r>
        <w:tab/>
      </w:r>
      <w:r w:rsidRPr="00BC5D89">
        <w:t>c)</w:t>
      </w:r>
      <w:r w:rsidRPr="00BC5D89">
        <w:tab/>
        <w:t>Los proyectos de ley aprobados recientemente y sus reglamentos;</w:t>
      </w:r>
    </w:p>
    <w:p w:rsidR="002F7B8D" w:rsidRPr="00BC5D89" w:rsidRDefault="002F7B8D" w:rsidP="002F7B8D">
      <w:pPr>
        <w:pStyle w:val="SingleTxtG"/>
      </w:pPr>
      <w:r>
        <w:tab/>
      </w:r>
      <w:r w:rsidRPr="00BC5D89">
        <w:t>d)</w:t>
      </w:r>
      <w:r w:rsidRPr="00BC5D89">
        <w:tab/>
        <w:t>Los instrumentos de derechos humanos ratificados recientemente.</w:t>
      </w:r>
    </w:p>
    <w:p w:rsidR="002F7B8D" w:rsidRPr="00BC5D89" w:rsidRDefault="002F7B8D" w:rsidP="002F7B8D">
      <w:pPr>
        <w:pStyle w:val="HChG"/>
      </w:pPr>
      <w:r w:rsidRPr="00BC5D89">
        <w:tab/>
      </w:r>
      <w:r w:rsidRPr="00BC5D89">
        <w:tab/>
        <w:t>Parte III</w:t>
      </w:r>
    </w:p>
    <w:p w:rsidR="002F7B8D" w:rsidRPr="00F27B4A" w:rsidRDefault="002F7B8D" w:rsidP="002F7B8D">
      <w:pPr>
        <w:pStyle w:val="SingleTxtG"/>
        <w:rPr>
          <w:b/>
        </w:rPr>
      </w:pPr>
      <w:r w:rsidRPr="00F27B4A">
        <w:rPr>
          <w:b/>
        </w:rPr>
        <w:t>Datos, estadísticas y demás información de que se disponga</w:t>
      </w:r>
    </w:p>
    <w:p w:rsidR="002F7B8D" w:rsidRPr="00BC5D89" w:rsidRDefault="002F7B8D" w:rsidP="002F7B8D">
      <w:pPr>
        <w:pStyle w:val="SingleTxtG"/>
      </w:pPr>
      <w:r w:rsidRPr="00BC5D89">
        <w:t>1.</w:t>
      </w:r>
      <w:r w:rsidRPr="00BC5D89">
        <w:tab/>
        <w:t xml:space="preserve"> Sírvanse proporcionar datos correspondientes a los años 2008-2011 sobre las asignaciones presupuestarias para la aplicación de la Convención en las esferas de la salud, la educación y la protección de la infancia.</w:t>
      </w:r>
    </w:p>
    <w:p w:rsidR="002F7B8D" w:rsidRPr="00BC5D89" w:rsidRDefault="002F7B8D" w:rsidP="002F7B8D">
      <w:pPr>
        <w:pStyle w:val="SingleTxtG"/>
      </w:pPr>
      <w:r w:rsidRPr="00BC5D89">
        <w:t>2.</w:t>
      </w:r>
      <w:r w:rsidRPr="00BC5D89">
        <w:tab/>
        <w:t>Sírvanse indicar la tasa de inscripción de los nacimientos correspondiente a los años 2008-2011 desglosada por sexo, condado y zonas urbanas y rurales.</w:t>
      </w:r>
    </w:p>
    <w:p w:rsidR="002F7B8D" w:rsidRPr="00BC5D89" w:rsidRDefault="002F7B8D" w:rsidP="002F7B8D">
      <w:pPr>
        <w:pStyle w:val="SingleTxtG"/>
      </w:pPr>
      <w:r w:rsidRPr="00BC5D89">
        <w:t>3.</w:t>
      </w:r>
      <w:r w:rsidRPr="00BC5D89">
        <w:tab/>
      </w:r>
      <w:r>
        <w:t>F</w:t>
      </w:r>
      <w:r w:rsidRPr="00BC5D89">
        <w:t>acil</w:t>
      </w:r>
      <w:r>
        <w:t xml:space="preserve">ítense </w:t>
      </w:r>
      <w:r w:rsidRPr="00BC5D89">
        <w:t>los datos estadísticos disponibles sobre los niños que viven en entornos informales y formales de acogida, desglosados por sexo, edad, condado y situación socioeconómica. Ind</w:t>
      </w:r>
      <w:r>
        <w:t>íquese</w:t>
      </w:r>
      <w:r w:rsidRPr="00BC5D89">
        <w:t xml:space="preserve"> también en cada caso si uno o los dos padres están vivos.</w:t>
      </w:r>
    </w:p>
    <w:p w:rsidR="002F7B8D" w:rsidRPr="00BC5D89" w:rsidRDefault="002F7B8D" w:rsidP="002F7B8D">
      <w:pPr>
        <w:pStyle w:val="SingleTxtG"/>
      </w:pPr>
      <w:r w:rsidRPr="00BC5D89">
        <w:t>4.</w:t>
      </w:r>
      <w:r w:rsidRPr="00BC5D89">
        <w:tab/>
        <w:t>Sírvanse especificar el número de niños con discapacidad, menores de 18 años, desglosado por edad, sexo, condado, tipo de discapacidad y situación socioeconómica, co</w:t>
      </w:r>
      <w:r>
        <w:t>rrespondiente a los años 2008-</w:t>
      </w:r>
      <w:r w:rsidRPr="00BC5D89">
        <w:t>2011, que:</w:t>
      </w:r>
    </w:p>
    <w:p w:rsidR="002F7B8D" w:rsidRPr="00BC5D89" w:rsidRDefault="002F7B8D" w:rsidP="002F7B8D">
      <w:pPr>
        <w:pStyle w:val="SingleTxtG"/>
      </w:pPr>
      <w:r>
        <w:tab/>
      </w:r>
      <w:r w:rsidRPr="00BC5D89">
        <w:t>a)</w:t>
      </w:r>
      <w:r w:rsidRPr="00BC5D89">
        <w:tab/>
        <w:t>Viven con sus familias;</w:t>
      </w:r>
    </w:p>
    <w:p w:rsidR="002F7B8D" w:rsidRPr="00BC5D89" w:rsidRDefault="002F7B8D" w:rsidP="002F7B8D">
      <w:pPr>
        <w:pStyle w:val="SingleTxtG"/>
      </w:pPr>
      <w:r>
        <w:tab/>
      </w:r>
      <w:r w:rsidRPr="00BC5D89">
        <w:t>b)</w:t>
      </w:r>
      <w:r w:rsidRPr="00BC5D89">
        <w:tab/>
        <w:t>Asisten a escuelas ordinarias;</w:t>
      </w:r>
    </w:p>
    <w:p w:rsidR="002F7B8D" w:rsidRPr="00BC5D89" w:rsidRDefault="002F7B8D" w:rsidP="002F7B8D">
      <w:pPr>
        <w:pStyle w:val="SingleTxtG"/>
      </w:pPr>
      <w:r>
        <w:tab/>
      </w:r>
      <w:r w:rsidRPr="00BC5D89">
        <w:t>c)</w:t>
      </w:r>
      <w:r w:rsidRPr="00BC5D89">
        <w:tab/>
        <w:t>Asisten a escuelas especiales;</w:t>
      </w:r>
    </w:p>
    <w:p w:rsidR="002F7B8D" w:rsidRPr="00BC5D89" w:rsidRDefault="002F7B8D" w:rsidP="002F7B8D">
      <w:pPr>
        <w:pStyle w:val="SingleTxtG"/>
      </w:pPr>
      <w:r>
        <w:tab/>
      </w:r>
      <w:r w:rsidRPr="00BC5D89">
        <w:t>d)</w:t>
      </w:r>
      <w:r w:rsidRPr="00BC5D89">
        <w:tab/>
        <w:t>No están escolarizados.</w:t>
      </w:r>
    </w:p>
    <w:p w:rsidR="002F7B8D" w:rsidRPr="00BC5D89" w:rsidRDefault="002F7B8D" w:rsidP="002F7B8D">
      <w:pPr>
        <w:pStyle w:val="SingleTxtG"/>
      </w:pPr>
      <w:r w:rsidRPr="00BC5D89">
        <w:t>5.</w:t>
      </w:r>
      <w:r w:rsidRPr="00BC5D89">
        <w:tab/>
        <w:t>En relación con el derecho a la salud, sírvanse facilitar información actualizada sobre:</w:t>
      </w:r>
    </w:p>
    <w:p w:rsidR="002F7B8D" w:rsidRPr="00BC5D89" w:rsidRDefault="002F7B8D" w:rsidP="002F7B8D">
      <w:pPr>
        <w:pStyle w:val="SingleTxtG"/>
      </w:pPr>
      <w:r>
        <w:tab/>
      </w:r>
      <w:r w:rsidRPr="00BC5D89">
        <w:t>a)</w:t>
      </w:r>
      <w:r w:rsidRPr="00BC5D89">
        <w:tab/>
        <w:t>El número de centros de salud que se rehabilitaron en los últimos tres años (2008-2011) en los distintos condados;</w:t>
      </w:r>
    </w:p>
    <w:p w:rsidR="002F7B8D" w:rsidRPr="00BC5D89" w:rsidRDefault="002F7B8D" w:rsidP="002F7B8D">
      <w:pPr>
        <w:pStyle w:val="SingleTxtG"/>
      </w:pPr>
      <w:r>
        <w:tab/>
      </w:r>
      <w:r w:rsidRPr="00BC5D89">
        <w:t>b)</w:t>
      </w:r>
      <w:r w:rsidRPr="00BC5D89">
        <w:tab/>
        <w:t xml:space="preserve">Las tasas de mortalidad de lactantes y niños e información actualizada sobre el número de niños que sufren raquitismo o malnutrición; </w:t>
      </w:r>
    </w:p>
    <w:p w:rsidR="002F7B8D" w:rsidRPr="00BC5D89" w:rsidRDefault="002F7B8D" w:rsidP="002F7B8D">
      <w:pPr>
        <w:pStyle w:val="SingleTxtG"/>
      </w:pPr>
      <w:r>
        <w:tab/>
      </w:r>
      <w:r w:rsidRPr="00BC5D89">
        <w:t>c)</w:t>
      </w:r>
      <w:r w:rsidRPr="00BC5D89">
        <w:tab/>
        <w:t>Las tasas de infección por el VIH/SIDA entre los niños.</w:t>
      </w:r>
    </w:p>
    <w:p w:rsidR="002F7B8D" w:rsidRPr="00BC5D89" w:rsidRDefault="002F7B8D" w:rsidP="002F7B8D">
      <w:pPr>
        <w:pStyle w:val="SingleTxtG"/>
      </w:pPr>
      <w:r w:rsidRPr="00BC5D89">
        <w:t>6.</w:t>
      </w:r>
      <w:r w:rsidRPr="00BC5D89">
        <w:tab/>
        <w:t>Respecto de la educación, sírvanse proporcionar datos desglosados (por sexo, edad, condado y zona rural y urbana) para los años 2008-2011, como porcentaje del grupo de edad pertinente, sobre:</w:t>
      </w:r>
    </w:p>
    <w:p w:rsidR="002F7B8D" w:rsidRPr="00BC5D89" w:rsidRDefault="002F7B8D" w:rsidP="002F7B8D">
      <w:pPr>
        <w:pStyle w:val="SingleTxtG"/>
      </w:pPr>
      <w:r>
        <w:tab/>
      </w:r>
      <w:r w:rsidRPr="00BC5D89">
        <w:t>a)</w:t>
      </w:r>
      <w:r w:rsidRPr="00BC5D89">
        <w:tab/>
        <w:t>Las tasas de alfabetización de los menores de 18 años;</w:t>
      </w:r>
    </w:p>
    <w:p w:rsidR="002F7B8D" w:rsidRPr="00BC5D89" w:rsidRDefault="002F7B8D" w:rsidP="002F7B8D">
      <w:pPr>
        <w:pStyle w:val="SingleTxtG"/>
      </w:pPr>
      <w:r>
        <w:tab/>
      </w:r>
      <w:r w:rsidRPr="00BC5D89">
        <w:t>b)</w:t>
      </w:r>
      <w:r w:rsidRPr="00BC5D89">
        <w:tab/>
        <w:t>La tasa de matrícula en centros preescolares y en escuelas primarias y secundarias;</w:t>
      </w:r>
    </w:p>
    <w:p w:rsidR="002F7B8D" w:rsidRPr="00BC5D89" w:rsidRDefault="002F7B8D" w:rsidP="002F7B8D">
      <w:pPr>
        <w:pStyle w:val="SingleTxtG"/>
      </w:pPr>
      <w:r>
        <w:tab/>
      </w:r>
      <w:r w:rsidRPr="00BC5D89">
        <w:t>c)</w:t>
      </w:r>
      <w:r w:rsidRPr="00BC5D89">
        <w:tab/>
        <w:t>El porcentaje de niños que terminan los estudios primarios y secundarios;</w:t>
      </w:r>
    </w:p>
    <w:p w:rsidR="002F7B8D" w:rsidRPr="00BC5D89" w:rsidRDefault="002F7B8D" w:rsidP="002F7B8D">
      <w:pPr>
        <w:pStyle w:val="SingleTxtG"/>
      </w:pPr>
      <w:r>
        <w:tab/>
      </w:r>
      <w:r w:rsidRPr="00BC5D89">
        <w:t>d)</w:t>
      </w:r>
      <w:r w:rsidRPr="00BC5D89">
        <w:tab/>
        <w:t>El número y porcentaje de niños que abandonan los estudios y repiten cursos;</w:t>
      </w:r>
    </w:p>
    <w:p w:rsidR="002F7B8D" w:rsidRPr="00BC5D89" w:rsidRDefault="002F7B8D" w:rsidP="002F7B8D">
      <w:pPr>
        <w:pStyle w:val="SingleTxtG"/>
      </w:pPr>
      <w:r>
        <w:tab/>
      </w:r>
      <w:r w:rsidRPr="00BC5D89">
        <w:t>e)</w:t>
      </w:r>
      <w:r w:rsidRPr="00BC5D89">
        <w:tab/>
        <w:t>La relación de maestros por niño y el número de niños por aula;</w:t>
      </w:r>
    </w:p>
    <w:p w:rsidR="002F7B8D" w:rsidRPr="00BC5D89" w:rsidRDefault="002F7B8D" w:rsidP="002F7B8D">
      <w:pPr>
        <w:pStyle w:val="SingleTxtG"/>
      </w:pPr>
      <w:r>
        <w:tab/>
      </w:r>
      <w:r w:rsidRPr="00BC5D89">
        <w:t>f)</w:t>
      </w:r>
      <w:r w:rsidRPr="00BC5D89">
        <w:tab/>
        <w:t>La proporción del personal docente cualificado y no cualificado que recibe formación profesional.</w:t>
      </w:r>
    </w:p>
    <w:p w:rsidR="002F7B8D" w:rsidRPr="00BC5D89" w:rsidRDefault="002F7B8D" w:rsidP="002F7B8D">
      <w:pPr>
        <w:pStyle w:val="SingleTxtG"/>
      </w:pPr>
      <w:r w:rsidRPr="00BC5D89">
        <w:t>7.</w:t>
      </w:r>
      <w:r w:rsidRPr="00BC5D89">
        <w:tab/>
      </w:r>
      <w:r>
        <w:t>F</w:t>
      </w:r>
      <w:r w:rsidRPr="00BC5D89">
        <w:t>acil</w:t>
      </w:r>
      <w:r>
        <w:t>ítese</w:t>
      </w:r>
      <w:r w:rsidRPr="00BC5D89">
        <w:t xml:space="preserve"> información sobre el número de denuncias y de víctimas de abusos sexuales, incluidos los casos examinados por el Grupo Nacional de Observación de los Derechos del Niño (NACROG), correspondientes a los años 2008-2011, desglosada por sexo, edad y condado, y el número de investigaciones y juicios llevados a cabo a este respecto y de casos pendientes. Facil</w:t>
      </w:r>
      <w:r>
        <w:t>ítese</w:t>
      </w:r>
      <w:r w:rsidRPr="00BC5D89">
        <w:t xml:space="preserve"> asimismo información sobre el número y la proporción de niños víctimas que recibieron asesoramiento y asistencia para su recuperación y reintegración social.</w:t>
      </w:r>
    </w:p>
    <w:p w:rsidR="002F7B8D" w:rsidRPr="00BC5D89" w:rsidRDefault="002F7B8D" w:rsidP="002F7B8D">
      <w:pPr>
        <w:pStyle w:val="SingleTxtG"/>
      </w:pPr>
      <w:r w:rsidRPr="00BC5D89">
        <w:t>8.</w:t>
      </w:r>
      <w:r w:rsidRPr="00BC5D89">
        <w:tab/>
        <w:t>Sírvanse proporcionar datos correspondientes a los tres últimos años sobre el número de niños víctimas de explotación sexual, incluidas la prostitución, la pornografía y la trata. Proporci</w:t>
      </w:r>
      <w:r>
        <w:t>ónese</w:t>
      </w:r>
      <w:r w:rsidRPr="00BC5D89">
        <w:t xml:space="preserve"> también información acerca de las </w:t>
      </w:r>
      <w:r>
        <w:t xml:space="preserve">actuaciones judiciales </w:t>
      </w:r>
      <w:r w:rsidRPr="00BC5D89">
        <w:t>iniciadas contra los autores de esos delitos en el mismo período y las sanciones que se les impusieron.</w:t>
      </w:r>
    </w:p>
    <w:p w:rsidR="002F7B8D" w:rsidRPr="00BC5D89" w:rsidRDefault="002F7B8D" w:rsidP="002F7B8D">
      <w:pPr>
        <w:pStyle w:val="SingleTxtG"/>
      </w:pPr>
      <w:r w:rsidRPr="00BC5D89">
        <w:t>9.</w:t>
      </w:r>
      <w:r w:rsidRPr="00BC5D89">
        <w:tab/>
        <w:t xml:space="preserve">Sírvanse </w:t>
      </w:r>
      <w:r>
        <w:t xml:space="preserve">facilitar información </w:t>
      </w:r>
      <w:r w:rsidRPr="00BC5D89">
        <w:t xml:space="preserve">correspondiente a los tres últimos años sobre el número de personas menores de 18 años </w:t>
      </w:r>
      <w:r>
        <w:t xml:space="preserve">que han sido juzgadas como </w:t>
      </w:r>
      <w:r w:rsidRPr="00BC5D89">
        <w:t xml:space="preserve">adultos y detenidas en centros penitenciarios para adultos. </w:t>
      </w:r>
      <w:r>
        <w:t xml:space="preserve">Facilítese </w:t>
      </w:r>
      <w:r w:rsidRPr="00BC5D89">
        <w:t xml:space="preserve">también más información acerca de los niños que no han alcanzado la edad de responsabilidad penal </w:t>
      </w:r>
      <w:r>
        <w:t xml:space="preserve">y </w:t>
      </w:r>
      <w:r w:rsidRPr="00BC5D89">
        <w:t>que han entrado en conflicto con la ley.</w:t>
      </w:r>
    </w:p>
    <w:p w:rsidR="002F7B8D" w:rsidRDefault="002F7B8D" w:rsidP="002F7B8D">
      <w:pPr>
        <w:pStyle w:val="SingleTxtG"/>
      </w:pPr>
      <w:r w:rsidRPr="00BC5D89">
        <w:t>10.</w:t>
      </w:r>
      <w:r w:rsidRPr="00BC5D89">
        <w:tab/>
        <w:t>Además, el Estado parte puede citar esferas que afecten a los niños y que considere prioritarias con respecto a la aplicación de la Convención.</w:t>
      </w:r>
    </w:p>
    <w:p w:rsidR="002F7B8D" w:rsidRPr="00F27B4A" w:rsidRDefault="002F7B8D" w:rsidP="002F7B8D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F35EE" w:rsidRDefault="006F35EE" w:rsidP="001075E9"/>
    <w:sectPr w:rsidR="006F35EE" w:rsidSect="002F7B8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0C0" w:rsidRDefault="000F00C0">
      <w:r>
        <w:separator/>
      </w:r>
    </w:p>
  </w:endnote>
  <w:endnote w:type="continuationSeparator" w:id="0">
    <w:p w:rsidR="000F00C0" w:rsidRDefault="000F0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B8D" w:rsidRPr="002F7B8D" w:rsidRDefault="002F7B8D" w:rsidP="002F7B8D">
    <w:pPr>
      <w:pStyle w:val="Footer"/>
      <w:tabs>
        <w:tab w:val="right" w:pos="9638"/>
      </w:tabs>
    </w:pPr>
    <w:r w:rsidRPr="002F7B8D">
      <w:rPr>
        <w:b/>
        <w:sz w:val="18"/>
      </w:rPr>
      <w:fldChar w:fldCharType="begin"/>
    </w:r>
    <w:r w:rsidRPr="002F7B8D">
      <w:rPr>
        <w:b/>
        <w:sz w:val="18"/>
      </w:rPr>
      <w:instrText xml:space="preserve"> PAGE  \* MERGEFORMAT </w:instrText>
    </w:r>
    <w:r w:rsidRPr="002F7B8D">
      <w:rPr>
        <w:b/>
        <w:sz w:val="18"/>
      </w:rPr>
      <w:fldChar w:fldCharType="separate"/>
    </w:r>
    <w:r w:rsidR="00B32C68">
      <w:rPr>
        <w:b/>
        <w:noProof/>
        <w:sz w:val="18"/>
      </w:rPr>
      <w:t>2</w:t>
    </w:r>
    <w:r w:rsidRPr="002F7B8D">
      <w:rPr>
        <w:b/>
        <w:sz w:val="18"/>
      </w:rPr>
      <w:fldChar w:fldCharType="end"/>
    </w:r>
    <w:r>
      <w:rPr>
        <w:b/>
        <w:sz w:val="18"/>
      </w:rPr>
      <w:tab/>
    </w:r>
    <w:r>
      <w:t>GE.12-41470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B8D" w:rsidRPr="002F7B8D" w:rsidRDefault="002F7B8D" w:rsidP="002F7B8D">
    <w:pPr>
      <w:pStyle w:val="Footer"/>
      <w:tabs>
        <w:tab w:val="right" w:pos="9638"/>
      </w:tabs>
      <w:rPr>
        <w:b/>
        <w:sz w:val="18"/>
      </w:rPr>
    </w:pPr>
    <w:r>
      <w:t>GE.12-41470</w:t>
    </w:r>
    <w:r>
      <w:tab/>
    </w:r>
    <w:r w:rsidRPr="002F7B8D">
      <w:rPr>
        <w:b/>
        <w:sz w:val="18"/>
      </w:rPr>
      <w:fldChar w:fldCharType="begin"/>
    </w:r>
    <w:r w:rsidRPr="002F7B8D">
      <w:rPr>
        <w:b/>
        <w:sz w:val="18"/>
      </w:rPr>
      <w:instrText xml:space="preserve"> PAGE  \* MERGEFORMAT </w:instrText>
    </w:r>
    <w:r w:rsidRPr="002F7B8D">
      <w:rPr>
        <w:b/>
        <w:sz w:val="18"/>
      </w:rPr>
      <w:fldChar w:fldCharType="separate"/>
    </w:r>
    <w:r w:rsidR="00B32C68">
      <w:rPr>
        <w:b/>
        <w:noProof/>
        <w:sz w:val="18"/>
      </w:rPr>
      <w:t>3</w:t>
    </w:r>
    <w:r w:rsidRPr="002F7B8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390" w:rsidRPr="002F7B8D" w:rsidRDefault="002F7B8D">
    <w:pPr>
      <w:pStyle w:val="Footer"/>
      <w:rPr>
        <w:sz w:val="20"/>
      </w:rPr>
    </w:pPr>
    <w:r>
      <w:rPr>
        <w:sz w:val="20"/>
      </w:rPr>
      <w:t>GE.</w:t>
    </w:r>
    <w:r w:rsidR="0025039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12-41470  (S)    110412    120412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0C0" w:rsidRPr="001075E9" w:rsidRDefault="000F00C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F00C0" w:rsidRDefault="000F00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B8D" w:rsidRPr="002F7B8D" w:rsidRDefault="002F7B8D">
    <w:pPr>
      <w:pStyle w:val="Header"/>
    </w:pPr>
    <w:r>
      <w:t>CRC/C/LBR/Q/2-4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B8D" w:rsidRPr="002F7B8D" w:rsidRDefault="002F7B8D" w:rsidP="002F7B8D">
    <w:pPr>
      <w:pStyle w:val="Header"/>
      <w:jc w:val="right"/>
    </w:pPr>
    <w:r>
      <w:t>CRC/C/LBR/Q/2-4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0390"/>
    <w:rsid w:val="00002131"/>
    <w:rsid w:val="00033EE1"/>
    <w:rsid w:val="000B57E7"/>
    <w:rsid w:val="000F00C0"/>
    <w:rsid w:val="000F09DF"/>
    <w:rsid w:val="000F61B2"/>
    <w:rsid w:val="001075E9"/>
    <w:rsid w:val="001256EA"/>
    <w:rsid w:val="00161852"/>
    <w:rsid w:val="00180183"/>
    <w:rsid w:val="0018649F"/>
    <w:rsid w:val="00196389"/>
    <w:rsid w:val="001B5FFA"/>
    <w:rsid w:val="001C7A89"/>
    <w:rsid w:val="00220F72"/>
    <w:rsid w:val="00240004"/>
    <w:rsid w:val="00250390"/>
    <w:rsid w:val="002A2EFC"/>
    <w:rsid w:val="002C0E18"/>
    <w:rsid w:val="002D5AAC"/>
    <w:rsid w:val="002F7B8D"/>
    <w:rsid w:val="00301299"/>
    <w:rsid w:val="00322004"/>
    <w:rsid w:val="003402C2"/>
    <w:rsid w:val="00381C24"/>
    <w:rsid w:val="003958D0"/>
    <w:rsid w:val="003B00E5"/>
    <w:rsid w:val="00414A16"/>
    <w:rsid w:val="00427F10"/>
    <w:rsid w:val="00454E07"/>
    <w:rsid w:val="004D45DB"/>
    <w:rsid w:val="0050108D"/>
    <w:rsid w:val="00536DF4"/>
    <w:rsid w:val="00572E19"/>
    <w:rsid w:val="005C43E4"/>
    <w:rsid w:val="005D7179"/>
    <w:rsid w:val="005F0B42"/>
    <w:rsid w:val="005F2AD1"/>
    <w:rsid w:val="006B3A76"/>
    <w:rsid w:val="006F35EE"/>
    <w:rsid w:val="006F7B0F"/>
    <w:rsid w:val="007021FF"/>
    <w:rsid w:val="00757357"/>
    <w:rsid w:val="007A059A"/>
    <w:rsid w:val="007E16A7"/>
    <w:rsid w:val="007F4281"/>
    <w:rsid w:val="008136D8"/>
    <w:rsid w:val="00834B71"/>
    <w:rsid w:val="0086445C"/>
    <w:rsid w:val="008A08D7"/>
    <w:rsid w:val="008C2B1A"/>
    <w:rsid w:val="008E1429"/>
    <w:rsid w:val="00906890"/>
    <w:rsid w:val="00951972"/>
    <w:rsid w:val="009C646E"/>
    <w:rsid w:val="00A43957"/>
    <w:rsid w:val="00A917B3"/>
    <w:rsid w:val="00A97C80"/>
    <w:rsid w:val="00AB4B51"/>
    <w:rsid w:val="00B10CC7"/>
    <w:rsid w:val="00B32C68"/>
    <w:rsid w:val="00B62458"/>
    <w:rsid w:val="00B8687E"/>
    <w:rsid w:val="00BD33EE"/>
    <w:rsid w:val="00C51C7B"/>
    <w:rsid w:val="00C60F0C"/>
    <w:rsid w:val="00C67843"/>
    <w:rsid w:val="00C805C9"/>
    <w:rsid w:val="00CA1679"/>
    <w:rsid w:val="00D15EAE"/>
    <w:rsid w:val="00D318C7"/>
    <w:rsid w:val="00D33D63"/>
    <w:rsid w:val="00D90138"/>
    <w:rsid w:val="00DD299D"/>
    <w:rsid w:val="00DF63E3"/>
    <w:rsid w:val="00E23796"/>
    <w:rsid w:val="00E73F76"/>
    <w:rsid w:val="00EF1360"/>
    <w:rsid w:val="00EF3220"/>
    <w:rsid w:val="00F23FB6"/>
    <w:rsid w:val="00F80811"/>
    <w:rsid w:val="00F94155"/>
    <w:rsid w:val="00FB2D3D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C2B1A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7F4281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8C2B1A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8C2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C2B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8C2B1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8C2B1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8C2B1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8C2B1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C2B1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8C2B1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C2B1A"/>
  </w:style>
  <w:style w:type="character" w:styleId="FootnoteReference">
    <w:name w:val="footnote reference"/>
    <w:aliases w:val="4_G"/>
    <w:rsid w:val="008C2B1A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C2B1A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1B5FF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8C2B1A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8C2B1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C2B1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8C2B1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8C2B1A"/>
    <w:rPr>
      <w:sz w:val="16"/>
    </w:rPr>
  </w:style>
  <w:style w:type="paragraph" w:customStyle="1" w:styleId="XLargeG">
    <w:name w:val="__XLarge_G"/>
    <w:basedOn w:val="Normal"/>
    <w:next w:val="Normal"/>
    <w:rsid w:val="008C2B1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8C2B1A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8C2B1A"/>
    <w:pPr>
      <w:numPr>
        <w:numId w:val="3"/>
      </w:numPr>
    </w:pPr>
  </w:style>
  <w:style w:type="numbering" w:styleId="1ai">
    <w:name w:val="Outline List 1"/>
    <w:basedOn w:val="NoList"/>
    <w:semiHidden/>
    <w:rsid w:val="008C2B1A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8C2B1A"/>
  </w:style>
  <w:style w:type="numbering" w:styleId="ArticleSection">
    <w:name w:val="Outline List 3"/>
    <w:basedOn w:val="NoList"/>
    <w:semiHidden/>
    <w:rsid w:val="008C2B1A"/>
    <w:pPr>
      <w:numPr>
        <w:numId w:val="5"/>
      </w:numPr>
    </w:pPr>
  </w:style>
  <w:style w:type="paragraph" w:styleId="Closing">
    <w:name w:val="Closing"/>
    <w:basedOn w:val="Normal"/>
    <w:semiHidden/>
    <w:rsid w:val="008C2B1A"/>
    <w:pPr>
      <w:ind w:left="4252"/>
    </w:pPr>
  </w:style>
  <w:style w:type="character" w:styleId="HTMLCite">
    <w:name w:val="HTML Cite"/>
    <w:semiHidden/>
    <w:rsid w:val="008C2B1A"/>
    <w:rPr>
      <w:i/>
      <w:iCs/>
    </w:rPr>
  </w:style>
  <w:style w:type="character" w:styleId="HTMLCode">
    <w:name w:val="HTML Code"/>
    <w:semiHidden/>
    <w:rsid w:val="008C2B1A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8C2B1A"/>
    <w:pPr>
      <w:spacing w:after="120"/>
      <w:ind w:left="283"/>
    </w:pPr>
  </w:style>
  <w:style w:type="paragraph" w:styleId="ListContinue2">
    <w:name w:val="List Continue 2"/>
    <w:basedOn w:val="Normal"/>
    <w:semiHidden/>
    <w:rsid w:val="008C2B1A"/>
    <w:pPr>
      <w:spacing w:after="120"/>
      <w:ind w:left="566"/>
    </w:pPr>
  </w:style>
  <w:style w:type="paragraph" w:styleId="ListContinue3">
    <w:name w:val="List Continue 3"/>
    <w:basedOn w:val="Normal"/>
    <w:semiHidden/>
    <w:rsid w:val="008C2B1A"/>
    <w:pPr>
      <w:spacing w:after="120"/>
      <w:ind w:left="849"/>
    </w:pPr>
  </w:style>
  <w:style w:type="paragraph" w:styleId="ListContinue4">
    <w:name w:val="List Continue 4"/>
    <w:basedOn w:val="Normal"/>
    <w:semiHidden/>
    <w:rsid w:val="008C2B1A"/>
    <w:pPr>
      <w:spacing w:after="120"/>
      <w:ind w:left="1132"/>
    </w:pPr>
  </w:style>
  <w:style w:type="paragraph" w:styleId="ListContinue5">
    <w:name w:val="List Continue 5"/>
    <w:basedOn w:val="Normal"/>
    <w:semiHidden/>
    <w:rsid w:val="008C2B1A"/>
    <w:pPr>
      <w:spacing w:after="120"/>
      <w:ind w:left="1415"/>
    </w:pPr>
  </w:style>
  <w:style w:type="character" w:styleId="HTMLDefinition">
    <w:name w:val="HTML Definition"/>
    <w:semiHidden/>
    <w:rsid w:val="008C2B1A"/>
    <w:rPr>
      <w:i/>
      <w:iCs/>
    </w:rPr>
  </w:style>
  <w:style w:type="paragraph" w:styleId="HTMLAddress">
    <w:name w:val="HTML Address"/>
    <w:basedOn w:val="Normal"/>
    <w:semiHidden/>
    <w:rsid w:val="008C2B1A"/>
    <w:rPr>
      <w:i/>
      <w:iCs/>
    </w:rPr>
  </w:style>
  <w:style w:type="paragraph" w:styleId="EnvelopeAddress">
    <w:name w:val="envelope address"/>
    <w:basedOn w:val="Normal"/>
    <w:semiHidden/>
    <w:rsid w:val="008C2B1A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8C2B1A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8C2B1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8C2B1A"/>
  </w:style>
  <w:style w:type="character" w:styleId="Emphasis">
    <w:name w:val="Emphasis"/>
    <w:qFormat/>
    <w:rsid w:val="008C2B1A"/>
    <w:rPr>
      <w:i/>
      <w:iCs/>
    </w:rPr>
  </w:style>
  <w:style w:type="paragraph" w:styleId="Date">
    <w:name w:val="Date"/>
    <w:basedOn w:val="Normal"/>
    <w:next w:val="Normal"/>
    <w:semiHidden/>
    <w:rsid w:val="008C2B1A"/>
  </w:style>
  <w:style w:type="paragraph" w:styleId="Signature">
    <w:name w:val="Signature"/>
    <w:basedOn w:val="Normal"/>
    <w:semiHidden/>
    <w:rsid w:val="008C2B1A"/>
    <w:pPr>
      <w:ind w:left="4252"/>
    </w:pPr>
  </w:style>
  <w:style w:type="paragraph" w:styleId="E-mailSignature">
    <w:name w:val="E-mail Signature"/>
    <w:basedOn w:val="Normal"/>
    <w:semiHidden/>
    <w:rsid w:val="008C2B1A"/>
  </w:style>
  <w:style w:type="character" w:styleId="Hyperlink">
    <w:name w:val="Hyperlink"/>
    <w:semiHidden/>
    <w:rsid w:val="008C2B1A"/>
    <w:rPr>
      <w:color w:val="0000FF"/>
      <w:u w:val="single"/>
    </w:rPr>
  </w:style>
  <w:style w:type="character" w:styleId="FollowedHyperlink">
    <w:name w:val="FollowedHyperlink"/>
    <w:semiHidden/>
    <w:rsid w:val="008C2B1A"/>
    <w:rPr>
      <w:color w:val="800080"/>
      <w:u w:val="single"/>
    </w:rPr>
  </w:style>
  <w:style w:type="paragraph" w:styleId="HTMLPreformatted">
    <w:name w:val="HTML Preformatted"/>
    <w:basedOn w:val="Normal"/>
    <w:semiHidden/>
    <w:rsid w:val="008C2B1A"/>
    <w:rPr>
      <w:rFonts w:ascii="Courier New" w:hAnsi="Courier New" w:cs="Courier New"/>
    </w:rPr>
  </w:style>
  <w:style w:type="paragraph" w:styleId="List">
    <w:name w:val="List"/>
    <w:basedOn w:val="Normal"/>
    <w:semiHidden/>
    <w:rsid w:val="008C2B1A"/>
    <w:pPr>
      <w:ind w:left="283" w:hanging="283"/>
    </w:pPr>
  </w:style>
  <w:style w:type="paragraph" w:styleId="List2">
    <w:name w:val="List 2"/>
    <w:basedOn w:val="Normal"/>
    <w:semiHidden/>
    <w:rsid w:val="008C2B1A"/>
    <w:pPr>
      <w:ind w:left="566" w:hanging="283"/>
    </w:pPr>
  </w:style>
  <w:style w:type="paragraph" w:styleId="List3">
    <w:name w:val="List 3"/>
    <w:basedOn w:val="Normal"/>
    <w:semiHidden/>
    <w:rsid w:val="008C2B1A"/>
    <w:pPr>
      <w:ind w:left="849" w:hanging="283"/>
    </w:pPr>
  </w:style>
  <w:style w:type="paragraph" w:styleId="List4">
    <w:name w:val="List 4"/>
    <w:basedOn w:val="Normal"/>
    <w:semiHidden/>
    <w:rsid w:val="008C2B1A"/>
    <w:pPr>
      <w:ind w:left="1132" w:hanging="283"/>
    </w:pPr>
  </w:style>
  <w:style w:type="paragraph" w:styleId="List5">
    <w:name w:val="List 5"/>
    <w:basedOn w:val="Normal"/>
    <w:semiHidden/>
    <w:rsid w:val="008C2B1A"/>
    <w:pPr>
      <w:ind w:left="1415" w:hanging="283"/>
    </w:pPr>
  </w:style>
  <w:style w:type="paragraph" w:styleId="ListNumber">
    <w:name w:val="List Number"/>
    <w:basedOn w:val="Normal"/>
    <w:semiHidden/>
    <w:rsid w:val="008C2B1A"/>
    <w:pPr>
      <w:numPr>
        <w:numId w:val="6"/>
      </w:numPr>
    </w:pPr>
  </w:style>
  <w:style w:type="paragraph" w:styleId="ListNumber2">
    <w:name w:val="List Number 2"/>
    <w:basedOn w:val="Normal"/>
    <w:semiHidden/>
    <w:rsid w:val="008C2B1A"/>
    <w:pPr>
      <w:numPr>
        <w:numId w:val="7"/>
      </w:numPr>
    </w:pPr>
  </w:style>
  <w:style w:type="paragraph" w:styleId="ListNumber3">
    <w:name w:val="List Number 3"/>
    <w:basedOn w:val="Normal"/>
    <w:semiHidden/>
    <w:rsid w:val="008C2B1A"/>
    <w:pPr>
      <w:numPr>
        <w:numId w:val="8"/>
      </w:numPr>
    </w:pPr>
  </w:style>
  <w:style w:type="paragraph" w:styleId="ListNumber4">
    <w:name w:val="List Number 4"/>
    <w:basedOn w:val="Normal"/>
    <w:semiHidden/>
    <w:rsid w:val="008C2B1A"/>
    <w:pPr>
      <w:numPr>
        <w:numId w:val="9"/>
      </w:numPr>
    </w:pPr>
  </w:style>
  <w:style w:type="paragraph" w:styleId="ListNumber5">
    <w:name w:val="List Number 5"/>
    <w:basedOn w:val="Normal"/>
    <w:semiHidden/>
    <w:rsid w:val="008C2B1A"/>
    <w:pPr>
      <w:numPr>
        <w:numId w:val="10"/>
      </w:numPr>
    </w:pPr>
  </w:style>
  <w:style w:type="paragraph" w:styleId="ListBullet">
    <w:name w:val="List Bullet"/>
    <w:basedOn w:val="Normal"/>
    <w:semiHidden/>
    <w:rsid w:val="008C2B1A"/>
    <w:pPr>
      <w:numPr>
        <w:numId w:val="11"/>
      </w:numPr>
    </w:pPr>
  </w:style>
  <w:style w:type="paragraph" w:styleId="ListBullet2">
    <w:name w:val="List Bullet 2"/>
    <w:basedOn w:val="Normal"/>
    <w:semiHidden/>
    <w:rsid w:val="008C2B1A"/>
    <w:pPr>
      <w:numPr>
        <w:numId w:val="12"/>
      </w:numPr>
    </w:pPr>
  </w:style>
  <w:style w:type="paragraph" w:styleId="ListBullet3">
    <w:name w:val="List Bullet 3"/>
    <w:basedOn w:val="Normal"/>
    <w:semiHidden/>
    <w:rsid w:val="008C2B1A"/>
    <w:pPr>
      <w:numPr>
        <w:numId w:val="13"/>
      </w:numPr>
    </w:pPr>
  </w:style>
  <w:style w:type="paragraph" w:styleId="ListBullet4">
    <w:name w:val="List Bullet 4"/>
    <w:basedOn w:val="Normal"/>
    <w:semiHidden/>
    <w:rsid w:val="008C2B1A"/>
    <w:pPr>
      <w:numPr>
        <w:numId w:val="14"/>
      </w:numPr>
    </w:pPr>
  </w:style>
  <w:style w:type="paragraph" w:styleId="ListBullet5">
    <w:name w:val="List Bullet 5"/>
    <w:basedOn w:val="Normal"/>
    <w:semiHidden/>
    <w:rsid w:val="008C2B1A"/>
    <w:pPr>
      <w:numPr>
        <w:numId w:val="15"/>
      </w:numPr>
    </w:pPr>
  </w:style>
  <w:style w:type="character" w:styleId="HTMLTypewriter">
    <w:name w:val="HTML Typewriter"/>
    <w:semiHidden/>
    <w:rsid w:val="008C2B1A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8C2B1A"/>
    <w:rPr>
      <w:sz w:val="24"/>
      <w:szCs w:val="24"/>
    </w:rPr>
  </w:style>
  <w:style w:type="character" w:styleId="LineNumber">
    <w:name w:val="line number"/>
    <w:basedOn w:val="DefaultParagraphFont"/>
    <w:semiHidden/>
    <w:rsid w:val="008C2B1A"/>
  </w:style>
  <w:style w:type="character" w:styleId="PageNumber">
    <w:name w:val="page number"/>
    <w:aliases w:val="7_G"/>
    <w:rsid w:val="008C2B1A"/>
    <w:rPr>
      <w:b/>
      <w:sz w:val="18"/>
    </w:rPr>
  </w:style>
  <w:style w:type="character" w:styleId="EndnoteReference">
    <w:name w:val="endnote reference"/>
    <w:aliases w:val="1_G"/>
    <w:basedOn w:val="FootnoteReference"/>
    <w:rsid w:val="008C2B1A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8C2B1A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8C2B1A"/>
  </w:style>
  <w:style w:type="paragraph" w:styleId="BodyTextIndent2">
    <w:name w:val="Body Text Indent 2"/>
    <w:basedOn w:val="Normal"/>
    <w:semiHidden/>
    <w:rsid w:val="008C2B1A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C2B1A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8C2B1A"/>
    <w:pPr>
      <w:spacing w:after="120"/>
      <w:ind w:left="283"/>
    </w:pPr>
  </w:style>
  <w:style w:type="paragraph" w:styleId="NormalIndent">
    <w:name w:val="Normal Indent"/>
    <w:basedOn w:val="Normal"/>
    <w:semiHidden/>
    <w:rsid w:val="008C2B1A"/>
    <w:pPr>
      <w:ind w:left="567"/>
    </w:pPr>
  </w:style>
  <w:style w:type="paragraph" w:styleId="Subtitle">
    <w:name w:val="Subtitle"/>
    <w:basedOn w:val="Normal"/>
    <w:qFormat/>
    <w:rsid w:val="008C2B1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C2B1A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C2B1A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C2B1A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C2B1A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C2B1A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C2B1A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8C2B1A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C2B1A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C2B1A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8C2B1A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8C2B1A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C2B1A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C2B1A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C2B1A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C2B1A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C2B1A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C2B1A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8C2B1A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8C2B1A"/>
    <w:pPr>
      <w:spacing w:after="120"/>
      <w:ind w:left="1440" w:right="1440"/>
    </w:pPr>
  </w:style>
  <w:style w:type="character" w:styleId="Strong">
    <w:name w:val="Strong"/>
    <w:qFormat/>
    <w:rsid w:val="008C2B1A"/>
    <w:rPr>
      <w:b/>
      <w:bCs/>
    </w:rPr>
  </w:style>
  <w:style w:type="paragraph" w:styleId="BodyText">
    <w:name w:val="Body Text"/>
    <w:basedOn w:val="Normal"/>
    <w:semiHidden/>
    <w:rsid w:val="008C2B1A"/>
    <w:pPr>
      <w:spacing w:after="120"/>
    </w:pPr>
  </w:style>
  <w:style w:type="paragraph" w:styleId="BodyText2">
    <w:name w:val="Body Text 2"/>
    <w:basedOn w:val="Normal"/>
    <w:semiHidden/>
    <w:rsid w:val="008C2B1A"/>
    <w:pPr>
      <w:spacing w:after="120" w:line="480" w:lineRule="auto"/>
    </w:pPr>
  </w:style>
  <w:style w:type="paragraph" w:styleId="BodyText3">
    <w:name w:val="Body Text 3"/>
    <w:basedOn w:val="Normal"/>
    <w:semiHidden/>
    <w:rsid w:val="008C2B1A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C2B1A"/>
    <w:pPr>
      <w:ind w:firstLine="210"/>
    </w:pPr>
  </w:style>
  <w:style w:type="paragraph" w:styleId="BodyTextFirstIndent2">
    <w:name w:val="Body Text First Indent 2"/>
    <w:basedOn w:val="BodyTextIndent"/>
    <w:semiHidden/>
    <w:rsid w:val="008C2B1A"/>
    <w:pPr>
      <w:ind w:firstLine="210"/>
    </w:pPr>
  </w:style>
  <w:style w:type="paragraph" w:styleId="EndnoteText">
    <w:name w:val="endnote text"/>
    <w:aliases w:val="2_G"/>
    <w:basedOn w:val="FootnoteText"/>
    <w:rsid w:val="008C2B1A"/>
  </w:style>
  <w:style w:type="paragraph" w:styleId="PlainText">
    <w:name w:val="Plain Text"/>
    <w:basedOn w:val="Normal"/>
    <w:semiHidden/>
    <w:rsid w:val="008C2B1A"/>
    <w:rPr>
      <w:rFonts w:ascii="Courier New" w:hAnsi="Courier New" w:cs="Courier New"/>
    </w:rPr>
  </w:style>
  <w:style w:type="paragraph" w:styleId="Title">
    <w:name w:val="Title"/>
    <w:basedOn w:val="Normal"/>
    <w:qFormat/>
    <w:rsid w:val="008C2B1A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8C2B1A"/>
    <w:rPr>
      <w:i/>
      <w:iCs/>
    </w:rPr>
  </w:style>
  <w:style w:type="paragraph" w:customStyle="1" w:styleId="Bullet1G">
    <w:name w:val="_Bullet 1_G"/>
    <w:basedOn w:val="Normal"/>
    <w:rsid w:val="008C2B1A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8C2B1A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4</Pages>
  <Words>1620</Words>
  <Characters>8916</Characters>
  <Application>Microsoft Office Word</Application>
  <DocSecurity>4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CRC/C/LBR/Q/2-4</vt:lpstr>
    </vt:vector>
  </TitlesOfParts>
  <Company/>
  <LinksUpToDate>false</LinksUpToDate>
  <CharactersWithSpaces>10515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CRC/C/LBR/Q/2-4</dc:title>
  <dc:subject>FINAL</dc:subject>
  <dc:creator>Froylan Silveira</dc:creator>
  <cp:keywords/>
  <dc:description/>
  <cp:lastModifiedBy>Maruchi Zeballos</cp:lastModifiedBy>
  <cp:revision>2</cp:revision>
  <cp:lastPrinted>2012-04-12T08:49:00Z</cp:lastPrinted>
  <dcterms:created xsi:type="dcterms:W3CDTF">2012-04-12T08:58:00Z</dcterms:created>
  <dcterms:modified xsi:type="dcterms:W3CDTF">2012-04-12T08:58:00Z</dcterms:modified>
</cp:coreProperties>
</file>