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2D29922F" w14:textId="77777777" w:rsidTr="00D121D2">
        <w:trPr>
          <w:trHeight w:hRule="exact" w:val="851"/>
        </w:trPr>
        <w:tc>
          <w:tcPr>
            <w:tcW w:w="142" w:type="dxa"/>
            <w:tcBorders>
              <w:bottom w:val="single" w:sz="4" w:space="0" w:color="auto"/>
            </w:tcBorders>
          </w:tcPr>
          <w:p w14:paraId="453635B2" w14:textId="77777777" w:rsidR="002D5AAC" w:rsidRDefault="002D5AAC" w:rsidP="002B2366">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4BB6D690"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4052378A" w14:textId="77777777" w:rsidR="002D5AAC" w:rsidRDefault="002B2366" w:rsidP="002B2366">
            <w:pPr>
              <w:jc w:val="right"/>
            </w:pPr>
            <w:r w:rsidRPr="002B2366">
              <w:rPr>
                <w:sz w:val="40"/>
              </w:rPr>
              <w:t>CRC</w:t>
            </w:r>
            <w:r>
              <w:t>/C/82/D/33/2017</w:t>
            </w:r>
          </w:p>
        </w:tc>
      </w:tr>
      <w:tr w:rsidR="002D5AAC" w:rsidRPr="00D03FA2" w14:paraId="43FD326D" w14:textId="77777777" w:rsidTr="00D121D2">
        <w:trPr>
          <w:trHeight w:hRule="exact" w:val="2835"/>
        </w:trPr>
        <w:tc>
          <w:tcPr>
            <w:tcW w:w="1280" w:type="dxa"/>
            <w:gridSpan w:val="2"/>
            <w:tcBorders>
              <w:top w:val="single" w:sz="4" w:space="0" w:color="auto"/>
              <w:bottom w:val="single" w:sz="12" w:space="0" w:color="auto"/>
            </w:tcBorders>
          </w:tcPr>
          <w:p w14:paraId="2ED9E1E1" w14:textId="77777777" w:rsidR="002D5AAC" w:rsidRDefault="002E5067" w:rsidP="00D121D2">
            <w:pPr>
              <w:spacing w:before="120"/>
              <w:jc w:val="center"/>
            </w:pPr>
            <w:r>
              <w:rPr>
                <w:noProof/>
                <w:lang w:val="fr-CH" w:eastAsia="fr-CH"/>
              </w:rPr>
              <w:drawing>
                <wp:inline distT="0" distB="0" distL="0" distR="0" wp14:anchorId="3BE62671" wp14:editId="075DA18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7BB2F2E"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630DEBA0" w14:textId="77777777" w:rsidR="002D5AAC" w:rsidRDefault="002B2366" w:rsidP="00D121D2">
            <w:pPr>
              <w:spacing w:before="240"/>
              <w:rPr>
                <w:lang w:val="en-US"/>
              </w:rPr>
            </w:pPr>
            <w:r>
              <w:rPr>
                <w:lang w:val="en-US"/>
              </w:rPr>
              <w:t>Distr.: General</w:t>
            </w:r>
          </w:p>
          <w:p w14:paraId="281532F7" w14:textId="77777777" w:rsidR="002B2366" w:rsidRDefault="002B2366" w:rsidP="002B2366">
            <w:pPr>
              <w:spacing w:line="240" w:lineRule="exact"/>
              <w:rPr>
                <w:lang w:val="en-US"/>
              </w:rPr>
            </w:pPr>
            <w:r>
              <w:rPr>
                <w:lang w:val="en-US"/>
              </w:rPr>
              <w:t>8 November 2019</w:t>
            </w:r>
          </w:p>
          <w:p w14:paraId="5050FF67" w14:textId="77777777" w:rsidR="002B2366" w:rsidRDefault="002B2366" w:rsidP="002B2366">
            <w:pPr>
              <w:spacing w:line="240" w:lineRule="exact"/>
              <w:rPr>
                <w:lang w:val="en-US"/>
              </w:rPr>
            </w:pPr>
            <w:r>
              <w:rPr>
                <w:lang w:val="en-US"/>
              </w:rPr>
              <w:t>Russian</w:t>
            </w:r>
          </w:p>
          <w:p w14:paraId="4E62EBCF" w14:textId="77777777" w:rsidR="002B2366" w:rsidRPr="00B937DF" w:rsidRDefault="002B2366" w:rsidP="002B2366">
            <w:pPr>
              <w:spacing w:line="240" w:lineRule="exact"/>
              <w:rPr>
                <w:lang w:val="en-US"/>
              </w:rPr>
            </w:pPr>
            <w:r>
              <w:rPr>
                <w:lang w:val="en-US"/>
              </w:rPr>
              <w:t>Original: English</w:t>
            </w:r>
          </w:p>
        </w:tc>
      </w:tr>
    </w:tbl>
    <w:p w14:paraId="63844B59" w14:textId="77777777" w:rsidR="00AE7E73" w:rsidRPr="00691A6B" w:rsidRDefault="00AE7E73" w:rsidP="00AE7E73">
      <w:pPr>
        <w:spacing w:before="120"/>
        <w:rPr>
          <w:b/>
          <w:bCs/>
          <w:sz w:val="24"/>
          <w:szCs w:val="24"/>
        </w:rPr>
      </w:pPr>
      <w:r w:rsidRPr="00691A6B">
        <w:rPr>
          <w:b/>
          <w:bCs/>
          <w:sz w:val="24"/>
          <w:szCs w:val="24"/>
        </w:rPr>
        <w:t>Комитет по правам ребенка</w:t>
      </w:r>
    </w:p>
    <w:p w14:paraId="654B87AC" w14:textId="77777777" w:rsidR="00AE7E73" w:rsidRPr="00691A6B" w:rsidRDefault="00AE7E73" w:rsidP="00AE7E73">
      <w:pPr>
        <w:pStyle w:val="HChG"/>
      </w:pPr>
      <w:r w:rsidRPr="00691A6B">
        <w:tab/>
      </w:r>
      <w:r w:rsidRPr="00691A6B">
        <w:tab/>
      </w:r>
      <w:r w:rsidRPr="00691A6B">
        <w:rPr>
          <w:bCs/>
        </w:rPr>
        <w:t>Решение, принятое Комитетом в соответствии с Факультативным протоколом к Конвенции о правах ребенка, касающимся процедуры сообщений, относительно сообщения № 33/2017</w:t>
      </w:r>
      <w:r w:rsidRPr="00691A6B">
        <w:rPr>
          <w:rStyle w:val="aa"/>
          <w:b w:val="0"/>
          <w:bCs/>
          <w:sz w:val="20"/>
          <w:vertAlign w:val="baseline"/>
        </w:rPr>
        <w:footnoteReference w:customMarkFollows="1" w:id="1"/>
        <w:t>*</w:t>
      </w:r>
      <w:r w:rsidRPr="00691A6B">
        <w:t xml:space="preserve"> </w:t>
      </w:r>
      <w:r w:rsidRPr="00691A6B">
        <w:rPr>
          <w:rStyle w:val="aa"/>
          <w:b w:val="0"/>
          <w:bCs/>
          <w:sz w:val="20"/>
          <w:vertAlign w:val="baseline"/>
        </w:rPr>
        <w:footnoteReference w:customMarkFollows="1" w:id="2"/>
        <w:t>**</w:t>
      </w:r>
      <w:r w:rsidRPr="00691A6B">
        <w:t xml:space="preserve"> </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691A6B" w:rsidRPr="00691A6B" w14:paraId="273F39C4" w14:textId="77777777" w:rsidTr="00AE7E73">
        <w:tc>
          <w:tcPr>
            <w:tcW w:w="2936" w:type="dxa"/>
            <w:hideMark/>
          </w:tcPr>
          <w:p w14:paraId="1DA0B25E" w14:textId="77777777" w:rsidR="00AE7E73" w:rsidRPr="00691A6B" w:rsidRDefault="00AE7E73">
            <w:pPr>
              <w:spacing w:after="120"/>
              <w:ind w:left="35"/>
              <w:rPr>
                <w:i/>
                <w:spacing w:val="4"/>
                <w:w w:val="103"/>
                <w:kern w:val="14"/>
              </w:rPr>
            </w:pPr>
            <w:r w:rsidRPr="00691A6B">
              <w:rPr>
                <w:i/>
              </w:rPr>
              <w:t>Сообщение представлено:</w:t>
            </w:r>
          </w:p>
        </w:tc>
        <w:tc>
          <w:tcPr>
            <w:tcW w:w="3874" w:type="dxa"/>
          </w:tcPr>
          <w:p w14:paraId="38E794AB" w14:textId="77777777" w:rsidR="00AE7E73" w:rsidRPr="00691A6B" w:rsidRDefault="00AE7E73">
            <w:pPr>
              <w:spacing w:after="120"/>
            </w:pPr>
            <w:r w:rsidRPr="00691A6B">
              <w:t>Е.П. и Ф.П. (представлены адвокатом, Д. Нёррунг)</w:t>
            </w:r>
          </w:p>
        </w:tc>
      </w:tr>
      <w:tr w:rsidR="00691A6B" w:rsidRPr="00691A6B" w14:paraId="63E2160C" w14:textId="77777777" w:rsidTr="00AE7E73">
        <w:tc>
          <w:tcPr>
            <w:tcW w:w="2936" w:type="dxa"/>
            <w:hideMark/>
          </w:tcPr>
          <w:p w14:paraId="3F97DF48" w14:textId="77777777" w:rsidR="00AE7E73" w:rsidRPr="00691A6B" w:rsidRDefault="00AE7E73">
            <w:pPr>
              <w:spacing w:after="120"/>
              <w:ind w:left="35"/>
              <w:rPr>
                <w:i/>
              </w:rPr>
            </w:pPr>
            <w:r w:rsidRPr="00691A6B">
              <w:rPr>
                <w:i/>
              </w:rPr>
              <w:t>Предполагаемые жертвы:</w:t>
            </w:r>
          </w:p>
        </w:tc>
        <w:tc>
          <w:tcPr>
            <w:tcW w:w="3874" w:type="dxa"/>
          </w:tcPr>
          <w:p w14:paraId="405DA725" w14:textId="77777777" w:rsidR="00AE7E73" w:rsidRPr="00691A6B" w:rsidRDefault="00AE7E73">
            <w:pPr>
              <w:spacing w:after="120"/>
            </w:pPr>
            <w:r w:rsidRPr="00691A6B">
              <w:t>А.П. и К.П.</w:t>
            </w:r>
          </w:p>
        </w:tc>
      </w:tr>
      <w:tr w:rsidR="00691A6B" w:rsidRPr="00691A6B" w14:paraId="2F9BECC5" w14:textId="77777777" w:rsidTr="00AE7E73">
        <w:tc>
          <w:tcPr>
            <w:tcW w:w="2936" w:type="dxa"/>
            <w:hideMark/>
          </w:tcPr>
          <w:p w14:paraId="7374C1DE" w14:textId="77777777" w:rsidR="00AE7E73" w:rsidRPr="00691A6B" w:rsidRDefault="00AE7E73">
            <w:pPr>
              <w:spacing w:after="120"/>
              <w:ind w:left="35"/>
              <w:rPr>
                <w:i/>
              </w:rPr>
            </w:pPr>
            <w:r w:rsidRPr="00691A6B">
              <w:rPr>
                <w:i/>
              </w:rPr>
              <w:t>Государство-участник:</w:t>
            </w:r>
          </w:p>
        </w:tc>
        <w:tc>
          <w:tcPr>
            <w:tcW w:w="3874" w:type="dxa"/>
          </w:tcPr>
          <w:p w14:paraId="613E56FC" w14:textId="77777777" w:rsidR="00AE7E73" w:rsidRPr="00691A6B" w:rsidRDefault="00AE7E73">
            <w:pPr>
              <w:spacing w:after="120"/>
            </w:pPr>
            <w:r w:rsidRPr="00691A6B">
              <w:t>Дания</w:t>
            </w:r>
          </w:p>
        </w:tc>
      </w:tr>
      <w:tr w:rsidR="00691A6B" w:rsidRPr="00691A6B" w14:paraId="7B5F8B92" w14:textId="77777777" w:rsidTr="00AE7E73">
        <w:tc>
          <w:tcPr>
            <w:tcW w:w="2936" w:type="dxa"/>
            <w:hideMark/>
          </w:tcPr>
          <w:p w14:paraId="0BD718A3" w14:textId="77777777" w:rsidR="00AE7E73" w:rsidRPr="00691A6B" w:rsidRDefault="00AE7E73">
            <w:pPr>
              <w:spacing w:after="120"/>
              <w:ind w:left="35"/>
              <w:rPr>
                <w:i/>
              </w:rPr>
            </w:pPr>
            <w:r w:rsidRPr="00691A6B">
              <w:rPr>
                <w:i/>
              </w:rPr>
              <w:t>Дата сообщения:</w:t>
            </w:r>
          </w:p>
        </w:tc>
        <w:tc>
          <w:tcPr>
            <w:tcW w:w="3874" w:type="dxa"/>
          </w:tcPr>
          <w:p w14:paraId="55D8DB3D" w14:textId="77777777" w:rsidR="00AE7E73" w:rsidRPr="00691A6B" w:rsidRDefault="00AE7E73">
            <w:pPr>
              <w:spacing w:after="120"/>
            </w:pPr>
            <w:r w:rsidRPr="00691A6B">
              <w:t>10 сентября 2017 года</w:t>
            </w:r>
          </w:p>
        </w:tc>
      </w:tr>
      <w:tr w:rsidR="00691A6B" w:rsidRPr="00691A6B" w14:paraId="5D8BE89E" w14:textId="77777777" w:rsidTr="00AE7E73">
        <w:tc>
          <w:tcPr>
            <w:tcW w:w="2936" w:type="dxa"/>
            <w:hideMark/>
          </w:tcPr>
          <w:p w14:paraId="1B7A6D22" w14:textId="77777777" w:rsidR="00AE7E73" w:rsidRPr="00691A6B" w:rsidRDefault="00AE7E73">
            <w:pPr>
              <w:spacing w:after="120"/>
              <w:ind w:left="35"/>
              <w:rPr>
                <w:i/>
              </w:rPr>
            </w:pPr>
            <w:r w:rsidRPr="00691A6B">
              <w:rPr>
                <w:i/>
              </w:rPr>
              <w:t>Дата принятия решения:</w:t>
            </w:r>
          </w:p>
        </w:tc>
        <w:tc>
          <w:tcPr>
            <w:tcW w:w="3874" w:type="dxa"/>
            <w:vAlign w:val="bottom"/>
          </w:tcPr>
          <w:p w14:paraId="42B96607" w14:textId="77777777" w:rsidR="00AE7E73" w:rsidRPr="00691A6B" w:rsidRDefault="00AE7E73">
            <w:pPr>
              <w:spacing w:after="120"/>
            </w:pPr>
            <w:r w:rsidRPr="00691A6B">
              <w:t>25 сентября 2019 года</w:t>
            </w:r>
          </w:p>
        </w:tc>
      </w:tr>
      <w:tr w:rsidR="00691A6B" w:rsidRPr="00691A6B" w14:paraId="7FCE61AD" w14:textId="77777777" w:rsidTr="00AE7E73">
        <w:tc>
          <w:tcPr>
            <w:tcW w:w="2936" w:type="dxa"/>
            <w:hideMark/>
          </w:tcPr>
          <w:p w14:paraId="5B67D994" w14:textId="77777777" w:rsidR="00AE7E73" w:rsidRPr="00691A6B" w:rsidRDefault="00AE7E73">
            <w:pPr>
              <w:spacing w:after="120"/>
              <w:ind w:left="35"/>
              <w:rPr>
                <w:i/>
              </w:rPr>
            </w:pPr>
            <w:r w:rsidRPr="00691A6B">
              <w:rPr>
                <w:i/>
                <w:iCs/>
              </w:rPr>
              <w:t>Тема сообщения:</w:t>
            </w:r>
          </w:p>
        </w:tc>
        <w:tc>
          <w:tcPr>
            <w:tcW w:w="3874" w:type="dxa"/>
          </w:tcPr>
          <w:p w14:paraId="3A12D6FC" w14:textId="77777777" w:rsidR="00AE7E73" w:rsidRPr="00691A6B" w:rsidRDefault="00AE7E73">
            <w:pPr>
              <w:spacing w:after="120"/>
            </w:pPr>
            <w:r w:rsidRPr="00691A6B">
              <w:t>депортация детей в Албанию, где по утверждениям авторов, им грозит опасность преследования на основании кровной мести</w:t>
            </w:r>
          </w:p>
        </w:tc>
      </w:tr>
      <w:tr w:rsidR="00691A6B" w:rsidRPr="00691A6B" w14:paraId="18436D4F" w14:textId="77777777" w:rsidTr="00AE7E73">
        <w:tc>
          <w:tcPr>
            <w:tcW w:w="2936" w:type="dxa"/>
            <w:hideMark/>
          </w:tcPr>
          <w:p w14:paraId="2B862BC6" w14:textId="77777777" w:rsidR="00AE7E73" w:rsidRPr="00691A6B" w:rsidRDefault="00AE7E73">
            <w:pPr>
              <w:spacing w:after="120"/>
              <w:ind w:left="35"/>
              <w:rPr>
                <w:i/>
                <w:iCs/>
              </w:rPr>
            </w:pPr>
            <w:r w:rsidRPr="00691A6B">
              <w:rPr>
                <w:i/>
                <w:iCs/>
              </w:rPr>
              <w:t>Процедурные вопросы</w:t>
            </w:r>
            <w:r w:rsidRPr="00691A6B">
              <w:rPr>
                <w:i/>
              </w:rPr>
              <w:t>:</w:t>
            </w:r>
          </w:p>
        </w:tc>
        <w:tc>
          <w:tcPr>
            <w:tcW w:w="3874" w:type="dxa"/>
          </w:tcPr>
          <w:p w14:paraId="554A2392" w14:textId="77777777" w:rsidR="00AE7E73" w:rsidRPr="00691A6B" w:rsidRDefault="00AE7E73">
            <w:pPr>
              <w:spacing w:after="120"/>
            </w:pPr>
            <w:r w:rsidRPr="00691A6B">
              <w:t>другая процедура международного разбирательства или урегулирования; неисчерпание внутренних средств правовой защиты; обоснованность утверждений</w:t>
            </w:r>
          </w:p>
        </w:tc>
      </w:tr>
      <w:tr w:rsidR="00691A6B" w:rsidRPr="00691A6B" w14:paraId="1FBA20A1" w14:textId="77777777" w:rsidTr="00AE7E73">
        <w:tc>
          <w:tcPr>
            <w:tcW w:w="2936" w:type="dxa"/>
            <w:hideMark/>
          </w:tcPr>
          <w:p w14:paraId="6DC53E4C" w14:textId="77777777" w:rsidR="00AE7E73" w:rsidRPr="00691A6B" w:rsidRDefault="00AE7E73">
            <w:pPr>
              <w:spacing w:after="120"/>
              <w:ind w:left="35"/>
              <w:rPr>
                <w:i/>
                <w:iCs/>
              </w:rPr>
            </w:pPr>
            <w:r w:rsidRPr="00691A6B">
              <w:rPr>
                <w:i/>
                <w:iCs/>
              </w:rPr>
              <w:t>Вопросы существа:</w:t>
            </w:r>
          </w:p>
        </w:tc>
        <w:tc>
          <w:tcPr>
            <w:tcW w:w="3874" w:type="dxa"/>
          </w:tcPr>
          <w:p w14:paraId="42F3D834" w14:textId="77777777" w:rsidR="00AE7E73" w:rsidRPr="00691A6B" w:rsidRDefault="00AE7E73">
            <w:pPr>
              <w:spacing w:after="120"/>
            </w:pPr>
            <w:r w:rsidRPr="00691A6B">
              <w:t>право на жизнь; наилучшее обеспечение интересов ребенка; недопустимость принудительного возвращения; право на образование</w:t>
            </w:r>
          </w:p>
        </w:tc>
      </w:tr>
      <w:tr w:rsidR="00691A6B" w:rsidRPr="00691A6B" w14:paraId="78E32DCB" w14:textId="77777777" w:rsidTr="00AE7E73">
        <w:tc>
          <w:tcPr>
            <w:tcW w:w="2936" w:type="dxa"/>
            <w:hideMark/>
          </w:tcPr>
          <w:p w14:paraId="42827CE1" w14:textId="77777777" w:rsidR="00AE7E73" w:rsidRPr="00691A6B" w:rsidRDefault="00AE7E73">
            <w:pPr>
              <w:spacing w:after="120"/>
              <w:ind w:left="35"/>
              <w:rPr>
                <w:i/>
                <w:iCs/>
              </w:rPr>
            </w:pPr>
            <w:r w:rsidRPr="00691A6B">
              <w:rPr>
                <w:i/>
                <w:iCs/>
              </w:rPr>
              <w:t>Статьи Конвенции</w:t>
            </w:r>
            <w:r w:rsidRPr="00691A6B">
              <w:rPr>
                <w:i/>
              </w:rPr>
              <w:t>:</w:t>
            </w:r>
          </w:p>
        </w:tc>
        <w:tc>
          <w:tcPr>
            <w:tcW w:w="3874" w:type="dxa"/>
          </w:tcPr>
          <w:p w14:paraId="22FDAD04" w14:textId="77777777" w:rsidR="00AE7E73" w:rsidRPr="00691A6B" w:rsidRDefault="00AE7E73">
            <w:pPr>
              <w:spacing w:after="120"/>
            </w:pPr>
            <w:r w:rsidRPr="00691A6B">
              <w:t>2, 3, 6 и 28</w:t>
            </w:r>
          </w:p>
        </w:tc>
      </w:tr>
      <w:tr w:rsidR="00691A6B" w:rsidRPr="00691A6B" w14:paraId="6DB8AE68" w14:textId="77777777" w:rsidTr="00AE7E73">
        <w:tc>
          <w:tcPr>
            <w:tcW w:w="2936" w:type="dxa"/>
            <w:hideMark/>
          </w:tcPr>
          <w:p w14:paraId="3E60BF8E" w14:textId="77777777" w:rsidR="00AE7E73" w:rsidRPr="00691A6B" w:rsidRDefault="00AE7E73">
            <w:pPr>
              <w:spacing w:after="120"/>
              <w:ind w:left="35"/>
              <w:rPr>
                <w:i/>
                <w:iCs/>
              </w:rPr>
            </w:pPr>
            <w:r w:rsidRPr="00691A6B">
              <w:rPr>
                <w:i/>
                <w:iCs/>
              </w:rPr>
              <w:t>Статьи Факультативного протокола:</w:t>
            </w:r>
            <w:bookmarkStart w:id="0" w:name="_GoBack"/>
            <w:bookmarkEnd w:id="0"/>
          </w:p>
        </w:tc>
        <w:tc>
          <w:tcPr>
            <w:tcW w:w="3874" w:type="dxa"/>
          </w:tcPr>
          <w:p w14:paraId="20A17956" w14:textId="77777777" w:rsidR="00AE7E73" w:rsidRPr="00691A6B" w:rsidRDefault="00AE7E73">
            <w:pPr>
              <w:spacing w:after="120"/>
            </w:pPr>
            <w:r w:rsidRPr="00691A6B">
              <w:t>пункты d), e) и f) статьи 7</w:t>
            </w:r>
          </w:p>
        </w:tc>
      </w:tr>
    </w:tbl>
    <w:p w14:paraId="6107C7A3" w14:textId="77777777" w:rsidR="00AE7E73" w:rsidRPr="00691A6B" w:rsidRDefault="00AE7E73" w:rsidP="00AE7E73">
      <w:pPr>
        <w:rPr>
          <w:lang w:eastAsia="ru-RU"/>
        </w:rPr>
      </w:pPr>
    </w:p>
    <w:p w14:paraId="02829BCC" w14:textId="77777777" w:rsidR="00AE7E73" w:rsidRPr="00691A6B" w:rsidRDefault="00AE7E73">
      <w:pPr>
        <w:suppressAutoHyphens w:val="0"/>
        <w:spacing w:line="240" w:lineRule="auto"/>
        <w:rPr>
          <w:rFonts w:eastAsia="Times New Roman" w:cs="Times New Roman"/>
          <w:szCs w:val="20"/>
        </w:rPr>
      </w:pPr>
      <w:r w:rsidRPr="00691A6B">
        <w:br w:type="page"/>
      </w:r>
    </w:p>
    <w:p w14:paraId="679FA3F1" w14:textId="77777777" w:rsidR="00AE7E73" w:rsidRPr="00691A6B" w:rsidRDefault="00AE7E73" w:rsidP="00AE7E73">
      <w:pPr>
        <w:pStyle w:val="SingleTxtG"/>
        <w:spacing w:before="240"/>
      </w:pPr>
      <w:r w:rsidRPr="00691A6B">
        <w:lastRenderedPageBreak/>
        <w:t>1.1</w:t>
      </w:r>
      <w:r w:rsidRPr="00691A6B">
        <w:tab/>
        <w:t>Авторами сообщения являются Е.П. и Ф.П., граждане Албании, родившиеся в 1967 и 1977 году соответственно. Авторы представили сообщение от имени своего сына А.П., родившегося 14 апреля 2002 года, и своей дочери К.П., родившейся 3 мая 2005 года, также граждан Албании. Они утверждают, что, депортировав их сына и дочь в Албанию, государство-участник нарушит права детей, предусмотренные статьями 2, 3, 6 и 28 Конвенции. Авторы представлены адвокатом. Факультативный протокол вступил в силу для Дании 7 января 2016 года.</w:t>
      </w:r>
      <w:bookmarkStart w:id="1" w:name="_Hlk3653069"/>
      <w:bookmarkEnd w:id="1"/>
    </w:p>
    <w:p w14:paraId="726155A7" w14:textId="77777777" w:rsidR="00AE7E73" w:rsidRPr="00691A6B" w:rsidRDefault="00AE7E73" w:rsidP="00AE7E73">
      <w:pPr>
        <w:pStyle w:val="SingleTxtG"/>
      </w:pPr>
      <w:r w:rsidRPr="00691A6B">
        <w:t>1.2</w:t>
      </w:r>
      <w:r w:rsidRPr="00691A6B">
        <w:tab/>
        <w:t xml:space="preserve">В соответствии со статьей 6 Факультативного протокола 18 сентября 2017 года Рабочая группа по сообщениям обратилась от имени Комитета к государству-участнику с просьбой воздержаться от возвращения авторов и их детей в Албанию на время рассмотрения их дела в Комитете. 21 сентября 2017 года государство-участник приостановило исполнение распоряжения о депортации авторов сообщения и их детей. </w:t>
      </w:r>
    </w:p>
    <w:p w14:paraId="1B1FD73D" w14:textId="77777777" w:rsidR="00AE7E73" w:rsidRPr="00691A6B" w:rsidRDefault="00AE7E73" w:rsidP="00AE7E73">
      <w:pPr>
        <w:pStyle w:val="SingleTxtG"/>
      </w:pPr>
      <w:r w:rsidRPr="00691A6B">
        <w:t>1.3</w:t>
      </w:r>
      <w:r w:rsidRPr="00691A6B">
        <w:tab/>
        <w:t>1 ноября 2017 года государство-участник обратилось в Комитет с просьбой рассмотреть вопрос о приемлемости сообщения отдельно от его существа и отменить временные меры. 6 февраля 2018 года Рабочая группа по сообщениям, действуя от имени Комитета, постановила отклонить обе просьбы.</w:t>
      </w:r>
    </w:p>
    <w:p w14:paraId="2F910478" w14:textId="77777777" w:rsidR="00AE7E73" w:rsidRPr="00691A6B" w:rsidRDefault="00AE7E73" w:rsidP="00AE7E73">
      <w:pPr>
        <w:pStyle w:val="H23G"/>
      </w:pPr>
      <w:r w:rsidRPr="00691A6B">
        <w:tab/>
      </w:r>
      <w:r w:rsidRPr="00691A6B">
        <w:tab/>
      </w:r>
      <w:r w:rsidRPr="00691A6B">
        <w:rPr>
          <w:bCs/>
        </w:rPr>
        <w:t>Факты в изложении авторов</w:t>
      </w:r>
      <w:r w:rsidRPr="00691A6B">
        <w:t xml:space="preserve"> </w:t>
      </w:r>
    </w:p>
    <w:p w14:paraId="69654A1B" w14:textId="77777777" w:rsidR="00AE7E73" w:rsidRPr="00691A6B" w:rsidRDefault="00AE7E73" w:rsidP="00AE7E73">
      <w:pPr>
        <w:pStyle w:val="SingleTxtG"/>
      </w:pPr>
      <w:r w:rsidRPr="00691A6B">
        <w:t>2.1</w:t>
      </w:r>
      <w:r w:rsidRPr="00691A6B">
        <w:tab/>
        <w:t xml:space="preserve">30 июня 2012 года авторы прибыли в Данию со своими двумя детьми А.П. и К.П. 3 июля 2012 года они подали ходатайство о предоставлении им убежища в связи с тем, что в Албании их жизнь подвергается опасности из-за кровной мести. 18 июля 2012 года Иммиграционная служба Дании отклонила их ходатайство без права обжалования, признав его явно необоснованным. </w:t>
      </w:r>
    </w:p>
    <w:p w14:paraId="6DD8D7D4" w14:textId="77777777" w:rsidR="00AE7E73" w:rsidRPr="00691A6B" w:rsidRDefault="00AE7E73" w:rsidP="00AE7E73">
      <w:pPr>
        <w:pStyle w:val="SingleTxtG"/>
      </w:pPr>
      <w:r w:rsidRPr="00691A6B">
        <w:t>2.2</w:t>
      </w:r>
      <w:r w:rsidRPr="00691A6B">
        <w:tab/>
        <w:t>В неуказанную дату авторы ходатайствовали о выдаче им вида на жительство по гуманитарным соображениям согласно пункту 1 статьи 9b Закона об иностранцах (сводный текст) в связи с госпитализацией отца. 7 июня 2013 года Министерство юстиции отклонило это ходатайство и предписало авторам и их детям покинуть Данию не позднее 22 июня 2013 года. 21 июня 2013 года авторы подали иск против Иммиграционной службы Дании, ходатайствуя о предоставлении им убежища или, в качестве альтернативы, права на обжалование решения по их просьбе о предоставлении убежища. В конце 2015 года Высокий суд отклонил ходатайства авторов. Хотя их просьба о приостановлении депортации на время судебного разбирательства была отклонена, авторы смогли остаться в Дании, поскольку Комитет по правам человека удовлетворил просьбу о принятии временных мер для приостановлении их высылки</w:t>
      </w:r>
      <w:r w:rsidRPr="00691A6B">
        <w:rPr>
          <w:rStyle w:val="aa"/>
        </w:rPr>
        <w:footnoteReference w:id="3"/>
      </w:r>
      <w:r w:rsidRPr="00691A6B">
        <w:t>.</w:t>
      </w:r>
    </w:p>
    <w:p w14:paraId="32DCE10B" w14:textId="77777777" w:rsidR="00AE7E73" w:rsidRPr="00691A6B" w:rsidRDefault="00AE7E73" w:rsidP="00AE7E73">
      <w:pPr>
        <w:pStyle w:val="SingleTxtG"/>
      </w:pPr>
      <w:r w:rsidRPr="00691A6B">
        <w:t>2.3</w:t>
      </w:r>
      <w:r w:rsidRPr="00691A6B">
        <w:tab/>
        <w:t xml:space="preserve">7 января 2016 года авторы подали ходатайство о выдаче им вида на жительство по гуманитарным соображениям в соответствии с пунктом 1 статьи 9с Закона об иностранцах (сводный текст), аргументируя это тем, что их депортация будет противоречить принципу наилучшего обеспечения интересов ребенка. Вместе с ходатайством они представили заключение психолога, который осмотрел их детей и отметил их связь с Данией и беспокойство по поводу перспективы возвращения, в частности страх мальчика «столкнуться с риском и опасностью для жизни». В феврале 2016 года Иммиграционная служба Дании приняла решение приостановить депортацию авторов и их детей на время рассмотрения их ходатайства. </w:t>
      </w:r>
    </w:p>
    <w:p w14:paraId="5EB234BE" w14:textId="77777777" w:rsidR="00AE7E73" w:rsidRPr="00691A6B" w:rsidRDefault="00AE7E73" w:rsidP="00AE7E73">
      <w:pPr>
        <w:pStyle w:val="SingleTxtG"/>
      </w:pPr>
      <w:r w:rsidRPr="00691A6B">
        <w:t>2.4</w:t>
      </w:r>
      <w:r w:rsidRPr="00691A6B">
        <w:tab/>
        <w:t xml:space="preserve">21 июля 2017 года Иммиграционная служба Дании отклонила их ходатайство. Она постановила, что не существует никаких особых причин, включая соображения единства семьи и благополучия детей, или любых других значимых медицинских или гуманитарных обстоятельств, которые оправдывали бы предоставление им вида на жительство. Иммиграционная служба отметила, что отказ в выдаче вида на жительство в данном случае не будет представлять собой нарушение Конвенции о правах ребенка или Конвенции о защите прав человека и основных свобод (Европейской конвенции о правах человека). Она сочла, что несмотря на обучение в школе в Дании и знание датского языка, связь детей со страной не настолько сильна, чтобы послужить </w:t>
      </w:r>
      <w:r w:rsidRPr="00691A6B">
        <w:lastRenderedPageBreak/>
        <w:t>основанием для получения вида на жительство. Служба заявила, что тот факт, что на детей оказывается серьезное давление в связи с возможным возвращением в Албанию, не может изменить принятого решения. Она отметила, что А.П. в течение значительного числа лет воспитывался и посещал школу в Албании</w:t>
      </w:r>
      <w:r w:rsidR="00691A6B" w:rsidRPr="00691A6B">
        <w:t xml:space="preserve"> </w:t>
      </w:r>
      <w:r w:rsidRPr="00691A6B">
        <w:t xml:space="preserve">и что К.П. также начала там школьное обучение, и пришла к выводу, что они смогут продолжить свое воспитание и обучение в Албании. Ссылаясь на решение, принятое ей в 2012 году, в котором она признала утверждения о кровной мести явно необоснованными, Иммиграционная служба пришла к выводу, что дети смогут расти в семейном окружении своих родителей в Албании. </w:t>
      </w:r>
    </w:p>
    <w:p w14:paraId="759E3D61" w14:textId="77777777" w:rsidR="00AE7E73" w:rsidRPr="00691A6B" w:rsidRDefault="00AE7E73" w:rsidP="00AE7E73">
      <w:pPr>
        <w:pStyle w:val="SingleTxtG"/>
      </w:pPr>
      <w:r w:rsidRPr="00691A6B">
        <w:t>2.5</w:t>
      </w:r>
      <w:r w:rsidRPr="00691A6B">
        <w:tab/>
        <w:t xml:space="preserve">27 июля 2017 года авторы обжаловали это решение в Апелляционном совете по вопросам иммиграции и просили приостановить их депортацию. 4 августа 2017 года их просьба о приостановлении депортации была отклонена, в то время как апелляционная жалоба по-прежнему находится на рассмотрении Совета. </w:t>
      </w:r>
    </w:p>
    <w:p w14:paraId="52A5A2B4" w14:textId="77777777" w:rsidR="00AE7E73" w:rsidRPr="00691A6B" w:rsidRDefault="00AE7E73" w:rsidP="00AE7E73">
      <w:pPr>
        <w:pStyle w:val="H23G"/>
      </w:pPr>
      <w:r w:rsidRPr="00691A6B">
        <w:tab/>
      </w:r>
      <w:r w:rsidRPr="00691A6B">
        <w:tab/>
      </w:r>
      <w:r w:rsidRPr="00691A6B">
        <w:rPr>
          <w:bCs/>
        </w:rPr>
        <w:t>Жалоба</w:t>
      </w:r>
    </w:p>
    <w:p w14:paraId="375FC5F5" w14:textId="77777777" w:rsidR="00AE7E73" w:rsidRPr="00691A6B" w:rsidRDefault="00AE7E73" w:rsidP="00AE7E73">
      <w:pPr>
        <w:pStyle w:val="SingleTxtG"/>
      </w:pPr>
      <w:r w:rsidRPr="00691A6B">
        <w:t>3.1</w:t>
      </w:r>
      <w:r w:rsidRPr="00691A6B">
        <w:tab/>
        <w:t xml:space="preserve">Авторы утверждают, что возвращение их детей в Албанию будет представлять собой нарушение принципа недопустимости принудительного возвращения в соответствии со статьей 2, рассматриваемой в совокупности со статьей 6 Конвенции. Они также утверждают, что жизни их детей, в особенности мальчика, угрожает опасность, учитывая тот факт, что кровная месть вынудила семью скрываться и жить раздельно, а в конечном итоге и бежать из Албании. Кроме того, они утверждают, что их попытка прекратить кровную вражду была безуспешной. </w:t>
      </w:r>
    </w:p>
    <w:p w14:paraId="703A176D" w14:textId="77777777" w:rsidR="00AE7E73" w:rsidRPr="00691A6B" w:rsidRDefault="00AE7E73" w:rsidP="00AE7E73">
      <w:pPr>
        <w:pStyle w:val="SingleTxtG"/>
      </w:pPr>
      <w:r w:rsidRPr="00691A6B">
        <w:t>3.2</w:t>
      </w:r>
      <w:r w:rsidRPr="00691A6B">
        <w:tab/>
        <w:t>Авторы далее утверждают, что депортация детей не отвечает принципу наилучшего обеспечения их интересов и, таким образом, будет представлять собой нарушение статьи 3 Конвенции. Ссылаясь на проведенную психологом оценку состояния детей, авторы утверждают, что они испытывают явный субъективный страх по поводу возвращения в Албанию.</w:t>
      </w:r>
    </w:p>
    <w:p w14:paraId="7FA19F1D" w14:textId="77777777" w:rsidR="00AE7E73" w:rsidRPr="00691A6B" w:rsidRDefault="00AE7E73" w:rsidP="00AE7E73">
      <w:pPr>
        <w:pStyle w:val="SingleTxtG"/>
      </w:pPr>
      <w:r w:rsidRPr="00691A6B">
        <w:t>3.3</w:t>
      </w:r>
      <w:r w:rsidRPr="00691A6B">
        <w:tab/>
        <w:t xml:space="preserve">Авторы заявляют, что возвращение детей будет представлять собой серьезное препятствие </w:t>
      </w:r>
      <w:r w:rsidRPr="00691A6B">
        <w:rPr>
          <w:shd w:val="clear" w:color="auto" w:fill="FFFFFF"/>
        </w:rPr>
        <w:t>на пути к получению ими образования</w:t>
      </w:r>
      <w:r w:rsidRPr="00691A6B">
        <w:t xml:space="preserve"> в нарушение статьи 28 Конвенции, учитывая, что они находятся в датской школьной системе на протяжении последних пяти лет и должны будут адаптироваться к обучению в новой школе на другом языке.</w:t>
      </w:r>
    </w:p>
    <w:p w14:paraId="766218BD" w14:textId="77777777" w:rsidR="00AE7E73" w:rsidRPr="00691A6B" w:rsidRDefault="00AE7E73" w:rsidP="00AE7E73">
      <w:pPr>
        <w:pStyle w:val="SingleTxtG"/>
      </w:pPr>
      <w:r w:rsidRPr="00691A6B">
        <w:t>3.4</w:t>
      </w:r>
      <w:r w:rsidRPr="00691A6B">
        <w:tab/>
        <w:t>Наконец, авторы утверждают, что предмет их жалобы в Комитет по правам человека не совпадает с предметом настоящей жалобы, поскольку предыдущая жалоба касалась отклонения ходатайств авторов о предоставлении убежищ</w:t>
      </w:r>
      <w:r w:rsidR="00CF3205">
        <w:t>а</w:t>
      </w:r>
      <w:r w:rsidRPr="00691A6B">
        <w:t xml:space="preserve"> в связи с их необоснованностью.</w:t>
      </w:r>
    </w:p>
    <w:p w14:paraId="2C5BF895" w14:textId="77777777" w:rsidR="00AE7E73" w:rsidRPr="00691A6B" w:rsidRDefault="00AE7E73" w:rsidP="00AE7E73">
      <w:pPr>
        <w:pStyle w:val="H23G"/>
      </w:pPr>
      <w:r w:rsidRPr="00691A6B">
        <w:tab/>
      </w:r>
      <w:r w:rsidRPr="00691A6B">
        <w:tab/>
      </w:r>
      <w:r w:rsidRPr="00691A6B">
        <w:rPr>
          <w:bCs/>
        </w:rPr>
        <w:t>Замечания государства-участника относительно приемлемости сообщения</w:t>
      </w:r>
    </w:p>
    <w:p w14:paraId="5F5C3196" w14:textId="77777777" w:rsidR="00AE7E73" w:rsidRPr="00691A6B" w:rsidRDefault="00AE7E73" w:rsidP="00AE7E73">
      <w:pPr>
        <w:pStyle w:val="SingleTxtG"/>
      </w:pPr>
      <w:r w:rsidRPr="00691A6B">
        <w:t>4.1</w:t>
      </w:r>
      <w:r w:rsidRPr="00691A6B">
        <w:tab/>
        <w:t>В своих замечаниях от 1 ноября 2017 года государство-участник напоминает об изложенных в сообщении фактах, в том числе о предпринятых процессуальных действиях. Оно также отмечает, что в 2015 году Комитет по правам человека признал сообщение авторов неприемлемым в соответствии со статьей 2 Факультативного протокола к Международному пакту о гражданских и политических правах</w:t>
      </w:r>
      <w:r w:rsidRPr="00691A6B">
        <w:rPr>
          <w:rStyle w:val="aa"/>
        </w:rPr>
        <w:footnoteReference w:id="4"/>
      </w:r>
      <w:r w:rsidRPr="00691A6B">
        <w:t>.</w:t>
      </w:r>
    </w:p>
    <w:p w14:paraId="6EE72FF1" w14:textId="77777777" w:rsidR="00AE7E73" w:rsidRPr="00691A6B" w:rsidRDefault="00AE7E73" w:rsidP="00AE7E73">
      <w:pPr>
        <w:pStyle w:val="SingleTxtG"/>
      </w:pPr>
      <w:r w:rsidRPr="00691A6B">
        <w:t>4.2</w:t>
      </w:r>
      <w:r w:rsidRPr="00691A6B">
        <w:tab/>
        <w:t>Что касается приемлемости сообщения авторов, то государство-участник отмечает, что их жалоба находится на рассмотрении Апелляционного совета по вопросам иммиграции. Оно утверждает, что, даже если Совет отклонит их жалобу, их дело все равно может быть передано в суд в соответствии со статьей 63 Конституции. Таким образом, государство-участник заявляет, что внутренние средства правовой защиты не были исчерпаны и что сообщение следует признать неприемлемым в соответствии с пунктом е) статьи 7 Факультативного протокола, касающегося процедуры сообщений.</w:t>
      </w:r>
    </w:p>
    <w:p w14:paraId="36271255" w14:textId="77777777" w:rsidR="00AE7E73" w:rsidRPr="00691A6B" w:rsidRDefault="00AE7E73" w:rsidP="00AE7E73">
      <w:pPr>
        <w:pStyle w:val="H23G"/>
      </w:pPr>
      <w:bookmarkStart w:id="2" w:name="_Hlk529819414"/>
      <w:r w:rsidRPr="00691A6B">
        <w:lastRenderedPageBreak/>
        <w:tab/>
      </w:r>
      <w:r w:rsidRPr="00691A6B">
        <w:tab/>
      </w:r>
      <w:r w:rsidRPr="00691A6B">
        <w:rPr>
          <w:bCs/>
        </w:rPr>
        <w:t>Комментарии авторов к замечаниям государства-участника относительно приемлемости сообщения</w:t>
      </w:r>
      <w:bookmarkEnd w:id="2"/>
    </w:p>
    <w:p w14:paraId="13F7225F" w14:textId="77777777" w:rsidR="00AE7E73" w:rsidRPr="00691A6B" w:rsidRDefault="00AE7E73" w:rsidP="00AE7E73">
      <w:pPr>
        <w:pStyle w:val="SingleTxtG"/>
      </w:pPr>
      <w:r w:rsidRPr="00691A6B">
        <w:t>5.</w:t>
      </w:r>
      <w:r w:rsidRPr="00691A6B">
        <w:tab/>
        <w:t>В своих комментариях от 6 декабря 2017 года авторы утверждают, что, хотя их жалоба от 27 июля 2017 года находится на рассмотрении Апелляционного совета по вопросам иммиграции, их просьба о приостановлении депортации уже была отклонена 4 августа 2017 года. Они заявляют, что их депортация была приостановлена только на основании просьбы Комитета о принятии временных мер. В этой связи авторы утверждает, что они исчерпали все внутренние средства правовой защиты.</w:t>
      </w:r>
    </w:p>
    <w:p w14:paraId="0AEE41AD" w14:textId="77777777" w:rsidR="00AE7E73" w:rsidRPr="00691A6B" w:rsidRDefault="00AE7E73" w:rsidP="00AE7E73">
      <w:pPr>
        <w:pStyle w:val="H23G"/>
      </w:pPr>
      <w:r w:rsidRPr="00691A6B">
        <w:tab/>
      </w:r>
      <w:r w:rsidRPr="00691A6B">
        <w:tab/>
      </w:r>
      <w:r w:rsidRPr="00691A6B">
        <w:rPr>
          <w:bCs/>
        </w:rPr>
        <w:t>Замечания государства-участника относительно приемлемости и существа сообщения</w:t>
      </w:r>
    </w:p>
    <w:p w14:paraId="715A2EEF" w14:textId="77777777" w:rsidR="00AE7E73" w:rsidRPr="00691A6B" w:rsidRDefault="00AE7E73" w:rsidP="00AE7E73">
      <w:pPr>
        <w:pStyle w:val="SingleTxtG"/>
      </w:pPr>
      <w:r w:rsidRPr="00691A6B">
        <w:t>6.1</w:t>
      </w:r>
      <w:r w:rsidRPr="00691A6B">
        <w:tab/>
        <w:t xml:space="preserve">В своих замечаниях от 6 июня 2018 года государство-участник вновь повторяет свою версию событий и свои утверждения относительно приемлемости сообщения. Оно утверждает, что авторы по-прежнему могут ходатайствовать о судебном пересмотре, даже несмотря на то, что Апелляционный совет по вопросам иммиграции отклонил их жалобу 6 апреля 2018 года. </w:t>
      </w:r>
    </w:p>
    <w:p w14:paraId="2BC783A8" w14:textId="77777777" w:rsidR="00AE7E73" w:rsidRPr="00691A6B" w:rsidRDefault="00AE7E73" w:rsidP="00AE7E73">
      <w:pPr>
        <w:pStyle w:val="SingleTxtG"/>
      </w:pPr>
      <w:r w:rsidRPr="00691A6B">
        <w:t>6.2</w:t>
      </w:r>
      <w:r w:rsidRPr="00691A6B">
        <w:tab/>
        <w:t xml:space="preserve">Кроме того, государство-участник утверждает, что авторы не смогли обосновать prima facie приемлемость своего сообщения в соответствии с пунктом f) статьи 7 Факультативного протокола, поскольку не смогли подтвердить наличие опасности для их детей в случае их возвращения. Государство-участник добавляет, что, если Комитет сочтет сообщение приемлемым, следует учитывать, что не было установлено наличие серьезных оснований полагать, что депортация в данном случае будет представлять собой нарушение статей 2, 3, 6 и 28 Конвенции. </w:t>
      </w:r>
    </w:p>
    <w:p w14:paraId="20128F30" w14:textId="77777777" w:rsidR="00AE7E73" w:rsidRPr="00691A6B" w:rsidRDefault="00AE7E73" w:rsidP="00AE7E73">
      <w:pPr>
        <w:pStyle w:val="SingleTxtG"/>
      </w:pPr>
      <w:bookmarkStart w:id="3" w:name="_Hlk529819300"/>
      <w:r w:rsidRPr="00691A6B">
        <w:t>6.3</w:t>
      </w:r>
      <w:r w:rsidRPr="00691A6B">
        <w:tab/>
        <w:t xml:space="preserve">Государство-участник отмечает, что авторы не предоставили никаких новых материалов или информации о своей ситуации, отличающихся от тех, которые ранее были представлены в Апелляционный совет по вопросам иммиграции и рассмотрены им при принятии его решения от 6 апреля 2018 года. </w:t>
      </w:r>
    </w:p>
    <w:p w14:paraId="030BDF09" w14:textId="77777777" w:rsidR="00AE7E73" w:rsidRPr="00691A6B" w:rsidRDefault="00AE7E73" w:rsidP="00AE7E73">
      <w:pPr>
        <w:pStyle w:val="SingleTxtG"/>
      </w:pPr>
      <w:r w:rsidRPr="00691A6B">
        <w:t>6.4</w:t>
      </w:r>
      <w:r w:rsidRPr="00691A6B">
        <w:tab/>
        <w:t xml:space="preserve">Государство-участник напоминает, что в соответствии с практикой Комитета рассмотрение фактов и доказательств в каждом конкретном деле, как правило, входит в компетенцию национальных судебных органов за исключением тех случаев, когда подобное рассмотрение является явно произвольным или равнозначным отказу в правосудии. В этой связи государство-участник отмечает, что Апелляционный совет по вопросам иммиграции принял во внимание принцип наилучшего обеспечения интересов ребенка, как того требует статья 3 Конвенции. </w:t>
      </w:r>
    </w:p>
    <w:p w14:paraId="79781164" w14:textId="77777777" w:rsidR="00AE7E73" w:rsidRPr="00691A6B" w:rsidRDefault="00AE7E73" w:rsidP="00AE7E73">
      <w:pPr>
        <w:pStyle w:val="SingleTxtG"/>
      </w:pPr>
      <w:r w:rsidRPr="00691A6B">
        <w:t>6.5</w:t>
      </w:r>
      <w:r w:rsidRPr="00691A6B">
        <w:tab/>
        <w:t>Государство-участник далее отмечает, что национальные власти обладают большими возможностями для оценки не только фактических обстоятельств дела, но и прежде всего степени достоверности заявлений авторов, поскольку они имели возможность заслушать их</w:t>
      </w:r>
      <w:r w:rsidRPr="00691A6B">
        <w:rPr>
          <w:rStyle w:val="aa"/>
        </w:rPr>
        <w:footnoteReference w:id="5"/>
      </w:r>
      <w:r w:rsidRPr="00691A6B">
        <w:t xml:space="preserve">. Оно заявляет, что ходатайство авторов о выдаче им вида на жительство в соответствии с пунктом 1 статьи 9с Закона об иностранцах, в котором они утверждают, что в случае депортации будут нарушены права их детей, было тщательно рассмотрено Апелляционным советом по вопросам иммиграции и отклонено им 6 апреля 2018 года. Оно также отмечает, что ранее, 18 июля 2012 года, Иммиграционная служба Дании отказала авторам в предоставлении убежища в связи с угрожающей им кровной местью, признав их ходатайство явно необоснованным. Кроме того, 2 ноября 2015 года Комитет по правам человека объявил сообщение авторов неприемлемым, также сочтя их утверждения недостаточно обоснованными. Государство-участник также отмечает, что авторы не смогли указать на какие-либо нарушения процедуры принятия решения или какие-либо факторы риска, которые не были надлежащим образом приняты во внимание властями Дании. </w:t>
      </w:r>
    </w:p>
    <w:p w14:paraId="0E402138" w14:textId="77777777" w:rsidR="00AE7E73" w:rsidRPr="00691A6B" w:rsidRDefault="00AE7E73" w:rsidP="00AE7E73">
      <w:pPr>
        <w:pStyle w:val="SingleTxtG"/>
      </w:pPr>
      <w:r w:rsidRPr="00691A6B">
        <w:lastRenderedPageBreak/>
        <w:t>6.6</w:t>
      </w:r>
      <w:r w:rsidRPr="00691A6B">
        <w:tab/>
        <w:t xml:space="preserve">Государство-участник отмечает, что, как было отмечено Комитетом в его замечании общего порядка № 6 (2005) об обращении с несопровождаемыми и разлученными детьми за пределами страны их происхождения, государства не должны возвращать ребенка в ту или иную страну, если имеются серьезные основания полагать, что существует реальная опасность того, что либо в стране, в которую намечается переселение, либо в любой стране, в которую ребенок может быть впоследствии переселен, ему может быть причинен непоправимый вред, например такой, какой оговорен в статьях 6 и 37 Конвенции. Что касается предполагаемых нарушений статей 2 и 6 Конвенции, то государство-участник отмечает, что утверждения авторов, представленные Комитету, основаны на том же опасении кровной мести, о котором говорилось в ходе разбирательства в Иммиграционной службе Дании и в Комитете по правам человека, которые пришли к выводу о том, что утверждения авторов являются явно необоснованными и недостаточно обоснованными соответственно. В этой связи государство-участник утверждает, что авторы не смогли достаточно обосновать реальную опасность причинения их детям непоправимого вреда в случае их возвращения в Албанию. </w:t>
      </w:r>
    </w:p>
    <w:p w14:paraId="4D471D83" w14:textId="77777777" w:rsidR="00AE7E73" w:rsidRPr="00691A6B" w:rsidRDefault="00AE7E73" w:rsidP="00AE7E73">
      <w:pPr>
        <w:pStyle w:val="SingleTxtG"/>
      </w:pPr>
      <w:r w:rsidRPr="00691A6B">
        <w:t>6.7</w:t>
      </w:r>
      <w:r w:rsidRPr="00691A6B">
        <w:tab/>
        <w:t>Государство-участник заявляет, что статья 3 Конвенции требует от государств-участников обеспечивать ребенку такую защиту и заботу, которые необходимы для его благополучия, принимая во внимание права и обязанности его родителей, опекунов или других лиц, несущих за него ответственность по закону. Оно далее утверждает, что основную ответственность за наилучшее обеспечение интересов ребенка несут его родители, и отмечает, что в соответствии со статьей 9 Конвенции государства-участники обязаны обеспечивать, чтобы ребенок не разлучался со своими родителями вопреки их желанию. Государство-участник замечает, что в данном случае никакая содержащаяся в деле информация или документы не указывают на то, что А.П., К.П. и их родители не могут проживать вместе в Албании, и что, таким образом, не было допущено никакого нарушения статьи 3.</w:t>
      </w:r>
    </w:p>
    <w:p w14:paraId="3C43FEF6" w14:textId="77777777" w:rsidR="00AE7E73" w:rsidRPr="00691A6B" w:rsidRDefault="00AE7E73" w:rsidP="00AE7E73">
      <w:pPr>
        <w:pStyle w:val="SingleTxtG"/>
      </w:pPr>
      <w:r w:rsidRPr="00691A6B">
        <w:t>6.8</w:t>
      </w:r>
      <w:r w:rsidRPr="00691A6B">
        <w:tab/>
        <w:t xml:space="preserve">Государство-участник утверждает, что возвращение детей в страну происхождения вместе с их родителями не нарушит их прав, закрепленных в статьях 3 и 28 Конвенции. Оно вновь повторяет доводы Апелляционного совета по вопросам иммиграции, приведенные в его решении от 6 апреля 2018 года, относительно того, что страна гражданства детей несет позитивную обязанность по обеспечению их права на проживание и постоянную защиту детства. Кроме того, государство-участник считает, что ребенок не имеет отдельного права на иммиграцию для получения более благоприятных условий жизни в другой стране. Оно утверждает, что посещение А.П. и К.П. школы в Дании во время прохождения различных иммиграционных процедур, не влечет за собой вышеупомянутую позитивную обязанность со стороны Дании, отменяющую обязанность страны их гражданства. Государство-участник приходит к выводу, что дети смогут учиться на своем родном языке в школе в стране их происхождения без каких-либо серьезных трудностей, учитывая, что на момент приезда в Данию им было 10 и 7 лет соответственно, они оба посещали школу в Албании и говорили на своем родном языке, которым, как предполагается, они все еще владеют. </w:t>
      </w:r>
    </w:p>
    <w:bookmarkEnd w:id="3"/>
    <w:p w14:paraId="1798EB14" w14:textId="77777777" w:rsidR="00AE7E73" w:rsidRPr="00691A6B" w:rsidRDefault="00AE7E73" w:rsidP="00AE7E73">
      <w:pPr>
        <w:pStyle w:val="H23G"/>
      </w:pPr>
      <w:r w:rsidRPr="00691A6B">
        <w:tab/>
      </w:r>
      <w:r w:rsidRPr="00691A6B">
        <w:tab/>
      </w:r>
      <w:r w:rsidRPr="00691A6B">
        <w:rPr>
          <w:bCs/>
        </w:rPr>
        <w:t>Комментарии авторов к замечаниям государства-участника относительно приемлемости и существа сообщения</w:t>
      </w:r>
    </w:p>
    <w:p w14:paraId="607F0B39" w14:textId="77777777" w:rsidR="00AE7E73" w:rsidRPr="00691A6B" w:rsidRDefault="00AE7E73" w:rsidP="00AE7E73">
      <w:pPr>
        <w:pStyle w:val="SingleTxtG"/>
      </w:pPr>
      <w:r w:rsidRPr="00691A6B">
        <w:t>7.1</w:t>
      </w:r>
      <w:r w:rsidRPr="00691A6B">
        <w:tab/>
        <w:t xml:space="preserve">В своих комментариях от 3 июля 2019 года авторы повторяют представленные ими факты и свои утверждения относительно приемлемости и существа сообщения. Кроме того, они заявляют, что, хотя ни датское законодательство, ни Конвенция не предоставляют общего права на проживание на основе длительного пребывания в Дании, сочетание нескольких обстоятельств в данном случае – кровная месть, физическое и психологическое здоровье членов семьи, прочные и укрепляющиеся связи с Данией и страх детей перед возвращением </w:t>
      </w:r>
      <w:r w:rsidR="00F411AF">
        <w:t>–</w:t>
      </w:r>
      <w:r w:rsidRPr="00691A6B">
        <w:t xml:space="preserve"> оправдывают выдачу им вида на жительство. </w:t>
      </w:r>
    </w:p>
    <w:p w14:paraId="04DE62F3" w14:textId="77777777" w:rsidR="00AE7E73" w:rsidRPr="00691A6B" w:rsidRDefault="00AE7E73" w:rsidP="00AE7E73">
      <w:pPr>
        <w:pStyle w:val="SingleTxtG"/>
      </w:pPr>
      <w:r w:rsidRPr="00691A6B">
        <w:lastRenderedPageBreak/>
        <w:t>7.2</w:t>
      </w:r>
      <w:r w:rsidRPr="00691A6B">
        <w:tab/>
        <w:t>Авторы также утверждают, что следует принимать во внимание тот факт, что дети провели в Дании те годы, когда формируется их личность, – с 7 до 15 лет</w:t>
      </w:r>
      <w:r w:rsidRPr="00691A6B">
        <w:rPr>
          <w:rStyle w:val="aa"/>
        </w:rPr>
        <w:footnoteReference w:id="6"/>
      </w:r>
      <w:r w:rsidRPr="00691A6B">
        <w:t>.</w:t>
      </w:r>
    </w:p>
    <w:p w14:paraId="6286C490" w14:textId="77777777" w:rsidR="00AE7E73" w:rsidRPr="00691A6B" w:rsidRDefault="00AE7E73" w:rsidP="00AE7E73">
      <w:pPr>
        <w:pStyle w:val="H23G"/>
      </w:pPr>
      <w:r w:rsidRPr="00691A6B">
        <w:tab/>
      </w:r>
      <w:r w:rsidRPr="00691A6B">
        <w:tab/>
      </w:r>
      <w:r w:rsidRPr="00691A6B">
        <w:rPr>
          <w:bCs/>
        </w:rPr>
        <w:t>Вопросы и процедура их рассмотрения в Комитете</w:t>
      </w:r>
    </w:p>
    <w:p w14:paraId="672FC2AB" w14:textId="77777777" w:rsidR="00AE7E73" w:rsidRPr="00691A6B" w:rsidRDefault="00AE7E73" w:rsidP="00AE7E73">
      <w:pPr>
        <w:pStyle w:val="H4G"/>
      </w:pPr>
      <w:r w:rsidRPr="00691A6B">
        <w:tab/>
      </w:r>
      <w:r w:rsidRPr="00691A6B">
        <w:tab/>
      </w:r>
      <w:r w:rsidRPr="00691A6B">
        <w:rPr>
          <w:iCs/>
        </w:rPr>
        <w:t>Рассмотрение вопроса о приемлемости</w:t>
      </w:r>
    </w:p>
    <w:p w14:paraId="2E4C0BB7" w14:textId="77777777" w:rsidR="00AE7E73" w:rsidRPr="00691A6B" w:rsidRDefault="00AE7E73" w:rsidP="00AE7E73">
      <w:pPr>
        <w:pStyle w:val="SingleTxtG"/>
      </w:pPr>
      <w:r w:rsidRPr="00691A6B">
        <w:t>8.1</w:t>
      </w:r>
      <w:r w:rsidRPr="00691A6B">
        <w:tab/>
        <w:t xml:space="preserve">Прежде чем рассматривать любое утверждение, содержащееся в том или ином сообщении, Комитет должен в соответствии с правилом 20 своих правил процедуры решить, является ли данное сообщение приемлемым согласно Факультативному протоколу. </w:t>
      </w:r>
    </w:p>
    <w:p w14:paraId="366A2D0B" w14:textId="77777777" w:rsidR="00AE7E73" w:rsidRPr="00691A6B" w:rsidRDefault="00AE7E73" w:rsidP="00AE7E73">
      <w:pPr>
        <w:pStyle w:val="SingleTxtG"/>
      </w:pPr>
      <w:r w:rsidRPr="00691A6B">
        <w:t>8.2</w:t>
      </w:r>
      <w:r w:rsidRPr="00691A6B">
        <w:tab/>
        <w:t xml:space="preserve">Комитет принимает к сведению доводы государства-участника о том, что сообщение является неприемлемым в соответствии с пунктом е) статьи 7 Факультативного протокола, поскольку на момент первоначального представления сообщения в Комитет поданная авторами жалоба все еще находилась на рассмотрении Апелляционного совета по вопросам иммиграции, и авторы не просили о судебном пересмотре последующего решения Совета об отклонении их жалобы. </w:t>
      </w:r>
    </w:p>
    <w:p w14:paraId="224ED65D" w14:textId="77777777" w:rsidR="00AE7E73" w:rsidRPr="00691A6B" w:rsidRDefault="00AE7E73" w:rsidP="00AE7E73">
      <w:pPr>
        <w:pStyle w:val="SingleTxtG"/>
      </w:pPr>
      <w:r w:rsidRPr="00691A6B">
        <w:t>8.3</w:t>
      </w:r>
      <w:r w:rsidRPr="00691A6B">
        <w:tab/>
        <w:t>Вместе с тем Комитет принимает к сведению доводы авторов о том, что ни рассматриваемая апелляционная жалоба, ни ходатайство о судебном пересмотре не приостановили бы их депортацию и что они смогли остаться в Дании только благодаря запрошенным Комитетом временным мерам. Комитет считает, что в контексте непосредственно угрожающей авторам высылки в Албанию любые средства правовой защиты, которые не приостанавливают исполнение действующего в их отношении постановления о депортации, не могут считаться эффективными</w:t>
      </w:r>
      <w:r w:rsidRPr="00691A6B">
        <w:rPr>
          <w:rStyle w:val="aa"/>
        </w:rPr>
        <w:footnoteReference w:id="7"/>
      </w:r>
      <w:r w:rsidRPr="00691A6B">
        <w:t xml:space="preserve">. Вследствие этого Комитет считает, что данное сообщение является приемлемым в соответствии с пунктом е) статьи 7 Факультативного протокола. </w:t>
      </w:r>
    </w:p>
    <w:p w14:paraId="45827FAF" w14:textId="77777777" w:rsidR="00AE7E73" w:rsidRPr="00691A6B" w:rsidRDefault="00AE7E73" w:rsidP="00AE7E73">
      <w:pPr>
        <w:pStyle w:val="SingleTxtG"/>
      </w:pPr>
      <w:r w:rsidRPr="00691A6B">
        <w:t>8.4</w:t>
      </w:r>
      <w:r w:rsidRPr="00691A6B">
        <w:tab/>
        <w:t>Комитет отмечает, что вопрос, рассмотренный Комитетом по правам человека, касался предполагаемой опасности кровной мести, которая угрожала бы авторам и их детям в Албании. Комитет отмечает, что их жалоба по статье 6 Конвенции о правах ребенка в данном случае в значительной степени согласуется с жалобами, уже рассмотренными Комитетом по правам человека в соответствии со статьей 6 Международного пакта о гражданских и политических правах. Соответственно, Комитет считает, что пункт d) статьи 7 Факультативного протокола, касающегося процедуры сообщений, не позволяет ему рассматривать утверждения авторов о том, что в случае высылки их семьи в Албанию существует опасность причинения их детям непоправимого вреда в результате кровной мести</w:t>
      </w:r>
      <w:r w:rsidRPr="00691A6B">
        <w:rPr>
          <w:rStyle w:val="aa"/>
        </w:rPr>
        <w:footnoteReference w:id="8"/>
      </w:r>
      <w:r w:rsidRPr="00691A6B">
        <w:t>. Вместе с тем Комитет отмечает, что остальные утверждения авторов, а именно их жалобы по статьям 3 и 28 Конвенции, не были затронуты в их сообщении, представленном Комитету по правам человека. Таким образом, Комитет считает, что пункт d) статьи 7 Факультативного протокола не препятствует рассмотрению этих жалоб.</w:t>
      </w:r>
    </w:p>
    <w:p w14:paraId="3A692482" w14:textId="77777777" w:rsidR="00AE7E73" w:rsidRPr="00691A6B" w:rsidRDefault="00AE7E73" w:rsidP="00AE7E73">
      <w:pPr>
        <w:pStyle w:val="SingleTxtG"/>
      </w:pPr>
      <w:r w:rsidRPr="00691A6B">
        <w:t>8.5</w:t>
      </w:r>
      <w:r w:rsidRPr="00691A6B">
        <w:tab/>
        <w:t xml:space="preserve">Комитет принимает к сведению довод авторов относительно того, что депортация детей не отвечает принципу наилучшего обеспечения их интересов и будет представлять собой серьезное препятствие </w:t>
      </w:r>
      <w:r w:rsidRPr="00691A6B">
        <w:rPr>
          <w:shd w:val="clear" w:color="auto" w:fill="FFFFFF"/>
        </w:rPr>
        <w:t>на пути к получению ими образования</w:t>
      </w:r>
      <w:r w:rsidRPr="00691A6B">
        <w:t xml:space="preserve"> в нарушение статей 3 и 28 Конвенции.</w:t>
      </w:r>
    </w:p>
    <w:p w14:paraId="6EAA5116" w14:textId="77777777" w:rsidR="00AE7E73" w:rsidRPr="00691A6B" w:rsidRDefault="00AE7E73" w:rsidP="00AE7E73">
      <w:pPr>
        <w:pStyle w:val="SingleTxtG"/>
      </w:pPr>
      <w:r w:rsidRPr="00691A6B">
        <w:t>8.6</w:t>
      </w:r>
      <w:r w:rsidRPr="00691A6B">
        <w:tab/>
        <w:t>Комитет напоминает, что оценка наличия реальной опасности причинения непоправимого вреда в принимающем государстве должна проводиться с учетом особенностей детей и гендерных аспектов</w:t>
      </w:r>
      <w:r w:rsidRPr="00691A6B">
        <w:rPr>
          <w:rStyle w:val="aa"/>
        </w:rPr>
        <w:footnoteReference w:id="9"/>
      </w:r>
      <w:r w:rsidRPr="00691A6B">
        <w:t xml:space="preserve">, что наилучшее обеспечение интересов ребенка должно быть наиболее важным соображением при принятии решений, касающихся возвращения ребенка, и что такие решения должны обеспечивать безопасность ребенка после возвращения и предоставление ему надлежащего ухода и </w:t>
      </w:r>
      <w:r w:rsidRPr="00691A6B">
        <w:lastRenderedPageBreak/>
        <w:t>возможности для осуществления своих прав</w:t>
      </w:r>
      <w:r w:rsidRPr="00691A6B">
        <w:rPr>
          <w:rStyle w:val="aa"/>
        </w:rPr>
        <w:footnoteReference w:id="10"/>
      </w:r>
      <w:r w:rsidRPr="00691A6B">
        <w:t>. Интересы ребенка должны обеспечиваться наилучшим образом в явной форме посредством индивидуальных процедур в качестве неотъемлемой части любого административного или судебного производства по делу о возвращении ребенка</w:t>
      </w:r>
      <w:r w:rsidRPr="00691A6B">
        <w:rPr>
          <w:rStyle w:val="aa"/>
        </w:rPr>
        <w:footnoteReference w:id="11"/>
      </w:r>
      <w:r w:rsidRPr="00691A6B">
        <w:t>.</w:t>
      </w:r>
    </w:p>
    <w:p w14:paraId="16F5AC3C" w14:textId="77777777" w:rsidR="00AE7E73" w:rsidRPr="00691A6B" w:rsidRDefault="00AE7E73" w:rsidP="00AE7E73">
      <w:pPr>
        <w:pStyle w:val="SingleTxtG"/>
      </w:pPr>
      <w:r w:rsidRPr="00691A6B">
        <w:t>8.7</w:t>
      </w:r>
      <w:r w:rsidRPr="00691A6B">
        <w:tab/>
        <w:t>Комитет также напоминает, что рассматривать и оценивать факты и доказательства для определения наличия реальной опасности причинения непоправимого вреда по возвращении, как правило, должны органы государств-участников, за исключением тех случаев, когда подобное рассмотрение и оценка являются явно произвольными или равнозначными отказу в правосудии</w:t>
      </w:r>
      <w:r w:rsidRPr="00691A6B">
        <w:rPr>
          <w:rStyle w:val="aa"/>
        </w:rPr>
        <w:footnoteReference w:id="12"/>
      </w:r>
      <w:r w:rsidRPr="00691A6B">
        <w:t>.</w:t>
      </w:r>
    </w:p>
    <w:p w14:paraId="69DD3B5B" w14:textId="77777777" w:rsidR="00AE7E73" w:rsidRPr="00691A6B" w:rsidRDefault="00AE7E73" w:rsidP="00AE7E73">
      <w:pPr>
        <w:pStyle w:val="SingleTxtG"/>
      </w:pPr>
      <w:r w:rsidRPr="00691A6B">
        <w:t>8.8</w:t>
      </w:r>
      <w:r w:rsidRPr="00691A6B">
        <w:tab/>
        <w:t xml:space="preserve">В данном случае Комитет отмечает, что в своем решении от 18 июля 2012 года Иммиграционная служба тщательно рассмотрела утверждения авторов о связи их детей с Данией и что 6 апреля 2018 года Апелляционный совет по вопросам иммиграции поддержал это решение. В этой связи он принимает к сведению вывод Иммиграционной службы Дании относительно того, что А.П. и К.П. смогут продолжить свое воспитание и обучение на своем родном языке в Албании с учетом того, что они оба посещали там школу до своего отъезда и что все утверждения, касающиеся кровной мести, например о необходимости А.П. скрываться, уже были признаны Комитетом по правам человека недостаточно обоснованными. </w:t>
      </w:r>
    </w:p>
    <w:p w14:paraId="673B0FC9" w14:textId="77777777" w:rsidR="00AE7E73" w:rsidRPr="00691A6B" w:rsidRDefault="00AE7E73" w:rsidP="00AE7E73">
      <w:pPr>
        <w:pStyle w:val="SingleTxtG"/>
      </w:pPr>
      <w:r w:rsidRPr="00691A6B">
        <w:t>8.9</w:t>
      </w:r>
      <w:r w:rsidRPr="00691A6B">
        <w:tab/>
        <w:t xml:space="preserve">Комитет далее отмечает, что, хотя авторы не согласны с выводами Апелляционного совета по вопросам иммиграции, они не продемонстрировали, что рассмотрение фактов и доказательств национальными властями было явно произвольным или равносильным отказу в правосудии. </w:t>
      </w:r>
    </w:p>
    <w:p w14:paraId="5FD98A47" w14:textId="77777777" w:rsidR="00AE7E73" w:rsidRPr="00691A6B" w:rsidRDefault="00AE7E73" w:rsidP="00AE7E73">
      <w:pPr>
        <w:pStyle w:val="SingleTxtG"/>
      </w:pPr>
      <w:r w:rsidRPr="00691A6B">
        <w:t>8.10</w:t>
      </w:r>
      <w:r w:rsidRPr="00691A6B">
        <w:tab/>
        <w:t>В свете всего вышесказанного Комитет считает, что авторы не смогли обосновать существование реальной опасности причинения непоправимого вреда в случае их возвращения в Албанию. Таким образом, Комитет считает, что сообщение не было достаточно обосновано, и объявляет его неприемлемым в соответствии с пунктом f) статьи 7 Факультативного протокола.</w:t>
      </w:r>
    </w:p>
    <w:p w14:paraId="379AB417" w14:textId="77777777" w:rsidR="00AE7E73" w:rsidRPr="00691A6B" w:rsidRDefault="00AE7E73" w:rsidP="00AE7E73">
      <w:pPr>
        <w:pStyle w:val="SingleTxtG"/>
      </w:pPr>
      <w:r w:rsidRPr="00691A6B">
        <w:t>9.</w:t>
      </w:r>
      <w:r w:rsidRPr="00691A6B">
        <w:tab/>
        <w:t>Таким образом, Комитет постановляет:</w:t>
      </w:r>
    </w:p>
    <w:p w14:paraId="44FB9838" w14:textId="77777777" w:rsidR="00AE7E73" w:rsidRPr="00691A6B" w:rsidRDefault="00AE7E73" w:rsidP="00AE7E73">
      <w:pPr>
        <w:pStyle w:val="SingleTxtG"/>
      </w:pPr>
      <w:r w:rsidRPr="00691A6B">
        <w:tab/>
      </w:r>
      <w:r w:rsidRPr="00691A6B">
        <w:tab/>
        <w:t>a)</w:t>
      </w:r>
      <w:r w:rsidRPr="00691A6B">
        <w:tab/>
        <w:t>признать сообщение неприемлемым в соответствии с пунктами d) и f) статьи 7 Факультативного протокола;</w:t>
      </w:r>
    </w:p>
    <w:p w14:paraId="030B6939" w14:textId="77777777" w:rsidR="00AE7E73" w:rsidRPr="00691A6B" w:rsidRDefault="00AE7E73" w:rsidP="00AE7E73">
      <w:pPr>
        <w:pStyle w:val="SingleTxtG"/>
      </w:pPr>
      <w:r w:rsidRPr="00691A6B">
        <w:tab/>
      </w:r>
      <w:r w:rsidRPr="00691A6B">
        <w:tab/>
        <w:t>b)</w:t>
      </w:r>
      <w:r w:rsidRPr="00691A6B">
        <w:tab/>
        <w:t>препроводить настоящее решение автору сообщения и, для информации, государству-участнику.</w:t>
      </w:r>
    </w:p>
    <w:p w14:paraId="67D0711E" w14:textId="77777777" w:rsidR="00AE7E73" w:rsidRPr="00691A6B" w:rsidRDefault="00AE7E73" w:rsidP="00AE7E73">
      <w:pPr>
        <w:jc w:val="center"/>
        <w:rPr>
          <w:u w:val="single"/>
        </w:rPr>
      </w:pPr>
      <w:r w:rsidRPr="00691A6B">
        <w:rPr>
          <w:u w:val="single"/>
        </w:rPr>
        <w:tab/>
      </w:r>
      <w:r w:rsidRPr="00691A6B">
        <w:rPr>
          <w:u w:val="single"/>
        </w:rPr>
        <w:tab/>
      </w:r>
      <w:r w:rsidRPr="00691A6B">
        <w:rPr>
          <w:u w:val="single"/>
        </w:rPr>
        <w:tab/>
      </w:r>
    </w:p>
    <w:p w14:paraId="42907BB2" w14:textId="77777777" w:rsidR="00381C24" w:rsidRPr="00691A6B" w:rsidRDefault="00381C24" w:rsidP="002E685D"/>
    <w:sectPr w:rsidR="00381C24" w:rsidRPr="00691A6B" w:rsidSect="002B2366">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CA12E5" w14:textId="77777777" w:rsidR="000E270B" w:rsidRPr="00A312BC" w:rsidRDefault="000E270B" w:rsidP="00A312BC"/>
  </w:endnote>
  <w:endnote w:type="continuationSeparator" w:id="0">
    <w:p w14:paraId="64ABFEC8" w14:textId="77777777" w:rsidR="000E270B" w:rsidRPr="00A312BC" w:rsidRDefault="000E270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E6914" w14:textId="77777777" w:rsidR="002B2366" w:rsidRPr="002B2366" w:rsidRDefault="002B2366">
    <w:pPr>
      <w:pStyle w:val="a8"/>
    </w:pPr>
    <w:r w:rsidRPr="002B2366">
      <w:rPr>
        <w:b/>
        <w:sz w:val="18"/>
      </w:rPr>
      <w:fldChar w:fldCharType="begin"/>
    </w:r>
    <w:r w:rsidRPr="002B2366">
      <w:rPr>
        <w:b/>
        <w:sz w:val="18"/>
      </w:rPr>
      <w:instrText xml:space="preserve"> PAGE  \* MERGEFORMAT </w:instrText>
    </w:r>
    <w:r w:rsidRPr="002B2366">
      <w:rPr>
        <w:b/>
        <w:sz w:val="18"/>
      </w:rPr>
      <w:fldChar w:fldCharType="separate"/>
    </w:r>
    <w:r w:rsidRPr="002B2366">
      <w:rPr>
        <w:b/>
        <w:noProof/>
        <w:sz w:val="18"/>
      </w:rPr>
      <w:t>2</w:t>
    </w:r>
    <w:r w:rsidRPr="002B2366">
      <w:rPr>
        <w:b/>
        <w:sz w:val="18"/>
      </w:rPr>
      <w:fldChar w:fldCharType="end"/>
    </w:r>
    <w:r>
      <w:rPr>
        <w:b/>
        <w:sz w:val="18"/>
      </w:rPr>
      <w:tab/>
    </w:r>
    <w:r>
      <w:t>GE.19-19319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E113E8" w14:textId="77777777" w:rsidR="002B2366" w:rsidRPr="002B2366" w:rsidRDefault="002B2366" w:rsidP="002B2366">
    <w:pPr>
      <w:pStyle w:val="a8"/>
      <w:tabs>
        <w:tab w:val="clear" w:pos="9639"/>
        <w:tab w:val="right" w:pos="9638"/>
      </w:tabs>
      <w:rPr>
        <w:b/>
        <w:sz w:val="18"/>
      </w:rPr>
    </w:pPr>
    <w:r>
      <w:t>GE.19-19319</w:t>
    </w:r>
    <w:r>
      <w:tab/>
    </w:r>
    <w:r w:rsidRPr="002B2366">
      <w:rPr>
        <w:b/>
        <w:sz w:val="18"/>
      </w:rPr>
      <w:fldChar w:fldCharType="begin"/>
    </w:r>
    <w:r w:rsidRPr="002B2366">
      <w:rPr>
        <w:b/>
        <w:sz w:val="18"/>
      </w:rPr>
      <w:instrText xml:space="preserve"> PAGE  \* MERGEFORMAT </w:instrText>
    </w:r>
    <w:r w:rsidRPr="002B2366">
      <w:rPr>
        <w:b/>
        <w:sz w:val="18"/>
      </w:rPr>
      <w:fldChar w:fldCharType="separate"/>
    </w:r>
    <w:r w:rsidRPr="002B2366">
      <w:rPr>
        <w:b/>
        <w:noProof/>
        <w:sz w:val="18"/>
      </w:rPr>
      <w:t>3</w:t>
    </w:r>
    <w:r w:rsidRPr="002B236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18061" w14:textId="104F217D" w:rsidR="00042B72" w:rsidRPr="002B2366" w:rsidRDefault="002B2366" w:rsidP="002B2366">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796E536F" wp14:editId="1883C86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19-19319  (R)  170220  1</w:t>
    </w:r>
    <w:r w:rsidR="00D03FA2">
      <w:rPr>
        <w:lang w:val="en-US"/>
      </w:rPr>
      <w:t>8</w:t>
    </w:r>
    <w:r>
      <w:t>0220</w:t>
    </w:r>
    <w:r>
      <w:br/>
    </w:r>
    <w:r w:rsidRPr="002B2366">
      <w:rPr>
        <w:rFonts w:ascii="C39T30Lfz" w:hAnsi="C39T30Lfz"/>
        <w:kern w:val="14"/>
        <w:sz w:val="56"/>
      </w:rPr>
      <w:t></w:t>
    </w:r>
    <w:r w:rsidRPr="002B2366">
      <w:rPr>
        <w:rFonts w:ascii="C39T30Lfz" w:hAnsi="C39T30Lfz"/>
        <w:kern w:val="14"/>
        <w:sz w:val="56"/>
      </w:rPr>
      <w:t></w:t>
    </w:r>
    <w:r w:rsidRPr="002B2366">
      <w:rPr>
        <w:rFonts w:ascii="C39T30Lfz" w:hAnsi="C39T30Lfz"/>
        <w:kern w:val="14"/>
        <w:sz w:val="56"/>
      </w:rPr>
      <w:t></w:t>
    </w:r>
    <w:r w:rsidRPr="002B2366">
      <w:rPr>
        <w:rFonts w:ascii="C39T30Lfz" w:hAnsi="C39T30Lfz"/>
        <w:kern w:val="14"/>
        <w:sz w:val="56"/>
      </w:rPr>
      <w:t></w:t>
    </w:r>
    <w:r w:rsidRPr="002B2366">
      <w:rPr>
        <w:rFonts w:ascii="C39T30Lfz" w:hAnsi="C39T30Lfz"/>
        <w:kern w:val="14"/>
        <w:sz w:val="56"/>
      </w:rPr>
      <w:t></w:t>
    </w:r>
    <w:r w:rsidRPr="002B2366">
      <w:rPr>
        <w:rFonts w:ascii="C39T30Lfz" w:hAnsi="C39T30Lfz"/>
        <w:kern w:val="14"/>
        <w:sz w:val="56"/>
      </w:rPr>
      <w:t></w:t>
    </w:r>
    <w:r w:rsidRPr="002B2366">
      <w:rPr>
        <w:rFonts w:ascii="C39T30Lfz" w:hAnsi="C39T30Lfz"/>
        <w:kern w:val="14"/>
        <w:sz w:val="56"/>
      </w:rPr>
      <w:t></w:t>
    </w:r>
    <w:r w:rsidRPr="002B2366">
      <w:rPr>
        <w:rFonts w:ascii="C39T30Lfz" w:hAnsi="C39T30Lfz"/>
        <w:kern w:val="14"/>
        <w:sz w:val="56"/>
      </w:rPr>
      <w:t></w:t>
    </w:r>
    <w:r w:rsidRPr="002B2366">
      <w:rPr>
        <w:rFonts w:ascii="C39T30Lfz" w:hAnsi="C39T30Lfz"/>
        <w:kern w:val="14"/>
        <w:sz w:val="56"/>
      </w:rPr>
      <w:t></w:t>
    </w:r>
    <w:r>
      <w:rPr>
        <w:noProof/>
      </w:rPr>
      <w:drawing>
        <wp:anchor distT="0" distB="0" distL="114300" distR="114300" simplePos="0" relativeHeight="251659264" behindDoc="0" locked="0" layoutInCell="1" allowOverlap="1" wp14:anchorId="570F5B14" wp14:editId="0325FF7C">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C/C/82/D/33/2017&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D/33/2017&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6C3EDE" w14:textId="77777777" w:rsidR="000E270B" w:rsidRPr="001075E9" w:rsidRDefault="000E270B" w:rsidP="001075E9">
      <w:pPr>
        <w:tabs>
          <w:tab w:val="right" w:pos="2155"/>
        </w:tabs>
        <w:spacing w:after="80" w:line="240" w:lineRule="auto"/>
        <w:ind w:left="680"/>
        <w:rPr>
          <w:u w:val="single"/>
        </w:rPr>
      </w:pPr>
      <w:r>
        <w:rPr>
          <w:u w:val="single"/>
        </w:rPr>
        <w:tab/>
      </w:r>
    </w:p>
  </w:footnote>
  <w:footnote w:type="continuationSeparator" w:id="0">
    <w:p w14:paraId="6A307D76" w14:textId="77777777" w:rsidR="000E270B" w:rsidRDefault="000E270B" w:rsidP="00407B78">
      <w:pPr>
        <w:tabs>
          <w:tab w:val="right" w:pos="2155"/>
        </w:tabs>
        <w:spacing w:after="80"/>
        <w:ind w:left="680"/>
        <w:rPr>
          <w:u w:val="single"/>
        </w:rPr>
      </w:pPr>
      <w:r>
        <w:rPr>
          <w:u w:val="single"/>
        </w:rPr>
        <w:tab/>
      </w:r>
    </w:p>
  </w:footnote>
  <w:footnote w:id="1">
    <w:p w14:paraId="63C6FD21" w14:textId="77777777" w:rsidR="00AE7E73" w:rsidRPr="006A4DCC" w:rsidRDefault="00AE7E73" w:rsidP="00AE7E73">
      <w:pPr>
        <w:pStyle w:val="ad"/>
        <w:rPr>
          <w:szCs w:val="18"/>
        </w:rPr>
      </w:pPr>
      <w:r>
        <w:tab/>
      </w:r>
      <w:r w:rsidRPr="00AE7E73">
        <w:rPr>
          <w:sz w:val="20"/>
        </w:rPr>
        <w:t>*</w:t>
      </w:r>
      <w:r>
        <w:tab/>
        <w:t>Принято Комитетом на его восемьдесят второй сессии (9–27 сентября 2019 года).</w:t>
      </w:r>
    </w:p>
  </w:footnote>
  <w:footnote w:id="2">
    <w:p w14:paraId="63E9C6F6" w14:textId="77777777" w:rsidR="00AE7E73" w:rsidRPr="006A4DCC" w:rsidRDefault="00AE7E73" w:rsidP="00AE7E73">
      <w:pPr>
        <w:pStyle w:val="ad"/>
        <w:rPr>
          <w:szCs w:val="18"/>
        </w:rPr>
      </w:pPr>
      <w:r>
        <w:tab/>
      </w:r>
      <w:r w:rsidRPr="00AE7E73">
        <w:rPr>
          <w:sz w:val="20"/>
        </w:rPr>
        <w:t>**</w:t>
      </w:r>
      <w:r>
        <w:tab/>
        <w:t xml:space="preserve">В рассмотрении настоящего сообщения участвовали следующие члены Комитета: </w:t>
      </w:r>
      <w:proofErr w:type="spellStart"/>
      <w:r>
        <w:t>Аисату</w:t>
      </w:r>
      <w:proofErr w:type="spellEnd"/>
      <w:r>
        <w:t xml:space="preserve"> </w:t>
      </w:r>
      <w:proofErr w:type="spellStart"/>
      <w:r>
        <w:t>Аласан</w:t>
      </w:r>
      <w:proofErr w:type="spellEnd"/>
      <w:r>
        <w:t xml:space="preserve"> </w:t>
      </w:r>
      <w:proofErr w:type="spellStart"/>
      <w:r>
        <w:t>Сидику</w:t>
      </w:r>
      <w:proofErr w:type="spellEnd"/>
      <w:r>
        <w:t xml:space="preserve">, </w:t>
      </w:r>
      <w:proofErr w:type="spellStart"/>
      <w:r>
        <w:t>Амаль</w:t>
      </w:r>
      <w:proofErr w:type="spellEnd"/>
      <w:r>
        <w:t xml:space="preserve"> Салман </w:t>
      </w:r>
      <w:proofErr w:type="spellStart"/>
      <w:r>
        <w:t>Альдосери</w:t>
      </w:r>
      <w:proofErr w:type="spellEnd"/>
      <w:r>
        <w:t xml:space="preserve">, </w:t>
      </w:r>
      <w:proofErr w:type="spellStart"/>
      <w:r>
        <w:t>Беньям</w:t>
      </w:r>
      <w:proofErr w:type="spellEnd"/>
      <w:r>
        <w:t xml:space="preserve"> </w:t>
      </w:r>
      <w:proofErr w:type="spellStart"/>
      <w:r>
        <w:t>Дауит</w:t>
      </w:r>
      <w:proofErr w:type="spellEnd"/>
      <w:r>
        <w:t xml:space="preserve"> </w:t>
      </w:r>
      <w:proofErr w:type="spellStart"/>
      <w:r>
        <w:t>Мезмур</w:t>
      </w:r>
      <w:proofErr w:type="spellEnd"/>
      <w:r>
        <w:t xml:space="preserve">, Браги </w:t>
      </w:r>
      <w:proofErr w:type="spellStart"/>
      <w:r>
        <w:t>Гудбрандссон</w:t>
      </w:r>
      <w:proofErr w:type="spellEnd"/>
      <w:r>
        <w:t xml:space="preserve">, </w:t>
      </w:r>
      <w:proofErr w:type="spellStart"/>
      <w:r>
        <w:t>Велина</w:t>
      </w:r>
      <w:proofErr w:type="spellEnd"/>
      <w:r>
        <w:t xml:space="preserve"> Тодорова, </w:t>
      </w:r>
      <w:proofErr w:type="spellStart"/>
      <w:r>
        <w:t>Гехад</w:t>
      </w:r>
      <w:proofErr w:type="spellEnd"/>
      <w:r>
        <w:t xml:space="preserve"> Мади, Кларенс Нельсон, Луис Эрнесто </w:t>
      </w:r>
      <w:proofErr w:type="spellStart"/>
      <w:r>
        <w:t>Педернера</w:t>
      </w:r>
      <w:proofErr w:type="spellEnd"/>
      <w:r>
        <w:t xml:space="preserve"> Рейна, </w:t>
      </w:r>
      <w:proofErr w:type="spellStart"/>
      <w:r>
        <w:t>Микико</w:t>
      </w:r>
      <w:proofErr w:type="spellEnd"/>
      <w:r>
        <w:t xml:space="preserve"> </w:t>
      </w:r>
      <w:proofErr w:type="spellStart"/>
      <w:r>
        <w:t>Отани</w:t>
      </w:r>
      <w:proofErr w:type="spellEnd"/>
      <w:r>
        <w:t xml:space="preserve">, Ольга А. </w:t>
      </w:r>
      <w:proofErr w:type="spellStart"/>
      <w:r>
        <w:t>Хазова</w:t>
      </w:r>
      <w:proofErr w:type="spellEnd"/>
      <w:r>
        <w:t xml:space="preserve">, Ренате Винтер, </w:t>
      </w:r>
      <w:proofErr w:type="spellStart"/>
      <w:r>
        <w:t>Сефас</w:t>
      </w:r>
      <w:proofErr w:type="spellEnd"/>
      <w:r>
        <w:t xml:space="preserve"> </w:t>
      </w:r>
      <w:proofErr w:type="spellStart"/>
      <w:r>
        <w:t>Лумина,Сюзан</w:t>
      </w:r>
      <w:proofErr w:type="spellEnd"/>
      <w:r>
        <w:t xml:space="preserve"> </w:t>
      </w:r>
      <w:proofErr w:type="spellStart"/>
      <w:r>
        <w:t>Ахо</w:t>
      </w:r>
      <w:proofErr w:type="spellEnd"/>
      <w:r>
        <w:t xml:space="preserve"> </w:t>
      </w:r>
      <w:proofErr w:type="spellStart"/>
      <w:r>
        <w:t>Ассума</w:t>
      </w:r>
      <w:proofErr w:type="spellEnd"/>
      <w:r>
        <w:t xml:space="preserve">, Фейт Маршалл-Харрис, Филип </w:t>
      </w:r>
      <w:proofErr w:type="spellStart"/>
      <w:r>
        <w:t>Жафе</w:t>
      </w:r>
      <w:proofErr w:type="spellEnd"/>
      <w:r>
        <w:t xml:space="preserve">, </w:t>
      </w:r>
      <w:proofErr w:type="spellStart"/>
      <w:r>
        <w:t>Хинд</w:t>
      </w:r>
      <w:proofErr w:type="spellEnd"/>
      <w:r>
        <w:t xml:space="preserve"> </w:t>
      </w:r>
      <w:proofErr w:type="spellStart"/>
      <w:r>
        <w:t>Аюби</w:t>
      </w:r>
      <w:proofErr w:type="spellEnd"/>
      <w:r>
        <w:t xml:space="preserve"> </w:t>
      </w:r>
      <w:proofErr w:type="spellStart"/>
      <w:r>
        <w:t>Идрисси</w:t>
      </w:r>
      <w:proofErr w:type="spellEnd"/>
      <w:r>
        <w:t xml:space="preserve">, Хосе Анхель Родригес </w:t>
      </w:r>
      <w:proofErr w:type="spellStart"/>
      <w:r>
        <w:t>Рейес</w:t>
      </w:r>
      <w:proofErr w:type="spellEnd"/>
      <w:r>
        <w:t xml:space="preserve"> и Энн Мари </w:t>
      </w:r>
      <w:proofErr w:type="spellStart"/>
      <w:r>
        <w:t>Скелтон</w:t>
      </w:r>
      <w:proofErr w:type="spellEnd"/>
      <w:r>
        <w:t>.</w:t>
      </w:r>
    </w:p>
  </w:footnote>
  <w:footnote w:id="3">
    <w:p w14:paraId="1A82B265" w14:textId="77777777" w:rsidR="00AE7E73" w:rsidRPr="006A4DCC" w:rsidRDefault="00AE7E73" w:rsidP="00AE7E73">
      <w:pPr>
        <w:pStyle w:val="ad"/>
        <w:rPr>
          <w:szCs w:val="18"/>
        </w:rPr>
      </w:pPr>
      <w:r w:rsidRPr="00AF1008">
        <w:rPr>
          <w:szCs w:val="18"/>
        </w:rPr>
        <w:tab/>
      </w:r>
      <w:r w:rsidRPr="00AE7E73">
        <w:rPr>
          <w:rStyle w:val="aa"/>
        </w:rPr>
        <w:footnoteRef/>
      </w:r>
      <w:r>
        <w:tab/>
        <w:t xml:space="preserve">См. </w:t>
      </w:r>
      <w:r w:rsidRPr="00AE7E73">
        <w:rPr>
          <w:i/>
        </w:rPr>
        <w:t>Е.П. и Ф.П. против Дании</w:t>
      </w:r>
      <w:r>
        <w:t xml:space="preserve"> (CCPR/C/115/D/2344/2014).</w:t>
      </w:r>
    </w:p>
  </w:footnote>
  <w:footnote w:id="4">
    <w:p w14:paraId="23029D2B" w14:textId="77777777" w:rsidR="00AE7E73" w:rsidRPr="006A4DCC" w:rsidRDefault="00AE7E73" w:rsidP="00AE7E73">
      <w:pPr>
        <w:pStyle w:val="ad"/>
        <w:rPr>
          <w:iCs/>
          <w:szCs w:val="18"/>
        </w:rPr>
      </w:pPr>
      <w:r w:rsidRPr="00AF1008">
        <w:rPr>
          <w:szCs w:val="18"/>
        </w:rPr>
        <w:tab/>
      </w:r>
      <w:r w:rsidRPr="00AE7E73">
        <w:rPr>
          <w:rStyle w:val="aa"/>
        </w:rPr>
        <w:footnoteRef/>
      </w:r>
      <w:r>
        <w:tab/>
        <w:t xml:space="preserve">См. </w:t>
      </w:r>
      <w:r w:rsidRPr="00AE7E73">
        <w:rPr>
          <w:i/>
        </w:rPr>
        <w:t>E.П. и Ф.П. против Дании</w:t>
      </w:r>
      <w:r>
        <w:t>.</w:t>
      </w:r>
    </w:p>
  </w:footnote>
  <w:footnote w:id="5">
    <w:p w14:paraId="3654313F" w14:textId="77777777" w:rsidR="00AE7E73" w:rsidRPr="006A4DCC" w:rsidRDefault="00AE7E73" w:rsidP="00AE7E73">
      <w:pPr>
        <w:pStyle w:val="ad"/>
        <w:rPr>
          <w:szCs w:val="18"/>
        </w:rPr>
      </w:pPr>
      <w:r w:rsidRPr="00AF1008">
        <w:rPr>
          <w:szCs w:val="18"/>
        </w:rPr>
        <w:tab/>
      </w:r>
      <w:r w:rsidRPr="00AE7E73">
        <w:rPr>
          <w:rStyle w:val="aa"/>
        </w:rPr>
        <w:footnoteRef/>
      </w:r>
      <w:r>
        <w:tab/>
        <w:t xml:space="preserve">Государство-участник ссылается в этой связи на решения Европейского суда по правам человека по делам </w:t>
      </w:r>
      <w:r w:rsidRPr="00AE7E73">
        <w:rPr>
          <w:i/>
        </w:rPr>
        <w:t>М.Е. против Швеции</w:t>
      </w:r>
      <w:r>
        <w:t xml:space="preserve">, ходатайство № 71398/12, решение от 26 июня 2014 года, пункт 78; </w:t>
      </w:r>
      <w:r w:rsidRPr="00AE7E73">
        <w:rPr>
          <w:i/>
        </w:rPr>
        <w:t>Р.С. против Швеции</w:t>
      </w:r>
      <w:r>
        <w:t xml:space="preserve">, ходатайство № 41827/07, решение от 9 марта 2010 года, пункт 52; и </w:t>
      </w:r>
      <w:r w:rsidRPr="00AE7E73">
        <w:rPr>
          <w:i/>
        </w:rPr>
        <w:t>Х. против Швеции</w:t>
      </w:r>
      <w:r>
        <w:t>, ходатайство № 36417/16, решение от 9 января 2018 года, пункт 47.</w:t>
      </w:r>
    </w:p>
  </w:footnote>
  <w:footnote w:id="6">
    <w:p w14:paraId="56F20152" w14:textId="77777777" w:rsidR="00AE7E73" w:rsidRPr="006A4DCC" w:rsidRDefault="00AE7E73" w:rsidP="00AE7E73">
      <w:pPr>
        <w:pStyle w:val="ad"/>
        <w:rPr>
          <w:szCs w:val="18"/>
        </w:rPr>
      </w:pPr>
      <w:r w:rsidRPr="00AF1008">
        <w:rPr>
          <w:szCs w:val="18"/>
        </w:rPr>
        <w:tab/>
      </w:r>
      <w:r w:rsidRPr="00AE7E73">
        <w:rPr>
          <w:rStyle w:val="aa"/>
        </w:rPr>
        <w:footnoteRef/>
      </w:r>
      <w:r>
        <w:tab/>
        <w:t xml:space="preserve">В этой связи автор ссылается на решение Европейского суда по правам человека по делу </w:t>
      </w:r>
      <w:r w:rsidRPr="00AE7E73">
        <w:rPr>
          <w:i/>
        </w:rPr>
        <w:t>Осман против Дании</w:t>
      </w:r>
      <w:r>
        <w:t>, ходатайство № 38058/09, решение от 14 июня 2011 года.</w:t>
      </w:r>
    </w:p>
  </w:footnote>
  <w:footnote w:id="7">
    <w:p w14:paraId="1D2992EA" w14:textId="77777777" w:rsidR="00AE7E73" w:rsidRPr="006A4DCC" w:rsidRDefault="00AE7E73" w:rsidP="00AE7E73">
      <w:pPr>
        <w:pStyle w:val="ad"/>
        <w:rPr>
          <w:szCs w:val="18"/>
        </w:rPr>
      </w:pPr>
      <w:r w:rsidRPr="00AF1008">
        <w:rPr>
          <w:szCs w:val="18"/>
        </w:rPr>
        <w:tab/>
      </w:r>
      <w:r w:rsidRPr="00AE7E73">
        <w:rPr>
          <w:rStyle w:val="aa"/>
        </w:rPr>
        <w:footnoteRef/>
      </w:r>
      <w:r>
        <w:tab/>
        <w:t xml:space="preserve">В этой связи см. Соображения Комитета по делу </w:t>
      </w:r>
      <w:r w:rsidRPr="00AE7E73">
        <w:rPr>
          <w:i/>
        </w:rPr>
        <w:t xml:space="preserve">Н.Б.Ф. против Испании </w:t>
      </w:r>
      <w:r>
        <w:t>(CRC/C/79/D/11/2017), пункт 11.3.</w:t>
      </w:r>
    </w:p>
  </w:footnote>
  <w:footnote w:id="8">
    <w:p w14:paraId="5EF5D29A" w14:textId="77777777" w:rsidR="00AE7E73" w:rsidRPr="006A4DCC" w:rsidRDefault="00AE7E73" w:rsidP="00AE7E73">
      <w:pPr>
        <w:pStyle w:val="ad"/>
        <w:rPr>
          <w:szCs w:val="18"/>
        </w:rPr>
      </w:pPr>
      <w:r w:rsidRPr="00AF1008">
        <w:rPr>
          <w:szCs w:val="18"/>
        </w:rPr>
        <w:tab/>
      </w:r>
      <w:r w:rsidRPr="00AE7E73">
        <w:rPr>
          <w:rStyle w:val="aa"/>
        </w:rPr>
        <w:footnoteRef/>
      </w:r>
      <w:r>
        <w:tab/>
        <w:t xml:space="preserve">См. также </w:t>
      </w:r>
      <w:r w:rsidRPr="00AE7E73">
        <w:rPr>
          <w:i/>
        </w:rPr>
        <w:t xml:space="preserve">Y и Z против Финляндии </w:t>
      </w:r>
      <w:r>
        <w:t>(CRC/C/81/D/6/2016), пункт 9.2.</w:t>
      </w:r>
    </w:p>
  </w:footnote>
  <w:footnote w:id="9">
    <w:p w14:paraId="179D559C" w14:textId="77777777" w:rsidR="00AE7E73" w:rsidRPr="006A4DCC" w:rsidRDefault="00AE7E73" w:rsidP="00AE7E73">
      <w:pPr>
        <w:pStyle w:val="ad"/>
        <w:rPr>
          <w:szCs w:val="18"/>
        </w:rPr>
      </w:pPr>
      <w:r w:rsidRPr="00AF1008">
        <w:rPr>
          <w:szCs w:val="18"/>
        </w:rPr>
        <w:tab/>
      </w:r>
      <w:r w:rsidRPr="00AE7E73">
        <w:rPr>
          <w:rStyle w:val="aa"/>
        </w:rPr>
        <w:footnoteRef/>
      </w:r>
      <w:r>
        <w:tab/>
        <w:t>Замечание общего порядка № 6, пункт 27.</w:t>
      </w:r>
    </w:p>
  </w:footnote>
  <w:footnote w:id="10">
    <w:p w14:paraId="09E9F839" w14:textId="77777777" w:rsidR="00AE7E73" w:rsidRPr="006A4DCC" w:rsidRDefault="00AE7E73" w:rsidP="00AE7E73">
      <w:pPr>
        <w:pStyle w:val="ad"/>
        <w:rPr>
          <w:szCs w:val="18"/>
        </w:rPr>
      </w:pPr>
      <w:r w:rsidRPr="00AF1008">
        <w:rPr>
          <w:szCs w:val="18"/>
        </w:rPr>
        <w:tab/>
      </w:r>
      <w:r w:rsidRPr="00AE7E73">
        <w:rPr>
          <w:rStyle w:val="aa"/>
        </w:rPr>
        <w:footnoteRef/>
      </w:r>
      <w:r>
        <w:tab/>
        <w:t>Совместное замечание общего порядка № 3 (2017) Комитета по защите прав всех трудящихся-мигрантов и членов их семей/№ 22 (2017) Комитета по правам ребенка об общих принципах, касающихся прав человека детей в контексте международной миграции, пункты 29 и 33.</w:t>
      </w:r>
    </w:p>
  </w:footnote>
  <w:footnote w:id="11">
    <w:p w14:paraId="6FE45F2C" w14:textId="77777777" w:rsidR="00AE7E73" w:rsidRPr="006A4DCC" w:rsidRDefault="00AE7E73" w:rsidP="00AE7E73">
      <w:pPr>
        <w:pStyle w:val="ad"/>
        <w:rPr>
          <w:szCs w:val="18"/>
        </w:rPr>
      </w:pPr>
      <w:r w:rsidRPr="00AF1008">
        <w:rPr>
          <w:szCs w:val="18"/>
        </w:rPr>
        <w:tab/>
      </w:r>
      <w:r w:rsidRPr="00AE7E73">
        <w:rPr>
          <w:rStyle w:val="aa"/>
        </w:rPr>
        <w:footnoteRef/>
      </w:r>
      <w:r>
        <w:tab/>
        <w:t>Там же, пункт 30.</w:t>
      </w:r>
    </w:p>
  </w:footnote>
  <w:footnote w:id="12">
    <w:p w14:paraId="27240B3B" w14:textId="77777777" w:rsidR="00AE7E73" w:rsidRPr="006A4DCC" w:rsidRDefault="00AE7E73" w:rsidP="00AE7E73">
      <w:pPr>
        <w:pStyle w:val="ad"/>
        <w:rPr>
          <w:szCs w:val="18"/>
        </w:rPr>
      </w:pPr>
      <w:r w:rsidRPr="00AF1008">
        <w:rPr>
          <w:szCs w:val="18"/>
        </w:rPr>
        <w:tab/>
      </w:r>
      <w:r w:rsidRPr="00AE7E73">
        <w:rPr>
          <w:rStyle w:val="aa"/>
        </w:rPr>
        <w:footnoteRef/>
      </w:r>
      <w:r>
        <w:tab/>
        <w:t xml:space="preserve">См. </w:t>
      </w:r>
      <w:r w:rsidRPr="00AE7E73">
        <w:rPr>
          <w:i/>
        </w:rPr>
        <w:t>А.И. против Дании</w:t>
      </w:r>
      <w:r>
        <w:t xml:space="preserve"> (CRC/C/78/D/7/2016), пункт 8.8.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281DC3" w14:textId="693D3F49" w:rsidR="002B2366" w:rsidRPr="002B2366" w:rsidRDefault="007C1872">
    <w:pPr>
      <w:pStyle w:val="a5"/>
    </w:pPr>
    <w:r>
      <w:fldChar w:fldCharType="begin"/>
    </w:r>
    <w:r>
      <w:instrText xml:space="preserve"> TITLE  \* MERGEFORMAT </w:instrText>
    </w:r>
    <w:r>
      <w:fldChar w:fldCharType="separate"/>
    </w:r>
    <w:r>
      <w:t>CRC/C/82/D/33/2017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F47D82" w14:textId="5A08B265" w:rsidR="002B2366" w:rsidRPr="002B2366" w:rsidRDefault="007C1872" w:rsidP="002B2366">
    <w:pPr>
      <w:pStyle w:val="a5"/>
      <w:jc w:val="right"/>
    </w:pPr>
    <w:r>
      <w:fldChar w:fldCharType="begin"/>
    </w:r>
    <w:r>
      <w:instrText xml:space="preserve"> TITLE  \* MERGEFORMAT </w:instrText>
    </w:r>
    <w:r>
      <w:fldChar w:fldCharType="separate"/>
    </w:r>
    <w:r>
      <w:t>CRC/C/82/D/33/2017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70B"/>
    <w:rsid w:val="00033EE1"/>
    <w:rsid w:val="00042B72"/>
    <w:rsid w:val="000558BD"/>
    <w:rsid w:val="000B57E7"/>
    <w:rsid w:val="000B6373"/>
    <w:rsid w:val="000D5B65"/>
    <w:rsid w:val="000E270B"/>
    <w:rsid w:val="000F09DF"/>
    <w:rsid w:val="000F61B2"/>
    <w:rsid w:val="001075E9"/>
    <w:rsid w:val="0011585E"/>
    <w:rsid w:val="00180183"/>
    <w:rsid w:val="0018024D"/>
    <w:rsid w:val="0018649F"/>
    <w:rsid w:val="00196389"/>
    <w:rsid w:val="001B3EF6"/>
    <w:rsid w:val="001C7A89"/>
    <w:rsid w:val="00222FFD"/>
    <w:rsid w:val="002452EC"/>
    <w:rsid w:val="00284D66"/>
    <w:rsid w:val="002A2EFC"/>
    <w:rsid w:val="002B0FF6"/>
    <w:rsid w:val="002B2366"/>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C4FB8"/>
    <w:rsid w:val="005D7914"/>
    <w:rsid w:val="005E2B41"/>
    <w:rsid w:val="005F0B42"/>
    <w:rsid w:val="00654AB1"/>
    <w:rsid w:val="00656D42"/>
    <w:rsid w:val="00681A10"/>
    <w:rsid w:val="00691A6B"/>
    <w:rsid w:val="006A1ED8"/>
    <w:rsid w:val="006C2031"/>
    <w:rsid w:val="006D461A"/>
    <w:rsid w:val="006F35EE"/>
    <w:rsid w:val="007021FF"/>
    <w:rsid w:val="00712895"/>
    <w:rsid w:val="00757357"/>
    <w:rsid w:val="007B4656"/>
    <w:rsid w:val="007C1872"/>
    <w:rsid w:val="00806737"/>
    <w:rsid w:val="00825F8D"/>
    <w:rsid w:val="00834B71"/>
    <w:rsid w:val="0086445C"/>
    <w:rsid w:val="00894693"/>
    <w:rsid w:val="008A08D7"/>
    <w:rsid w:val="008B6909"/>
    <w:rsid w:val="00906890"/>
    <w:rsid w:val="00911BE4"/>
    <w:rsid w:val="00951972"/>
    <w:rsid w:val="009608F3"/>
    <w:rsid w:val="009A24AC"/>
    <w:rsid w:val="00A10705"/>
    <w:rsid w:val="00A14DA8"/>
    <w:rsid w:val="00A312BC"/>
    <w:rsid w:val="00A65BF1"/>
    <w:rsid w:val="00A84021"/>
    <w:rsid w:val="00A84D35"/>
    <w:rsid w:val="00A917B3"/>
    <w:rsid w:val="00AB4B51"/>
    <w:rsid w:val="00AE7E73"/>
    <w:rsid w:val="00B10CC7"/>
    <w:rsid w:val="00B36DF7"/>
    <w:rsid w:val="00B539E7"/>
    <w:rsid w:val="00B54855"/>
    <w:rsid w:val="00B55AFB"/>
    <w:rsid w:val="00B62458"/>
    <w:rsid w:val="00B937DF"/>
    <w:rsid w:val="00BA684A"/>
    <w:rsid w:val="00BC18B2"/>
    <w:rsid w:val="00BD33EE"/>
    <w:rsid w:val="00C106D6"/>
    <w:rsid w:val="00C45D65"/>
    <w:rsid w:val="00C60F0C"/>
    <w:rsid w:val="00C805C9"/>
    <w:rsid w:val="00C92939"/>
    <w:rsid w:val="00CA1679"/>
    <w:rsid w:val="00CB151C"/>
    <w:rsid w:val="00CE5A1A"/>
    <w:rsid w:val="00CF3205"/>
    <w:rsid w:val="00CF55F6"/>
    <w:rsid w:val="00D03FA2"/>
    <w:rsid w:val="00D121D2"/>
    <w:rsid w:val="00D33D63"/>
    <w:rsid w:val="00D53C43"/>
    <w:rsid w:val="00D90028"/>
    <w:rsid w:val="00D90138"/>
    <w:rsid w:val="00DA05CE"/>
    <w:rsid w:val="00DD78D1"/>
    <w:rsid w:val="00DE32CD"/>
    <w:rsid w:val="00DF71B9"/>
    <w:rsid w:val="00E73F76"/>
    <w:rsid w:val="00E82DC6"/>
    <w:rsid w:val="00EA2C9F"/>
    <w:rsid w:val="00EA420E"/>
    <w:rsid w:val="00ED0BDA"/>
    <w:rsid w:val="00EE112E"/>
    <w:rsid w:val="00EF1360"/>
    <w:rsid w:val="00EF3220"/>
    <w:rsid w:val="00F34187"/>
    <w:rsid w:val="00F3698E"/>
    <w:rsid w:val="00F411AF"/>
    <w:rsid w:val="00F433B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9FC323"/>
  <w15:docId w15:val="{3F3EDD3C-B66B-4757-B605-918D18005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Footnote Reference1, Char,Char,ft,Style 27,Char Char Char Char Char,Style 11, Char Char Char,Char Char Char"/>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Footnote Reference1 Знак, Char Знак,Char Знак,ft Знак,Style 27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7</Pages>
  <Words>3163</Words>
  <Characters>18030</Characters>
  <Application>Microsoft Office Word</Application>
  <DocSecurity>0</DocSecurity>
  <Lines>150</Lines>
  <Paragraphs>42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CRC/C/82/D/33/2017</vt:lpstr>
      <vt:lpstr>A/</vt:lpstr>
      <vt:lpstr>A/</vt:lpstr>
    </vt:vector>
  </TitlesOfParts>
  <Company>DCM</Company>
  <LinksUpToDate>false</LinksUpToDate>
  <CharactersWithSpaces>21151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CRC/C/82/D/33/2017</dc:title>
  <dc:subject/>
  <dc:creator>Ekaterina SALYNSKAYA</dc:creator>
  <cp:keywords/>
  <cp:lastModifiedBy>Ioulia Goussarova</cp:lastModifiedBy>
  <cp:revision>3</cp:revision>
  <cp:lastPrinted>2020-02-18T08:12:00Z</cp:lastPrinted>
  <dcterms:created xsi:type="dcterms:W3CDTF">2020-02-18T08:12:00Z</dcterms:created>
  <dcterms:modified xsi:type="dcterms:W3CDTF">2020-02-18T08:12:00Z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