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1492E665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C66893F" w14:textId="77777777" w:rsidR="002D5AAC" w:rsidRDefault="002D5AAC" w:rsidP="000D0CB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4AC23F4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AEC4153" w14:textId="7E1F94E0" w:rsidR="002D5AAC" w:rsidRDefault="000D0CB7" w:rsidP="000D0CB7">
            <w:pPr>
              <w:jc w:val="right"/>
            </w:pPr>
            <w:r w:rsidRPr="000D0CB7">
              <w:rPr>
                <w:sz w:val="40"/>
              </w:rPr>
              <w:t>E</w:t>
            </w:r>
            <w:r>
              <w:t>/C.12/LAO/CO/1</w:t>
            </w:r>
          </w:p>
        </w:tc>
      </w:tr>
      <w:tr w:rsidR="002D5AAC" w:rsidRPr="001446C6" w14:paraId="00EC5B1E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29D70FA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B29F5D1" wp14:editId="33C8265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04212E" w14:textId="77777777" w:rsidR="002D5AAC" w:rsidRPr="00033EE1" w:rsidRDefault="00640F49" w:rsidP="009F1700">
            <w:pPr>
              <w:spacing w:before="120" w:line="44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7F08B04D" w14:textId="77777777" w:rsidR="002D5AAC" w:rsidRDefault="000D0CB7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1D354F7" w14:textId="77777777" w:rsidR="000D0CB7" w:rsidRDefault="000D0CB7" w:rsidP="000D0CB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29 October 2025</w:t>
            </w:r>
          </w:p>
          <w:p w14:paraId="22A26E2E" w14:textId="77777777" w:rsidR="000D0CB7" w:rsidRDefault="000D0CB7" w:rsidP="000D0CB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279ACF1" w14:textId="0C0170C3" w:rsidR="000D0CB7" w:rsidRPr="00D62A45" w:rsidRDefault="000D0CB7" w:rsidP="000D0CB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7F38309" w14:textId="48D20F17" w:rsidR="000D0CB7" w:rsidRPr="000D0CB7" w:rsidRDefault="000D0CB7" w:rsidP="000D0CB7">
      <w:pPr>
        <w:spacing w:before="120"/>
        <w:rPr>
          <w:b/>
          <w:bCs/>
          <w:color w:val="000000" w:themeColor="text1"/>
          <w:sz w:val="24"/>
          <w:szCs w:val="24"/>
        </w:rPr>
      </w:pPr>
      <w:r w:rsidRPr="000D0CB7">
        <w:rPr>
          <w:b/>
          <w:bCs/>
          <w:sz w:val="24"/>
          <w:szCs w:val="24"/>
        </w:rPr>
        <w:t xml:space="preserve">Комитет по экономическим, социальным </w:t>
      </w:r>
      <w:r w:rsidR="001446C6" w:rsidRPr="001446C6">
        <w:rPr>
          <w:b/>
          <w:bCs/>
          <w:sz w:val="24"/>
          <w:szCs w:val="24"/>
        </w:rPr>
        <w:br/>
      </w:r>
      <w:r w:rsidRPr="000D0CB7">
        <w:rPr>
          <w:b/>
          <w:bCs/>
          <w:sz w:val="24"/>
          <w:szCs w:val="24"/>
        </w:rPr>
        <w:t>и культурным правам</w:t>
      </w:r>
    </w:p>
    <w:p w14:paraId="43F6AFA9" w14:textId="77777777" w:rsidR="000D0CB7" w:rsidRPr="00303CF4" w:rsidRDefault="000D0CB7" w:rsidP="000D0CB7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первоначальному докладу Лаосской Народно-Демократической Республики</w:t>
      </w:r>
      <w:r w:rsidRPr="00613124">
        <w:rPr>
          <w:b w:val="0"/>
          <w:bCs/>
          <w:sz w:val="20"/>
          <w:szCs w:val="14"/>
        </w:rPr>
        <w:footnoteReference w:customMarkFollows="1" w:id="1"/>
        <w:t>*</w:t>
      </w:r>
    </w:p>
    <w:p w14:paraId="69BDB37E" w14:textId="0FEE3FC5" w:rsidR="000D0CB7" w:rsidRPr="00303CF4" w:rsidRDefault="000D0CB7" w:rsidP="000D0CB7">
      <w:pPr>
        <w:pStyle w:val="SingleTxtG"/>
      </w:pPr>
      <w:r>
        <w:t>1.</w:t>
      </w:r>
      <w:r>
        <w:tab/>
        <w:t>Комитет рассмотрел первоначальный доклад Лаосской Народно-Демократической Республики</w:t>
      </w:r>
      <w:r w:rsidRPr="00613124">
        <w:rPr>
          <w:rStyle w:val="a8"/>
        </w:rPr>
        <w:footnoteReference w:id="2"/>
      </w:r>
      <w:r>
        <w:t xml:space="preserve"> на своих 46-м и 47-м заседаниях</w:t>
      </w:r>
      <w:r w:rsidR="004F2BAD" w:rsidRPr="00613124">
        <w:rPr>
          <w:rStyle w:val="a8"/>
        </w:rPr>
        <w:footnoteReference w:id="3"/>
      </w:r>
      <w:r>
        <w:t xml:space="preserve">, состоявшихся 18 </w:t>
      </w:r>
      <w:r w:rsidR="004F2BAD" w:rsidRPr="004F2BAD">
        <w:br/>
      </w:r>
      <w:r>
        <w:t>и 19 сентября 2025 года, и принял настоящие заключительные замечания на своем пятьдесят восьмом заседании, состоявшемся 26 сентября 2025 года.</w:t>
      </w:r>
    </w:p>
    <w:p w14:paraId="2D9BE575" w14:textId="59C33FDF" w:rsidR="000D0CB7" w:rsidRPr="00303CF4" w:rsidRDefault="000D0CB7" w:rsidP="000D0CB7">
      <w:pPr>
        <w:pStyle w:val="H1G"/>
      </w:pPr>
      <w:r w:rsidRPr="004F2BAD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50BE7692" w14:textId="77777777" w:rsidR="000D0CB7" w:rsidRPr="00303CF4" w:rsidRDefault="000D0CB7" w:rsidP="000D0CB7">
      <w:pPr>
        <w:pStyle w:val="SingleTxtG"/>
      </w:pPr>
      <w:r>
        <w:t>2.</w:t>
      </w:r>
      <w:r>
        <w:tab/>
        <w:t>Комитет приветствует представление государством-участником первоначального доклада и дополнительную информацию, представленную в ответах на перечень вопросов</w:t>
      </w:r>
      <w:r w:rsidRPr="00613124">
        <w:rPr>
          <w:rStyle w:val="a8"/>
        </w:rPr>
        <w:footnoteReference w:id="4"/>
      </w:r>
      <w:r>
        <w:t>. Комитет выражает признательность за конструктивный диалог, состоявшийся с делегацией государства-участника.</w:t>
      </w:r>
    </w:p>
    <w:p w14:paraId="35D79A4D" w14:textId="3276394F" w:rsidR="000D0CB7" w:rsidRPr="00303CF4" w:rsidRDefault="000D0CB7" w:rsidP="000D0CB7">
      <w:pPr>
        <w:pStyle w:val="H1G"/>
      </w:pPr>
      <w:r w:rsidRPr="002D2EBD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2B475EF4" w14:textId="2648121A" w:rsidR="000D0CB7" w:rsidRPr="00303CF4" w:rsidRDefault="000D0CB7" w:rsidP="000D0CB7">
      <w:pPr>
        <w:pStyle w:val="SingleTxtG"/>
      </w:pPr>
      <w:r>
        <w:t>3.</w:t>
      </w:r>
      <w:r>
        <w:tab/>
        <w:t xml:space="preserve">Комитет приветствует законодательные, институциональные и политические меры, принятые для усиления защиты экономических, социальных и культурных </w:t>
      </w:r>
      <w:r w:rsidR="004F2BAD" w:rsidRPr="004F2BAD">
        <w:br/>
      </w:r>
      <w:r>
        <w:t xml:space="preserve">прав в государстве-участнике, такие как принятие Закона о национальном медицинском страховании (2019 года), Закона о социальном обеспечении </w:t>
      </w:r>
      <w:r w:rsidR="004F2BAD" w:rsidRPr="004F2BAD">
        <w:br/>
      </w:r>
      <w:r>
        <w:t xml:space="preserve">(с поправками 2018 года), девятого национального плана социально-экономического развития (2021–2025 годов), стратегии планомерного перехода к выходу из категории наименее развитых стран в 2026 году и на последующий период, а также стратегии развития трудовых ресурсов и социального обеспечения до 2025 года. Комитет с удовлетворением отмечает успехи в снижении бедности и, в определенной степени, продовольственной уязвимости, а также меры, упомянутые в настоящих заключительных замечаниях. </w:t>
      </w:r>
    </w:p>
    <w:p w14:paraId="6C128E74" w14:textId="0BC22991" w:rsidR="000D0CB7" w:rsidRPr="00303CF4" w:rsidRDefault="000D0CB7" w:rsidP="000D0CB7">
      <w:pPr>
        <w:pStyle w:val="H1G"/>
      </w:pPr>
      <w:r w:rsidRPr="002D2EBD">
        <w:rPr>
          <w:bCs/>
        </w:rPr>
        <w:lastRenderedPageBreak/>
        <w:tab/>
      </w:r>
      <w:r>
        <w:rPr>
          <w:bCs/>
        </w:rPr>
        <w:t>C.</w:t>
      </w:r>
      <w:r>
        <w:tab/>
      </w:r>
      <w:r>
        <w:rPr>
          <w:bCs/>
        </w:rPr>
        <w:t xml:space="preserve">Основные вопросы, вызывающие обеспокоенность, </w:t>
      </w:r>
      <w:r w:rsidRPr="002D2EBD">
        <w:rPr>
          <w:bCs/>
        </w:rPr>
        <w:br/>
      </w:r>
      <w:r>
        <w:rPr>
          <w:bCs/>
        </w:rPr>
        <w:t>и рекомендации</w:t>
      </w:r>
    </w:p>
    <w:p w14:paraId="1EEFF3D9" w14:textId="32C15241" w:rsidR="000D0CB7" w:rsidRPr="00303CF4" w:rsidRDefault="000D0CB7" w:rsidP="000D0CB7">
      <w:pPr>
        <w:pStyle w:val="H23G"/>
      </w:pPr>
      <w:r>
        <w:tab/>
      </w:r>
      <w:r>
        <w:tab/>
      </w:r>
      <w:r>
        <w:rPr>
          <w:bCs/>
        </w:rPr>
        <w:t xml:space="preserve">Применение Международного пакта об экономических, социальных </w:t>
      </w:r>
      <w:r w:rsidRPr="002D2EBD">
        <w:rPr>
          <w:bCs/>
        </w:rPr>
        <w:br/>
      </w:r>
      <w:r>
        <w:rPr>
          <w:bCs/>
        </w:rPr>
        <w:t>и культурных правах во внутреннем праве</w:t>
      </w:r>
    </w:p>
    <w:p w14:paraId="766AA179" w14:textId="77777777" w:rsidR="000D0CB7" w:rsidRPr="00303CF4" w:rsidRDefault="000D0CB7" w:rsidP="000D0CB7">
      <w:pPr>
        <w:pStyle w:val="SingleTxtG"/>
      </w:pPr>
      <w:r>
        <w:t>4.</w:t>
      </w:r>
      <w:r>
        <w:tab/>
        <w:t xml:space="preserve">Отмечая дуалистическую правовую систему государства-участника и приветствуя приоритет договорных обязательств над национальным законодательством, провозглашенный в законе о договорах и международных соглашениях (2017 года), а также законодательные и политические меры, принятые государством-участником в целях защиты и соблюдения экономических, социальных и культурных прав, Комитет выражает обеспокоенность тем, что положения Пакта еще не были в полной мере включены в национальную правовую систему. Он обеспокоен также отсутствием адекватных средств правовой защиты в случае нарушения экономических, социальных и культурных прав. Кроме того, он обеспокоен тем, что осведомленность и знание о Пакте среди государственных служащих, включая судей и прокуроров, а также среди адвокатов, по-видимому, остаются ограниченными, и отсутствием примеров судебных решений, в которых бы содержались ссылки на Пакт при применении или толковании внутреннего законодательства. </w:t>
      </w:r>
    </w:p>
    <w:p w14:paraId="73C19065" w14:textId="77777777" w:rsidR="000D0CB7" w:rsidRPr="00613124" w:rsidRDefault="000D0CB7" w:rsidP="000D0CB7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провести всесторонний обзор своего внутреннего законодательства с целью выявления возможных пробелов или положений, противоречащих Пакту, и обеспечить, чтобы все права, закрепленные в Пакте, имели полную юридическую силу в его внутренней правовой системе.</w:t>
      </w:r>
      <w:r>
        <w:t xml:space="preserve"> </w:t>
      </w:r>
      <w:r>
        <w:rPr>
          <w:b/>
          <w:bCs/>
        </w:rPr>
        <w:t>Комитет рекомендует также государству-участнику принять все необходимые меры для обеспечения того, чтобы жертвы нарушений экономических, социальных и культурных прав имели полный доступ к эффективным средствам правовой защиты.</w:t>
      </w:r>
      <w:r>
        <w:t xml:space="preserve"> </w:t>
      </w:r>
      <w:r>
        <w:rPr>
          <w:b/>
          <w:bCs/>
        </w:rPr>
        <w:t>Кроме того, он рекомендует государству-участнику улучшить подготовку государственных служащих, включая судей и прокуроров, а также адвокатов, по положениям Пакта и возможности их применения в судебной практике, а также действенным образом повышать осведомленность о Пакте среди правообладателей.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замечание общего порядка № 9 (1998) о применении Пакта во внутреннем праве.</w:t>
      </w:r>
    </w:p>
    <w:p w14:paraId="63CD7331" w14:textId="77777777" w:rsidR="000D0CB7" w:rsidRPr="00303CF4" w:rsidRDefault="000D0CB7" w:rsidP="000D0CB7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5BC90C6B" w14:textId="77777777" w:rsidR="000D0CB7" w:rsidRPr="00303CF4" w:rsidRDefault="000D0CB7" w:rsidP="000D0CB7">
      <w:pPr>
        <w:pStyle w:val="SingleTxtG"/>
      </w:pPr>
      <w:r>
        <w:t>6.</w:t>
      </w:r>
      <w:r>
        <w:tab/>
        <w:t>Комитет отмечает наличие различных государственных органов, наделенных полномочиями в области прав человека, включая Национальный комитет по правам человека, Национальную комиссию по улучшению положения женщин, матерей и детей, Национальный комитет по делам инвалидов и пожилых людей и Национальный комитет по борьбе с торговлей людьми. Вместе с тем он выражает обеспокоенность тем, что государство-участник еще не учредило национальный правозащитный орган, полностью соответствующий принципам, касающимся статуса национальных учреждений, занимающихся поощрением и защитой прав человека (Парижские принципы).</w:t>
      </w:r>
    </w:p>
    <w:p w14:paraId="4AEE5B1C" w14:textId="77777777" w:rsidR="000D0CB7" w:rsidRPr="00613124" w:rsidRDefault="000D0CB7" w:rsidP="000D0CB7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создать национальный правозащитный орган или реорганизовать существующий орган, наделив его широкими полномочиями по поощрению и защите прав человека, включая экономические, социальные и культурные права, и обеспечить его достаточными людскими, техническими и финансовыми ресурсами, чтобы он мог эффективно и независимо выполнять свои функции в полном соответствии с Парижскими принципами.</w:t>
      </w:r>
      <w:r>
        <w:t xml:space="preserve"> </w:t>
      </w:r>
      <w:r>
        <w:rPr>
          <w:b/>
          <w:bCs/>
        </w:rPr>
        <w:t>В этой связи Комитет напоминает о своем замечании общего порядка № 10 (1998) о роли национальных учреждений по правам человека в защите экономических, социальных и культурных прав.</w:t>
      </w:r>
      <w:r>
        <w:t xml:space="preserve"> </w:t>
      </w:r>
    </w:p>
    <w:p w14:paraId="352A0CC7" w14:textId="77777777" w:rsidR="000D0CB7" w:rsidRPr="00303CF4" w:rsidRDefault="000D0CB7" w:rsidP="000D0CB7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</w:t>
      </w:r>
    </w:p>
    <w:p w14:paraId="2938EC56" w14:textId="77777777" w:rsidR="000D0CB7" w:rsidRPr="00303CF4" w:rsidRDefault="000D0CB7" w:rsidP="000D0CB7">
      <w:pPr>
        <w:pStyle w:val="SingleTxtG"/>
      </w:pPr>
      <w:r>
        <w:t>8.</w:t>
      </w:r>
      <w:r>
        <w:tab/>
        <w:t xml:space="preserve">Отмечая конституционные и правовые положения, закрепляющие независимость судебной власти, Комитет выражает обеспокоенность сообщениями о </w:t>
      </w:r>
      <w:r>
        <w:lastRenderedPageBreak/>
        <w:t>том, что судебная власть не является независимой из-за вмешательства в ее деятельность, в том числе в процесс отбора, назначения и отстранения от должности судей и прокуроров и применения к ним дисциплинарных мер, что может оказывать негативное влияние на защиту и осуществление экономических, социальных и культурных прав.</w:t>
      </w:r>
    </w:p>
    <w:p w14:paraId="07CF6202" w14:textId="77777777" w:rsidR="000D0CB7" w:rsidRPr="00613124" w:rsidRDefault="000D0CB7" w:rsidP="000D0CB7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обеспечить в законодательном и практическом плане полную независимость, беспристрастность и эффективность судебной системы, гарантируя ее свободу от любого давления или неправомерного вмешательства со стороны других органов.</w:t>
      </w:r>
      <w:r>
        <w:t xml:space="preserve"> </w:t>
      </w:r>
      <w:r>
        <w:rPr>
          <w:b/>
          <w:bCs/>
        </w:rPr>
        <w:t>При этом следует обеспечить, чтобы процедуры избрания, назначения, продвижения по службе, отстранения от должности или увольнения судей и прокуроров соответствовали соответствующим международным стандартам, включая Основные принципы независимости судебных органов и Руководящие принципы, касающиеся роли лиц, осуществляющих судебное преследование.</w:t>
      </w:r>
    </w:p>
    <w:p w14:paraId="39EF9422" w14:textId="77777777" w:rsidR="000D0CB7" w:rsidRPr="00303CF4" w:rsidRDefault="000D0CB7" w:rsidP="000D0CB7">
      <w:pPr>
        <w:pStyle w:val="H23G"/>
      </w:pPr>
      <w:r>
        <w:tab/>
      </w:r>
      <w:r>
        <w:tab/>
      </w:r>
      <w:r>
        <w:rPr>
          <w:bCs/>
        </w:rPr>
        <w:t>Правозащитники и активисты гражданского общества</w:t>
      </w:r>
    </w:p>
    <w:p w14:paraId="3712B90A" w14:textId="77777777" w:rsidR="000D0CB7" w:rsidRPr="00303CF4" w:rsidRDefault="000D0CB7" w:rsidP="000D0CB7">
      <w:pPr>
        <w:pStyle w:val="SingleTxtG"/>
      </w:pPr>
      <w:r>
        <w:t>10.</w:t>
      </w:r>
      <w:r>
        <w:tab/>
        <w:t>Комитет выражает глубокую обеспокоенность сообщениями о том, что правозащитники и представители гражданского общества, занимающиеся вопросами экономических, социальных и культурных прав, включая защитников прав коренных и племенных народов и окружающей среды, лидеры профсоюзов, лидеры крестьянских движений и активисты, борющиеся с коррупцией, подвергаются запугиванию, угрозам, травле, произвольному задержанию и заключению под стражу, необоснованному уголовному преследованию, нарушениям гарантий справедливого судебного разбирательства, насильственным исчезновениям, внесудебным казням и репрессиям, в том числе транснациональным репрессиям, вследствие своей деятельности по защите экономических, социальных и культурных прав. Он также обеспокоен недостаточными усилиями государства-участника по предоставлению этим лицам надлежащей защиты, проведению оперативных, эффективных и беспристрастных расследований и назначению виновным в этих преступлениях соответствующих наказаний.</w:t>
      </w:r>
    </w:p>
    <w:p w14:paraId="6451828E" w14:textId="77777777" w:rsidR="000D0CB7" w:rsidRPr="00613124" w:rsidRDefault="000D0CB7" w:rsidP="000D0CB7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Ссылаясь на свое заявление о правозащитниках и экономических, социальных и культурных правах</w:t>
      </w:r>
      <w:r w:rsidRPr="00613124">
        <w:rPr>
          <w:rStyle w:val="a8"/>
        </w:rPr>
        <w:footnoteReference w:id="5"/>
      </w:r>
      <w:r>
        <w:rPr>
          <w:b/>
          <w:bCs/>
        </w:rPr>
        <w:t>, Комитет рекомендует государству-участнику:</w:t>
      </w:r>
      <w:r>
        <w:t xml:space="preserve"> </w:t>
      </w:r>
    </w:p>
    <w:p w14:paraId="260A7E32" w14:textId="61BD4F88" w:rsidR="000D0CB7" w:rsidRPr="000D0CB7" w:rsidRDefault="000D0CB7" w:rsidP="000D0CB7">
      <w:pPr>
        <w:pStyle w:val="SingleTxtG"/>
        <w:rPr>
          <w:b/>
          <w:bCs/>
        </w:rPr>
      </w:pPr>
      <w:r w:rsidRPr="002D2EBD">
        <w:tab/>
      </w:r>
      <w:r w:rsidRPr="000D0CB7">
        <w:rPr>
          <w:b/>
          <w:bCs/>
        </w:rPr>
        <w:t>a)</w:t>
      </w:r>
      <w:r w:rsidRPr="000D0CB7">
        <w:rPr>
          <w:b/>
          <w:bCs/>
        </w:rPr>
        <w:tab/>
        <w:t>усилить защиту правозащитников, журналистов и активистов, занимающихся вопросами экономических, социальных и культурных прав, а также членов их семей;</w:t>
      </w:r>
    </w:p>
    <w:p w14:paraId="7B97FA42" w14:textId="36A0F97C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b)</w:t>
      </w:r>
      <w:r w:rsidRPr="000D0CB7">
        <w:rPr>
          <w:b/>
          <w:bCs/>
        </w:rPr>
        <w:tab/>
        <w:t>в целях предотвращения безнаказанности обеспечить оперативное, эффективное и беспристрастное расследование всех нарушений, привлечение к ответственности и наказание виновных и возмещение ущерба потерпевшим;</w:t>
      </w:r>
    </w:p>
    <w:p w14:paraId="1068BBBA" w14:textId="588FE529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c)</w:t>
      </w:r>
      <w:r>
        <w:tab/>
      </w:r>
      <w:r>
        <w:rPr>
          <w:b/>
          <w:bCs/>
        </w:rPr>
        <w:t>следить за тем, чтобы законодательство не использовалось для необоснованного ограничения и подавления деятельности лиц, критикующих правительство, правозащитников и активистов, которые играют важную роль в осуществлении экономических, социальных и культурных прав.</w:t>
      </w:r>
    </w:p>
    <w:p w14:paraId="1CF68AE4" w14:textId="77777777" w:rsidR="000D0CB7" w:rsidRPr="00303CF4" w:rsidRDefault="000D0CB7" w:rsidP="000D0CB7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</w:p>
    <w:p w14:paraId="393B08C6" w14:textId="40E7CB98" w:rsidR="000D0CB7" w:rsidRPr="00303CF4" w:rsidRDefault="000D0CB7" w:rsidP="000D0CB7">
      <w:pPr>
        <w:pStyle w:val="SingleTxtG"/>
      </w:pPr>
      <w:r>
        <w:t>12.</w:t>
      </w:r>
      <w:r>
        <w:tab/>
        <w:t xml:space="preserve">Принимая к сведению информацию, предоставленную в ходе диалога с делегацией государства-участника, Комитет обеспокоен недостаточностью правовых обязательств, находящихся под юрисдикцией государства-участника коммерческих предприятий в отношении проявления должной осмотрительности в области прав человека при осуществлении своей деятельности, а также отсутствием национального плана действий в области предпринимательской деятельности и прав человека. </w:t>
      </w:r>
      <w:r w:rsidR="007804B6">
        <w:br/>
      </w:r>
      <w:r>
        <w:t xml:space="preserve">Он обеспокоен также сообщениями о том, что предпринимательская деятельность и крупномасштабные проекты в области развития, в частности добыча полезных </w:t>
      </w:r>
      <w:r>
        <w:lastRenderedPageBreak/>
        <w:t>ископаемых, строительство плотин и гидроэлектростанций и создание особых экономических зон, приводят к деградации окружающей среды, загрязнению воды и воздуха, утрате биоразнообразия и обезлесению, что негативно сказывается на осуществлении экономических, социальных и культурных прав, особенно коренных и племенных народов, этнических меньшинств и других местных общин. Принимая к сведению положения Указа об оценке воздействия на окружающую среду (2019 года)</w:t>
      </w:r>
      <w:r w:rsidR="007804B6">
        <w:t>,</w:t>
      </w:r>
      <w:r>
        <w:t xml:space="preserve"> Комитет выражает обеспокоенность сообщениями о том, что оценки воздействия на окружающую среду и социальную сферу, а также консультации с затронутыми местными общинами, проводимые до начала реализации инвестиционных и проектов в области развития, зачастую являются недостаточными и не позволяют предотвратить нарушения обязательств, предусмотренных в Пакте (статьи 2 (п. 1), 11 и 12). </w:t>
      </w:r>
    </w:p>
    <w:p w14:paraId="28CC5365" w14:textId="77777777" w:rsidR="000D0CB7" w:rsidRPr="00613124" w:rsidRDefault="000D0CB7" w:rsidP="000D0CB7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Ссылаясь на Руководящие принципы предпринимательской деятельности в аспекте прав человека: осуществление рамок Организации Объединенных Наций, касающихся «защиты, соблюдения и средств правовой защиты», Комитет рекомендует государству-участнику:</w:t>
      </w:r>
    </w:p>
    <w:p w14:paraId="41A81DC3" w14:textId="23572AF1" w:rsidR="000D0CB7" w:rsidRPr="000D0CB7" w:rsidRDefault="000D0CB7" w:rsidP="000D0CB7">
      <w:pPr>
        <w:pStyle w:val="SingleTxtG"/>
        <w:rPr>
          <w:b/>
          <w:bCs/>
        </w:rPr>
      </w:pPr>
      <w:r w:rsidRPr="002D2EBD">
        <w:tab/>
      </w:r>
      <w:r w:rsidRPr="000D0CB7">
        <w:rPr>
          <w:b/>
          <w:bCs/>
        </w:rPr>
        <w:t>a)</w:t>
      </w:r>
      <w:r w:rsidRPr="000D0CB7">
        <w:rPr>
          <w:b/>
          <w:bCs/>
        </w:rPr>
        <w:tab/>
        <w:t>принять национальный план действий по предпринимательству и правам человека, обеспечив при этом участие как в процессах разработки, так и в процессах реализации всех заинтересованных сторон, включая представителей предпринимательских кругов, организаций гражданского общества, коренных и племенных народов и наиболее затрагиваемых общин;</w:t>
      </w:r>
    </w:p>
    <w:p w14:paraId="698A9409" w14:textId="6217193E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b)</w:t>
      </w:r>
      <w:r w:rsidRPr="000D0CB7">
        <w:rPr>
          <w:b/>
          <w:bCs/>
        </w:rPr>
        <w:tab/>
        <w:t xml:space="preserve">принять надлежащие законодательные и административные меры для обеспечения того, чтобы предприятия, действующие или зарегистрированные в государстве-участнике, проявляли должную ответственность в вопросах прав человека, и тем самым предотвращения или уменьшения их негативного воздействия на осуществление экономических, социальных и культурных прав; </w:t>
      </w:r>
    </w:p>
    <w:p w14:paraId="045E0114" w14:textId="2B305A7B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c)</w:t>
      </w:r>
      <w:r w:rsidRPr="000D0CB7">
        <w:rPr>
          <w:b/>
          <w:bCs/>
        </w:rPr>
        <w:tab/>
        <w:t>принять все необходимые меры для обеспечения ответственности за нарушения экономических, социальных и культурных прав в результате предпринимательской деятельности и проектов развития, а также обеспечить предоставление жертвам соответствующих средств правовой защиты, включая адекватную компенсацию;</w:t>
      </w:r>
    </w:p>
    <w:p w14:paraId="255C0DA5" w14:textId="790BFD4B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d)</w:t>
      </w:r>
      <w:r w:rsidRPr="000D0CB7">
        <w:rPr>
          <w:b/>
          <w:bCs/>
        </w:rPr>
        <w:tab/>
        <w:t>систематически проводить предварительные и конструктивные консультации</w:t>
      </w:r>
      <w:r>
        <w:rPr>
          <w:b/>
          <w:bCs/>
        </w:rPr>
        <w:t xml:space="preserve"> с затронутыми местными общинами, включая коренные и племенные народы и этнические меньшинства, а также независимые оценки воздействия на права человека и окружающую среду, прежде чем приступать к предпринимательской деятельности, реализовывать проекты в области развития и предоставлять концессии на экономическую эксплуатацию земель, территорий и природных ресурсов.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свои замечания общего порядка № 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 и № 26 (2022) о земле и экономических, социальных и культурных правах.</w:t>
      </w:r>
    </w:p>
    <w:p w14:paraId="57844151" w14:textId="77777777" w:rsidR="000D0CB7" w:rsidRPr="00303CF4" w:rsidRDefault="000D0CB7" w:rsidP="000D0CB7">
      <w:pPr>
        <w:pStyle w:val="H23G"/>
      </w:pPr>
      <w:r>
        <w:tab/>
      </w:r>
      <w:r>
        <w:tab/>
      </w:r>
      <w:r>
        <w:rPr>
          <w:bCs/>
        </w:rPr>
        <w:t>Изменение климата и охрана окружающей среды</w:t>
      </w:r>
    </w:p>
    <w:p w14:paraId="07CA9A1E" w14:textId="77777777" w:rsidR="000D0CB7" w:rsidRPr="00303CF4" w:rsidRDefault="000D0CB7" w:rsidP="000D0CB7">
      <w:pPr>
        <w:pStyle w:val="SingleTxtG"/>
      </w:pPr>
      <w:r>
        <w:t>14.</w:t>
      </w:r>
      <w:r>
        <w:tab/>
        <w:t xml:space="preserve">Приветствуя принятие национальной стратегии по борьбе с изменением климата до 2030 года, Закона о предотвращении бедствий и ликвидации их последствий (2019 года) и национальной стратегии по снижению риска бедствий (2021–2030 годы), а также обязательство государства-участника сократить выбросы парниковых газов, Комитет выражает обеспокоенность тем, что нынешних мер по сокращению выбросов может оказаться недостаточно для выполнения государством-участником своих обязательств по Парижскому соглашению. Она также выражает озабоченность в связи с зависимостью страны от источников энергии, представляющих высокий риск для окружающей среды, и усилением обезлесения в последние годы. Комитет выражает также обеспокоенность по поводу недостаточности мер по адаптации, принятых для преодоления относительно высокой </w:t>
      </w:r>
      <w:r>
        <w:lastRenderedPageBreak/>
        <w:t>уязвимости страны перед последствиями изменения климата, включая экстремальные погодные явления, такие как наводнения, засухи, ураганы, изменения в режиме осадков и повышение температуры, которые влияют на осуществление прав, закрепленных в Пакте, в частности среди находящихся в неблагоприятном положении и уязвимых групп, таких как этнические меньшинства, коренные и племенные народы, фермеры, скотоводы и общины, перемещенные в результате стихийных бедствий (статьи 2 (п. 1), 11 и 12).</w:t>
      </w:r>
    </w:p>
    <w:p w14:paraId="028734A3" w14:textId="177A5E7D" w:rsidR="000D0CB7" w:rsidRPr="00613124" w:rsidRDefault="000D0CB7" w:rsidP="000D0CB7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принять меры по достижению своих определяемых на национальном уровне вкладов в соответствии с Парижским соглашением, в частности путем:</w:t>
      </w:r>
      <w:r>
        <w:t xml:space="preserve"> </w:t>
      </w:r>
    </w:p>
    <w:p w14:paraId="17FB0C7C" w14:textId="5C011391" w:rsidR="000D0CB7" w:rsidRPr="000D0CB7" w:rsidRDefault="000D0CB7" w:rsidP="000D0CB7">
      <w:pPr>
        <w:pStyle w:val="SingleTxtG"/>
        <w:rPr>
          <w:b/>
          <w:bCs/>
        </w:rPr>
      </w:pPr>
      <w:r w:rsidRPr="0013547F">
        <w:tab/>
      </w:r>
      <w:r w:rsidRPr="000D0CB7">
        <w:rPr>
          <w:b/>
          <w:bCs/>
        </w:rPr>
        <w:t>a)</w:t>
      </w:r>
      <w:r w:rsidRPr="000D0CB7">
        <w:rPr>
          <w:b/>
          <w:bCs/>
        </w:rPr>
        <w:tab/>
        <w:t>расширения инвестиций в возобновляемые источники энергии, особенно солнечную и ветровую, с целью диверсификации энергетического баланса помимо гидроэнергетики и угля;</w:t>
      </w:r>
    </w:p>
    <w:p w14:paraId="151ABE87" w14:textId="30587C1E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b)</w:t>
      </w:r>
      <w:r w:rsidRPr="000D0CB7">
        <w:rPr>
          <w:b/>
          <w:bCs/>
        </w:rPr>
        <w:tab/>
        <w:t>обеспечения того, чтобы природные ресурсы, включая лесные ресурсы, использовались в соответствии со справедливой и равноправной природоохранной стратегией сохранения, разработанной в консультации с заинтересованными общинами, такими как коренные и племенные народы и этнические меньшинства, организации гражданского общества и органы, ответственные за охрану окружающей среды;</w:t>
      </w:r>
    </w:p>
    <w:p w14:paraId="3E0C047B" w14:textId="4D9E4797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c)</w:t>
      </w:r>
      <w:r w:rsidRPr="000D0CB7">
        <w:rPr>
          <w:b/>
          <w:bCs/>
        </w:rPr>
        <w:tab/>
        <w:t>борьбы с незаконной вырубкой и, насколько это возможно, другими видами нерационального использования природных ресурсов, включая леса;</w:t>
      </w:r>
    </w:p>
    <w:p w14:paraId="6E14A870" w14:textId="4C2D4AA4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d)</w:t>
      </w:r>
      <w:r w:rsidRPr="000D0CB7">
        <w:rPr>
          <w:b/>
          <w:bCs/>
        </w:rPr>
        <w:tab/>
        <w:t>разработки национального плана адаптации с учетом потребностей маргинализированных и находящихся в неблагоприятном положении групп населения, в частности этнических меньшинств, коренных и племенных народов, фермеров, скотоводов и общин, перемещенных в результате бедствий, а также обеспечения включения в этот план мер по адаптации к изменению климата и его предотвращению при соблюдении экономических, социальных и культурных прав и с учетом заявления Комитета об изменении климата и Пакте</w:t>
      </w:r>
      <w:r w:rsidRPr="0013547F">
        <w:rPr>
          <w:rStyle w:val="a8"/>
        </w:rPr>
        <w:footnoteReference w:id="6"/>
      </w:r>
      <w:r w:rsidRPr="000D0CB7">
        <w:rPr>
          <w:b/>
          <w:bCs/>
        </w:rPr>
        <w:t>;</w:t>
      </w:r>
    </w:p>
    <w:p w14:paraId="298ED503" w14:textId="009546CE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e)</w:t>
      </w:r>
      <w:r w:rsidRPr="000D0CB7">
        <w:rPr>
          <w:b/>
          <w:bCs/>
        </w:rPr>
        <w:tab/>
        <w:t>активизации усилий по получению международной поддержки, включая фина</w:t>
      </w:r>
      <w:r>
        <w:rPr>
          <w:b/>
          <w:bCs/>
        </w:rPr>
        <w:t>нсовую и техническую помощь, для обеспечения финансирования достижения целей по сокращению выбросов и мер по адаптации к изменению климата.</w:t>
      </w:r>
    </w:p>
    <w:p w14:paraId="678EA589" w14:textId="77777777" w:rsidR="000D0CB7" w:rsidRPr="00303CF4" w:rsidRDefault="000D0CB7" w:rsidP="000D0CB7">
      <w:pPr>
        <w:pStyle w:val="H23G"/>
      </w:pPr>
      <w:r>
        <w:tab/>
      </w:r>
      <w:r>
        <w:tab/>
      </w:r>
      <w:r>
        <w:rPr>
          <w:bCs/>
        </w:rPr>
        <w:t>Права коренных и племенных народов</w:t>
      </w:r>
    </w:p>
    <w:p w14:paraId="6671639E" w14:textId="2CD44380" w:rsidR="000D0CB7" w:rsidRPr="00303CF4" w:rsidRDefault="000D0CB7" w:rsidP="000D0CB7">
      <w:pPr>
        <w:pStyle w:val="SingleTxtG"/>
      </w:pPr>
      <w:r>
        <w:t>16.</w:t>
      </w:r>
      <w:r>
        <w:tab/>
        <w:t xml:space="preserve">Приветствуя положение статьи 8 Конституции, закрепляющее право всех этнических групп на защиту, сохранение и поощрение самобытных обычаев и культуры своих племен и нации, и принимая к сведению разъяснение государства-участника о том, что ни одной этнической группе не предоставляется особый статус, Комитет выражает обеспокоенность тем, что коренные и племенные народы не признаются в качестве таковых государством-участником, что негативно сказывается на осуществлении ими своих прав, предусмотренных Пактом. Комитет выражает особую обеспокоенность сообщениями о принудительном перемещении и переселении коренных и племенных народов, в том числе этнической группы меньшинства хмонг, с их земель и территорий в результате захвата земель и предоставления земельных концессий для реализации проектов в области развития. </w:t>
      </w:r>
      <w:r w:rsidR="0013547F">
        <w:br/>
      </w:r>
      <w:r>
        <w:t xml:space="preserve">Он обеспокоен также сообщениями о том, что такое принудительное перемещение и переселение часто осуществляется без надлежащих консультаций с коренными и племенными народами с целью получения их свободного, предварительного и осознанного согласия либо без надлежащей компенсации или выделения участков для переселения. Наконец, Комитет обеспокоен ограниченным доступом коренных и племенных народов к здравоохранению, образованию и другим базовым услугам </w:t>
      </w:r>
      <w:r w:rsidR="0013547F">
        <w:br/>
      </w:r>
      <w:r>
        <w:t>(ст</w:t>
      </w:r>
      <w:r w:rsidR="0013547F">
        <w:t>атьи</w:t>
      </w:r>
      <w:r>
        <w:t xml:space="preserve"> 1, 2 (п. 1) и 11–15). </w:t>
      </w:r>
    </w:p>
    <w:p w14:paraId="27077EFD" w14:textId="77777777" w:rsidR="000D0CB7" w:rsidRPr="00613124" w:rsidRDefault="000D0CB7" w:rsidP="000D0CB7">
      <w:pPr>
        <w:pStyle w:val="SingleTxtG"/>
        <w:rPr>
          <w:b/>
          <w:bCs/>
        </w:rPr>
      </w:pPr>
      <w:r>
        <w:lastRenderedPageBreak/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59F7A89" w14:textId="52FD725C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a)</w:t>
      </w:r>
      <w:r w:rsidRPr="000D0CB7">
        <w:rPr>
          <w:b/>
          <w:bCs/>
        </w:rPr>
        <w:tab/>
      </w:r>
      <w:r w:rsidR="0013547F">
        <w:rPr>
          <w:b/>
          <w:bCs/>
        </w:rPr>
        <w:t xml:space="preserve">защищать </w:t>
      </w:r>
      <w:r>
        <w:rPr>
          <w:b/>
          <w:bCs/>
        </w:rPr>
        <w:t>право каждого человека, в индивидуальном порядке или совместно с другими или в рамках общины, выбирать свою идентичность, включая право идентифицировать себя как принадлежащего к какой-либо этнической группе или коренному или племенному народу, в соответствии с обычаями и традициями этого человека и согласно статьям 9 и 33 Декларации Организации Объединенных Наций о правах коренных народов, которая была одобрена государством-участником 13 сентября 2007 года;</w:t>
      </w:r>
    </w:p>
    <w:p w14:paraId="322CD6AD" w14:textId="3DD4DF55" w:rsidR="000D0CB7" w:rsidRPr="000D0CB7" w:rsidRDefault="000D0CB7" w:rsidP="000D0CB7">
      <w:pPr>
        <w:pStyle w:val="SingleTxtG"/>
        <w:rPr>
          <w:b/>
          <w:bCs/>
        </w:rPr>
      </w:pPr>
      <w:r w:rsidRPr="0013547F">
        <w:tab/>
      </w:r>
      <w:r w:rsidRPr="000D0CB7">
        <w:rPr>
          <w:b/>
          <w:bCs/>
        </w:rPr>
        <w:t>b)</w:t>
      </w:r>
      <w:r w:rsidRPr="000D0CB7">
        <w:rPr>
          <w:b/>
          <w:bCs/>
        </w:rPr>
        <w:tab/>
        <w:t>принять надлежащие нормативно-правовые акты, обеспечивающие эффективное признание и защиту права коренных и племенных народов на владение, использование, контроль и освоение земель, территорий и ресурсов, которые традиционно находились в их владении, были заняты ими или иным образом ими использовались либо приобретались, и обеспечить наличие эффективных механизмов для соблюдения таких нормативно-правовых актов;</w:t>
      </w:r>
    </w:p>
    <w:p w14:paraId="7D347CD1" w14:textId="2A888557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c)</w:t>
      </w:r>
      <w:r w:rsidRPr="000D0CB7">
        <w:rPr>
          <w:b/>
          <w:bCs/>
        </w:rPr>
        <w:tab/>
        <w:t>принять и реализовать, в консультации с коренными и племенными народами, надлежащую процедуру для обеспечения проведения с коренными народами предварительных, систематических и транспарентных консультаций с целью получения их свободного, предварительного и осознанного согласия в контексте принятия решений, которые могут затрагивать их интересы, особенно перед выдачей лицензий на проекты в области развития и предпринимательскую деятельность на территориях, традиционно находящихся в их владении, занимаемых или используемых ими;</w:t>
      </w:r>
    </w:p>
    <w:p w14:paraId="61A55330" w14:textId="69DCBF32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d)</w:t>
      </w:r>
      <w:r w:rsidRPr="000D0CB7">
        <w:rPr>
          <w:b/>
          <w:bCs/>
        </w:rPr>
        <w:tab/>
      </w:r>
      <w:r w:rsidR="0013547F" w:rsidRPr="000D0CB7">
        <w:rPr>
          <w:b/>
          <w:bCs/>
        </w:rPr>
        <w:t xml:space="preserve">обеспечить </w:t>
      </w:r>
      <w:r w:rsidRPr="000D0CB7">
        <w:rPr>
          <w:b/>
          <w:bCs/>
        </w:rPr>
        <w:t xml:space="preserve">участие коренных и племенных народов в любом процессе, касающемся их переселения, а также обеспечить, чтобы такое переселение осуществлялось с предоставлением им надлежащих участков для переселения и уважением их традиционного образа жизни и, в соответствующих случаях, их права на исконные земли; и обеспечить предоставление адекватной компенсации в тех случаях, когда переселение не представляется возможным; </w:t>
      </w:r>
    </w:p>
    <w:p w14:paraId="1E753C9E" w14:textId="32099415" w:rsidR="000D0CB7" w:rsidRPr="000D0CB7" w:rsidRDefault="000D0CB7" w:rsidP="000D0CB7">
      <w:pPr>
        <w:pStyle w:val="SingleTxtG"/>
        <w:rPr>
          <w:b/>
          <w:bCs/>
        </w:rPr>
      </w:pPr>
      <w:r w:rsidRPr="0013547F">
        <w:rPr>
          <w:b/>
          <w:bCs/>
        </w:rPr>
        <w:tab/>
      </w:r>
      <w:r w:rsidRPr="000D0CB7">
        <w:rPr>
          <w:b/>
          <w:bCs/>
        </w:rPr>
        <w:t>e)</w:t>
      </w:r>
      <w:r w:rsidRPr="000D0CB7">
        <w:rPr>
          <w:b/>
          <w:bCs/>
        </w:rPr>
        <w:tab/>
        <w:t>принять все необходимые меры для обеспечения полного доступа коренных и племенных народов к здравоохранению, образованию и другим базовым услугам, с учетом замечаний общего порядка Комитета № 26 (2022) о земле и экономических, социальных и культурных правах и № 21 (2009) о праве каждого человека на участие в культурной жизни;</w:t>
      </w:r>
    </w:p>
    <w:p w14:paraId="12A34D9F" w14:textId="14172A83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f)</w:t>
      </w:r>
      <w:r>
        <w:tab/>
      </w:r>
      <w:r>
        <w:rPr>
          <w:b/>
          <w:bCs/>
        </w:rPr>
        <w:t xml:space="preserve">ратифицировать Конвенцию Международной организации </w:t>
      </w:r>
      <w:r w:rsidR="0013547F">
        <w:rPr>
          <w:b/>
          <w:bCs/>
        </w:rPr>
        <w:br/>
      </w:r>
      <w:r>
        <w:rPr>
          <w:b/>
          <w:bCs/>
        </w:rPr>
        <w:t xml:space="preserve">труда (МОТ) 1989 года о коренных народах и народах, ведущих племенной </w:t>
      </w:r>
      <w:r w:rsidR="0013547F">
        <w:rPr>
          <w:b/>
          <w:bCs/>
        </w:rPr>
        <w:br/>
      </w:r>
      <w:r>
        <w:rPr>
          <w:b/>
          <w:bCs/>
        </w:rPr>
        <w:t>образ жизни (№ 169).</w:t>
      </w:r>
    </w:p>
    <w:p w14:paraId="1DE58689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Максимальные имеющиеся ресурсы</w:t>
      </w:r>
    </w:p>
    <w:p w14:paraId="0966EAF9" w14:textId="77777777" w:rsidR="000D0CB7" w:rsidRPr="00303CF4" w:rsidRDefault="000D0CB7" w:rsidP="000D0CB7">
      <w:pPr>
        <w:pStyle w:val="SingleTxtG"/>
      </w:pPr>
      <w:r>
        <w:t>18.</w:t>
      </w:r>
      <w:r>
        <w:tab/>
        <w:t>Отмечая наблюдаемый в последнее время экономический рост в государстве-участнике, Комитет выражает обеспокоенность в связи с общей низкой величиной социальных расходов на продовольствие, водоснабжение и санитарию, социальное обеспечение, образование, здравоохранение и жилье. Комитет также обеспокоен узостью налоговой базы и ограниченной прогрессивностью системы подоходного налога, что сдерживает способность государства-участника мобилизовать ресурсы для социальных расходов. Он также выражает обеспокоенность высоким уровнем государственного долга и значительной долей бюджета, выделяемой на обслуживание долга, что сокращает финансовые возможности для осуществления закрепленных в Пакте прав. Кроме того, он выражает сожаление по поводу отсутствия ясности в отношении того, намеревается ли государство-участник пересмотреть ставки роялти и концессионные сборы за природные ресурсы, чтобы обеспечить справедливые условия, отражающие экологические и социальные издержки и предусматривающие распределение выгод (статьи 2 (п. 1), 9 и 11–14).</w:t>
      </w:r>
    </w:p>
    <w:p w14:paraId="4C510495" w14:textId="77777777" w:rsidR="000D0CB7" w:rsidRPr="00613124" w:rsidRDefault="000D0CB7" w:rsidP="000D0CB7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 xml:space="preserve">Комитет рекомендует государству-участнику увеличить ассигнования на социальные нужды, особенно в области социального обеспечения, продовольствия, водоснабжения и санитарии, жилья, здравоохранения и </w:t>
      </w:r>
      <w:r>
        <w:rPr>
          <w:b/>
          <w:bCs/>
        </w:rPr>
        <w:lastRenderedPageBreak/>
        <w:t>образования, а также в целом укрепить свой потенциал в области мобилизации внутренних ресурсов для постепенного осуществления экономических, социальных и культурных прав и сокращения неравенства в осуществлении этих прав.</w:t>
      </w:r>
      <w:r>
        <w:t xml:space="preserve"> </w:t>
      </w:r>
      <w:r>
        <w:rPr>
          <w:b/>
          <w:bCs/>
        </w:rPr>
        <w:t>С этой целью Комитет рекомендует государству-участнику:</w:t>
      </w:r>
      <w:r>
        <w:t xml:space="preserve"> </w:t>
      </w:r>
    </w:p>
    <w:p w14:paraId="5B29B5D3" w14:textId="17CE018D" w:rsidR="000D0CB7" w:rsidRPr="00613124" w:rsidRDefault="000D0CB7" w:rsidP="000D0CB7">
      <w:pPr>
        <w:pStyle w:val="SingleTxtG"/>
        <w:rPr>
          <w:b/>
          <w:bCs/>
        </w:rPr>
      </w:pPr>
      <w:r w:rsidRPr="002D2EBD">
        <w:tab/>
      </w:r>
      <w:r w:rsidRPr="000D0CB7">
        <w:rPr>
          <w:b/>
          <w:bCs/>
        </w:rPr>
        <w:t>a)</w:t>
      </w:r>
      <w:r>
        <w:tab/>
      </w:r>
      <w:r>
        <w:rPr>
          <w:b/>
          <w:bCs/>
        </w:rPr>
        <w:t>расширить налогооблагаемую базу, сделать налоговую систему более прогрессивной и бороться с уклонением и уходом от уплаты налогов, особенно среди иностранных корпораций и наиболее состоятельных слоев населения, руководствуясь заявлением Комитета о налоговой политике и Международным пактом об экономических, социальных и культурных правах</w:t>
      </w:r>
      <w:r w:rsidRPr="00613124">
        <w:rPr>
          <w:rStyle w:val="a8"/>
        </w:rPr>
        <w:footnoteReference w:id="7"/>
      </w:r>
      <w:r>
        <w:rPr>
          <w:b/>
          <w:bCs/>
        </w:rPr>
        <w:t>;</w:t>
      </w:r>
    </w:p>
    <w:p w14:paraId="6A31367E" w14:textId="551E4DCC" w:rsidR="000D0CB7" w:rsidRPr="000D0CB7" w:rsidRDefault="000D0CB7" w:rsidP="000D0CB7">
      <w:pPr>
        <w:pStyle w:val="SingleTxtG"/>
        <w:rPr>
          <w:b/>
          <w:bCs/>
        </w:rPr>
      </w:pPr>
      <w:r w:rsidRPr="002D2EBD">
        <w:tab/>
      </w:r>
      <w:r w:rsidRPr="000D0CB7">
        <w:rPr>
          <w:b/>
          <w:bCs/>
        </w:rPr>
        <w:t>b)</w:t>
      </w:r>
      <w:r w:rsidRPr="000D0CB7">
        <w:rPr>
          <w:b/>
          <w:bCs/>
        </w:rPr>
        <w:tab/>
        <w:t>пересмотреть ставки роялти и концессионные сборы за природные ресурсы, в том числе в отношении земельных участков, добычи полезных ископаемых и гидроэнергетики, с целью обеспечения справедливых, прозрачных и равноправных условий, отражающих экологические и социальные издержки и предусматривающих распределение выгод;</w:t>
      </w:r>
    </w:p>
    <w:p w14:paraId="7D046D9D" w14:textId="069B6135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c)</w:t>
      </w:r>
      <w:r w:rsidRPr="000D0CB7">
        <w:rPr>
          <w:b/>
          <w:bCs/>
        </w:rPr>
        <w:tab/>
        <w:t>принять адекватные меры в сотрудничестве с ключевыми кредиторами для обеспечения того, чтобы обязательства, вытекающие из государственного долга и его обслуживания, не ограничивали бюджетные возможности, необходимые для развития образования, здравоохранения, обеспечения достаточным питанием и водой, а также социального обеспечения;</w:t>
      </w:r>
    </w:p>
    <w:p w14:paraId="2DEE2B2E" w14:textId="11ECD66B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d)</w:t>
      </w:r>
      <w:r w:rsidRPr="000D0CB7">
        <w:rPr>
          <w:b/>
          <w:bCs/>
        </w:rPr>
        <w:tab/>
        <w:t>обеспечить выполнение обязательства как кредиторов, так и заемщиков</w:t>
      </w:r>
      <w:r>
        <w:rPr>
          <w:b/>
          <w:bCs/>
        </w:rPr>
        <w:t xml:space="preserve"> относительно проведения анализа последствий для соблюдения прав человека до кредитования и установления его условий и рассмотреть заявление Комитета от 2016 года о государственном долге, мерах жесткой экономии и Пакте</w:t>
      </w:r>
      <w:r w:rsidRPr="00613124">
        <w:rPr>
          <w:rStyle w:val="a8"/>
        </w:rPr>
        <w:footnoteReference w:id="8"/>
      </w:r>
      <w:r>
        <w:rPr>
          <w:b/>
          <w:bCs/>
        </w:rPr>
        <w:t>.</w:t>
      </w:r>
    </w:p>
    <w:p w14:paraId="24FB4307" w14:textId="77777777" w:rsidR="000D0CB7" w:rsidRPr="00303CF4" w:rsidRDefault="000D0CB7" w:rsidP="000D0CB7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564729AD" w14:textId="0C755783" w:rsidR="000D0CB7" w:rsidRPr="00303CF4" w:rsidRDefault="000D0CB7" w:rsidP="000D0CB7">
      <w:pPr>
        <w:pStyle w:val="SingleTxtG"/>
      </w:pPr>
      <w:r>
        <w:t>20.</w:t>
      </w:r>
      <w:r>
        <w:tab/>
        <w:t>Отмечая информацию, представленную государством-участником о мерах по борьбе с коррупцией, Комитет выражает обеспокоенность сообщениями о том, что в государстве-участнике по-прежнему существует высокий уровень коррупции и безнаказанности, которые усугубляются политическим патронажем и взяточничеством, затрагивающими многие секторы экономики, включая государственные закупки, концессии на инвестиционные проекты и проекты в области развития, управление земельными ресурсами и налогообложение, а также секторы здравоохранения и образования. Он обеспокоен также утверждениями о коррупции в судебной системе и других механизмах обеспечения подотчетности, что затрудняет доступ к правосудию в случае нарушения экономических, социальных и культурных прав. Кроме того, он обеспокоен сообщениями о том, что антикоррупционные органы, в частности Государственная инспекция и Управление по борьбе с коррупцией, не обладают достаточной независимостью и человеческими, техническими и финансовыми ресурсами для эффективного расследования всех заявлений о коррупции. Наконец, Комитет обеспокоен отсутствием адекватной защиты тех, кто сообщает о случаях коррупции, и ограничениями на доступ к информации, представляющей общественный интерес (</w:t>
      </w:r>
      <w:r w:rsidR="0013547F">
        <w:t>статьи</w:t>
      </w:r>
      <w:r>
        <w:t xml:space="preserve"> 2 (п. 1), 9 и 11–14). </w:t>
      </w:r>
    </w:p>
    <w:p w14:paraId="0316AC4A" w14:textId="77777777" w:rsidR="000D0CB7" w:rsidRPr="00613124" w:rsidRDefault="000D0CB7" w:rsidP="000D0CB7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меры, с тем чтобы:</w:t>
      </w:r>
    </w:p>
    <w:p w14:paraId="17DC4F94" w14:textId="45EA8822" w:rsidR="000D0CB7" w:rsidRPr="000D0CB7" w:rsidRDefault="000D0CB7" w:rsidP="000D0CB7">
      <w:pPr>
        <w:pStyle w:val="SingleTxtG"/>
        <w:rPr>
          <w:b/>
          <w:bCs/>
        </w:rPr>
      </w:pPr>
      <w:r w:rsidRPr="002D2EBD">
        <w:tab/>
      </w:r>
      <w:r w:rsidRPr="000D0CB7">
        <w:rPr>
          <w:b/>
          <w:bCs/>
        </w:rPr>
        <w:t>a)</w:t>
      </w:r>
      <w:r w:rsidRPr="000D0CB7">
        <w:rPr>
          <w:b/>
          <w:bCs/>
        </w:rPr>
        <w:tab/>
        <w:t>предотвращения и искоренения коррупции на всех уровнях, включая судебную систему, а также для обеспечения прозрачности и подотчетности в сфере государственного управления;</w:t>
      </w:r>
    </w:p>
    <w:p w14:paraId="79E59930" w14:textId="51756235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b)</w:t>
      </w:r>
      <w:r w:rsidRPr="000D0CB7">
        <w:rPr>
          <w:b/>
          <w:bCs/>
        </w:rPr>
        <w:tab/>
        <w:t>обеспечения строгого соблюдения Закона о борьбе с коррупцией в целях противодействия безнаказанности;</w:t>
      </w:r>
    </w:p>
    <w:p w14:paraId="7832AEA9" w14:textId="1F456DA3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lastRenderedPageBreak/>
        <w:tab/>
      </w:r>
      <w:r w:rsidRPr="000D0CB7">
        <w:rPr>
          <w:b/>
          <w:bCs/>
        </w:rPr>
        <w:t>c)</w:t>
      </w:r>
      <w:r w:rsidRPr="000D0CB7">
        <w:rPr>
          <w:b/>
          <w:bCs/>
        </w:rPr>
        <w:tab/>
        <w:t>обеспечения полной независимости антикоррупционных органов и предоставления им достаточных людских, технических и финансовых ресурсов, чтобы они могли эффективно и независимо выполнять свои полномочия;</w:t>
      </w:r>
    </w:p>
    <w:p w14:paraId="4B637CB5" w14:textId="458BCCA6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d)</w:t>
      </w:r>
      <w:r w:rsidRPr="000D0CB7">
        <w:rPr>
          <w:b/>
          <w:bCs/>
        </w:rPr>
        <w:tab/>
        <w:t>принятия надлежащих законодательных и административных мер для обеспечения</w:t>
      </w:r>
      <w:r>
        <w:rPr>
          <w:b/>
          <w:bCs/>
        </w:rPr>
        <w:t xml:space="preserve"> эффективной защиты жертв коррупции, их адвокатов, правозащитников, борющихся с коррупцией, лиц, сообщающих о коррупционных нарушениях, и свидетелей таких нарушений.</w:t>
      </w:r>
    </w:p>
    <w:p w14:paraId="42B41A93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Недискриминация</w:t>
      </w:r>
    </w:p>
    <w:p w14:paraId="126C45AF" w14:textId="77777777" w:rsidR="000D0CB7" w:rsidRPr="00303CF4" w:rsidRDefault="000D0CB7" w:rsidP="000D0CB7">
      <w:pPr>
        <w:pStyle w:val="SingleTxtG"/>
      </w:pPr>
      <w:r>
        <w:t>22.</w:t>
      </w:r>
      <w:r>
        <w:tab/>
        <w:t xml:space="preserve">Отмечая запрет дискриминации, закрепленный в статьях 8 и 35 Конституции и в других законах, Комитет выражает озабоченность в связи с отсутствием всеобъемлющей правовой базы по борьбе с дискриминацией, которая охватывала бы все основания для дискриминации, запрещенные в соответствии с Пактом. Он также обеспокоен сообщениями о дискриминации в отношении этнических меньшинств, коренных и племенных народов, в частности народа хмонг, а также дискриминации на основании фактической или предполагаемой сексуальной ориентации и гендерной идентичности отдельных лиц, и отсутствием эффективных средств правовой защиты этих групп, народов и отдельных лиц от дискриминации (статья 2 (п. 2)). </w:t>
      </w:r>
    </w:p>
    <w:p w14:paraId="5EB9FA9A" w14:textId="77777777" w:rsidR="000D0CB7" w:rsidRPr="00613124" w:rsidRDefault="000D0CB7" w:rsidP="000D0CB7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1FCFD059" w14:textId="1F36CC41" w:rsidR="000D0CB7" w:rsidRPr="000D0CB7" w:rsidRDefault="000D0CB7" w:rsidP="000D0CB7">
      <w:pPr>
        <w:pStyle w:val="SingleTxtG"/>
        <w:rPr>
          <w:b/>
          <w:bCs/>
        </w:rPr>
      </w:pPr>
      <w:r w:rsidRPr="002D2EBD">
        <w:tab/>
      </w:r>
      <w:r w:rsidRPr="000D0CB7">
        <w:rPr>
          <w:b/>
          <w:bCs/>
        </w:rPr>
        <w:t>a)</w:t>
      </w:r>
      <w:r w:rsidRPr="000D0CB7">
        <w:rPr>
          <w:b/>
          <w:bCs/>
        </w:rPr>
        <w:tab/>
        <w:t xml:space="preserve">принять всеобъемлющее антидискриминационное законодательство, обеспечивающее полную и эффективную защиту от дискриминации в государственной и частной сферах и прямо включающее все запрещенные основания для дискриминации; </w:t>
      </w:r>
    </w:p>
    <w:p w14:paraId="0278971D" w14:textId="1446AC30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b)</w:t>
      </w:r>
      <w:r w:rsidRPr="000D0CB7">
        <w:rPr>
          <w:b/>
          <w:bCs/>
        </w:rPr>
        <w:tab/>
        <w:t>принять меры для эффективного предотвращения и пресечения дискриминации и социально-экономической изоляции коренных и племенных народов с целью обеспечения их экономических, социальных и культурных прав наравне с другими;</w:t>
      </w:r>
    </w:p>
    <w:p w14:paraId="6749F086" w14:textId="7648675B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c)</w:t>
      </w:r>
      <w:r>
        <w:tab/>
      </w:r>
      <w:r>
        <w:rPr>
          <w:b/>
          <w:bCs/>
        </w:rPr>
        <w:t>принять эффективные меры, включая законодательные меры, для борьбы с дискриминацией, социальной стигматизацией и предрассудками в отношении лиц на основании их фактической или предполагаемой сексуальной ориентации и гендерной идентичности.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замечание общего порядка № 20 (2009) о недискриминации в области экономических, социальных и культурных прав.</w:t>
      </w:r>
    </w:p>
    <w:p w14:paraId="1A9D3F58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Равенство мужчин и женщин</w:t>
      </w:r>
    </w:p>
    <w:p w14:paraId="1D93C459" w14:textId="77777777" w:rsidR="000D0CB7" w:rsidRPr="00303CF4" w:rsidRDefault="000D0CB7" w:rsidP="000D0CB7">
      <w:pPr>
        <w:pStyle w:val="SingleTxtG"/>
      </w:pPr>
      <w:r>
        <w:t>24.</w:t>
      </w:r>
      <w:r>
        <w:tab/>
        <w:t xml:space="preserve">Отмечая включение принципа гендерного равенства в статью 37 Конституции и приветствуя принятие Закона о гендерном равенстве (2019 года) в дополнение к национальной стратегии по обеспечению гендерного равенства (2016–2025 годы) и четвертому национальному плану действий по обеспечению гендерного равенства (2021–2025 годы), Комитет выражает озабоченность по поводу сохраняющегося неравенства между мужчинами и женщинами, которое глубоко укоренилось в гендерных стереотипах относительно ролей и обязанностей женщин и мужчин в семье и обществе и мешает женщинам в полной мере пользоваться своими экономическими, социальными и культурными правами. Комитет, в частности, обеспокоен значительным гендерным неравенством в участии на рынке труда, главным образом из-за неравного распределения семейных обязанностей между женщинами и мужчинами, непропорциональной нагрузки на женщин в виде неоплачиваемого труда по уходу, сохраняющегося гендерного разрыва в заработной плате, чрезмерной представленности женщин в неформальной экономике и на требующих низкой квалификации и низкооплачиваемых рабочих местах, а также отсутствия эффективной правовой защиты от сексуальных домогательств и связанных с ними неправомерных действий на рабочем месте (статьи 3, 6 и 7). </w:t>
      </w:r>
      <w:bookmarkStart w:id="0" w:name="_Hlk209377767"/>
      <w:bookmarkEnd w:id="0"/>
    </w:p>
    <w:p w14:paraId="48E058B5" w14:textId="77777777" w:rsidR="000D0CB7" w:rsidRPr="00613124" w:rsidRDefault="000D0CB7" w:rsidP="000D0CB7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меры, с тем чтобы:</w:t>
      </w:r>
    </w:p>
    <w:p w14:paraId="61B7F171" w14:textId="67F2817E" w:rsidR="000D0CB7" w:rsidRPr="000D0CB7" w:rsidRDefault="000D0CB7" w:rsidP="000D0CB7">
      <w:pPr>
        <w:pStyle w:val="SingleTxtG"/>
        <w:rPr>
          <w:b/>
          <w:bCs/>
        </w:rPr>
      </w:pPr>
      <w:r w:rsidRPr="002D2EBD">
        <w:lastRenderedPageBreak/>
        <w:tab/>
      </w:r>
      <w:r w:rsidRPr="000D0CB7">
        <w:rPr>
          <w:b/>
          <w:bCs/>
        </w:rPr>
        <w:t>a)</w:t>
      </w:r>
      <w:r w:rsidRPr="000D0CB7">
        <w:rPr>
          <w:b/>
          <w:bCs/>
        </w:rPr>
        <w:tab/>
      </w:r>
      <w:r w:rsidR="00B75C8A" w:rsidRPr="000D0CB7">
        <w:rPr>
          <w:b/>
          <w:bCs/>
        </w:rPr>
        <w:t xml:space="preserve">ликвидировать </w:t>
      </w:r>
      <w:r w:rsidRPr="000D0CB7">
        <w:rPr>
          <w:b/>
          <w:bCs/>
        </w:rPr>
        <w:t>патриархальные взгляды и гендерные стереотипы в отношении роли и обязанностей женщин и мужчин в семье и обществе, принимая во внимание принятое Комитетом замечание общего порядка № 16 (2005) о равном для мужчин и женщин праве пользования всеми экономическими, социальными и культурными правами;</w:t>
      </w:r>
    </w:p>
    <w:p w14:paraId="68B66626" w14:textId="1072F933" w:rsidR="000D0CB7" w:rsidRPr="00613124" w:rsidRDefault="000D0CB7" w:rsidP="000D0CB7">
      <w:pPr>
        <w:pStyle w:val="SingleTxtG"/>
        <w:rPr>
          <w:b/>
          <w:bCs/>
        </w:rPr>
      </w:pPr>
      <w:r w:rsidRPr="00B75C8A">
        <w:rPr>
          <w:b/>
          <w:bCs/>
        </w:rPr>
        <w:tab/>
      </w:r>
      <w:r w:rsidRPr="000D0CB7">
        <w:rPr>
          <w:b/>
          <w:bCs/>
        </w:rPr>
        <w:t>b)</w:t>
      </w:r>
      <w:r>
        <w:tab/>
      </w:r>
      <w:r>
        <w:rPr>
          <w:b/>
          <w:bCs/>
        </w:rPr>
        <w:t>обеспечить эффективное применение Закона о гендерном равенстве и статьи 224 Уголовного кодекса, предусматривающей уголовную ответственность за дискриминацию  женщин;</w:t>
      </w:r>
    </w:p>
    <w:p w14:paraId="3879A170" w14:textId="25CEE19C" w:rsidR="000D0CB7" w:rsidRPr="000D0CB7" w:rsidRDefault="000D0CB7" w:rsidP="000D0CB7">
      <w:pPr>
        <w:pStyle w:val="SingleTxtG"/>
        <w:rPr>
          <w:b/>
          <w:bCs/>
        </w:rPr>
      </w:pPr>
      <w:r w:rsidRPr="002D2EBD">
        <w:tab/>
      </w:r>
      <w:r w:rsidRPr="001446C6">
        <w:rPr>
          <w:b/>
          <w:bCs/>
        </w:rPr>
        <w:t>c)</w:t>
      </w:r>
      <w:r w:rsidRPr="001446C6">
        <w:rPr>
          <w:b/>
          <w:bCs/>
        </w:rPr>
        <w:tab/>
      </w:r>
      <w:r w:rsidRPr="000D0CB7">
        <w:rPr>
          <w:b/>
          <w:bCs/>
        </w:rPr>
        <w:t>содействовать занятости женщин путем обеспечения их равного участия в секторах, где они недостаточно представлены, и поддержки их перехода от неформальной к формальной занятости;</w:t>
      </w:r>
    </w:p>
    <w:p w14:paraId="2D33132A" w14:textId="3A349EB0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d)</w:t>
      </w:r>
      <w:r w:rsidRPr="000D0CB7">
        <w:rPr>
          <w:b/>
          <w:bCs/>
        </w:rPr>
        <w:tab/>
      </w:r>
      <w:r w:rsidR="00B75C8A" w:rsidRPr="000D0CB7">
        <w:rPr>
          <w:b/>
          <w:bCs/>
        </w:rPr>
        <w:t xml:space="preserve">рассмотреть </w:t>
      </w:r>
      <w:r w:rsidRPr="000D0CB7">
        <w:rPr>
          <w:b/>
          <w:bCs/>
        </w:rPr>
        <w:t xml:space="preserve">возможность разработки и осуществления комплексной национальной стратегии в области ухода, направленной на перераспределение неоплачиваемых обязанностей по уходу, с целью облегчения непропорционально большой нагрузки по уходу, ложащейся на женщин; такая система должна обеспечивать адекватную поддержку детям, инвалидам и пожилым людям, а также помощь в уходе за собой, в соответствии с принципами гендерного равенства и социальной защиты; </w:t>
      </w:r>
    </w:p>
    <w:p w14:paraId="1B73050E" w14:textId="20EFFF98" w:rsidR="000D0CB7" w:rsidRPr="000D0CB7" w:rsidRDefault="000D0CB7" w:rsidP="000D0CB7">
      <w:pPr>
        <w:pStyle w:val="SingleTxtG"/>
        <w:rPr>
          <w:b/>
          <w:bCs/>
        </w:rPr>
      </w:pPr>
      <w:r w:rsidRPr="00B75C8A">
        <w:rPr>
          <w:b/>
          <w:bCs/>
        </w:rPr>
        <w:tab/>
      </w:r>
      <w:r w:rsidRPr="000D0CB7">
        <w:rPr>
          <w:b/>
          <w:bCs/>
        </w:rPr>
        <w:t>e)</w:t>
      </w:r>
      <w:r w:rsidRPr="000D0CB7">
        <w:rPr>
          <w:b/>
          <w:bCs/>
        </w:rPr>
        <w:tab/>
        <w:t>решить проблему сохраняющегося гендерного разрыва в заработной плате путем эффективного соблюдения принципа равной оплаты труда равной ценности и содействовать доступу женщин к высокооплачиваемым и нетрадиционным рабочим местам;</w:t>
      </w:r>
    </w:p>
    <w:p w14:paraId="2695B8EA" w14:textId="322D2C62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f)</w:t>
      </w:r>
      <w:r w:rsidRPr="000D0CB7">
        <w:rPr>
          <w:b/>
          <w:bCs/>
        </w:rPr>
        <w:tab/>
        <w:t>внести</w:t>
      </w:r>
      <w:r>
        <w:rPr>
          <w:b/>
          <w:bCs/>
        </w:rPr>
        <w:t xml:space="preserve"> поправки в Закон о труде (2013 года) с целью введения прямого запрета на сексуальные домогательства и связанные с ними неправомерные действия на рабочем месте, а также обеспечить жертвам доступ к эффективным средствам правовой защиты и надлежащим услугам поддержки.</w:t>
      </w:r>
    </w:p>
    <w:p w14:paraId="58E39FC7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Право на труд</w:t>
      </w:r>
    </w:p>
    <w:p w14:paraId="2F758D08" w14:textId="77777777" w:rsidR="000D0CB7" w:rsidRPr="00303CF4" w:rsidRDefault="000D0CB7" w:rsidP="000D0CB7">
      <w:pPr>
        <w:pStyle w:val="SingleTxtG"/>
      </w:pPr>
      <w:r>
        <w:t>26.</w:t>
      </w:r>
      <w:r>
        <w:tab/>
        <w:t xml:space="preserve">Отмечая различные инициативы, принятые государством-участником для содействия доступу к занятости, Комитет выражает озабоченность по поводу отсутствия возможностей для достойной работы и преобладания неформальной занятости, что побуждает многих мигрировать за границу в поисках работы. Он также выражает обеспокоенность тем, что эти проблемы в непропорционально большей степени затрагивают молодых людей, женщин, инвалидов и жителей сельских районов (статья 6). </w:t>
      </w:r>
    </w:p>
    <w:p w14:paraId="4BB0296C" w14:textId="77777777" w:rsidR="000D0CB7" w:rsidRPr="00613124" w:rsidRDefault="000D0CB7" w:rsidP="000D0CB7">
      <w:pPr>
        <w:pStyle w:val="SingleTxtG"/>
        <w:keepNext/>
        <w:keepLines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031F2F2" w14:textId="0A0C6DFE" w:rsidR="000D0CB7" w:rsidRPr="000D0CB7" w:rsidRDefault="000D0CB7" w:rsidP="000D0CB7">
      <w:pPr>
        <w:pStyle w:val="SingleTxtG"/>
        <w:rPr>
          <w:b/>
          <w:bCs/>
        </w:rPr>
      </w:pPr>
      <w:r w:rsidRPr="002D2EBD">
        <w:tab/>
      </w:r>
      <w:r w:rsidRPr="000D0CB7">
        <w:rPr>
          <w:b/>
          <w:bCs/>
        </w:rPr>
        <w:t>a)</w:t>
      </w:r>
      <w:r w:rsidRPr="000D0CB7">
        <w:rPr>
          <w:b/>
          <w:bCs/>
        </w:rPr>
        <w:tab/>
        <w:t>принять эффективные меры по расширению возможностей для достойной работы, в том числе в сельской местности;</w:t>
      </w:r>
    </w:p>
    <w:p w14:paraId="5741F82B" w14:textId="19E45A34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b)</w:t>
      </w:r>
      <w:r w:rsidRPr="000D0CB7">
        <w:rPr>
          <w:b/>
          <w:bCs/>
        </w:rPr>
        <w:tab/>
        <w:t>принять необходимые меры для содействия переходу работников из неформального сектора экономики в формальный с уделением особого внимания женщинам</w:t>
      </w:r>
      <w:r>
        <w:rPr>
          <w:b/>
          <w:bCs/>
        </w:rPr>
        <w:t>, молодежи и инвалидам и с учетом Рекомендации МОТ 2015 года о переходе от неформальной к формальной экономике (№ 204).</w:t>
      </w:r>
      <w:r>
        <w:t xml:space="preserve"> </w:t>
      </w:r>
      <w:r>
        <w:rPr>
          <w:b/>
          <w:bCs/>
        </w:rPr>
        <w:t>В этой связи Комитет напоминает о своем замечании общего порядка № 18 (2005) о праве на труд.</w:t>
      </w:r>
    </w:p>
    <w:p w14:paraId="18DA63B0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Право на справедливые и благоприятные условия труда</w:t>
      </w:r>
    </w:p>
    <w:p w14:paraId="0D2F1728" w14:textId="77777777" w:rsidR="000D0CB7" w:rsidRPr="00303CF4" w:rsidRDefault="000D0CB7" w:rsidP="000D0CB7">
      <w:pPr>
        <w:pStyle w:val="SingleTxtG"/>
      </w:pPr>
      <w:r>
        <w:t>28.</w:t>
      </w:r>
      <w:r>
        <w:tab/>
        <w:t>Комитет выражает обеспокоенность тем, что лица, работающие в неформальном секторе, особенно в сельском хозяйстве, лесном хозяйстве, рыболовстве и на дому, не обеспечены надлежащей защитой трудового законодательства. Он обеспокоен также сообщениями о ненадлежащей охране труда и практике эксплуатации, включая торговлю людьми, принудительный труд, конфискацию паспортов, долговую кабалу и принудительные условия труда, среди как лаосских трудящихся, так и трудящихся-мигрантов, особенно женщин и детей, в особых экономических зонах (статья 7).</w:t>
      </w:r>
    </w:p>
    <w:p w14:paraId="62980031" w14:textId="77777777" w:rsidR="000D0CB7" w:rsidRPr="00613124" w:rsidRDefault="000D0CB7" w:rsidP="000D0CB7">
      <w:pPr>
        <w:pStyle w:val="SingleTxtG"/>
        <w:rPr>
          <w:b/>
          <w:bCs/>
        </w:rPr>
      </w:pPr>
      <w:r>
        <w:lastRenderedPageBreak/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C4C4D83" w14:textId="686547D1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a)</w:t>
      </w:r>
      <w:r w:rsidRPr="000D0CB7">
        <w:rPr>
          <w:b/>
          <w:bCs/>
        </w:rPr>
        <w:tab/>
        <w:t>принять необходимые меры для обеспечения того, чтобы все работники</w:t>
      </w:r>
      <w:r>
        <w:rPr>
          <w:b/>
          <w:bCs/>
        </w:rPr>
        <w:t>, включая работников неформального сектора, были охвачены трудовым законодательством и обеспечены надлежащей защитой, в том числе в отношении рабочего времени и оплачиваемого отпуска, безопасности и гигиены труда, защиты от домогательств и насилия, а также доступа к эффективным средствам правовой защиты;</w:t>
      </w:r>
      <w:r>
        <w:t xml:space="preserve"> </w:t>
      </w:r>
    </w:p>
    <w:p w14:paraId="16468225" w14:textId="354A0FD5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b)</w:t>
      </w:r>
      <w:r w:rsidRPr="000D0CB7">
        <w:rPr>
          <w:b/>
          <w:bCs/>
        </w:rPr>
        <w:tab/>
      </w:r>
      <w:r>
        <w:rPr>
          <w:b/>
          <w:bCs/>
        </w:rPr>
        <w:t>усилить защиту лаосских трудящихся и трудящихся-мигрантов в особых экономических зонах, в частности в особой экономической зоне «Золотой треугольник», от рисков торговли людьми, принудительного труда и других форм эксплуатации, в том числе путем обеспечения доступа к эффективным, независимым и конфиденциальным механизмам подачи жалоб, позволяющим сообщать о нарушениях без опасений подвергнуться мерам возмездия, а также путем привлечения к ответственности и наказания лиц, виновных в совершении таких правонарушений.</w:t>
      </w:r>
      <w:r>
        <w:t xml:space="preserve"> </w:t>
      </w:r>
      <w:r w:rsidR="00B75C8A">
        <w:rPr>
          <w:b/>
          <w:bCs/>
        </w:rPr>
        <w:t xml:space="preserve">В </w:t>
      </w:r>
      <w:r>
        <w:rPr>
          <w:b/>
          <w:bCs/>
        </w:rPr>
        <w:t>этой связи Комитет напоминает о своем замечании общего порядка № 23 (2016) о праве на справедливые и благоприятные условия труда.</w:t>
      </w:r>
    </w:p>
    <w:p w14:paraId="29FB7A1E" w14:textId="77777777" w:rsidR="000D0CB7" w:rsidRPr="00303CF4" w:rsidRDefault="000D0CB7" w:rsidP="000D0CB7">
      <w:pPr>
        <w:pStyle w:val="H23G"/>
      </w:pPr>
      <w:r>
        <w:tab/>
      </w:r>
      <w:r>
        <w:tab/>
      </w:r>
      <w:r>
        <w:rPr>
          <w:bCs/>
        </w:rPr>
        <w:t>Минимальный размер оплаты труда</w:t>
      </w:r>
    </w:p>
    <w:p w14:paraId="2F889EFA" w14:textId="77777777" w:rsidR="000D0CB7" w:rsidRPr="00303CF4" w:rsidRDefault="000D0CB7" w:rsidP="000D0CB7">
      <w:pPr>
        <w:pStyle w:val="SingleTxtG"/>
      </w:pPr>
      <w:r>
        <w:t>30.</w:t>
      </w:r>
      <w:r>
        <w:tab/>
        <w:t>Он обеспокоен также тем, что, несмотря на недавнюю корректировку установленного законом минимального размера оплаты труда, его нынешний уровень по-прежнему недостаточен для обеспечения достойного уровня жизни работников и их семей, особенно с учетом сохраняющейся высокой инфляции и продолжающегося обесценивания национальной валюты (статья 7).</w:t>
      </w:r>
    </w:p>
    <w:p w14:paraId="27479AA3" w14:textId="77777777" w:rsidR="000D0CB7" w:rsidRPr="00613124" w:rsidRDefault="000D0CB7" w:rsidP="000D0CB7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обеспечения того, чтобы все работники были охвачены системой минимальной заработной платы и чтобы минимальная заработная плата регулярно корректировалась с учетом стоимости жизни, а также для обеспечения соблюдения работодателями требований о минимальной заработной плате посредством инспекций труда и механизмов рассмотрения жалоб.</w:t>
      </w:r>
    </w:p>
    <w:p w14:paraId="01043370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Детский труд</w:t>
      </w:r>
    </w:p>
    <w:p w14:paraId="19360976" w14:textId="546DD269" w:rsidR="000D0CB7" w:rsidRPr="00303CF4" w:rsidRDefault="000D0CB7" w:rsidP="000D0CB7">
      <w:pPr>
        <w:pStyle w:val="SingleTxtG"/>
      </w:pPr>
      <w:r>
        <w:t>32.</w:t>
      </w:r>
      <w:r>
        <w:tab/>
        <w:t>Комитет обеспокоен тем, что детский труд по-прежнему широко распространен в государстве-участнике, особенно в сельском и лесном хозяйстве. Он обеспокоен также сообщениями о том, что большинство детей, занятых детским трудом, бросили школу или никогда не посещали ее, что мешает им пользоваться правом на образование и получать в будущем доступ к достойной работе. Отмечая, что в Законе о труде минимальный возраст для приема на работу установлен на уровне 14 лет, Комитет выражает озабоченность тем, что для легких работ делается исключение с 12</w:t>
      </w:r>
      <w:r w:rsidR="00B75C8A">
        <w:t> </w:t>
      </w:r>
      <w:r>
        <w:t>лет, а это противоречит международным стандартам (статьи 6, 7 и 13).</w:t>
      </w:r>
    </w:p>
    <w:p w14:paraId="4915A911" w14:textId="5F7221DE" w:rsidR="000D0CB7" w:rsidRPr="00613124" w:rsidRDefault="000D0CB7" w:rsidP="000D0CB7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внести поправки в статью</w:t>
      </w:r>
      <w:r w:rsidR="00B75C8A">
        <w:rPr>
          <w:b/>
          <w:bCs/>
        </w:rPr>
        <w:t> </w:t>
      </w:r>
      <w:r>
        <w:rPr>
          <w:b/>
          <w:bCs/>
        </w:rPr>
        <w:t xml:space="preserve">101 Закона о труде с целью повышения минимального возраста для приема на работу, чтобы он полностью соответствовал международным стандартам, включая Конвенцию МОТ 1973 года о минимальном возрасте </w:t>
      </w:r>
      <w:r w:rsidR="00B75C8A">
        <w:rPr>
          <w:b/>
          <w:bCs/>
        </w:rPr>
        <w:br/>
      </w:r>
      <w:r>
        <w:rPr>
          <w:b/>
          <w:bCs/>
        </w:rPr>
        <w:t>(№ 138).</w:t>
      </w:r>
      <w:r>
        <w:t xml:space="preserve"> </w:t>
      </w:r>
      <w:r>
        <w:rPr>
          <w:b/>
          <w:bCs/>
        </w:rPr>
        <w:t>Он также рекомендует государству-участнику принять все необходимые меры для обеспечения эффективного предотвращения детского труда, в особенности его наихудших форм, и адекватного наказания за него.</w:t>
      </w:r>
      <w:r>
        <w:t xml:space="preserve"> </w:t>
      </w:r>
      <w:r>
        <w:rPr>
          <w:b/>
          <w:bCs/>
        </w:rPr>
        <w:t>Он далее рекомендует государству-участнику повышать осведомленность в школах и общинах о вредных последствиях детского труда и о ценности образования, а также предоставлять адекватную поддержку семьям, в частности семьям, живущим в бедности и в сельских районах, с тем чтобы дети могли посещать школу и продолжать обучение, а не привлекаться к трудовой деятельности.</w:t>
      </w:r>
    </w:p>
    <w:p w14:paraId="5F03D52B" w14:textId="77777777" w:rsidR="000D0CB7" w:rsidRPr="00303CF4" w:rsidRDefault="000D0CB7" w:rsidP="000D0CB7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Трудовая инспекция</w:t>
      </w:r>
    </w:p>
    <w:p w14:paraId="3115A8A4" w14:textId="77777777" w:rsidR="000D0CB7" w:rsidRPr="00303CF4" w:rsidRDefault="000D0CB7" w:rsidP="000D0CB7">
      <w:pPr>
        <w:pStyle w:val="SingleTxtG"/>
      </w:pPr>
      <w:r>
        <w:t>34.</w:t>
      </w:r>
      <w:r>
        <w:tab/>
        <w:t xml:space="preserve">Комитет выражает обеспокоенность ограниченными возможностями и ресурсами для проведения трудовых инспекций с достаточным охватом и частотой на </w:t>
      </w:r>
      <w:r>
        <w:lastRenderedPageBreak/>
        <w:t>всей территории государства-участника, в частности на рабочих местах в неформальном секторе и в особых экономических зонах (статья 7).</w:t>
      </w:r>
    </w:p>
    <w:p w14:paraId="26F36323" w14:textId="77777777" w:rsidR="000D0CB7" w:rsidRPr="00613124" w:rsidRDefault="000D0CB7" w:rsidP="000D0CB7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обеспечить, чтобы механизмы инспекции труда могли действовать независимо от работодателей и располагали кадровыми, техническими и финансовыми ресурсами для обеспечения надлежащей защиты всех работников, включая работников неформального сектора и специальных экономических зон.</w:t>
      </w:r>
      <w:r>
        <w:t xml:space="preserve"> </w:t>
      </w:r>
    </w:p>
    <w:p w14:paraId="622EFB19" w14:textId="77777777" w:rsidR="000D0CB7" w:rsidRPr="00303CF4" w:rsidRDefault="000D0CB7" w:rsidP="000D0CB7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Лаосские трудящиеся-мигранты за границей</w:t>
      </w:r>
    </w:p>
    <w:p w14:paraId="3F63CF90" w14:textId="77777777" w:rsidR="000D0CB7" w:rsidRPr="00303CF4" w:rsidRDefault="000D0CB7" w:rsidP="000D0CB7">
      <w:pPr>
        <w:pStyle w:val="SingleTxtG"/>
      </w:pPr>
      <w:r>
        <w:t>36.</w:t>
      </w:r>
      <w:r>
        <w:tab/>
        <w:t>Комитет обеспокоен плохими условиями труда лаосских трудящихся-мигрантов за рубежом и отсутствием адекватных механизмов, обеспечивающих им равную трудовую и социальную защиту (статья 7).</w:t>
      </w:r>
    </w:p>
    <w:p w14:paraId="731EAD36" w14:textId="77777777" w:rsidR="000D0CB7" w:rsidRPr="00613124" w:rsidRDefault="000D0CB7" w:rsidP="000D0CB7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принять соответствующие меры для обеспечения лаосским трудящимся-мигрантам такого же уровня трудовой и социальной защиты, как и национальным трудящимся в странах назначения, в том числе путем заключения и эффективного осуществления двусторонних соглашений.</w:t>
      </w:r>
    </w:p>
    <w:p w14:paraId="7AE7F204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Права профсоюзов</w:t>
      </w:r>
    </w:p>
    <w:p w14:paraId="2F3C77F8" w14:textId="033FCBF0" w:rsidR="000D0CB7" w:rsidRPr="00303CF4" w:rsidRDefault="000D0CB7" w:rsidP="000D0CB7">
      <w:pPr>
        <w:pStyle w:val="SingleTxtG"/>
      </w:pPr>
      <w:r>
        <w:t>38.</w:t>
      </w:r>
      <w:r>
        <w:tab/>
        <w:t xml:space="preserve">Комитет обеспокоен сообщениями о том, что право на создание профсоюзов и вступление в них по-прежнему серьезно ограничено как в законодательстве, так и на практике, что большинство профсоюзов входят в Лаосскую федерацию профсоюзов и что не существует реальной возможности создавать независимые профсоюзы. </w:t>
      </w:r>
      <w:r w:rsidR="00D87404" w:rsidRPr="002D2EBD">
        <w:br/>
      </w:r>
      <w:r>
        <w:t>Он обеспокоен также тем, что в трудовом законодательстве не содержится прямого запрета на дискриминацию по признаку членства в профсоюзах и не признается право на забастовку, а на практике ограничительные условия по-прежнему препятствуют осуществлению права на забастовку и на коллективные переговоры. Кроме того, он обеспокоен сообщениями о том, что профсоюзные лидеры и работники подвергаются репрессиям, включая дисциплинарные взыскания и увольнения, за осуществление своих профсоюзных прав (статья 8).</w:t>
      </w:r>
    </w:p>
    <w:p w14:paraId="3DD329F4" w14:textId="77777777" w:rsidR="000D0CB7" w:rsidRPr="00613124" w:rsidRDefault="000D0CB7" w:rsidP="000D0CB7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обеспечения полного соблюдения прав работников на объединение в профсоюзы, в частности права свободно создавать независимые профсоюзы по своему выбору и вступать в них, в том числе вне Лаосской федерации профсоюзов, а также для обеспечения возможности членов и руководителей профсоюзов осуществлять свою деятельность в атмосфере, свободной от запугивания, преследований и репрессий.</w:t>
      </w:r>
      <w:r>
        <w:t xml:space="preserve"> </w:t>
      </w:r>
      <w:r>
        <w:rPr>
          <w:b/>
          <w:bCs/>
        </w:rPr>
        <w:t>Комитет рекомендует также государству-участнику внести поправки в трудовое законодательство, чтобы прямо признать право на забастовку и коллективные переговоры и запретить дискриминацию по признаку членства в профсоюзах, с учетом совместного заявления Комитета и Комитета по правам человека о свободе ассоциации, включая право создавать профсоюзы и вступать в них</w:t>
      </w:r>
      <w:r w:rsidRPr="00613124">
        <w:rPr>
          <w:rStyle w:val="a8"/>
        </w:rPr>
        <w:footnoteReference w:id="9"/>
      </w:r>
      <w:r>
        <w:rPr>
          <w:b/>
          <w:bCs/>
        </w:rPr>
        <w:t>.</w:t>
      </w:r>
    </w:p>
    <w:p w14:paraId="68FD4CB5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Право на социальное обеспечение</w:t>
      </w:r>
    </w:p>
    <w:p w14:paraId="58749824" w14:textId="417F65C4" w:rsidR="000D0CB7" w:rsidRPr="00303CF4" w:rsidRDefault="000D0CB7" w:rsidP="000D0CB7">
      <w:pPr>
        <w:pStyle w:val="SingleTxtG"/>
      </w:pPr>
      <w:r>
        <w:t>40.</w:t>
      </w:r>
      <w:r>
        <w:tab/>
        <w:t xml:space="preserve">Отмечая позитивные усилия государства-участника по расширению своей системы социального обеспечения, в том числе посредством реализации Национальной стратегии социальной защиты (на период 2020–2025 годов), Комитет выражает озабоченность тем, что эта система по-прежнему ориентирована в основном на лиц, имеющих официальную занятость, и что более 80 % населения, включая работников неформального сектора экономики и лиц, принадлежащих к наиболее обездоленным и маргинализированным группам, не охвачены этой системой. </w:t>
      </w:r>
      <w:r w:rsidR="00D87404" w:rsidRPr="002D2EBD">
        <w:br/>
      </w:r>
      <w:r>
        <w:t xml:space="preserve">Он также выражает обеспокоенность сообщениями о том, что представители этнических меньшинств, коренных и племенных народов, в частности народа хмонг, </w:t>
      </w:r>
      <w:r>
        <w:lastRenderedPageBreak/>
        <w:t>сталкиваются с препятствиями при получении доступа к социальному обеспечению из-за отказа в выдаче документов, удостоверяющих личность (статья 9).</w:t>
      </w:r>
    </w:p>
    <w:p w14:paraId="0BFD757F" w14:textId="77777777" w:rsidR="000D0CB7" w:rsidRPr="00613124" w:rsidRDefault="000D0CB7" w:rsidP="000D0CB7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расширить систему социального страхования, чтобы охватить ею лиц, занятых в неформальном секторе экономики, и принять надлежащие меры для установления минимального уровня социальной защиты для всех с целью обеспечения гарантий дохода и доступа к базовым услугам, уделяя особое внимание находящимся в неблагоприятном положении и маргинализированным группам, включая домохозяйства с низким доходом, детей, пожилых людей, инвалидов и работников неформального сектора.</w:t>
      </w:r>
      <w:r>
        <w:t xml:space="preserve"> </w:t>
      </w:r>
      <w:r>
        <w:rPr>
          <w:b/>
          <w:bCs/>
        </w:rPr>
        <w:t>Он рекомендует также государству-участнику принять все необходимые меры для обеспечения того, чтобы представители этнических меньшинств и коренных и племенных народов, в частности народа хмонг, могли получить документы, удостоверяющие личность, для доступа к основным социальным услугам, включая системы социальной защиты.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19 (2007) о праве на социальное обеспечение, а также на свое заявление, озаглавленное «Минимальные уровни социальной защиты: важнейшая составляющая права на социальное обеспечение и целей в области устойчивого развития»</w:t>
      </w:r>
      <w:r w:rsidRPr="00613124">
        <w:rPr>
          <w:rStyle w:val="a8"/>
        </w:rPr>
        <w:footnoteReference w:id="10"/>
      </w:r>
      <w:r>
        <w:rPr>
          <w:b/>
          <w:bCs/>
        </w:rPr>
        <w:t>.</w:t>
      </w:r>
    </w:p>
    <w:p w14:paraId="15914981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Детский брак</w:t>
      </w:r>
    </w:p>
    <w:p w14:paraId="01BD8E78" w14:textId="2F06B35B" w:rsidR="000D0CB7" w:rsidRPr="00303CF4" w:rsidRDefault="000D0CB7" w:rsidP="000D0CB7">
      <w:pPr>
        <w:pStyle w:val="SingleTxtG"/>
      </w:pPr>
      <w:r>
        <w:t>42.</w:t>
      </w:r>
      <w:r>
        <w:tab/>
        <w:t xml:space="preserve">Комитет с обеспокоенностью отмечает, что, несмотря на запрет на вступление в брак в возрасте до 18 лет, предусмотренный Уголовным кодексом, детские браки </w:t>
      </w:r>
      <w:r w:rsidR="00D87404" w:rsidRPr="002D2EBD">
        <w:br/>
      </w:r>
      <w:r>
        <w:t xml:space="preserve">по-прежнему широко распространены, особенно среди девочек, принадлежащих к этническим меньшинствам и проживающих в сельских районах. Он также обеспокоен тем, что статья 9 Закона о семье (1990) предусматривает исключения, позволяющие вступать в брак с 15 лет в </w:t>
      </w:r>
      <w:r w:rsidR="00D87404">
        <w:t>«</w:t>
      </w:r>
      <w:r>
        <w:t>особых и необходимых случаях</w:t>
      </w:r>
      <w:r w:rsidR="00D87404">
        <w:t>»</w:t>
      </w:r>
      <w:r>
        <w:t>, не определяя эти случаи (статьи 3 и 10).</w:t>
      </w:r>
    </w:p>
    <w:p w14:paraId="600F3256" w14:textId="77777777" w:rsidR="000D0CB7" w:rsidRPr="00613124" w:rsidRDefault="000D0CB7" w:rsidP="000D0CB7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внести поправки в статью 9 Закона о семье, чтобы устранить любые исключения из минимального возраста вступления в брак, установленного на уровне 18 лет, и строго применять положения Уголовного кодекса, предусматривающие уголовную ответственность за детские браки.</w:t>
      </w:r>
      <w:r>
        <w:t xml:space="preserve"> </w:t>
      </w:r>
      <w:r>
        <w:rPr>
          <w:b/>
          <w:bCs/>
        </w:rPr>
        <w:t>Он рекомендует также государству-участнику активизировать информационно-просветительские кампании по вопросам вредного воздействия детских браков на права детей на здоровье и образование, ориентированные на девочек и мальчиков, домохозяйства, общины, местные органы власти, традиционных лидеров, судей и прокуроров, а также средства массовой информации.</w:t>
      </w:r>
    </w:p>
    <w:p w14:paraId="420AF58B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Насилие в отношении детей</w:t>
      </w:r>
    </w:p>
    <w:p w14:paraId="397AC058" w14:textId="2F1B7F2E" w:rsidR="000D0CB7" w:rsidRPr="00303CF4" w:rsidRDefault="000D0CB7" w:rsidP="000D0CB7">
      <w:pPr>
        <w:pStyle w:val="SingleTxtG"/>
      </w:pPr>
      <w:r>
        <w:t>44.</w:t>
      </w:r>
      <w:r>
        <w:tab/>
        <w:t xml:space="preserve">Приветствуя принятие Закона о борьбе и предотвращении насилия в отношении женщин и детей (2014 года), который запрещает все формы насилия в отношении женщин и детей во всех ситуациях, а также Национальный план действий по предотвращению и ликвидации насилия в отношении женщин и детей </w:t>
      </w:r>
      <w:r w:rsidR="00D87404">
        <w:br/>
      </w:r>
      <w:r>
        <w:t>(2021–2025 годы), Комитет выражает озабоченность по поводу высокой распространенности физического, сексуального и психологического насилия в отношении детей, а также по поводу продолжающегося повсеместного применения телесных наказаний, особенно в семьях и школах. Он обеспокоен также тем, что поддержка жертв насилия в отношении детей остается недостаточной, поскольку многие организации, отвечающие за оказание такой поддержки, сталкиваются с постоянной нехваткой квалифицированного персонала (статьи 10 и 12).</w:t>
      </w:r>
    </w:p>
    <w:p w14:paraId="3531CA8F" w14:textId="77777777" w:rsidR="000D0CB7" w:rsidRPr="00613124" w:rsidRDefault="000D0CB7" w:rsidP="000D0CB7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 xml:space="preserve">Комитет рекомендует государству-участнику обеспечить, чтобы все случаи насилия в отношении детей, включая телесные наказания, тщательно расследовались, а подозреваемые надлежащим образом преследовались в </w:t>
      </w:r>
      <w:r>
        <w:rPr>
          <w:b/>
          <w:bCs/>
        </w:rPr>
        <w:lastRenderedPageBreak/>
        <w:t>судебном порядке и, в случае признания их виновными, подвергались адекватному наказанию.</w:t>
      </w:r>
      <w:r>
        <w:t xml:space="preserve"> </w:t>
      </w:r>
      <w:r>
        <w:rPr>
          <w:b/>
          <w:bCs/>
        </w:rPr>
        <w:t>Комитет рекомендует также государству-участнику создать доступные и ориентированные на потребности детей механизмы подачи жалоб с целью поощрения подачи сообщений о физическом, сексуальном или психологическом насилии, а также увеличить число подготовленных специалистов, обученных работе с детьми или в интересах детей, для обеспечения адекватной и эффективной поддержки детям, пострадавшим от насилия.</w:t>
      </w:r>
      <w:r>
        <w:t xml:space="preserve"> </w:t>
      </w:r>
    </w:p>
    <w:p w14:paraId="52349A94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Защита детей в постконфликтных районах</w:t>
      </w:r>
    </w:p>
    <w:p w14:paraId="471AF64F" w14:textId="77777777" w:rsidR="000D0CB7" w:rsidRPr="00303CF4" w:rsidRDefault="000D0CB7" w:rsidP="000D0CB7">
      <w:pPr>
        <w:pStyle w:val="SingleTxtG"/>
      </w:pPr>
      <w:r>
        <w:t>46.</w:t>
      </w:r>
      <w:r>
        <w:tab/>
        <w:t>Комитет выражает глубокую обеспокоенность тем, что, несмотря на все усилия, число детей, пострадавших от неразорвавшихся боеприпасов, остается высоким, в основном среди детей, проживающих в сельских районах (статьи 10 и 12).</w:t>
      </w:r>
    </w:p>
    <w:p w14:paraId="706806AB" w14:textId="77777777" w:rsidR="000D0CB7" w:rsidRPr="00613124" w:rsidRDefault="000D0CB7" w:rsidP="000D0CB7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настоятельно призывает государство-участник активизировать свои усилия по разминированию бывших зон конфликта, в том числе в рамках международного сотрудничества;</w:t>
      </w:r>
      <w:r>
        <w:t xml:space="preserve"> </w:t>
      </w:r>
      <w:r>
        <w:rPr>
          <w:b/>
          <w:bCs/>
        </w:rPr>
        <w:t>укреплять системы раннего оповещения и просвещения по вопросам минной опасности;</w:t>
      </w:r>
      <w:r>
        <w:t xml:space="preserve"> </w:t>
      </w:r>
      <w:r>
        <w:rPr>
          <w:b/>
          <w:bCs/>
        </w:rPr>
        <w:t>и расширить помощь детям, пострадавшим от неразорвавшихся боеприпасов, а также реабилитационные услуги для них.</w:t>
      </w:r>
    </w:p>
    <w:p w14:paraId="61D4C362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Бедность</w:t>
      </w:r>
    </w:p>
    <w:p w14:paraId="3A586AC8" w14:textId="77777777" w:rsidR="000D0CB7" w:rsidRPr="00303CF4" w:rsidRDefault="000D0CB7" w:rsidP="000D0CB7">
      <w:pPr>
        <w:pStyle w:val="SingleTxtG"/>
      </w:pPr>
      <w:r>
        <w:t>48.</w:t>
      </w:r>
      <w:r>
        <w:tab/>
        <w:t>Положительно отмечая меры, принятые государством-участником для борьбы с бедностью, включая принятие Закона о содействии развитию малых и средних предприятий (2011 год), создание Фонда сокращения бедности, осуществление проектов микрофинансирования в сельских районах и предоставление низкопроцентных кредитов, Комитет выражает озабоченность тем, что уровень бедности и крайней бедности остается очень высоким, особенно среди этнических меньшинств, коренных и племенных народов, а также находящихся в неблагоприятном положении и маргинализированных групп населения, проживающих в сельских районах. Он обеспокоен также воздействием пандемии коронавирусной инфекции (COVID-19) и недавно зафиксированных темпов инфляции на экономику и, следовательно, на сокращение масштабов бедности в государстве-участнике (статьи 1, 2 (п. 2), 9 и 11).</w:t>
      </w:r>
    </w:p>
    <w:p w14:paraId="6D054EE0" w14:textId="77777777" w:rsidR="000D0CB7" w:rsidRPr="00613124" w:rsidRDefault="000D0CB7" w:rsidP="000D0CB7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борьбе с бедностью, в частности с крайней бедностью, в том числе путем пересмотра и адаптации своей стратегии искоренения бедности с целью решения текущих проблем и содействия восстановлению после пандемии COVID-19.</w:t>
      </w:r>
      <w:r>
        <w:t xml:space="preserve"> </w:t>
      </w:r>
      <w:r>
        <w:rPr>
          <w:b/>
          <w:bCs/>
        </w:rPr>
        <w:t>Новая стратегия должна включать четкие и поддающиеся измерению цели, предусматривать выделение достаточных ресурсов для ее реализации и эффективные механизмы координации между различными участниками и должна осуществляться в соответствии с правозащитными стандартами и принципами с учетом потребностей наиболее обездоленных и маргинализированных лиц и групп.</w:t>
      </w:r>
      <w:r>
        <w:t xml:space="preserve"> </w:t>
      </w:r>
      <w:r>
        <w:rPr>
          <w:b/>
          <w:bCs/>
        </w:rPr>
        <w:t>В этой связи Комитет ссылается на свое заявление по вопросу о нищете и Пакте</w:t>
      </w:r>
      <w:r w:rsidRPr="00613124">
        <w:rPr>
          <w:rStyle w:val="a8"/>
        </w:rPr>
        <w:footnoteReference w:id="11"/>
      </w:r>
      <w:r>
        <w:rPr>
          <w:b/>
          <w:bCs/>
        </w:rPr>
        <w:t>.</w:t>
      </w:r>
    </w:p>
    <w:p w14:paraId="7FAFC781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Право на питание</w:t>
      </w:r>
    </w:p>
    <w:p w14:paraId="1585A1DE" w14:textId="4CEAC860" w:rsidR="000D0CB7" w:rsidRPr="00303CF4" w:rsidRDefault="000D0CB7" w:rsidP="000D0CB7">
      <w:pPr>
        <w:pStyle w:val="SingleTxtG"/>
      </w:pPr>
      <w:r>
        <w:t>50.</w:t>
      </w:r>
      <w:r>
        <w:tab/>
        <w:t xml:space="preserve">Признавая, что государство-участник добилось определенного прогресса в сокращении масштабов недоедания, голода и дефицита продовольствия, в том числе благодаря осуществлению Национальной стратегии в области питания </w:t>
      </w:r>
      <w:r w:rsidR="00D87404">
        <w:br/>
      </w:r>
      <w:r>
        <w:t xml:space="preserve">(2016–2025 годов) и соответствующего Национального плана действий в области питания (2021–2025 годов), Комитет выражает глубокую озабоченность по поводу высокого уровня хронического недоедания, острого дефицита продовольствия и задержки роста у детей в государстве-участнике. Он обеспокоен также такими постоянными проблемами, как нищета, недостаток полноценного питания, сокращение государственных расходов на сельское хозяйство и негативное </w:t>
      </w:r>
      <w:r>
        <w:lastRenderedPageBreak/>
        <w:t>воздействие изменения климата и стихийных бедствий на сельскохозяйственное производство, что приводит к неравенству в доступе к полноценному питанию и влияет на его стоимость, особенно в сельских и отдаленных районах (статья 11).</w:t>
      </w:r>
    </w:p>
    <w:p w14:paraId="429F7AD2" w14:textId="77777777" w:rsidR="000D0CB7" w:rsidRPr="00613124" w:rsidRDefault="000D0CB7" w:rsidP="000D0CB7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B379477" w14:textId="42366475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a)</w:t>
      </w:r>
      <w:r w:rsidRPr="000D0CB7">
        <w:rPr>
          <w:b/>
          <w:bCs/>
        </w:rPr>
        <w:tab/>
        <w:t>активизировать усилия по защите права на достаточное питание с целью эффективной и комплексной борьбы с дефицитом продовольствия и недоеданием, особенно в регионах, наиболее пострадавших от голода и недоедания, в том числе путем разработки программ по повышению уровня пособия по обеспечению прожиточного минимума и поощрению более здорового питания; включить в эти усилия элементы торговой, земельной, образовательной и налоговой политики; установить четкие, ограниченные по времени цели; и создать соответствующие механизмы для оценки достигнутого прогресса;</w:t>
      </w:r>
    </w:p>
    <w:p w14:paraId="1E4792B1" w14:textId="3BB8ACE7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b)</w:t>
      </w:r>
      <w:r w:rsidRPr="000D0CB7">
        <w:rPr>
          <w:b/>
          <w:bCs/>
        </w:rPr>
        <w:tab/>
        <w:t>нарастить государственные инвестиции в местное сельскохозяйственное производство для перехода к системе продовольственного самообеспечения, а также оказать поддержку, включающую предоставление семян, теплиц и скота, и повысить жизнестойкость натурального сельского хозяйства и домохозяйств, возглавляемых женщинами, путем диверсификации доходов и обеспечения готовности к стихийным бедствиям, с учетом замечания общего порядка № 12 (1999) Комитета о праве на достаточное питание;</w:t>
      </w:r>
    </w:p>
    <w:p w14:paraId="3AD354B6" w14:textId="36CDEFF0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c)</w:t>
      </w:r>
      <w:r w:rsidRPr="000D0CB7">
        <w:rPr>
          <w:b/>
          <w:bCs/>
        </w:rPr>
        <w:tab/>
        <w:t>облегчать доступ к производственным ресурсам, таким как земля и вода, и в то же время защищать право на владение землей крестьян и других лиц, проживающих в сельских районах, обеспечивая, чтобы преференции для иностранных инвесторов не противоречили правам владения и традиционным правам на землю сельского и городского населения, а также принимая во внимание замечание общего порядка № 26 (2022) Комитета о земле и экономических, социальных и культурных правах;</w:t>
      </w:r>
    </w:p>
    <w:p w14:paraId="58659DBC" w14:textId="6F8CC251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d)</w:t>
      </w:r>
      <w:r w:rsidRPr="000D0CB7">
        <w:rPr>
          <w:b/>
          <w:bCs/>
        </w:rPr>
        <w:tab/>
        <w:t>укреплять сотрудничество и координацию с Всемирной продовольственной</w:t>
      </w:r>
      <w:r>
        <w:rPr>
          <w:b/>
          <w:bCs/>
        </w:rPr>
        <w:t xml:space="preserve"> программой и Продовольственной и сельскохозяйственной организацией Объединенных Наций</w:t>
      </w:r>
      <w:r w:rsidR="00D87404">
        <w:rPr>
          <w:b/>
          <w:bCs/>
        </w:rPr>
        <w:t>.</w:t>
      </w:r>
    </w:p>
    <w:p w14:paraId="4D612A69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Право на воду и санитарию</w:t>
      </w:r>
    </w:p>
    <w:p w14:paraId="23A4D450" w14:textId="77777777" w:rsidR="000D0CB7" w:rsidRPr="00303CF4" w:rsidRDefault="000D0CB7" w:rsidP="000D0CB7">
      <w:pPr>
        <w:pStyle w:val="SingleTxtG"/>
      </w:pPr>
      <w:r>
        <w:t>52.</w:t>
      </w:r>
      <w:r>
        <w:tab/>
        <w:t>Комитет обеспокоен тем, что в 2022 году доля населения, пользующегося безопасной питьевой водой, составила лишь 17,9 %</w:t>
      </w:r>
      <w:r w:rsidRPr="00613124">
        <w:rPr>
          <w:rStyle w:val="a8"/>
        </w:rPr>
        <w:footnoteReference w:id="12"/>
      </w:r>
      <w:r>
        <w:t xml:space="preserve">. </w:t>
      </w:r>
    </w:p>
    <w:p w14:paraId="0571D68F" w14:textId="77777777" w:rsidR="000D0CB7" w:rsidRPr="00613124" w:rsidRDefault="000D0CB7" w:rsidP="000D0CB7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существенно увеличить государственные ассигнования на системы водоснабжения и санитарии в стране, с тем чтобы обеспечить доступ к услугам водоснабжения и санитарии, особенно в сельских районах и среди наиболее уязвимых групп населения.</w:t>
      </w:r>
      <w:r>
        <w:t xml:space="preserve"> </w:t>
      </w:r>
      <w:r>
        <w:rPr>
          <w:b/>
          <w:bCs/>
        </w:rPr>
        <w:t>Он рекомендует также государству-участнику вести систематический учет охвата этими услугами, включая данные с разбивкой по неформальным городским районам и сельским районам.</w:t>
      </w:r>
    </w:p>
    <w:p w14:paraId="7B40E916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Право на физическое и психическое здоровье</w:t>
      </w:r>
    </w:p>
    <w:p w14:paraId="043AF997" w14:textId="7BBC3ACE" w:rsidR="000D0CB7" w:rsidRPr="00303CF4" w:rsidRDefault="000D0CB7" w:rsidP="000D0CB7">
      <w:pPr>
        <w:pStyle w:val="SingleTxtG"/>
      </w:pPr>
      <w:r>
        <w:t>54.</w:t>
      </w:r>
      <w:r>
        <w:tab/>
        <w:t>Положительно отмечая принятие Закона о здравоохранении (2023 года) и Закона о национальном медицинском страховании, а также Стратегии реформирования сектора здравоохранения (2021–2030 годов) и создание Национального фонда медицинского страхования, что способствовало расширению доступа к услугам здравоохранения и сокращению неравенства, Комитет выражает озабоченность тем, что наиболее обездоленные группы населения по-прежнему сталкиваются с проблемами доступа к услугам здравоохранения, в частности к услугам психиатрической помощи</w:t>
      </w:r>
      <w:r w:rsidR="00D87404">
        <w:t>;</w:t>
      </w:r>
      <w:r>
        <w:t xml:space="preserve"> что высокие расходы из собственного кармана в </w:t>
      </w:r>
      <w:r>
        <w:lastRenderedPageBreak/>
        <w:t xml:space="preserve">местах оказания медицинской помощи продолжают ложиться тяжелым бременем на семьи с низким доходом; и что материальные преграды, вероятно, являются причиной задержек в получении или отказа от использования основных медицинских услуг для матери и ребенка. Он выражает также озабоченность по поводу сохраняющихся различий в качестве и доступности медицинских услуг между городскими и сельскими или отдаленными районами, между группами этнических меньшинств и коренными и племенными народами и остальным населением, и в целом по поводу недостаточного развития инфраструктуры здравоохранения. Кроме того, он обеспокоен тем, что показатели неонатальной смертности и смертности детей в возрасте до пяти лет </w:t>
      </w:r>
      <w:r w:rsidR="00D87404">
        <w:br/>
      </w:r>
      <w:r>
        <w:t>по-прежнему очень высоки и что большинство смертей можно предотвратить (статьи</w:t>
      </w:r>
      <w:r w:rsidR="00D87404">
        <w:t> </w:t>
      </w:r>
      <w:r>
        <w:t>1, 2 (п. 2) и 12).</w:t>
      </w:r>
    </w:p>
    <w:p w14:paraId="6585CE6D" w14:textId="77777777" w:rsidR="000D0CB7" w:rsidRPr="00613124" w:rsidRDefault="000D0CB7" w:rsidP="000D0CB7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94D0AC1" w14:textId="1A3611C6" w:rsidR="000D0CB7" w:rsidRPr="000D0CB7" w:rsidRDefault="000D0CB7" w:rsidP="000D0CB7">
      <w:pPr>
        <w:pStyle w:val="SingleTxtG"/>
        <w:rPr>
          <w:b/>
          <w:bCs/>
        </w:rPr>
      </w:pPr>
      <w:r w:rsidRPr="002D2EBD">
        <w:tab/>
      </w:r>
      <w:r w:rsidRPr="000D0CB7">
        <w:rPr>
          <w:b/>
          <w:bCs/>
        </w:rPr>
        <w:t>a)</w:t>
      </w:r>
      <w:r w:rsidRPr="000D0CB7">
        <w:rPr>
          <w:b/>
          <w:bCs/>
        </w:rPr>
        <w:tab/>
        <w:t>продолжать прилагать усилия по выделению достаточных ресурсов для сектора здравоохранения с целью обеспечения и улучшения доступности, наличия и качества медицинских услуг, включая психиатрическую помощь, с учетом замечания общего порядка № 14 Комитета (2000) о праве на наивысший достижимый уровень здоровья;</w:t>
      </w:r>
    </w:p>
    <w:p w14:paraId="7BA2822D" w14:textId="0A4C89AC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b)</w:t>
      </w:r>
      <w:r w:rsidRPr="000D0CB7">
        <w:rPr>
          <w:b/>
          <w:bCs/>
        </w:rPr>
        <w:tab/>
        <w:t>продолжать принимать меры по сокращению неравенства и региональных диспропорций в доступе к праву на здоровье, например путем расширения охвата медицинским страхованием наиболее обездоленных и маргинализированных групп населения, проживающих в сельских и отдаленных районах</w:t>
      </w:r>
      <w:r w:rsidR="001446C6" w:rsidRPr="001446C6">
        <w:rPr>
          <w:b/>
          <w:bCs/>
        </w:rPr>
        <w:t>;</w:t>
      </w:r>
    </w:p>
    <w:p w14:paraId="2468E00D" w14:textId="72C07642" w:rsidR="000D0CB7" w:rsidRPr="000D0CB7" w:rsidRDefault="000D0CB7" w:rsidP="000D0CB7">
      <w:pPr>
        <w:pStyle w:val="SingleTxtG"/>
        <w:rPr>
          <w:b/>
          <w:bCs/>
        </w:rPr>
      </w:pPr>
      <w:r w:rsidRPr="002055D6">
        <w:rPr>
          <w:b/>
          <w:bCs/>
        </w:rPr>
        <w:tab/>
      </w:r>
      <w:r w:rsidRPr="000D0CB7">
        <w:rPr>
          <w:b/>
          <w:bCs/>
        </w:rPr>
        <w:t>c)</w:t>
      </w:r>
      <w:r w:rsidRPr="000D0CB7">
        <w:rPr>
          <w:b/>
          <w:bCs/>
        </w:rPr>
        <w:tab/>
        <w:t xml:space="preserve">увеличить количество медицинских работников и улучшить их доступ к качественному обучению, а также разработать программы на местных языках для удовлетворения потребностей различных этнических групп; </w:t>
      </w:r>
    </w:p>
    <w:p w14:paraId="6668152F" w14:textId="5C85C360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d)</w:t>
      </w:r>
      <w:r w:rsidRPr="000D0CB7">
        <w:rPr>
          <w:b/>
          <w:bCs/>
        </w:rPr>
        <w:tab/>
        <w:t>эффективно реализовывать существующие программы, направленные на снижение</w:t>
      </w:r>
      <w:r>
        <w:rPr>
          <w:b/>
          <w:bCs/>
        </w:rPr>
        <w:t xml:space="preserve"> уровня детской смертности и заболеваемости, в том числе путем повышения квалификации акушерок и принятия стандартов качества ухода за матерями и новорожденными.</w:t>
      </w:r>
      <w:r>
        <w:t xml:space="preserve"> </w:t>
      </w:r>
    </w:p>
    <w:p w14:paraId="42018A56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Сексуальное и репродуктивное здоровье</w:t>
      </w:r>
      <w:r>
        <w:t xml:space="preserve"> </w:t>
      </w:r>
    </w:p>
    <w:p w14:paraId="5024CC0C" w14:textId="77777777" w:rsidR="000D0CB7" w:rsidRPr="00303CF4" w:rsidRDefault="000D0CB7" w:rsidP="000D0CB7">
      <w:pPr>
        <w:pStyle w:val="SingleTxtG"/>
      </w:pPr>
      <w:r>
        <w:t>56.</w:t>
      </w:r>
      <w:r>
        <w:tab/>
        <w:t>Комитет обеспокоен недостаточным доступом к услугам в области сексуального и репродуктивного здоровья, особенно в сельских районах и среди наиболее обездоленных и маргинализированных групп населения, а также высоким уровнем подростковой беременности. Он обеспокоен также тем, что аборт разрешен только в случаях медицинских осложнений, изнасилования, неэффективности контрацепции, наличия более четырех детей, бедности или молодого возраста, а также сообщениями о распространенности небезопасных абортов, которые ставят под угрозу жизнь и здоровье женщин и способствуют материнской смертности (статьи 3 и 12).</w:t>
      </w:r>
    </w:p>
    <w:p w14:paraId="2EB4DB27" w14:textId="77777777" w:rsidR="000D0CB7" w:rsidRPr="00613124" w:rsidRDefault="000D0CB7" w:rsidP="000D0CB7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B482522" w14:textId="1BE8B243" w:rsidR="000D0CB7" w:rsidRPr="000D0CB7" w:rsidRDefault="000D0CB7" w:rsidP="000D0CB7">
      <w:pPr>
        <w:pStyle w:val="SingleTxtG"/>
        <w:rPr>
          <w:b/>
          <w:bCs/>
        </w:rPr>
      </w:pPr>
      <w:r w:rsidRPr="002D2EBD">
        <w:tab/>
      </w:r>
      <w:r w:rsidRPr="000D0CB7">
        <w:rPr>
          <w:b/>
          <w:bCs/>
        </w:rPr>
        <w:t>a)</w:t>
      </w:r>
      <w:r w:rsidRPr="000D0CB7">
        <w:rPr>
          <w:b/>
          <w:bCs/>
        </w:rPr>
        <w:tab/>
      </w:r>
      <w:r w:rsidR="002055D6" w:rsidRPr="000D0CB7">
        <w:rPr>
          <w:b/>
          <w:bCs/>
        </w:rPr>
        <w:t xml:space="preserve">обеспечить </w:t>
      </w:r>
      <w:r w:rsidRPr="000D0CB7">
        <w:rPr>
          <w:b/>
          <w:bCs/>
        </w:rPr>
        <w:t>эффективный и безопасный доступ к абортам, по крайней мере в тех случаях, когда жизнь или здоровье беременной женщины или девочки находятся под угрозой, когда беременность является результатом изнасилования или инцеста, а также в случаях серьезных аномалий развития плода, делающих беременность нежизнеспособной, и легализовать и декриминализовать аборты во всех случаях, с тем чтобы положить конец опасной практике подпольных абортов и обеспечить уважение прав женщин на физическую неприкосновенность, автономию и достоинство;</w:t>
      </w:r>
    </w:p>
    <w:p w14:paraId="49C56B82" w14:textId="65F1771C" w:rsidR="000D0CB7" w:rsidRPr="000D0CB7" w:rsidRDefault="000D0CB7" w:rsidP="000D0CB7">
      <w:pPr>
        <w:pStyle w:val="SingleTxtG"/>
        <w:rPr>
          <w:b/>
          <w:bCs/>
        </w:rPr>
      </w:pPr>
      <w:r w:rsidRPr="002055D6">
        <w:rPr>
          <w:b/>
          <w:bCs/>
        </w:rPr>
        <w:tab/>
      </w:r>
      <w:r w:rsidRPr="000D0CB7">
        <w:rPr>
          <w:b/>
          <w:bCs/>
        </w:rPr>
        <w:t>b)</w:t>
      </w:r>
      <w:r w:rsidRPr="000D0CB7">
        <w:rPr>
          <w:b/>
          <w:bCs/>
        </w:rPr>
        <w:tab/>
        <w:t xml:space="preserve">обеспечить наличие и доступность высококачественных услуг по охране сексуального и репродуктивного здоровья, включая уход после аборта, в условиях конфиденциальности и без дискриминации, уделяя особое внимание женщинам, проживающим в сельских районах, женщинам, живущим в бедности, женщинам-инвалидам, женщинам, принадлежащим к коренным и племенным народам, и женщинам, являющимся представительницами этнических </w:t>
      </w:r>
      <w:r w:rsidRPr="000D0CB7">
        <w:rPr>
          <w:b/>
          <w:bCs/>
        </w:rPr>
        <w:lastRenderedPageBreak/>
        <w:t>меньшинств, с учетом Руководства по уходу при прерывании беременности Всемирной организации здравоохранения, обновленного в 2022 году;</w:t>
      </w:r>
    </w:p>
    <w:p w14:paraId="35BA3245" w14:textId="7B7363A1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c)</w:t>
      </w:r>
      <w:r w:rsidRPr="000D0CB7">
        <w:rPr>
          <w:b/>
          <w:bCs/>
        </w:rPr>
        <w:tab/>
        <w:t>повысить эффективность и количество образовательных программ по вопросам сексуального</w:t>
      </w:r>
      <w:r>
        <w:rPr>
          <w:b/>
          <w:bCs/>
        </w:rPr>
        <w:t xml:space="preserve"> и репродуктивного здоровья для женщин, мужчин и подростков, а также обеспечить женщинам и девочкам-подросткам доступ к адекватным услугам в области сексуального и репродуктивного здоровья на территории всей страны, включая доступные и недорогие средства контрацепции.</w:t>
      </w:r>
    </w:p>
    <w:p w14:paraId="432744F4" w14:textId="77777777" w:rsidR="000D0CB7" w:rsidRPr="00303CF4" w:rsidRDefault="000D0CB7" w:rsidP="000D0CB7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Право на образование</w:t>
      </w:r>
    </w:p>
    <w:p w14:paraId="548D0DD8" w14:textId="77777777" w:rsidR="000D0CB7" w:rsidRPr="00303CF4" w:rsidRDefault="000D0CB7" w:rsidP="000D0CB7">
      <w:pPr>
        <w:pStyle w:val="SingleTxtG"/>
      </w:pPr>
      <w:r>
        <w:t>58.</w:t>
      </w:r>
      <w:r>
        <w:tab/>
        <w:t>Отмечая, что в государстве-участнике улучшился доступ к дошкольному и начальному образованию, Комитет выражает обеспокоенность:</w:t>
      </w:r>
    </w:p>
    <w:p w14:paraId="42590311" w14:textId="14C21E5D" w:rsidR="000D0CB7" w:rsidRPr="00303CF4" w:rsidRDefault="000D0CB7" w:rsidP="000D0CB7">
      <w:pPr>
        <w:pStyle w:val="SingleTxtG"/>
      </w:pPr>
      <w:r w:rsidRPr="002D2EBD">
        <w:tab/>
      </w:r>
      <w:r>
        <w:t>a)</w:t>
      </w:r>
      <w:r>
        <w:tab/>
        <w:t>высоким отсевом, особенно в средних школах и среди учащихся, принадлежащих к обездоленным и маргинализированным группам, в частности к этническим меньшинствам и коренным народам или племенным народам;</w:t>
      </w:r>
    </w:p>
    <w:p w14:paraId="6BD776B8" w14:textId="76138776" w:rsidR="000D0CB7" w:rsidRPr="00303CF4" w:rsidRDefault="000D0CB7" w:rsidP="000D0CB7">
      <w:pPr>
        <w:pStyle w:val="SingleTxtG"/>
      </w:pPr>
      <w:r w:rsidRPr="002D2EBD">
        <w:tab/>
      </w:r>
      <w:r>
        <w:t>b)</w:t>
      </w:r>
      <w:r>
        <w:tab/>
        <w:t>неудовлетворительным качеством образования на всех уровнях и недостаточным качеством школьной инфраструктуры, в том числе отсутствием санитарно-гигиенических условий, что сказывается, в частности, на доступе девочек к образованию;</w:t>
      </w:r>
      <w:bookmarkStart w:id="1" w:name="_Hlk187403067"/>
      <w:bookmarkEnd w:id="1"/>
    </w:p>
    <w:p w14:paraId="43F25EFD" w14:textId="6640A41D" w:rsidR="000D0CB7" w:rsidRPr="00303CF4" w:rsidRDefault="000D0CB7" w:rsidP="000D0CB7">
      <w:pPr>
        <w:pStyle w:val="SingleTxtG"/>
      </w:pPr>
      <w:r w:rsidRPr="002D2EBD">
        <w:tab/>
      </w:r>
      <w:r>
        <w:t>c)</w:t>
      </w:r>
      <w:r>
        <w:tab/>
        <w:t xml:space="preserve">нехваткой квалифицированных учителей, неудовлетворительными условиями их труда, включая очень низкую заработную плату, а также практикой использования военнослужащих в качестве замещающих учителей, что может негативно повлиять на качество образования и нарушить гражданский и нейтральный статус школ; </w:t>
      </w:r>
    </w:p>
    <w:p w14:paraId="4432EA59" w14:textId="58E4DC41" w:rsidR="000D0CB7" w:rsidRPr="00303CF4" w:rsidRDefault="000D0CB7" w:rsidP="000D0CB7">
      <w:pPr>
        <w:pStyle w:val="SingleTxtG"/>
      </w:pPr>
      <w:r w:rsidRPr="002D2EBD">
        <w:tab/>
      </w:r>
      <w:r>
        <w:t>d)</w:t>
      </w:r>
      <w:r>
        <w:tab/>
        <w:t>ограничениями, с которыми сталкиваются учащиеся, принадлежащие к этническим меньшинствам и коренным и племенным народам, в отношении их права на получение образования на своих языках и использование своих языков, истории и культуры, а также практикой предоставления образования этим детям в отдаленных школах-интернатах, расположенных вдали от их исконных земель и общин (статьи 1, 13 и 14).</w:t>
      </w:r>
    </w:p>
    <w:p w14:paraId="70553B62" w14:textId="77777777" w:rsidR="000D0CB7" w:rsidRPr="00613124" w:rsidRDefault="000D0CB7" w:rsidP="000D0CB7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0D423C1" w14:textId="5EE27CC8" w:rsidR="000D0CB7" w:rsidRPr="000D0CB7" w:rsidRDefault="000D0CB7" w:rsidP="000D0CB7">
      <w:pPr>
        <w:pStyle w:val="SingleTxtG"/>
        <w:rPr>
          <w:b/>
          <w:bCs/>
        </w:rPr>
      </w:pPr>
      <w:r w:rsidRPr="002D2EBD">
        <w:tab/>
      </w:r>
      <w:r w:rsidRPr="000D0CB7">
        <w:rPr>
          <w:b/>
          <w:bCs/>
        </w:rPr>
        <w:t>a)</w:t>
      </w:r>
      <w:r w:rsidRPr="000D0CB7">
        <w:rPr>
          <w:b/>
          <w:bCs/>
        </w:rPr>
        <w:tab/>
        <w:t>принять надлежащие меры для снижения показателей отсева на всех уровнях образования, особенно в средней школе и среди учащихся из маргинализированных и обездоленных групп населения;</w:t>
      </w:r>
    </w:p>
    <w:p w14:paraId="356C4E0C" w14:textId="31D9F653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b)</w:t>
      </w:r>
      <w:r w:rsidRPr="000D0CB7">
        <w:rPr>
          <w:b/>
          <w:bCs/>
        </w:rPr>
        <w:tab/>
        <w:t>рассмотреть, принять и реализовать адекватные меры по улучшению школьной инфраструктуры и учебных материалов, а также обеспечить электричеством и средствами санитарии все школы;</w:t>
      </w:r>
    </w:p>
    <w:p w14:paraId="16FAFF46" w14:textId="11CB96B0" w:rsidR="000D0CB7" w:rsidRPr="000D0CB7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c)</w:t>
      </w:r>
      <w:r w:rsidRPr="000D0CB7">
        <w:rPr>
          <w:b/>
          <w:bCs/>
        </w:rPr>
        <w:tab/>
        <w:t>принять необходимые меры для повышения качества образования, в частности по увеличению числа квалифицированных учителей и расширению их участия в программах непрерывного обучения, улучшению условий их труда и повышению заработной платы, а также по отмене практики использования военнослужащих в качестве замещающих учителей;</w:t>
      </w:r>
    </w:p>
    <w:p w14:paraId="361FDCE6" w14:textId="4A608AD2" w:rsidR="000D0CB7" w:rsidRPr="00613124" w:rsidRDefault="000D0CB7" w:rsidP="000D0CB7">
      <w:pPr>
        <w:pStyle w:val="SingleTxtG"/>
        <w:rPr>
          <w:b/>
          <w:bCs/>
        </w:rPr>
      </w:pPr>
      <w:r w:rsidRPr="002D2EBD">
        <w:rPr>
          <w:b/>
          <w:bCs/>
        </w:rPr>
        <w:tab/>
      </w:r>
      <w:r w:rsidRPr="000D0CB7">
        <w:rPr>
          <w:b/>
          <w:bCs/>
        </w:rPr>
        <w:t>d)</w:t>
      </w:r>
      <w:r w:rsidRPr="000D0CB7">
        <w:rPr>
          <w:b/>
          <w:bCs/>
        </w:rPr>
        <w:tab/>
        <w:t>постепенно отказаться от практики интернатов и разработать альтернативные</w:t>
      </w:r>
      <w:r>
        <w:rPr>
          <w:b/>
          <w:bCs/>
        </w:rPr>
        <w:t xml:space="preserve"> варианты, не требующие от детей покидать свои общины, а также обеспечить систематическое преподавание языков меньшинств и коренных народов в школах, где обучаются учащиеся из числа этнических меньшинств, коренных и племенных народов.</w:t>
      </w:r>
    </w:p>
    <w:p w14:paraId="7F6A2D6E" w14:textId="74BA6C8F" w:rsidR="000D0CB7" w:rsidRPr="00303CF4" w:rsidRDefault="000D0CB7" w:rsidP="000D0CB7">
      <w:pPr>
        <w:pStyle w:val="H1G"/>
      </w:pPr>
      <w:r w:rsidRPr="002D2EBD"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Другие рекомендации</w:t>
      </w:r>
    </w:p>
    <w:p w14:paraId="275DD8E9" w14:textId="77777777" w:rsidR="000D0CB7" w:rsidRPr="00613124" w:rsidRDefault="000D0CB7" w:rsidP="000D0CB7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призывает государство-участник присоединиться к Факультативному протоколу к Международному пакту об экономических, социальных и культурных правах.</w:t>
      </w:r>
      <w:r>
        <w:t xml:space="preserve"> </w:t>
      </w:r>
    </w:p>
    <w:p w14:paraId="5657378A" w14:textId="77777777" w:rsidR="000D0CB7" w:rsidRPr="00613124" w:rsidRDefault="000D0CB7" w:rsidP="000D0CB7">
      <w:pPr>
        <w:pStyle w:val="SingleTxtG"/>
        <w:rPr>
          <w:b/>
          <w:bCs/>
        </w:rPr>
      </w:pPr>
      <w:r>
        <w:lastRenderedPageBreak/>
        <w:t>61.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присоединения к основным договорам по правам человека, участником которых оно еще не является, а именно к Международной конвенции о защите прав всех трудящихся мигрантов и членов их семей, Факультативному протоколу к Международному пакту о гражданских и политических правах, второму Факультативному протоколу к Международному пакту о гражданских и политических правах, направленному на отмену смертной казни, Факультативному протоколу к Конвенции о ликвидации всех форм дискриминации в отношении женщин, Факультативному протоколу к Конвенции против пыток и других жестоких, бесчеловечных или унижающих достоинство видов обращения и наказания, Факультативному протоколу к Конвенции о правах ребенка, касающемуся процедуры сообщений, и Факультативному протоколу к Конвенции о правах инвалидов.</w:t>
      </w:r>
      <w:r>
        <w:t xml:space="preserve"> </w:t>
      </w:r>
      <w:r>
        <w:rPr>
          <w:b/>
          <w:bCs/>
        </w:rPr>
        <w:t>Комитет рекомендует также государству-участнику ратифицировать Международную конвенцию для защиты всех лиц от насильственных исчезновений, которую оно подписало в 2008 году.</w:t>
      </w:r>
      <w:r>
        <w:t xml:space="preserve"> </w:t>
      </w:r>
    </w:p>
    <w:p w14:paraId="6AFA7B40" w14:textId="0D5EF033" w:rsidR="000D0CB7" w:rsidRPr="00613124" w:rsidRDefault="000D0CB7" w:rsidP="000D0CB7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Комитет рекомендует также государству-участнику в полной мере учитывать свои обязательства в соответствии с Пактом и обеспечивать полное осуществление закрепленных в нем прав при реализации на национальном уровне Повестки дня в области устойчивого развития на период до 2030 года, в том числе в ходе восстановления после пандемии COVID-19, в рамках международной помощи и сотрудничества в случае возникновения такой необходимости.</w:t>
      </w:r>
      <w:r>
        <w:t xml:space="preserve"> </w:t>
      </w:r>
      <w:r>
        <w:rPr>
          <w:b/>
          <w:bCs/>
        </w:rPr>
        <w:t xml:space="preserve">Достижению </w:t>
      </w:r>
      <w:r w:rsidR="002055D6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будут в значительной степени способствовать создание государством-участником независимых механизмов отслеживания прогресса и отношение к получателям помощи по линии государственных программ как к носителям прав, которые могут претендовать на причитающиеся им льготы.</w:t>
      </w:r>
      <w:r>
        <w:t xml:space="preserve"> </w:t>
      </w:r>
      <w:r>
        <w:rPr>
          <w:b/>
          <w:bCs/>
        </w:rPr>
        <w:t xml:space="preserve">Кроме того, Комитет рекомендует государству-участнику поддержать глобальное обязательство десятилетия действий по достижению </w:t>
      </w:r>
      <w:r w:rsidR="002055D6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развития.</w:t>
      </w:r>
      <w:r>
        <w:t xml:space="preserve"> </w:t>
      </w:r>
      <w:r>
        <w:rPr>
          <w:b/>
          <w:bCs/>
        </w:rPr>
        <w:t xml:space="preserve">Достижение </w:t>
      </w:r>
      <w:r w:rsidR="002055D6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613124">
        <w:rPr>
          <w:rStyle w:val="a8"/>
        </w:rPr>
        <w:footnoteReference w:id="13"/>
      </w:r>
      <w:r>
        <w:rPr>
          <w:b/>
          <w:bCs/>
        </w:rPr>
        <w:t>.</w:t>
      </w:r>
    </w:p>
    <w:p w14:paraId="26574974" w14:textId="77777777" w:rsidR="000D0CB7" w:rsidRPr="00613124" w:rsidRDefault="000D0CB7" w:rsidP="000D0CB7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Кроме того, Комитет рекомендует государству-участнику принять меры по постепенной разработке и применению соответствующих показателей осуществления экономических, социальных и культурных прав, с тем чтобы облегчить оценку прогресса, достигнутого государством-участником в выполнении своих обязательств по Пакту для различных слоев населения.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разработки и отбора показателей для мониторинга выполнения обязательств по договорам в области прав человека, подготовленные Управлением Верховного комиссара Организации Объединенных Наций по правам человека</w:t>
      </w:r>
      <w:r w:rsidRPr="00613124">
        <w:rPr>
          <w:rStyle w:val="a8"/>
        </w:rPr>
        <w:footnoteReference w:id="14"/>
      </w:r>
      <w:r>
        <w:rPr>
          <w:b/>
          <w:bCs/>
        </w:rPr>
        <w:t>.</w:t>
      </w:r>
    </w:p>
    <w:p w14:paraId="7DA99CB6" w14:textId="77777777" w:rsidR="000D0CB7" w:rsidRPr="00613124" w:rsidRDefault="000D0CB7" w:rsidP="000D0CB7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национальном, региональном и муниципальном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мерах, принятых с целью их осуществления.</w:t>
      </w:r>
      <w:r>
        <w:t xml:space="preserve"> </w:t>
      </w:r>
      <w:r>
        <w:rPr>
          <w:b/>
          <w:bCs/>
        </w:rPr>
        <w:t>Комитет подчеркивает решающую роль, которую играет парламент в осуществлении настоящих заключительных замечаний, и призывает государство-участник обеспечить его участие в будущих процедурах представления докладов и последующих действиях.</w:t>
      </w:r>
      <w:r>
        <w:t xml:space="preserve"> </w:t>
      </w:r>
      <w:r>
        <w:rPr>
          <w:b/>
          <w:bCs/>
        </w:rPr>
        <w:t xml:space="preserve">Комитет призывает государство-участник и впредь вовлекать неправительственные организации и других членов гражданского общества в последующую </w:t>
      </w:r>
      <w:r>
        <w:rPr>
          <w:b/>
          <w:bCs/>
        </w:rPr>
        <w:lastRenderedPageBreak/>
        <w:t>деятельность в связи с настоящими заключительными замечаниями и в процесс консультаций на национальном уровне перед представлением своего следующего периодического доклада.</w:t>
      </w:r>
    </w:p>
    <w:p w14:paraId="6EEDED72" w14:textId="77777777" w:rsidR="000D0CB7" w:rsidRPr="00613124" w:rsidRDefault="000D0CB7" w:rsidP="000D0CB7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В соответствии с процедурой последующих действий в связи с заключительными замечаниями, принятой Комитетом, государству-участнику предлагается представить в течение 24 месяцев с момента принятия настоящих заключительных замечаний (к 30 сентября 2027 года) информацию о выполнении рекомендаций, содержащихся в пунктах 13 b) (предпринимательская деятельность и права человека), 43 (детские браки) и 51 a) (право на питание) выше.</w:t>
      </w:r>
      <w:bookmarkStart w:id="2" w:name="_Hlk154052285"/>
      <w:bookmarkEnd w:id="2"/>
    </w:p>
    <w:p w14:paraId="38BB2E05" w14:textId="77777777" w:rsidR="000D0CB7" w:rsidRPr="00613124" w:rsidRDefault="000D0CB7" w:rsidP="000D0CB7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просит государство-участник представить свой второй периодический доклад в соответствии со статьей 16 Пакта не позднее 30 сентября 2030 года, если в результате изменения цикла обзора не поступит иного уведомления.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</w:p>
    <w:p w14:paraId="7FE1362D" w14:textId="77777777" w:rsidR="000D0CB7" w:rsidRPr="005E6BFC" w:rsidRDefault="000D0CB7" w:rsidP="000D0CB7">
      <w:pPr>
        <w:spacing w:before="240"/>
        <w:jc w:val="center"/>
        <w:rPr>
          <w:u w:val="single"/>
        </w:rPr>
      </w:pPr>
      <w:r w:rsidRPr="005E6BFC">
        <w:rPr>
          <w:u w:val="single"/>
        </w:rPr>
        <w:tab/>
      </w:r>
      <w:r w:rsidRPr="005E6BFC">
        <w:rPr>
          <w:u w:val="single"/>
        </w:rPr>
        <w:tab/>
      </w:r>
      <w:r w:rsidRPr="005E6BFC">
        <w:rPr>
          <w:u w:val="single"/>
        </w:rPr>
        <w:tab/>
      </w:r>
    </w:p>
    <w:p w14:paraId="06703EE8" w14:textId="7604705E" w:rsidR="000D0CB7" w:rsidRPr="000D0CB7" w:rsidRDefault="000D0CB7" w:rsidP="00896BA2"/>
    <w:sectPr w:rsidR="000D0CB7" w:rsidRPr="000D0CB7" w:rsidSect="000D0CB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17190" w14:textId="77777777" w:rsidR="00F3759F" w:rsidRPr="00A312BC" w:rsidRDefault="00F3759F" w:rsidP="00A312BC"/>
  </w:endnote>
  <w:endnote w:type="continuationSeparator" w:id="0">
    <w:p w14:paraId="47DEF54B" w14:textId="77777777" w:rsidR="00F3759F" w:rsidRPr="00A312BC" w:rsidRDefault="00F3759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7DDAE" w14:textId="28C618E4" w:rsidR="000D0CB7" w:rsidRPr="000D0CB7" w:rsidRDefault="000D0CB7">
    <w:pPr>
      <w:pStyle w:val="aa"/>
    </w:pPr>
    <w:r w:rsidRPr="000D0CB7">
      <w:rPr>
        <w:b/>
        <w:sz w:val="18"/>
      </w:rPr>
      <w:fldChar w:fldCharType="begin"/>
    </w:r>
    <w:r w:rsidRPr="000D0CB7">
      <w:rPr>
        <w:b/>
        <w:sz w:val="18"/>
      </w:rPr>
      <w:instrText xml:space="preserve"> PAGE  \* MERGEFORMAT </w:instrText>
    </w:r>
    <w:r w:rsidRPr="000D0CB7">
      <w:rPr>
        <w:b/>
        <w:sz w:val="18"/>
      </w:rPr>
      <w:fldChar w:fldCharType="separate"/>
    </w:r>
    <w:r w:rsidRPr="000D0CB7">
      <w:rPr>
        <w:b/>
        <w:noProof/>
        <w:sz w:val="18"/>
      </w:rPr>
      <w:t>2</w:t>
    </w:r>
    <w:r w:rsidRPr="000D0CB7">
      <w:rPr>
        <w:b/>
        <w:sz w:val="18"/>
      </w:rPr>
      <w:fldChar w:fldCharType="end"/>
    </w:r>
    <w:r>
      <w:rPr>
        <w:b/>
        <w:sz w:val="18"/>
      </w:rPr>
      <w:tab/>
    </w:r>
    <w:r>
      <w:t>GE.25-15838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F6AAC" w14:textId="7C69CA54" w:rsidR="000D0CB7" w:rsidRPr="000D0CB7" w:rsidRDefault="000D0CB7" w:rsidP="000D0CB7">
    <w:pPr>
      <w:pStyle w:val="aa"/>
      <w:tabs>
        <w:tab w:val="clear" w:pos="9639"/>
        <w:tab w:val="right" w:pos="9638"/>
      </w:tabs>
      <w:rPr>
        <w:b/>
        <w:sz w:val="18"/>
      </w:rPr>
    </w:pPr>
    <w:r>
      <w:t>GE.25-15838</w:t>
    </w:r>
    <w:r>
      <w:tab/>
    </w:r>
    <w:r w:rsidRPr="000D0CB7">
      <w:rPr>
        <w:b/>
        <w:sz w:val="18"/>
      </w:rPr>
      <w:fldChar w:fldCharType="begin"/>
    </w:r>
    <w:r w:rsidRPr="000D0CB7">
      <w:rPr>
        <w:b/>
        <w:sz w:val="18"/>
      </w:rPr>
      <w:instrText xml:space="preserve"> PAGE  \* MERGEFORMAT </w:instrText>
    </w:r>
    <w:r w:rsidRPr="000D0CB7">
      <w:rPr>
        <w:b/>
        <w:sz w:val="18"/>
      </w:rPr>
      <w:fldChar w:fldCharType="separate"/>
    </w:r>
    <w:r w:rsidRPr="000D0CB7">
      <w:rPr>
        <w:b/>
        <w:noProof/>
        <w:sz w:val="18"/>
      </w:rPr>
      <w:t>3</w:t>
    </w:r>
    <w:r w:rsidRPr="000D0CB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C2EC1" w14:textId="637A312C" w:rsidR="00042B72" w:rsidRPr="000D0CB7" w:rsidRDefault="000D0CB7" w:rsidP="000D0CB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37A9D13" wp14:editId="446916A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25-15838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63CBC2A" wp14:editId="523D3B9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121125  141125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F1885" w14:textId="77777777" w:rsidR="00F3759F" w:rsidRPr="001075E9" w:rsidRDefault="00F3759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B836C2B" w14:textId="77777777" w:rsidR="00F3759F" w:rsidRDefault="00F3759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DE85DAC" w14:textId="77777777" w:rsidR="000D0CB7" w:rsidRPr="00613124" w:rsidRDefault="000D0CB7" w:rsidP="000D0CB7">
      <w:pPr>
        <w:pStyle w:val="af"/>
      </w:pPr>
      <w:r>
        <w:tab/>
      </w:r>
      <w:r w:rsidRPr="002D2EBD">
        <w:rPr>
          <w:sz w:val="20"/>
        </w:rPr>
        <w:t>*</w:t>
      </w:r>
      <w:r>
        <w:tab/>
        <w:t>Приняты Комитетом на его семьдесят восьмой сессии (8–26 сентября 2025 года).</w:t>
      </w:r>
    </w:p>
  </w:footnote>
  <w:footnote w:id="2">
    <w:p w14:paraId="565E7D1A" w14:textId="665B8C54" w:rsidR="000D0CB7" w:rsidRPr="002D2EBD" w:rsidRDefault="000D0CB7" w:rsidP="000D0CB7">
      <w:pPr>
        <w:pStyle w:val="af"/>
        <w:rPr>
          <w:lang w:val="de-CH"/>
        </w:rPr>
      </w:pPr>
      <w:r w:rsidRPr="00613124">
        <w:tab/>
      </w:r>
      <w:r w:rsidRPr="00613124">
        <w:rPr>
          <w:rStyle w:val="a8"/>
        </w:rPr>
        <w:footnoteRef/>
      </w:r>
      <w:r w:rsidRPr="002D2EBD">
        <w:rPr>
          <w:lang w:val="de-CH"/>
        </w:rPr>
        <w:tab/>
      </w:r>
      <w:hyperlink r:id="rId1" w:history="1">
        <w:r w:rsidRPr="002D2EBD">
          <w:rPr>
            <w:rStyle w:val="a7"/>
            <w:lang w:val="de-CH"/>
          </w:rPr>
          <w:t>E/C.12/LAO/1</w:t>
        </w:r>
      </w:hyperlink>
      <w:r w:rsidRPr="002D2EBD">
        <w:rPr>
          <w:lang w:val="de-CH"/>
        </w:rPr>
        <w:t>.</w:t>
      </w:r>
      <w:hyperlink r:id="rId2" w:history="1"/>
    </w:p>
  </w:footnote>
  <w:footnote w:id="3">
    <w:p w14:paraId="42111539" w14:textId="0AB30008" w:rsidR="004F2BAD" w:rsidRPr="002D2EBD" w:rsidRDefault="004F2BAD" w:rsidP="004F2BAD">
      <w:pPr>
        <w:pStyle w:val="af"/>
        <w:rPr>
          <w:lang w:val="de-CH"/>
        </w:rPr>
      </w:pPr>
      <w:r w:rsidRPr="002D2EBD">
        <w:rPr>
          <w:lang w:val="de-CH"/>
        </w:rPr>
        <w:tab/>
      </w:r>
      <w:r w:rsidRPr="00613124">
        <w:rPr>
          <w:rStyle w:val="a8"/>
        </w:rPr>
        <w:footnoteRef/>
      </w:r>
      <w:r w:rsidRPr="002D2EBD">
        <w:rPr>
          <w:lang w:val="de-CH"/>
        </w:rPr>
        <w:tab/>
      </w:r>
      <w:r>
        <w:t>См</w:t>
      </w:r>
      <w:r w:rsidRPr="002D2EBD">
        <w:rPr>
          <w:lang w:val="de-CH"/>
        </w:rPr>
        <w:t xml:space="preserve">. </w:t>
      </w:r>
      <w:hyperlink r:id="rId3" w:history="1">
        <w:r w:rsidRPr="002D2EBD">
          <w:rPr>
            <w:rStyle w:val="a7"/>
            <w:lang w:val="de-CH"/>
          </w:rPr>
          <w:t>E/C.12/2025/SR.46</w:t>
        </w:r>
      </w:hyperlink>
      <w:r w:rsidRPr="002D2EBD">
        <w:rPr>
          <w:lang w:val="de-CH"/>
        </w:rPr>
        <w:t xml:space="preserve"> </w:t>
      </w:r>
      <w:r>
        <w:t>и</w:t>
      </w:r>
      <w:r w:rsidRPr="002D2EBD">
        <w:rPr>
          <w:lang w:val="de-CH"/>
        </w:rPr>
        <w:t xml:space="preserve"> </w:t>
      </w:r>
      <w:hyperlink r:id="rId4" w:history="1">
        <w:r w:rsidRPr="002D2EBD">
          <w:rPr>
            <w:rStyle w:val="a7"/>
            <w:lang w:val="de-CH"/>
          </w:rPr>
          <w:t>E/C.12/2025/SR.47</w:t>
        </w:r>
      </w:hyperlink>
      <w:r w:rsidRPr="002D2EBD">
        <w:rPr>
          <w:lang w:val="de-CH"/>
        </w:rPr>
        <w:t>.</w:t>
      </w:r>
      <w:hyperlink r:id="rId5" w:history="1"/>
      <w:hyperlink r:id="rId6" w:history="1"/>
    </w:p>
  </w:footnote>
  <w:footnote w:id="4">
    <w:p w14:paraId="4644990C" w14:textId="2C0361A1" w:rsidR="000D0CB7" w:rsidRPr="001446C6" w:rsidRDefault="000D0CB7" w:rsidP="000D0CB7">
      <w:pPr>
        <w:pStyle w:val="af"/>
        <w:rPr>
          <w:lang w:val="de-CH"/>
        </w:rPr>
      </w:pPr>
      <w:r w:rsidRPr="002D2EBD">
        <w:rPr>
          <w:lang w:val="de-CH"/>
        </w:rPr>
        <w:tab/>
      </w:r>
      <w:r w:rsidRPr="00613124">
        <w:rPr>
          <w:rStyle w:val="a8"/>
        </w:rPr>
        <w:footnoteRef/>
      </w:r>
      <w:r w:rsidRPr="001446C6">
        <w:rPr>
          <w:lang w:val="de-CH"/>
        </w:rPr>
        <w:tab/>
      </w:r>
      <w:hyperlink r:id="rId7" w:history="1">
        <w:r w:rsidRPr="001446C6">
          <w:rPr>
            <w:rStyle w:val="a7"/>
            <w:lang w:val="de-CH"/>
          </w:rPr>
          <w:t>E/C.12/LAO/RQ/1</w:t>
        </w:r>
      </w:hyperlink>
      <w:r w:rsidRPr="001446C6">
        <w:rPr>
          <w:lang w:val="de-CH"/>
        </w:rPr>
        <w:t>.</w:t>
      </w:r>
      <w:hyperlink r:id="rId8" w:history="1"/>
    </w:p>
  </w:footnote>
  <w:footnote w:id="5">
    <w:p w14:paraId="50B041A5" w14:textId="0054760D" w:rsidR="000D0CB7" w:rsidRPr="001446C6" w:rsidRDefault="000D0CB7" w:rsidP="000D0CB7">
      <w:pPr>
        <w:pStyle w:val="af"/>
        <w:rPr>
          <w:lang w:val="de-CH"/>
        </w:rPr>
      </w:pPr>
      <w:r w:rsidRPr="001446C6">
        <w:rPr>
          <w:lang w:val="de-CH"/>
        </w:rPr>
        <w:tab/>
      </w:r>
      <w:r w:rsidRPr="00613124">
        <w:rPr>
          <w:rStyle w:val="a8"/>
        </w:rPr>
        <w:footnoteRef/>
      </w:r>
      <w:r w:rsidRPr="001446C6">
        <w:rPr>
          <w:lang w:val="de-CH"/>
        </w:rPr>
        <w:tab/>
      </w:r>
      <w:hyperlink r:id="rId9" w:history="1">
        <w:r w:rsidRPr="001446C6">
          <w:rPr>
            <w:rStyle w:val="a7"/>
            <w:lang w:val="de-CH"/>
          </w:rPr>
          <w:t>E/C.12/2016/2</w:t>
        </w:r>
      </w:hyperlink>
      <w:r w:rsidRPr="001446C6">
        <w:rPr>
          <w:lang w:val="de-CH"/>
        </w:rPr>
        <w:t>.</w:t>
      </w:r>
      <w:hyperlink r:id="rId10" w:history="1"/>
    </w:p>
  </w:footnote>
  <w:footnote w:id="6">
    <w:p w14:paraId="14D33115" w14:textId="4A911019" w:rsidR="000D0CB7" w:rsidRPr="001446C6" w:rsidRDefault="000D0CB7" w:rsidP="000D0CB7">
      <w:pPr>
        <w:pStyle w:val="af"/>
        <w:rPr>
          <w:lang w:val="de-CH"/>
        </w:rPr>
      </w:pPr>
      <w:r w:rsidRPr="001446C6">
        <w:rPr>
          <w:lang w:val="de-CH"/>
        </w:rPr>
        <w:tab/>
      </w:r>
      <w:r w:rsidRPr="00613124">
        <w:rPr>
          <w:rStyle w:val="a8"/>
        </w:rPr>
        <w:footnoteRef/>
      </w:r>
      <w:r w:rsidRPr="001446C6">
        <w:rPr>
          <w:lang w:val="de-CH"/>
        </w:rPr>
        <w:tab/>
      </w:r>
      <w:hyperlink r:id="rId11" w:history="1">
        <w:r w:rsidRPr="001446C6">
          <w:rPr>
            <w:rStyle w:val="a7"/>
            <w:lang w:val="de-CH"/>
          </w:rPr>
          <w:t>E/C.12/2018/1</w:t>
        </w:r>
      </w:hyperlink>
      <w:r w:rsidRPr="001446C6">
        <w:rPr>
          <w:lang w:val="de-CH"/>
        </w:rPr>
        <w:t>.</w:t>
      </w:r>
      <w:hyperlink r:id="rId12" w:history="1"/>
    </w:p>
  </w:footnote>
  <w:footnote w:id="7">
    <w:p w14:paraId="050EB9D1" w14:textId="23D1F407" w:rsidR="000D0CB7" w:rsidRPr="001446C6" w:rsidRDefault="000D0CB7" w:rsidP="000D0CB7">
      <w:pPr>
        <w:pStyle w:val="af"/>
        <w:rPr>
          <w:lang w:val="de-CH"/>
        </w:rPr>
      </w:pPr>
      <w:r w:rsidRPr="001446C6">
        <w:rPr>
          <w:lang w:val="de-CH"/>
        </w:rPr>
        <w:tab/>
      </w:r>
      <w:r w:rsidRPr="00613124">
        <w:rPr>
          <w:rStyle w:val="a8"/>
        </w:rPr>
        <w:footnoteRef/>
      </w:r>
      <w:r w:rsidRPr="001446C6">
        <w:rPr>
          <w:lang w:val="de-CH"/>
        </w:rPr>
        <w:tab/>
      </w:r>
      <w:hyperlink r:id="rId13" w:history="1">
        <w:r w:rsidRPr="001446C6">
          <w:rPr>
            <w:rStyle w:val="a7"/>
            <w:lang w:val="de-CH"/>
          </w:rPr>
          <w:t>E/C.12/2025/1</w:t>
        </w:r>
      </w:hyperlink>
      <w:r w:rsidRPr="001446C6">
        <w:rPr>
          <w:lang w:val="de-CH"/>
        </w:rPr>
        <w:t>.</w:t>
      </w:r>
      <w:hyperlink r:id="rId14" w:history="1"/>
    </w:p>
  </w:footnote>
  <w:footnote w:id="8">
    <w:p w14:paraId="20FB2978" w14:textId="2BD56AFC" w:rsidR="000D0CB7" w:rsidRPr="001446C6" w:rsidRDefault="000D0CB7" w:rsidP="000D0CB7">
      <w:pPr>
        <w:pStyle w:val="af"/>
        <w:rPr>
          <w:lang w:val="de-CH"/>
        </w:rPr>
      </w:pPr>
      <w:r w:rsidRPr="001446C6">
        <w:rPr>
          <w:lang w:val="de-CH"/>
        </w:rPr>
        <w:tab/>
      </w:r>
      <w:r w:rsidRPr="00613124">
        <w:rPr>
          <w:rStyle w:val="a8"/>
        </w:rPr>
        <w:footnoteRef/>
      </w:r>
      <w:r w:rsidRPr="001446C6">
        <w:rPr>
          <w:lang w:val="de-CH"/>
        </w:rPr>
        <w:tab/>
      </w:r>
      <w:hyperlink r:id="rId15" w:history="1">
        <w:r w:rsidRPr="001446C6">
          <w:rPr>
            <w:rStyle w:val="a7"/>
            <w:lang w:val="de-CH"/>
          </w:rPr>
          <w:t>E/C.12/2016/1</w:t>
        </w:r>
      </w:hyperlink>
      <w:r w:rsidRPr="001446C6">
        <w:rPr>
          <w:lang w:val="de-CH"/>
        </w:rPr>
        <w:t>.</w:t>
      </w:r>
      <w:hyperlink r:id="rId16" w:history="1"/>
    </w:p>
  </w:footnote>
  <w:footnote w:id="9">
    <w:p w14:paraId="5E72B051" w14:textId="0FB72EBC" w:rsidR="000D0CB7" w:rsidRPr="001446C6" w:rsidRDefault="000D0CB7" w:rsidP="000D0CB7">
      <w:pPr>
        <w:pStyle w:val="af"/>
        <w:rPr>
          <w:lang w:val="de-CH"/>
        </w:rPr>
      </w:pPr>
      <w:r w:rsidRPr="001446C6">
        <w:rPr>
          <w:lang w:val="de-CH"/>
        </w:rPr>
        <w:tab/>
      </w:r>
      <w:r w:rsidRPr="00613124">
        <w:rPr>
          <w:rStyle w:val="a8"/>
        </w:rPr>
        <w:footnoteRef/>
      </w:r>
      <w:r w:rsidRPr="001446C6">
        <w:rPr>
          <w:lang w:val="de-CH"/>
        </w:rPr>
        <w:tab/>
      </w:r>
      <w:hyperlink r:id="rId17" w:history="1">
        <w:r w:rsidRPr="001446C6">
          <w:rPr>
            <w:rStyle w:val="a7"/>
            <w:lang w:val="de-CH"/>
          </w:rPr>
          <w:t>E/C.12/66/5-CCPR/C/127/4</w:t>
        </w:r>
      </w:hyperlink>
      <w:r w:rsidRPr="001446C6">
        <w:rPr>
          <w:lang w:val="de-CH"/>
        </w:rPr>
        <w:t>.</w:t>
      </w:r>
      <w:hyperlink r:id="rId18" w:history="1"/>
    </w:p>
  </w:footnote>
  <w:footnote w:id="10">
    <w:p w14:paraId="70E2F774" w14:textId="1091A242" w:rsidR="000D0CB7" w:rsidRPr="001446C6" w:rsidRDefault="000D0CB7" w:rsidP="000D0CB7">
      <w:pPr>
        <w:pStyle w:val="af"/>
      </w:pPr>
      <w:r w:rsidRPr="001446C6">
        <w:rPr>
          <w:lang w:val="de-CH"/>
        </w:rPr>
        <w:tab/>
      </w:r>
      <w:r w:rsidRPr="00613124">
        <w:rPr>
          <w:rStyle w:val="a8"/>
        </w:rPr>
        <w:footnoteRef/>
      </w:r>
      <w:r w:rsidRPr="001446C6">
        <w:tab/>
      </w:r>
      <w:hyperlink r:id="rId19" w:history="1">
        <w:r w:rsidRPr="008369B9">
          <w:rPr>
            <w:rStyle w:val="a7"/>
            <w:lang w:val="en-US"/>
          </w:rPr>
          <w:t>E</w:t>
        </w:r>
        <w:r w:rsidRPr="001446C6">
          <w:rPr>
            <w:rStyle w:val="a7"/>
          </w:rPr>
          <w:t>/</w:t>
        </w:r>
        <w:r w:rsidRPr="008369B9">
          <w:rPr>
            <w:rStyle w:val="a7"/>
            <w:lang w:val="en-US"/>
          </w:rPr>
          <w:t>C</w:t>
        </w:r>
        <w:r w:rsidRPr="001446C6">
          <w:rPr>
            <w:rStyle w:val="a7"/>
          </w:rPr>
          <w:t>.12/2015/1</w:t>
        </w:r>
      </w:hyperlink>
      <w:r w:rsidRPr="001446C6">
        <w:t>.</w:t>
      </w:r>
      <w:hyperlink r:id="rId20" w:history="1"/>
    </w:p>
  </w:footnote>
  <w:footnote w:id="11">
    <w:p w14:paraId="4E3C09C9" w14:textId="4A023EF3" w:rsidR="000D0CB7" w:rsidRPr="001446C6" w:rsidRDefault="000D0CB7" w:rsidP="000D0CB7">
      <w:pPr>
        <w:pStyle w:val="af"/>
      </w:pPr>
      <w:r w:rsidRPr="001446C6">
        <w:tab/>
      </w:r>
      <w:r w:rsidRPr="00613124">
        <w:rPr>
          <w:rStyle w:val="a8"/>
        </w:rPr>
        <w:footnoteRef/>
      </w:r>
      <w:r w:rsidRPr="001446C6">
        <w:tab/>
      </w:r>
      <w:hyperlink r:id="rId21" w:history="1">
        <w:r w:rsidRPr="008369B9">
          <w:rPr>
            <w:rStyle w:val="a7"/>
            <w:lang w:val="en-US"/>
          </w:rPr>
          <w:t>E</w:t>
        </w:r>
        <w:r w:rsidRPr="001446C6">
          <w:rPr>
            <w:rStyle w:val="a7"/>
          </w:rPr>
          <w:t>/</w:t>
        </w:r>
        <w:r w:rsidRPr="008369B9">
          <w:rPr>
            <w:rStyle w:val="a7"/>
            <w:lang w:val="en-US"/>
          </w:rPr>
          <w:t>C</w:t>
        </w:r>
        <w:r w:rsidRPr="001446C6">
          <w:rPr>
            <w:rStyle w:val="a7"/>
          </w:rPr>
          <w:t>.12/2001/10</w:t>
        </w:r>
      </w:hyperlink>
      <w:r w:rsidRPr="001446C6">
        <w:t xml:space="preserve">. </w:t>
      </w:r>
      <w:hyperlink r:id="rId22" w:history="1"/>
    </w:p>
  </w:footnote>
  <w:footnote w:id="12">
    <w:p w14:paraId="70504C8B" w14:textId="2B90151D" w:rsidR="000D0CB7" w:rsidRPr="00613124" w:rsidRDefault="000D0CB7" w:rsidP="000D0CB7">
      <w:pPr>
        <w:pStyle w:val="af"/>
      </w:pPr>
      <w:r w:rsidRPr="001446C6">
        <w:tab/>
      </w:r>
      <w:r w:rsidRPr="00613124">
        <w:rPr>
          <w:rStyle w:val="a8"/>
        </w:rPr>
        <w:footnoteRef/>
      </w:r>
      <w:r>
        <w:tab/>
        <w:t xml:space="preserve">Глобальная база данных по показателям достижения </w:t>
      </w:r>
      <w:r w:rsidR="00D87404">
        <w:t xml:space="preserve">Целей </w:t>
      </w:r>
      <w:r>
        <w:t xml:space="preserve">в области устойчивого развития, Лаосская Народно-Демократическая Республика, </w:t>
      </w:r>
      <w:r w:rsidR="00D87404">
        <w:t xml:space="preserve">Цель </w:t>
      </w:r>
      <w:r>
        <w:t xml:space="preserve">6 </w:t>
      </w:r>
      <w:r w:rsidR="00D87404">
        <w:br/>
      </w:r>
      <w:r>
        <w:t xml:space="preserve">(URL: </w:t>
      </w:r>
      <w:hyperlink r:id="rId23" w:anchor="goal-6" w:history="1">
        <w:r>
          <w:rPr>
            <w:rStyle w:val="a7"/>
          </w:rPr>
          <w:t>https://unstats.un.org/sdgs/dataportal/countryprofiles/LAO#goal-6</w:t>
        </w:r>
      </w:hyperlink>
      <w:r>
        <w:t>).</w:t>
      </w:r>
    </w:p>
  </w:footnote>
  <w:footnote w:id="13">
    <w:p w14:paraId="5395593F" w14:textId="6816030F" w:rsidR="000D0CB7" w:rsidRPr="00613124" w:rsidRDefault="000D0CB7" w:rsidP="000D0CB7">
      <w:pPr>
        <w:pStyle w:val="af"/>
      </w:pPr>
      <w:r w:rsidRPr="005E6BFC">
        <w:tab/>
      </w:r>
      <w:r w:rsidRPr="00613124">
        <w:rPr>
          <w:rStyle w:val="a8"/>
        </w:rPr>
        <w:footnoteRef/>
      </w:r>
      <w:r>
        <w:tab/>
      </w:r>
      <w:hyperlink r:id="rId24" w:history="1">
        <w:r w:rsidRPr="000D0CB7">
          <w:rPr>
            <w:rStyle w:val="a7"/>
          </w:rPr>
          <w:t>E/C.12/2019/1</w:t>
        </w:r>
      </w:hyperlink>
      <w:r>
        <w:t>.</w:t>
      </w:r>
      <w:hyperlink r:id="rId25" w:history="1"/>
    </w:p>
  </w:footnote>
  <w:footnote w:id="14">
    <w:p w14:paraId="238D9D55" w14:textId="448998E3" w:rsidR="000D0CB7" w:rsidRPr="00613124" w:rsidRDefault="000D0CB7" w:rsidP="000D0CB7">
      <w:pPr>
        <w:pStyle w:val="af"/>
      </w:pPr>
      <w:r w:rsidRPr="00613124">
        <w:tab/>
      </w:r>
      <w:r w:rsidRPr="00613124">
        <w:rPr>
          <w:rStyle w:val="a8"/>
        </w:rPr>
        <w:footnoteRef/>
      </w:r>
      <w:r>
        <w:tab/>
      </w:r>
      <w:hyperlink r:id="rId26" w:history="1">
        <w:r w:rsidRPr="000D0CB7">
          <w:rPr>
            <w:rStyle w:val="a7"/>
          </w:rPr>
          <w:t>HRI/MC/2008/3</w:t>
        </w:r>
      </w:hyperlink>
      <w:r>
        <w:t xml:space="preserve">. </w:t>
      </w:r>
      <w:hyperlink r:id="rId27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06533" w14:textId="0A48532E" w:rsidR="000D0CB7" w:rsidRPr="000D0CB7" w:rsidRDefault="00E171E9">
    <w:pPr>
      <w:pStyle w:val="a5"/>
    </w:pPr>
    <w:fldSimple w:instr=" TITLE  \* MERGEFORMAT ">
      <w:r w:rsidR="00703B03">
        <w:t>E/C.12/LAO/CO/1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298BF" w14:textId="3CCFDD42" w:rsidR="000D0CB7" w:rsidRPr="000D0CB7" w:rsidRDefault="00E171E9" w:rsidP="000D0CB7">
    <w:pPr>
      <w:pStyle w:val="a5"/>
      <w:jc w:val="right"/>
    </w:pPr>
    <w:fldSimple w:instr=" TITLE  \* MERGEFORMAT ">
      <w:r w:rsidR="00703B03">
        <w:t>E/C.12/LAO/CO/1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59F"/>
    <w:rsid w:val="000041D5"/>
    <w:rsid w:val="00033EE1"/>
    <w:rsid w:val="00042B72"/>
    <w:rsid w:val="00043B08"/>
    <w:rsid w:val="000558BD"/>
    <w:rsid w:val="00062299"/>
    <w:rsid w:val="000857D2"/>
    <w:rsid w:val="000B57E7"/>
    <w:rsid w:val="000B6373"/>
    <w:rsid w:val="000D0CB7"/>
    <w:rsid w:val="000F09DF"/>
    <w:rsid w:val="000F61B2"/>
    <w:rsid w:val="001075E9"/>
    <w:rsid w:val="001253D8"/>
    <w:rsid w:val="0013547F"/>
    <w:rsid w:val="0014152F"/>
    <w:rsid w:val="00142F5E"/>
    <w:rsid w:val="001446C6"/>
    <w:rsid w:val="00180183"/>
    <w:rsid w:val="0018024D"/>
    <w:rsid w:val="0018649F"/>
    <w:rsid w:val="00196389"/>
    <w:rsid w:val="001B3EF6"/>
    <w:rsid w:val="001C7A89"/>
    <w:rsid w:val="001D5C5A"/>
    <w:rsid w:val="00203065"/>
    <w:rsid w:val="002055D6"/>
    <w:rsid w:val="00224EA4"/>
    <w:rsid w:val="0028406D"/>
    <w:rsid w:val="002979E2"/>
    <w:rsid w:val="002A2EFC"/>
    <w:rsid w:val="002B74B1"/>
    <w:rsid w:val="002C0E18"/>
    <w:rsid w:val="002D2EBD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D6B66"/>
    <w:rsid w:val="00407B78"/>
    <w:rsid w:val="00424203"/>
    <w:rsid w:val="0042551A"/>
    <w:rsid w:val="00452493"/>
    <w:rsid w:val="00453318"/>
    <w:rsid w:val="00454E07"/>
    <w:rsid w:val="00472C5C"/>
    <w:rsid w:val="004F2BAD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5455C"/>
    <w:rsid w:val="00681A10"/>
    <w:rsid w:val="00691B02"/>
    <w:rsid w:val="006A16E3"/>
    <w:rsid w:val="006A1ED8"/>
    <w:rsid w:val="006B33A6"/>
    <w:rsid w:val="006C2031"/>
    <w:rsid w:val="006D461A"/>
    <w:rsid w:val="006F35EE"/>
    <w:rsid w:val="007021FF"/>
    <w:rsid w:val="00703B03"/>
    <w:rsid w:val="00703DFB"/>
    <w:rsid w:val="00712895"/>
    <w:rsid w:val="00734ACB"/>
    <w:rsid w:val="00757357"/>
    <w:rsid w:val="007804B6"/>
    <w:rsid w:val="00792497"/>
    <w:rsid w:val="00806737"/>
    <w:rsid w:val="00811570"/>
    <w:rsid w:val="00825F8D"/>
    <w:rsid w:val="00834B71"/>
    <w:rsid w:val="008369B9"/>
    <w:rsid w:val="0086445C"/>
    <w:rsid w:val="00881771"/>
    <w:rsid w:val="00894693"/>
    <w:rsid w:val="00896BA2"/>
    <w:rsid w:val="008A08D7"/>
    <w:rsid w:val="008B6909"/>
    <w:rsid w:val="008C30BC"/>
    <w:rsid w:val="00906890"/>
    <w:rsid w:val="009113F0"/>
    <w:rsid w:val="00911BE4"/>
    <w:rsid w:val="00951972"/>
    <w:rsid w:val="009608F3"/>
    <w:rsid w:val="009A24AC"/>
    <w:rsid w:val="009F1700"/>
    <w:rsid w:val="00A051B8"/>
    <w:rsid w:val="00A14DA8"/>
    <w:rsid w:val="00A21F00"/>
    <w:rsid w:val="00A312BC"/>
    <w:rsid w:val="00A84021"/>
    <w:rsid w:val="00A84D35"/>
    <w:rsid w:val="00A917B3"/>
    <w:rsid w:val="00AA5CA3"/>
    <w:rsid w:val="00AB2DBD"/>
    <w:rsid w:val="00AB4B51"/>
    <w:rsid w:val="00AC3430"/>
    <w:rsid w:val="00B10CC7"/>
    <w:rsid w:val="00B36DF7"/>
    <w:rsid w:val="00B520D9"/>
    <w:rsid w:val="00B539E7"/>
    <w:rsid w:val="00B62458"/>
    <w:rsid w:val="00B75C8A"/>
    <w:rsid w:val="00BB2DE7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87404"/>
    <w:rsid w:val="00D90028"/>
    <w:rsid w:val="00D90138"/>
    <w:rsid w:val="00DD1D1E"/>
    <w:rsid w:val="00DD44B1"/>
    <w:rsid w:val="00DD78D1"/>
    <w:rsid w:val="00DE32CD"/>
    <w:rsid w:val="00DF71B9"/>
    <w:rsid w:val="00E171E9"/>
    <w:rsid w:val="00E73F76"/>
    <w:rsid w:val="00E77A26"/>
    <w:rsid w:val="00E90403"/>
    <w:rsid w:val="00EA2C9F"/>
    <w:rsid w:val="00EA420E"/>
    <w:rsid w:val="00ED0BDA"/>
    <w:rsid w:val="00EE142A"/>
    <w:rsid w:val="00EF1360"/>
    <w:rsid w:val="00EF3220"/>
    <w:rsid w:val="00F3759F"/>
    <w:rsid w:val="00F43903"/>
    <w:rsid w:val="00F63534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2E2F68"/>
  <w15:docId w15:val="{5FA6710D-E1AA-4EE1-8013-D5BEB117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0D0CB7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0D0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E/C.12/LAO/RQ/1" TargetMode="External"/><Relationship Id="rId13" Type="http://schemas.openxmlformats.org/officeDocument/2006/relationships/hyperlink" Target="https://docs.un.org/ru/E/C.12/2025/1" TargetMode="External"/><Relationship Id="rId18" Type="http://schemas.openxmlformats.org/officeDocument/2006/relationships/hyperlink" Target="https://docs.un.org/en/E/C.12/66/5-CCPR/C/127/4" TargetMode="External"/><Relationship Id="rId26" Type="http://schemas.openxmlformats.org/officeDocument/2006/relationships/hyperlink" Target="https://docs.un.org/en/HRI/MC/2008/3" TargetMode="External"/><Relationship Id="rId3" Type="http://schemas.openxmlformats.org/officeDocument/2006/relationships/hyperlink" Target="https://docs.un.org/en/E/C.12/2025/SR.46" TargetMode="External"/><Relationship Id="rId21" Type="http://schemas.openxmlformats.org/officeDocument/2006/relationships/hyperlink" Target="https://docs.un.org/ru/E/C.12/2001/10" TargetMode="External"/><Relationship Id="rId7" Type="http://schemas.openxmlformats.org/officeDocument/2006/relationships/hyperlink" Target="https://docs.un.org/en/E/C.12/LAO/RQ/1" TargetMode="External"/><Relationship Id="rId12" Type="http://schemas.openxmlformats.org/officeDocument/2006/relationships/hyperlink" Target="https://docs.un.org/en/E/C.12/2018/1" TargetMode="External"/><Relationship Id="rId17" Type="http://schemas.openxmlformats.org/officeDocument/2006/relationships/hyperlink" Target="https://docs.un.org/ru/E/C.12/66/5" TargetMode="External"/><Relationship Id="rId25" Type="http://schemas.openxmlformats.org/officeDocument/2006/relationships/hyperlink" Target="https://docs.un.org/en/E/C.12/2019/1" TargetMode="External"/><Relationship Id="rId2" Type="http://schemas.openxmlformats.org/officeDocument/2006/relationships/hyperlink" Target="https://docs.un.org/en/E/C.12/LAO/1" TargetMode="External"/><Relationship Id="rId16" Type="http://schemas.openxmlformats.org/officeDocument/2006/relationships/hyperlink" Target="https://docs.un.org/en/E/C.12/2016/1" TargetMode="External"/><Relationship Id="rId20" Type="http://schemas.openxmlformats.org/officeDocument/2006/relationships/hyperlink" Target="https://docs.un.org/en/E/C.12/2015/1" TargetMode="External"/><Relationship Id="rId1" Type="http://schemas.openxmlformats.org/officeDocument/2006/relationships/hyperlink" Target="https://docs.un.org/en/E/C.12/LAO/1" TargetMode="External"/><Relationship Id="rId6" Type="http://schemas.openxmlformats.org/officeDocument/2006/relationships/hyperlink" Target="https://docs.un.org/en/E/C.12/2025/SR.47" TargetMode="External"/><Relationship Id="rId11" Type="http://schemas.openxmlformats.org/officeDocument/2006/relationships/hyperlink" Target="https://docs.un.org/ru/E/C.12/2018/1" TargetMode="External"/><Relationship Id="rId24" Type="http://schemas.openxmlformats.org/officeDocument/2006/relationships/hyperlink" Target="https://docs.un.org/ru/E/C.12/2019/1" TargetMode="External"/><Relationship Id="rId5" Type="http://schemas.openxmlformats.org/officeDocument/2006/relationships/hyperlink" Target="https://docs.un.org/en/E/C.12/2025/SR.46" TargetMode="External"/><Relationship Id="rId15" Type="http://schemas.openxmlformats.org/officeDocument/2006/relationships/hyperlink" Target="https://docs.un.org/ru/E/C.12/2016/1" TargetMode="External"/><Relationship Id="rId23" Type="http://schemas.openxmlformats.org/officeDocument/2006/relationships/hyperlink" Target="https://unstats.un.org/sdgs/dataportal/countryprofiles/LAO" TargetMode="External"/><Relationship Id="rId10" Type="http://schemas.openxmlformats.org/officeDocument/2006/relationships/hyperlink" Target="https://docs.un.org/en/E/C.12/2016/2" TargetMode="External"/><Relationship Id="rId19" Type="http://schemas.openxmlformats.org/officeDocument/2006/relationships/hyperlink" Target="https://docs.un.org/ru/E/C.12/2015/1" TargetMode="External"/><Relationship Id="rId4" Type="http://schemas.openxmlformats.org/officeDocument/2006/relationships/hyperlink" Target="https://docs.un.org/en/E/C.12/2025/SR.47" TargetMode="External"/><Relationship Id="rId9" Type="http://schemas.openxmlformats.org/officeDocument/2006/relationships/hyperlink" Target="https://docs.un.org/ru/E/C.12/2016/2" TargetMode="External"/><Relationship Id="rId14" Type="http://schemas.openxmlformats.org/officeDocument/2006/relationships/hyperlink" Target="https://docs.un.org/en/E/C.12/2025/1" TargetMode="External"/><Relationship Id="rId22" Type="http://schemas.openxmlformats.org/officeDocument/2006/relationships/hyperlink" Target="https://docs.un.org/en/E/C.12/2001/10" TargetMode="External"/><Relationship Id="rId27" Type="http://schemas.openxmlformats.org/officeDocument/2006/relationships/hyperlink" Target="https://docs.un.org/en/HRI/MC/2008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4</TotalTime>
  <Pages>18</Pages>
  <Words>7451</Words>
  <Characters>50071</Characters>
  <Application>Microsoft Office Word</Application>
  <DocSecurity>0</DocSecurity>
  <Lines>1137</Lines>
  <Paragraphs>317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E/C.12/LAO/CO/1</vt:lpstr>
      <vt:lpstr>A/</vt:lpstr>
      <vt:lpstr>A/</vt:lpstr>
    </vt:vector>
  </TitlesOfParts>
  <Company>DCM</Company>
  <LinksUpToDate>false</LinksUpToDate>
  <CharactersWithSpaces>57205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E/C.12/LAO/CO/1</dc:title>
  <dc:subject/>
  <dc:creator>Tatiana SHARKINA</dc:creator>
  <cp:keywords/>
  <cp:lastModifiedBy>Tatiana Sharkina</cp:lastModifiedBy>
  <cp:revision>3</cp:revision>
  <cp:lastPrinted>2025-11-14T11:23:00Z</cp:lastPrinted>
  <dcterms:created xsi:type="dcterms:W3CDTF">2025-11-14T11:23:00Z</dcterms:created>
  <dcterms:modified xsi:type="dcterms:W3CDTF">2025-11-14T11:24:00Z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