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6617"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EB747C" w:rsidRPr="0029764A">
              <w:t>MDA/Q/3</w:t>
            </w:r>
            <w:r>
              <w:br/>
            </w:r>
            <w:r w:rsidR="00EB747C">
              <w:t xml:space="preserve">17 octobre </w:t>
            </w:r>
            <w:bookmarkEnd w:id="2"/>
            <w:r>
              <w:t>200</w:t>
            </w:r>
            <w:r w:rsidR="00497CAD">
              <w:t>8</w:t>
            </w:r>
          </w:p>
          <w:p w:rsidR="00133AD6" w:rsidRDefault="00133AD6" w:rsidP="00497CAD">
            <w:pPr>
              <w:spacing w:after="120"/>
            </w:pPr>
            <w:r>
              <w:t>FRANÇAIS</w:t>
            </w:r>
            <w:r>
              <w:br/>
              <w:t>Original: ANGLAIS</w:t>
            </w:r>
          </w:p>
        </w:tc>
      </w:tr>
    </w:tbl>
    <w:p w:rsidR="00EB747C" w:rsidRDefault="00EB747C" w:rsidP="00C21308">
      <w:pPr>
        <w:spacing w:before="120" w:after="240"/>
      </w:pPr>
      <w:r>
        <w:t>COMITÉ DES DROITS DE L’ENFANT</w:t>
      </w:r>
      <w:r>
        <w:br/>
        <w:t>Cinquantième session</w:t>
      </w:r>
      <w:r>
        <w:br/>
        <w:t>12</w:t>
      </w:r>
      <w:r w:rsidR="004A4771">
        <w:noBreakHyphen/>
      </w:r>
      <w:r>
        <w:t>30 janvier 2009</w:t>
      </w:r>
    </w:p>
    <w:p w:rsidR="00EB747C" w:rsidRPr="0029764A" w:rsidRDefault="00EB747C" w:rsidP="00C21308">
      <w:pPr>
        <w:spacing w:after="240"/>
        <w:jc w:val="center"/>
        <w:rPr>
          <w:b/>
        </w:rPr>
      </w:pPr>
      <w:r w:rsidRPr="0029764A">
        <w:rPr>
          <w:b/>
        </w:rPr>
        <w:t xml:space="preserve">APPLICATION DE LA CONVENTION RELATIVE </w:t>
      </w:r>
      <w:r>
        <w:rPr>
          <w:b/>
        </w:rPr>
        <w:br/>
      </w:r>
      <w:r w:rsidRPr="0029764A">
        <w:rPr>
          <w:b/>
        </w:rPr>
        <w:t>AUX DROITS DE L’ENFANT</w:t>
      </w:r>
    </w:p>
    <w:p w:rsidR="00EB747C" w:rsidRDefault="00EB747C" w:rsidP="00C21308">
      <w:pPr>
        <w:spacing w:after="400"/>
        <w:jc w:val="center"/>
        <w:rPr>
          <w:b/>
        </w:rPr>
      </w:pPr>
      <w:r w:rsidRPr="0029764A">
        <w:rPr>
          <w:b/>
        </w:rPr>
        <w:t>Liste des points à traiter à l’occasion de l’examen des deuxième</w:t>
      </w:r>
      <w:r>
        <w:rPr>
          <w:b/>
        </w:rPr>
        <w:t xml:space="preserve"> </w:t>
      </w:r>
      <w:r w:rsidRPr="0029764A">
        <w:rPr>
          <w:b/>
        </w:rPr>
        <w:t>et troisième</w:t>
      </w:r>
      <w:r>
        <w:rPr>
          <w:b/>
        </w:rPr>
        <w:br/>
      </w:r>
      <w:r w:rsidRPr="0029764A">
        <w:rPr>
          <w:b/>
        </w:rPr>
        <w:t>rapports périodiques de la République de Moldova</w:t>
      </w:r>
      <w:r>
        <w:rPr>
          <w:b/>
        </w:rPr>
        <w:t xml:space="preserve"> (CRC/C/MDA/3)</w:t>
      </w:r>
    </w:p>
    <w:p w:rsidR="00EB747C" w:rsidRDefault="00EB747C" w:rsidP="00EB747C">
      <w:pPr>
        <w:spacing w:after="240"/>
        <w:ind w:firstLine="567"/>
        <w:rPr>
          <w:b/>
        </w:rPr>
      </w:pPr>
      <w:r>
        <w:rPr>
          <w:b/>
        </w:rPr>
        <w:t>Sous cette rubrique, l’</w:t>
      </w:r>
      <w:r w:rsidRPr="0029764A">
        <w:rPr>
          <w:rFonts w:eastAsia="MS Mincho"/>
          <w:b/>
        </w:rPr>
        <w:t>État partie</w:t>
      </w:r>
      <w:r>
        <w:rPr>
          <w:b/>
        </w:rPr>
        <w:t xml:space="preserve"> est invité à communiquer </w:t>
      </w:r>
      <w:r w:rsidRPr="00EB747C">
        <w:rPr>
          <w:b/>
          <w:u w:val="single"/>
        </w:rPr>
        <w:t>par écrit</w:t>
      </w:r>
      <w:r>
        <w:rPr>
          <w:b/>
        </w:rPr>
        <w:t xml:space="preserve"> des renseignements supplémentaires et à jour, si possible avant le </w:t>
      </w:r>
      <w:r w:rsidRPr="00EB747C">
        <w:rPr>
          <w:b/>
          <w:u w:val="single"/>
        </w:rPr>
        <w:t>24 novembre 2008</w:t>
      </w:r>
    </w:p>
    <w:p w:rsidR="00EB747C" w:rsidRDefault="00EB747C" w:rsidP="00CE49B3">
      <w:pPr>
        <w:keepNext/>
        <w:spacing w:after="240"/>
        <w:jc w:val="center"/>
        <w:rPr>
          <w:b/>
        </w:rPr>
      </w:pPr>
      <w:r>
        <w:rPr>
          <w:b/>
        </w:rPr>
        <w:t>PREMIÈRE PARTIE</w:t>
      </w:r>
    </w:p>
    <w:p w:rsidR="00EB747C" w:rsidRDefault="00EB747C" w:rsidP="00B45562">
      <w:pPr>
        <w:spacing w:after="240"/>
        <w:ind w:left="567" w:hanging="567"/>
      </w:pPr>
      <w:r>
        <w:t>1.</w:t>
      </w:r>
      <w:r>
        <w:tab/>
      </w:r>
      <w:r w:rsidR="00B45562">
        <w:t>Fournir des informations succinctes et à jour</w:t>
      </w:r>
      <w:r>
        <w:t xml:space="preserve"> sur le Ministère de la protection sociale, de la famille et de l’enfance (créé en 2007), et en particulier sur son mandat, sa composition, ses</w:t>
      </w:r>
      <w:r w:rsidR="00CD39C0">
        <w:t> </w:t>
      </w:r>
      <w:r>
        <w:t>activités, ses ressources financières et humaines et sur sa coordination avec d’autres organes chargés de la protection des droits de l’enfant, notamment le Conseil national de la</w:t>
      </w:r>
      <w:r w:rsidR="00CD39C0">
        <w:t> </w:t>
      </w:r>
      <w:r>
        <w:t>protection des droits de l’enfant.</w:t>
      </w:r>
    </w:p>
    <w:p w:rsidR="00EB747C" w:rsidRDefault="00EB747C" w:rsidP="00B45562">
      <w:pPr>
        <w:spacing w:after="240"/>
        <w:ind w:left="567" w:hanging="567"/>
      </w:pPr>
      <w:r>
        <w:t>2.</w:t>
      </w:r>
      <w:r>
        <w:tab/>
        <w:t>Fournir davantage de précisions sur les dispositions du Code de la famille et du Code civil mentionnées au paragraphe 4 du rapport de l’</w:t>
      </w:r>
      <w:r>
        <w:rPr>
          <w:rFonts w:eastAsia="MS Mincho"/>
        </w:rPr>
        <w:t>État partie</w:t>
      </w:r>
      <w:r>
        <w:t xml:space="preserve"> qui ont été modifiées en vue d’y incorporer les dispositions de la Convention.</w:t>
      </w:r>
    </w:p>
    <w:p w:rsidR="00EB747C" w:rsidRDefault="00EB747C" w:rsidP="00B45562">
      <w:pPr>
        <w:spacing w:after="240"/>
        <w:ind w:left="567" w:hanging="567"/>
      </w:pPr>
      <w:r>
        <w:t>3.</w:t>
      </w:r>
      <w:r>
        <w:tab/>
        <w:t>Indiquer si la Convention relative aux droits de l’enfant a déjà été directement invoquée ou mentionnée devant les tribunaux nationaux et, dans l’affirmative, donner des exemples.</w:t>
      </w:r>
    </w:p>
    <w:p w:rsidR="00EB747C" w:rsidRDefault="00EB747C" w:rsidP="00B45562">
      <w:pPr>
        <w:spacing w:after="240"/>
        <w:ind w:left="567" w:hanging="567"/>
        <w:rPr>
          <w:rFonts w:eastAsia="MS Mincho"/>
        </w:rPr>
      </w:pPr>
      <w:r>
        <w:t>4.</w:t>
      </w:r>
      <w:r>
        <w:tab/>
        <w:t xml:space="preserve">Fournir des informations succinctes sur le </w:t>
      </w:r>
      <w:r w:rsidR="00B45562">
        <w:t>P</w:t>
      </w:r>
      <w:r>
        <w:t>lan national visant à prévenir et comb</w:t>
      </w:r>
      <w:r w:rsidR="00B45562">
        <w:t>attre la traite d’êtres humains mentionné</w:t>
      </w:r>
      <w:r>
        <w:t xml:space="preserve"> au paragraphe 39 du rapport de l’</w:t>
      </w:r>
      <w:r>
        <w:rPr>
          <w:rFonts w:eastAsia="MS Mincho"/>
        </w:rPr>
        <w:t>État partie.</w:t>
      </w:r>
    </w:p>
    <w:p w:rsidR="00EB747C" w:rsidRDefault="00EB747C" w:rsidP="00B45562">
      <w:pPr>
        <w:spacing w:after="240"/>
        <w:ind w:left="567" w:hanging="567"/>
        <w:rPr>
          <w:rFonts w:eastAsia="MS Mincho"/>
        </w:rPr>
      </w:pPr>
      <w:r>
        <w:rPr>
          <w:rFonts w:eastAsia="MS Mincho"/>
        </w:rPr>
        <w:t>5.</w:t>
      </w:r>
      <w:r>
        <w:rPr>
          <w:rFonts w:eastAsia="MS Mincho"/>
        </w:rPr>
        <w:tab/>
        <w:t>Exposer succinctement, y compris, si possible, à l’aide d’exemples, la coopération entre l’</w:t>
      </w:r>
      <w:r w:rsidRPr="0029764A">
        <w:rPr>
          <w:rFonts w:eastAsia="MS Mincho"/>
        </w:rPr>
        <w:t>État partie</w:t>
      </w:r>
      <w:r>
        <w:rPr>
          <w:rFonts w:eastAsia="MS Mincho"/>
        </w:rPr>
        <w:t xml:space="preserve"> et la société civile dans le domaine des droits de l’enfant.</w:t>
      </w:r>
    </w:p>
    <w:p w:rsidR="00EB747C" w:rsidRDefault="00EB747C" w:rsidP="00B45562">
      <w:pPr>
        <w:spacing w:after="240"/>
        <w:ind w:left="567" w:hanging="567"/>
        <w:rPr>
          <w:rFonts w:eastAsia="MS Mincho"/>
        </w:rPr>
      </w:pPr>
      <w:r>
        <w:rPr>
          <w:rFonts w:eastAsia="MS Mincho"/>
        </w:rPr>
        <w:t>6.</w:t>
      </w:r>
      <w:r>
        <w:rPr>
          <w:rFonts w:eastAsia="MS Mincho"/>
        </w:rPr>
        <w:tab/>
        <w:t xml:space="preserve">Indiquer quelles sont les questions touchant les enfants </w:t>
      </w:r>
      <w:r w:rsidR="00B45562">
        <w:rPr>
          <w:rFonts w:eastAsia="MS Mincho"/>
        </w:rPr>
        <w:t>dont</w:t>
      </w:r>
      <w:r>
        <w:rPr>
          <w:rFonts w:eastAsia="MS Mincho"/>
        </w:rPr>
        <w:t xml:space="preserve"> l’</w:t>
      </w:r>
      <w:r w:rsidRPr="0029764A">
        <w:rPr>
          <w:rFonts w:eastAsia="MS Mincho"/>
        </w:rPr>
        <w:t>État partie</w:t>
      </w:r>
      <w:r>
        <w:rPr>
          <w:rFonts w:eastAsia="MS Mincho"/>
        </w:rPr>
        <w:t xml:space="preserve"> </w:t>
      </w:r>
      <w:r w:rsidR="00B45562">
        <w:rPr>
          <w:rFonts w:eastAsia="MS Mincho"/>
        </w:rPr>
        <w:t>estime qu’elles constituent les priorités les plus urgentes</w:t>
      </w:r>
      <w:r>
        <w:rPr>
          <w:rFonts w:eastAsia="MS Mincho"/>
        </w:rPr>
        <w:t xml:space="preserve"> dans l’optique de l’application de la Convention.</w:t>
      </w:r>
    </w:p>
    <w:p w:rsidR="00EB747C" w:rsidRDefault="00EB747C" w:rsidP="00CE49B3">
      <w:pPr>
        <w:keepNext/>
        <w:spacing w:after="240"/>
        <w:jc w:val="center"/>
        <w:rPr>
          <w:rFonts w:eastAsia="MS Mincho"/>
          <w:b/>
        </w:rPr>
      </w:pPr>
      <w:r w:rsidRPr="0029764A">
        <w:rPr>
          <w:rFonts w:eastAsia="MS Mincho"/>
          <w:b/>
        </w:rPr>
        <w:t>DEUXIÈME PARTIE</w:t>
      </w:r>
    </w:p>
    <w:p w:rsidR="00EB747C" w:rsidRPr="00A762DF" w:rsidRDefault="00EB747C" w:rsidP="00EB747C">
      <w:pPr>
        <w:spacing w:after="240"/>
        <w:ind w:firstLine="567"/>
        <w:rPr>
          <w:rFonts w:eastAsia="MS Mincho"/>
        </w:rPr>
      </w:pPr>
      <w:r w:rsidRPr="00A762DF">
        <w:rPr>
          <w:rFonts w:eastAsia="MS Mincho"/>
        </w:rPr>
        <w:t>Sous cette rubrique, l’État partie est invité à mettre à jour brièvement (en trois pages au maximum) les renseignements fournis dans son rapport en ce qui concerne:</w:t>
      </w:r>
    </w:p>
    <w:p w:rsidR="00EB747C" w:rsidRDefault="00EB747C" w:rsidP="008C15BE">
      <w:pPr>
        <w:numPr>
          <w:ilvl w:val="0"/>
          <w:numId w:val="1"/>
        </w:numPr>
        <w:tabs>
          <w:tab w:val="clear" w:pos="567"/>
        </w:tabs>
        <w:spacing w:after="240"/>
        <w:ind w:left="567" w:firstLine="0"/>
      </w:pPr>
      <w:r w:rsidRPr="00A762DF">
        <w:t>Les nouveaux projets ou textes de loi;</w:t>
      </w:r>
    </w:p>
    <w:p w:rsidR="00EB747C" w:rsidRDefault="00EB747C" w:rsidP="008C15BE">
      <w:pPr>
        <w:numPr>
          <w:ilvl w:val="0"/>
          <w:numId w:val="1"/>
        </w:numPr>
        <w:tabs>
          <w:tab w:val="clear" w:pos="567"/>
        </w:tabs>
        <w:spacing w:after="240"/>
        <w:ind w:left="567" w:firstLine="0"/>
      </w:pPr>
      <w:r>
        <w:t>Les nouvelles institutions;</w:t>
      </w:r>
    </w:p>
    <w:p w:rsidR="00EB747C" w:rsidRDefault="00CD39C0" w:rsidP="008C15BE">
      <w:pPr>
        <w:numPr>
          <w:ilvl w:val="0"/>
          <w:numId w:val="1"/>
        </w:numPr>
        <w:tabs>
          <w:tab w:val="clear" w:pos="567"/>
        </w:tabs>
        <w:spacing w:after="240"/>
        <w:ind w:left="567" w:firstLine="0"/>
      </w:pPr>
      <w:r>
        <w:t>Les politiques</w:t>
      </w:r>
      <w:r w:rsidR="00EB747C">
        <w:t xml:space="preserve"> mises en œuvre</w:t>
      </w:r>
      <w:r w:rsidR="00B45562">
        <w:t xml:space="preserve"> récemment</w:t>
      </w:r>
      <w:r w:rsidR="00EB747C">
        <w:t>; et</w:t>
      </w:r>
    </w:p>
    <w:p w:rsidR="00EB747C" w:rsidRDefault="00EB747C" w:rsidP="008C15BE">
      <w:pPr>
        <w:numPr>
          <w:ilvl w:val="0"/>
          <w:numId w:val="1"/>
        </w:numPr>
        <w:tabs>
          <w:tab w:val="clear" w:pos="567"/>
        </w:tabs>
        <w:spacing w:after="240"/>
        <w:ind w:left="567" w:firstLine="0"/>
      </w:pPr>
      <w:r>
        <w:t>Les programmes et projets récemment mis en route</w:t>
      </w:r>
      <w:r w:rsidR="00B45562">
        <w:t xml:space="preserve"> et leur portée.</w:t>
      </w:r>
    </w:p>
    <w:p w:rsidR="00EB747C" w:rsidRDefault="00EB747C" w:rsidP="00CE49B3">
      <w:pPr>
        <w:keepNext/>
        <w:spacing w:after="240"/>
        <w:jc w:val="center"/>
        <w:rPr>
          <w:b/>
        </w:rPr>
      </w:pPr>
      <w:r>
        <w:rPr>
          <w:b/>
        </w:rPr>
        <w:t>TROISIÈME PARTIE</w:t>
      </w:r>
    </w:p>
    <w:p w:rsidR="00EB747C" w:rsidRDefault="00EB747C" w:rsidP="00CE49B3">
      <w:pPr>
        <w:keepNext/>
        <w:spacing w:after="240"/>
        <w:jc w:val="center"/>
        <w:rPr>
          <w:b/>
        </w:rPr>
      </w:pPr>
      <w:r>
        <w:rPr>
          <w:b/>
        </w:rPr>
        <w:t>Données et statistiques, si disponibles</w:t>
      </w:r>
    </w:p>
    <w:p w:rsidR="00EB747C" w:rsidRDefault="00EB747C" w:rsidP="00B45562">
      <w:pPr>
        <w:spacing w:after="240"/>
        <w:ind w:left="567" w:hanging="567"/>
      </w:pPr>
      <w:r>
        <w:t>1.</w:t>
      </w:r>
      <w:r>
        <w:tab/>
        <w:t>À la lumière de l’article 4 de la Convention, fournir pour les années 2006, 2007 et 2008 des données ventilées sur les crédits budgétaires (</w:t>
      </w:r>
      <w:r w:rsidR="00B45562">
        <w:t>y compris</w:t>
      </w:r>
      <w:r>
        <w:t xml:space="preserve"> l’analyse de </w:t>
      </w:r>
      <w:r w:rsidR="00B45562">
        <w:t>leur évolution</w:t>
      </w:r>
      <w:r>
        <w:t xml:space="preserve">) alloués à </w:t>
      </w:r>
      <w:r w:rsidR="00CD39C0">
        <w:t>l’application de la Convention</w:t>
      </w:r>
      <w:r w:rsidR="00B45562">
        <w:t xml:space="preserve"> </w:t>
      </w:r>
      <w:r w:rsidR="005D443A">
        <w:t xml:space="preserve">dans les domaines de </w:t>
      </w:r>
      <w:r w:rsidR="00B45562">
        <w:t>l’éducation et de la santé.</w:t>
      </w:r>
    </w:p>
    <w:p w:rsidR="00EB747C" w:rsidRDefault="00EB747C" w:rsidP="00B45562">
      <w:pPr>
        <w:spacing w:after="240"/>
        <w:ind w:left="567" w:hanging="567"/>
      </w:pPr>
      <w:r>
        <w:t>2.</w:t>
      </w:r>
      <w:r>
        <w:tab/>
        <w:t>S’agissant de la maltraitance et d</w:t>
      </w:r>
      <w:r w:rsidR="005D443A">
        <w:t>u</w:t>
      </w:r>
      <w:r>
        <w:t xml:space="preserve"> </w:t>
      </w:r>
      <w:r w:rsidR="005D443A">
        <w:t>délaissement, fournir</w:t>
      </w:r>
      <w:r w:rsidR="00CD39C0">
        <w:t>,</w:t>
      </w:r>
      <w:r>
        <w:t xml:space="preserve"> pour les années 2005, 2006 et 2007, des données ventilées (par âge, sexe et type d’infraction signalé</w:t>
      </w:r>
      <w:r w:rsidR="005D443A">
        <w:t>e</w:t>
      </w:r>
      <w:r>
        <w:t>) sur:</w:t>
      </w:r>
    </w:p>
    <w:p w:rsidR="00EB747C" w:rsidRDefault="00EB747C" w:rsidP="00EB747C">
      <w:pPr>
        <w:spacing w:after="240"/>
        <w:ind w:firstLine="567"/>
      </w:pPr>
      <w:r>
        <w:t>a)</w:t>
      </w:r>
      <w:r>
        <w:tab/>
        <w:t>Le nombre de cas de maltraitance signalés;</w:t>
      </w:r>
    </w:p>
    <w:p w:rsidR="00EB747C" w:rsidRDefault="00EB747C" w:rsidP="005D443A">
      <w:pPr>
        <w:spacing w:after="240"/>
        <w:ind w:left="1134" w:hanging="567"/>
      </w:pPr>
      <w:r>
        <w:t>b)</w:t>
      </w:r>
      <w:r>
        <w:tab/>
        <w:t xml:space="preserve">Le nombre et le pourcentage de signalements qui ont donné lieu à une décision de justice ou qui ont eu d’autres suites, notamment l’engagement de poursuites; </w:t>
      </w:r>
    </w:p>
    <w:p w:rsidR="00EB747C" w:rsidRDefault="00EB747C" w:rsidP="005D443A">
      <w:pPr>
        <w:spacing w:after="240"/>
        <w:ind w:left="1134" w:hanging="567"/>
      </w:pPr>
      <w:r>
        <w:t>c)</w:t>
      </w:r>
      <w:r>
        <w:tab/>
        <w:t xml:space="preserve">Le nombre et la proportion d’enfants victimes qui ont </w:t>
      </w:r>
      <w:r w:rsidR="005D443A">
        <w:t xml:space="preserve">bénéficié de conseils et d’une aide à la </w:t>
      </w:r>
      <w:r>
        <w:t>réadaptation.</w:t>
      </w:r>
    </w:p>
    <w:p w:rsidR="00EB747C" w:rsidRDefault="00EB747C" w:rsidP="005D443A">
      <w:pPr>
        <w:spacing w:after="240"/>
        <w:ind w:left="567" w:hanging="567"/>
      </w:pPr>
      <w:r>
        <w:t>3.</w:t>
      </w:r>
      <w:r>
        <w:tab/>
        <w:t>Concernant la santé des adolescents, fournir pour les années 2005, 2006 et 2007, des données (ventilées par sexe, tranche d’âge et, si possible, zone urbaine ou rurale) sur les</w:t>
      </w:r>
      <w:r w:rsidR="00CE49B3">
        <w:t xml:space="preserve"> </w:t>
      </w:r>
      <w:r>
        <w:t xml:space="preserve">grossesses précoces, les infections sexuellement transmissibles, </w:t>
      </w:r>
      <w:r w:rsidR="005D443A">
        <w:t>l’abus</w:t>
      </w:r>
      <w:r>
        <w:t xml:space="preserve"> de drogues, d’alcool, de tabac et d’autres substances</w:t>
      </w:r>
      <w:r w:rsidR="005D443A">
        <w:t xml:space="preserve"> toxiques</w:t>
      </w:r>
      <w:r>
        <w:t>, les suicides et les autres problèmes de</w:t>
      </w:r>
      <w:r w:rsidR="00CE49B3">
        <w:t> </w:t>
      </w:r>
      <w:r>
        <w:t>santé mentale.</w:t>
      </w:r>
    </w:p>
    <w:p w:rsidR="00EB747C" w:rsidRDefault="00EB747C" w:rsidP="005D443A">
      <w:pPr>
        <w:spacing w:after="240"/>
        <w:ind w:left="567" w:hanging="567"/>
      </w:pPr>
      <w:r>
        <w:t>4.</w:t>
      </w:r>
      <w:r>
        <w:tab/>
        <w:t>Préciser les critères utilisés pour déterminer le seuil de pauvreté et indiquer le nombre d’enfants vivant en deçà de ce seuil, en particulier dans les groupes minoritaires, notamment les Roms et les personnes habitant dans des régions reculées.</w:t>
      </w:r>
    </w:p>
    <w:p w:rsidR="00EB747C" w:rsidRDefault="00EB747C" w:rsidP="005D443A">
      <w:pPr>
        <w:spacing w:after="240"/>
        <w:ind w:left="567" w:hanging="567"/>
      </w:pPr>
      <w:r>
        <w:t>5.</w:t>
      </w:r>
      <w:r>
        <w:tab/>
        <w:t>Fournir</w:t>
      </w:r>
      <w:r w:rsidR="005D443A">
        <w:t>, pour les</w:t>
      </w:r>
      <w:r>
        <w:t xml:space="preserve"> </w:t>
      </w:r>
      <w:r w:rsidR="005D443A">
        <w:t xml:space="preserve">trois dernières années, </w:t>
      </w:r>
      <w:r>
        <w:t xml:space="preserve">des données concernant le nombre d’enfants victimes d’exploitation sexuelle (prostitution, pornographie et traite) et le nombre de ceux qui ont bénéficié de services </w:t>
      </w:r>
      <w:r w:rsidR="005D443A">
        <w:t>de réadaptation</w:t>
      </w:r>
      <w:r>
        <w:t xml:space="preserve"> et de réinsertion</w:t>
      </w:r>
      <w:r w:rsidR="005D443A">
        <w:t xml:space="preserve"> sociale</w:t>
      </w:r>
      <w:r>
        <w:t>.</w:t>
      </w:r>
    </w:p>
    <w:p w:rsidR="00EB747C" w:rsidRDefault="00EB747C" w:rsidP="005D443A">
      <w:pPr>
        <w:keepNext/>
        <w:spacing w:after="240"/>
        <w:jc w:val="center"/>
        <w:rPr>
          <w:b/>
        </w:rPr>
      </w:pPr>
      <w:r>
        <w:rPr>
          <w:b/>
        </w:rPr>
        <w:t>QUATRIÈME PARTIE</w:t>
      </w:r>
    </w:p>
    <w:p w:rsidR="00EB747C" w:rsidRDefault="00EB747C" w:rsidP="00EB747C">
      <w:pPr>
        <w:spacing w:after="240"/>
        <w:ind w:firstLine="567"/>
        <w:rPr>
          <w:rFonts w:eastAsia="MS Mincho"/>
          <w:b/>
        </w:rPr>
      </w:pPr>
      <w:r>
        <w:rPr>
          <w:b/>
        </w:rPr>
        <w:t>On trouvera ci</w:t>
      </w:r>
      <w:r w:rsidR="004A4771">
        <w:rPr>
          <w:b/>
        </w:rPr>
        <w:noBreakHyphen/>
      </w:r>
      <w:r>
        <w:rPr>
          <w:b/>
        </w:rPr>
        <w:t>après une liste préliminaire des principales questions (en dehors des</w:t>
      </w:r>
      <w:r w:rsidR="008D1692">
        <w:rPr>
          <w:b/>
        </w:rPr>
        <w:t xml:space="preserve"> </w:t>
      </w:r>
      <w:r>
        <w:rPr>
          <w:b/>
        </w:rPr>
        <w:t>questions déjà couvertes dans la première partie) que le Comité a l’intention d’aborder dans le cadre du dialogue avec l’</w:t>
      </w:r>
      <w:r w:rsidRPr="00A74E36">
        <w:rPr>
          <w:rFonts w:eastAsia="MS Mincho"/>
          <w:b/>
        </w:rPr>
        <w:t>État partie</w:t>
      </w:r>
      <w:r>
        <w:rPr>
          <w:rFonts w:eastAsia="MS Mincho"/>
          <w:b/>
        </w:rPr>
        <w:t xml:space="preserve">. </w:t>
      </w:r>
      <w:r w:rsidRPr="00A74E36">
        <w:rPr>
          <w:rFonts w:eastAsia="MS Mincho"/>
          <w:b/>
          <w:u w:val="single"/>
        </w:rPr>
        <w:t>Elle</w:t>
      </w:r>
      <w:r w:rsidR="005D443A">
        <w:rPr>
          <w:rFonts w:eastAsia="MS Mincho"/>
          <w:b/>
          <w:u w:val="single"/>
        </w:rPr>
        <w:t>s</w:t>
      </w:r>
      <w:r w:rsidRPr="00A74E36">
        <w:rPr>
          <w:rFonts w:eastAsia="MS Mincho"/>
          <w:b/>
          <w:u w:val="single"/>
        </w:rPr>
        <w:t xml:space="preserve"> n’appelle</w:t>
      </w:r>
      <w:r w:rsidR="005D443A">
        <w:rPr>
          <w:rFonts w:eastAsia="MS Mincho"/>
          <w:b/>
          <w:u w:val="single"/>
        </w:rPr>
        <w:t>nt</w:t>
      </w:r>
      <w:r w:rsidRPr="00A74E36">
        <w:rPr>
          <w:rFonts w:eastAsia="MS Mincho"/>
          <w:b/>
          <w:u w:val="single"/>
        </w:rPr>
        <w:t xml:space="preserve"> pas de réponses écrites</w:t>
      </w:r>
      <w:r w:rsidRPr="00CE49B3">
        <w:rPr>
          <w:rFonts w:eastAsia="MS Mincho"/>
          <w:b/>
          <w:u w:val="single"/>
        </w:rPr>
        <w:t>.</w:t>
      </w:r>
      <w:r>
        <w:rPr>
          <w:rFonts w:eastAsia="MS Mincho"/>
          <w:b/>
        </w:rPr>
        <w:t xml:space="preserve"> Cette</w:t>
      </w:r>
      <w:r w:rsidR="00CE49B3">
        <w:rPr>
          <w:rFonts w:eastAsia="MS Mincho"/>
          <w:b/>
        </w:rPr>
        <w:t> </w:t>
      </w:r>
      <w:r>
        <w:rPr>
          <w:rFonts w:eastAsia="MS Mincho"/>
          <w:b/>
        </w:rPr>
        <w:t>liste n’est pas exhaustive et d’autres questions pourraient être posées au cours du dialogue.</w:t>
      </w:r>
    </w:p>
    <w:p w:rsidR="00EB747C" w:rsidRDefault="005D443A" w:rsidP="005D443A">
      <w:pPr>
        <w:spacing w:after="240"/>
        <w:ind w:left="567" w:hanging="567"/>
        <w:rPr>
          <w:rFonts w:eastAsia="MS Mincho"/>
        </w:rPr>
      </w:pPr>
      <w:r>
        <w:rPr>
          <w:rFonts w:eastAsia="MS Mincho"/>
        </w:rPr>
        <w:t>1.</w:t>
      </w:r>
      <w:r>
        <w:rPr>
          <w:rFonts w:eastAsia="MS Mincho"/>
        </w:rPr>
        <w:tab/>
        <w:t>La s</w:t>
      </w:r>
      <w:r w:rsidR="00EB747C">
        <w:rPr>
          <w:rFonts w:eastAsia="MS Mincho"/>
        </w:rPr>
        <w:t>tratégie de l’</w:t>
      </w:r>
      <w:r w:rsidR="00EB747C" w:rsidRPr="00A74E36">
        <w:rPr>
          <w:rFonts w:eastAsia="MS Mincho"/>
        </w:rPr>
        <w:t>État partie</w:t>
      </w:r>
      <w:r w:rsidR="00EB747C">
        <w:rPr>
          <w:rFonts w:eastAsia="MS Mincho"/>
        </w:rPr>
        <w:t xml:space="preserve"> visant à améliorer sensiblement l’application générale de la</w:t>
      </w:r>
      <w:r w:rsidR="00CE49B3">
        <w:rPr>
          <w:rFonts w:eastAsia="MS Mincho"/>
        </w:rPr>
        <w:t> </w:t>
      </w:r>
      <w:r w:rsidR="00EB747C">
        <w:rPr>
          <w:rFonts w:eastAsia="MS Mincho"/>
        </w:rPr>
        <w:t>Convention (Stratégie nationale relative à la protection de l’enfance et de la famille), une</w:t>
      </w:r>
      <w:r w:rsidR="00CE49B3">
        <w:rPr>
          <w:rFonts w:eastAsia="MS Mincho"/>
        </w:rPr>
        <w:t> </w:t>
      </w:r>
      <w:r w:rsidR="00EB747C">
        <w:rPr>
          <w:rFonts w:eastAsia="MS Mincho"/>
        </w:rPr>
        <w:t>attention particulière étant accordée aux principes généraux de la Convention, et</w:t>
      </w:r>
      <w:r w:rsidR="00CE49B3">
        <w:rPr>
          <w:rFonts w:eastAsia="MS Mincho"/>
        </w:rPr>
        <w:t> </w:t>
      </w:r>
      <w:r w:rsidR="00EB747C">
        <w:rPr>
          <w:rFonts w:eastAsia="MS Mincho"/>
        </w:rPr>
        <w:t xml:space="preserve">notamment </w:t>
      </w:r>
      <w:r>
        <w:rPr>
          <w:rFonts w:eastAsia="MS Mincho"/>
        </w:rPr>
        <w:t>à</w:t>
      </w:r>
      <w:r w:rsidR="00EB747C">
        <w:rPr>
          <w:rFonts w:eastAsia="MS Mincho"/>
        </w:rPr>
        <w:t xml:space="preserve"> </w:t>
      </w:r>
      <w:r>
        <w:rPr>
          <w:rFonts w:eastAsia="MS Mincho"/>
        </w:rPr>
        <w:t>l’</w:t>
      </w:r>
      <w:r w:rsidR="00EB747C">
        <w:rPr>
          <w:rFonts w:eastAsia="MS Mincho"/>
        </w:rPr>
        <w:t xml:space="preserve">article 3 (intérêt </w:t>
      </w:r>
      <w:r>
        <w:rPr>
          <w:rFonts w:eastAsia="MS Mincho"/>
        </w:rPr>
        <w:t>supérieur</w:t>
      </w:r>
      <w:r w:rsidR="00EB747C">
        <w:rPr>
          <w:rFonts w:eastAsia="MS Mincho"/>
        </w:rPr>
        <w:t xml:space="preserve"> de l’enfant) et </w:t>
      </w:r>
      <w:r>
        <w:rPr>
          <w:rFonts w:eastAsia="MS Mincho"/>
        </w:rPr>
        <w:t xml:space="preserve">à l’article </w:t>
      </w:r>
      <w:r w:rsidR="00EB747C">
        <w:rPr>
          <w:rFonts w:eastAsia="MS Mincho"/>
        </w:rPr>
        <w:t xml:space="preserve">12 (prise en </w:t>
      </w:r>
      <w:r>
        <w:rPr>
          <w:rFonts w:eastAsia="MS Mincho"/>
        </w:rPr>
        <w:t>considération</w:t>
      </w:r>
      <w:r w:rsidR="00EB747C">
        <w:rPr>
          <w:rFonts w:eastAsia="MS Mincho"/>
        </w:rPr>
        <w:t xml:space="preserve"> des opinions de l’enfant).</w:t>
      </w:r>
    </w:p>
    <w:p w:rsidR="00EB747C" w:rsidRDefault="00EB747C" w:rsidP="005D443A">
      <w:pPr>
        <w:spacing w:after="240"/>
        <w:ind w:left="567" w:hanging="567"/>
        <w:rPr>
          <w:rFonts w:eastAsia="MS Mincho"/>
        </w:rPr>
      </w:pPr>
      <w:r>
        <w:rPr>
          <w:rFonts w:eastAsia="MS Mincho"/>
        </w:rPr>
        <w:t>2.</w:t>
      </w:r>
      <w:r>
        <w:rPr>
          <w:rFonts w:eastAsia="MS Mincho"/>
        </w:rPr>
        <w:tab/>
      </w:r>
      <w:r w:rsidR="009D19BE">
        <w:rPr>
          <w:rFonts w:eastAsia="MS Mincho"/>
        </w:rPr>
        <w:t>Les d</w:t>
      </w:r>
      <w:r>
        <w:rPr>
          <w:rFonts w:eastAsia="MS Mincho"/>
        </w:rPr>
        <w:t xml:space="preserve">roits civils et </w:t>
      </w:r>
      <w:r w:rsidR="009D19BE">
        <w:rPr>
          <w:rFonts w:eastAsia="MS Mincho"/>
        </w:rPr>
        <w:t xml:space="preserve">les </w:t>
      </w:r>
      <w:r>
        <w:rPr>
          <w:rFonts w:eastAsia="MS Mincho"/>
        </w:rPr>
        <w:t>liberté</w:t>
      </w:r>
      <w:r w:rsidR="009D19BE">
        <w:rPr>
          <w:rFonts w:eastAsia="MS Mincho"/>
        </w:rPr>
        <w:t>s</w:t>
      </w:r>
      <w:r>
        <w:rPr>
          <w:rFonts w:eastAsia="MS Mincho"/>
        </w:rPr>
        <w:t>.</w:t>
      </w:r>
    </w:p>
    <w:p w:rsidR="00EB747C" w:rsidRDefault="00EB747C" w:rsidP="005D443A">
      <w:pPr>
        <w:spacing w:after="240"/>
        <w:ind w:left="567" w:hanging="567"/>
        <w:rPr>
          <w:rFonts w:eastAsia="MS Mincho"/>
        </w:rPr>
      </w:pPr>
      <w:r>
        <w:rPr>
          <w:rFonts w:eastAsia="MS Mincho"/>
        </w:rPr>
        <w:t>3.</w:t>
      </w:r>
      <w:r>
        <w:rPr>
          <w:rFonts w:eastAsia="MS Mincho"/>
        </w:rPr>
        <w:tab/>
      </w:r>
      <w:r w:rsidR="009D19BE">
        <w:rPr>
          <w:rFonts w:eastAsia="MS Mincho"/>
        </w:rPr>
        <w:t>Les e</w:t>
      </w:r>
      <w:r>
        <w:rPr>
          <w:rFonts w:eastAsia="MS Mincho"/>
        </w:rPr>
        <w:t>nfants privés d</w:t>
      </w:r>
      <w:r w:rsidR="009D19BE">
        <w:rPr>
          <w:rFonts w:eastAsia="MS Mincho"/>
        </w:rPr>
        <w:t>e</w:t>
      </w:r>
      <w:r>
        <w:rPr>
          <w:rFonts w:eastAsia="MS Mincho"/>
        </w:rPr>
        <w:t xml:space="preserve"> </w:t>
      </w:r>
      <w:r w:rsidR="009D19BE">
        <w:rPr>
          <w:rFonts w:eastAsia="MS Mincho"/>
        </w:rPr>
        <w:t>milieu</w:t>
      </w:r>
      <w:r>
        <w:rPr>
          <w:rFonts w:eastAsia="MS Mincho"/>
        </w:rPr>
        <w:t xml:space="preserve"> familial (</w:t>
      </w:r>
      <w:r w:rsidR="009D19BE">
        <w:rPr>
          <w:rFonts w:eastAsia="MS Mincho"/>
        </w:rPr>
        <w:t xml:space="preserve">la </w:t>
      </w:r>
      <w:r>
        <w:rPr>
          <w:rFonts w:eastAsia="MS Mincho"/>
        </w:rPr>
        <w:t xml:space="preserve">protection de remplacement, </w:t>
      </w:r>
      <w:r w:rsidR="009D19BE">
        <w:rPr>
          <w:rFonts w:eastAsia="MS Mincho"/>
        </w:rPr>
        <w:t>notamment la situation d</w:t>
      </w:r>
      <w:r>
        <w:rPr>
          <w:rFonts w:eastAsia="MS Mincho"/>
        </w:rPr>
        <w:t xml:space="preserve">es enfants quittant le système des institutions et </w:t>
      </w:r>
      <w:r w:rsidR="009D19BE">
        <w:rPr>
          <w:rFonts w:eastAsia="MS Mincho"/>
        </w:rPr>
        <w:t>des enfants t</w:t>
      </w:r>
      <w:r>
        <w:rPr>
          <w:rFonts w:eastAsia="MS Mincho"/>
        </w:rPr>
        <w:t>ouchés par le phénomène migratoire).</w:t>
      </w:r>
    </w:p>
    <w:p w:rsidR="00EB747C" w:rsidRDefault="00EB747C" w:rsidP="005D443A">
      <w:pPr>
        <w:spacing w:after="240"/>
        <w:ind w:left="567" w:hanging="567"/>
        <w:rPr>
          <w:rFonts w:eastAsia="MS Mincho"/>
        </w:rPr>
      </w:pPr>
      <w:r>
        <w:rPr>
          <w:rFonts w:eastAsia="MS Mincho"/>
        </w:rPr>
        <w:t>4.</w:t>
      </w:r>
      <w:r>
        <w:rPr>
          <w:rFonts w:eastAsia="MS Mincho"/>
        </w:rPr>
        <w:tab/>
      </w:r>
      <w:r w:rsidR="009D19BE">
        <w:rPr>
          <w:rFonts w:eastAsia="MS Mincho"/>
        </w:rPr>
        <w:t>La v</w:t>
      </w:r>
      <w:r>
        <w:rPr>
          <w:rFonts w:eastAsia="MS Mincho"/>
        </w:rPr>
        <w:t xml:space="preserve">iolence familiale (notamment </w:t>
      </w:r>
      <w:r w:rsidR="009D19BE">
        <w:rPr>
          <w:rFonts w:eastAsia="MS Mincho"/>
        </w:rPr>
        <w:t xml:space="preserve">les </w:t>
      </w:r>
      <w:r>
        <w:rPr>
          <w:rFonts w:eastAsia="MS Mincho"/>
        </w:rPr>
        <w:t xml:space="preserve">châtiments corporels et </w:t>
      </w:r>
      <w:r w:rsidR="009D19BE">
        <w:rPr>
          <w:rFonts w:eastAsia="MS Mincho"/>
        </w:rPr>
        <w:t xml:space="preserve">les </w:t>
      </w:r>
      <w:r>
        <w:rPr>
          <w:rFonts w:eastAsia="MS Mincho"/>
        </w:rPr>
        <w:t>violence</w:t>
      </w:r>
      <w:r w:rsidR="009D19BE">
        <w:rPr>
          <w:rFonts w:eastAsia="MS Mincho"/>
        </w:rPr>
        <w:t>s</w:t>
      </w:r>
      <w:r>
        <w:rPr>
          <w:rFonts w:eastAsia="MS Mincho"/>
        </w:rPr>
        <w:t xml:space="preserve"> sexuelle</w:t>
      </w:r>
      <w:r w:rsidR="009D19BE">
        <w:rPr>
          <w:rFonts w:eastAsia="MS Mincho"/>
        </w:rPr>
        <w:t>s</w:t>
      </w:r>
      <w:r>
        <w:rPr>
          <w:rFonts w:eastAsia="MS Mincho"/>
        </w:rPr>
        <w:t>).</w:t>
      </w:r>
    </w:p>
    <w:p w:rsidR="00EB747C" w:rsidRDefault="00EB747C" w:rsidP="005D443A">
      <w:pPr>
        <w:spacing w:after="240"/>
        <w:ind w:left="567" w:hanging="567"/>
        <w:rPr>
          <w:rFonts w:eastAsia="MS Mincho"/>
        </w:rPr>
      </w:pPr>
      <w:r>
        <w:rPr>
          <w:rFonts w:eastAsia="MS Mincho"/>
        </w:rPr>
        <w:t>5.</w:t>
      </w:r>
      <w:r>
        <w:rPr>
          <w:rFonts w:eastAsia="MS Mincho"/>
        </w:rPr>
        <w:tab/>
      </w:r>
      <w:r w:rsidR="009D19BE">
        <w:rPr>
          <w:rFonts w:eastAsia="MS Mincho"/>
        </w:rPr>
        <w:t>Les e</w:t>
      </w:r>
      <w:r>
        <w:rPr>
          <w:rFonts w:eastAsia="MS Mincho"/>
        </w:rPr>
        <w:t xml:space="preserve">nfants handicapés (notamment </w:t>
      </w:r>
      <w:r w:rsidR="009D19BE">
        <w:rPr>
          <w:rFonts w:eastAsia="MS Mincho"/>
        </w:rPr>
        <w:t xml:space="preserve">les </w:t>
      </w:r>
      <w:r>
        <w:rPr>
          <w:rFonts w:eastAsia="MS Mincho"/>
        </w:rPr>
        <w:t xml:space="preserve">programmes et services, </w:t>
      </w:r>
      <w:r w:rsidR="009D19BE">
        <w:rPr>
          <w:rFonts w:eastAsia="MS Mincho"/>
        </w:rPr>
        <w:t>l’</w:t>
      </w:r>
      <w:r>
        <w:rPr>
          <w:rFonts w:eastAsia="MS Mincho"/>
        </w:rPr>
        <w:t xml:space="preserve">insertion dans la société, </w:t>
      </w:r>
      <w:r w:rsidR="009D19BE">
        <w:rPr>
          <w:rFonts w:eastAsia="MS Mincho"/>
        </w:rPr>
        <w:t>l’</w:t>
      </w:r>
      <w:r>
        <w:rPr>
          <w:rFonts w:eastAsia="MS Mincho"/>
        </w:rPr>
        <w:t>accès aux infrastructures).</w:t>
      </w:r>
    </w:p>
    <w:p w:rsidR="00EB747C" w:rsidRDefault="00EB747C" w:rsidP="005D443A">
      <w:pPr>
        <w:spacing w:after="240"/>
        <w:ind w:left="567" w:hanging="567"/>
        <w:rPr>
          <w:rFonts w:eastAsia="MS Mincho"/>
        </w:rPr>
      </w:pPr>
      <w:r>
        <w:rPr>
          <w:rFonts w:eastAsia="MS Mincho"/>
        </w:rPr>
        <w:t>6.</w:t>
      </w:r>
      <w:r>
        <w:rPr>
          <w:rFonts w:eastAsia="MS Mincho"/>
        </w:rPr>
        <w:tab/>
      </w:r>
      <w:r w:rsidR="009D19BE">
        <w:rPr>
          <w:rFonts w:eastAsia="MS Mincho"/>
        </w:rPr>
        <w:t>La s</w:t>
      </w:r>
      <w:r>
        <w:rPr>
          <w:rFonts w:eastAsia="MS Mincho"/>
        </w:rPr>
        <w:t xml:space="preserve">anté et </w:t>
      </w:r>
      <w:r w:rsidR="009D19BE">
        <w:rPr>
          <w:rFonts w:eastAsia="MS Mincho"/>
        </w:rPr>
        <w:t xml:space="preserve">la </w:t>
      </w:r>
      <w:r>
        <w:rPr>
          <w:rFonts w:eastAsia="MS Mincho"/>
        </w:rPr>
        <w:t xml:space="preserve">protection sociale, </w:t>
      </w:r>
      <w:r w:rsidR="009D19BE">
        <w:rPr>
          <w:rFonts w:eastAsia="MS Mincho"/>
        </w:rPr>
        <w:t>l’</w:t>
      </w:r>
      <w:r>
        <w:rPr>
          <w:rFonts w:eastAsia="MS Mincho"/>
        </w:rPr>
        <w:t>accès aux servi</w:t>
      </w:r>
      <w:r w:rsidR="009D19BE">
        <w:rPr>
          <w:rFonts w:eastAsia="MS Mincho"/>
        </w:rPr>
        <w:t>c</w:t>
      </w:r>
      <w:r>
        <w:rPr>
          <w:rFonts w:eastAsia="MS Mincho"/>
        </w:rPr>
        <w:t xml:space="preserve">es de santé, </w:t>
      </w:r>
      <w:r w:rsidR="009D19BE">
        <w:rPr>
          <w:rFonts w:eastAsia="MS Mincho"/>
        </w:rPr>
        <w:t xml:space="preserve">la </w:t>
      </w:r>
      <w:r>
        <w:rPr>
          <w:rFonts w:eastAsia="MS Mincho"/>
        </w:rPr>
        <w:t>santé des adolescents (</w:t>
      </w:r>
      <w:r w:rsidR="009D19BE">
        <w:rPr>
          <w:rFonts w:eastAsia="MS Mincho"/>
        </w:rPr>
        <w:t xml:space="preserve">notamment le </w:t>
      </w:r>
      <w:r>
        <w:rPr>
          <w:rFonts w:eastAsia="MS Mincho"/>
        </w:rPr>
        <w:t xml:space="preserve">suicide), </w:t>
      </w:r>
      <w:r w:rsidR="009D19BE">
        <w:rPr>
          <w:rFonts w:eastAsia="MS Mincho"/>
        </w:rPr>
        <w:t xml:space="preserve">la </w:t>
      </w:r>
      <w:r>
        <w:rPr>
          <w:rFonts w:eastAsia="MS Mincho"/>
        </w:rPr>
        <w:t>santé mentale.</w:t>
      </w:r>
    </w:p>
    <w:p w:rsidR="00EB747C" w:rsidRDefault="00EB747C" w:rsidP="005D443A">
      <w:pPr>
        <w:spacing w:after="240"/>
        <w:ind w:left="567" w:hanging="567"/>
        <w:rPr>
          <w:rFonts w:eastAsia="MS Mincho"/>
        </w:rPr>
      </w:pPr>
      <w:r>
        <w:rPr>
          <w:rFonts w:eastAsia="MS Mincho"/>
        </w:rPr>
        <w:t>7.</w:t>
      </w:r>
      <w:r>
        <w:rPr>
          <w:rFonts w:eastAsia="MS Mincho"/>
        </w:rPr>
        <w:tab/>
      </w:r>
      <w:r w:rsidR="009D19BE">
        <w:rPr>
          <w:rFonts w:eastAsia="MS Mincho"/>
        </w:rPr>
        <w:t>L’</w:t>
      </w:r>
      <w:r>
        <w:rPr>
          <w:rFonts w:eastAsia="MS Mincho"/>
        </w:rPr>
        <w:t>alcool</w:t>
      </w:r>
      <w:r w:rsidR="009D19BE">
        <w:rPr>
          <w:rFonts w:eastAsia="MS Mincho"/>
        </w:rPr>
        <w:t>isme</w:t>
      </w:r>
      <w:r>
        <w:rPr>
          <w:rFonts w:eastAsia="MS Mincho"/>
        </w:rPr>
        <w:t xml:space="preserve"> et</w:t>
      </w:r>
      <w:r w:rsidR="009D19BE">
        <w:rPr>
          <w:rFonts w:eastAsia="MS Mincho"/>
        </w:rPr>
        <w:t xml:space="preserve"> la toxicomanie</w:t>
      </w:r>
      <w:r>
        <w:rPr>
          <w:rFonts w:eastAsia="MS Mincho"/>
        </w:rPr>
        <w:t>.</w:t>
      </w:r>
    </w:p>
    <w:p w:rsidR="00EB747C" w:rsidRDefault="00EB747C" w:rsidP="005D443A">
      <w:pPr>
        <w:spacing w:after="240"/>
        <w:ind w:left="567" w:hanging="567"/>
        <w:rPr>
          <w:rFonts w:eastAsia="MS Mincho"/>
        </w:rPr>
      </w:pPr>
      <w:r>
        <w:rPr>
          <w:rFonts w:eastAsia="MS Mincho"/>
        </w:rPr>
        <w:t>8.</w:t>
      </w:r>
      <w:r>
        <w:rPr>
          <w:rFonts w:eastAsia="MS Mincho"/>
        </w:rPr>
        <w:tab/>
      </w:r>
      <w:r w:rsidR="009D19BE">
        <w:rPr>
          <w:rFonts w:eastAsia="MS Mincho"/>
        </w:rPr>
        <w:t>Le n</w:t>
      </w:r>
      <w:r>
        <w:rPr>
          <w:rFonts w:eastAsia="MS Mincho"/>
        </w:rPr>
        <w:t>iveau de vie (</w:t>
      </w:r>
      <w:r w:rsidR="009D19BE">
        <w:rPr>
          <w:rFonts w:eastAsia="MS Mincho"/>
        </w:rPr>
        <w:t xml:space="preserve">le </w:t>
      </w:r>
      <w:r>
        <w:rPr>
          <w:rFonts w:eastAsia="MS Mincho"/>
        </w:rPr>
        <w:t xml:space="preserve">niveau de pauvreté, notamment </w:t>
      </w:r>
      <w:r w:rsidR="009D19BE">
        <w:rPr>
          <w:rFonts w:eastAsia="MS Mincho"/>
        </w:rPr>
        <w:t xml:space="preserve">les </w:t>
      </w:r>
      <w:r>
        <w:rPr>
          <w:rFonts w:eastAsia="MS Mincho"/>
        </w:rPr>
        <w:t>résultats des rapports relatifs à la pauvreté et à l’impact des politiques).</w:t>
      </w:r>
    </w:p>
    <w:p w:rsidR="00EB747C" w:rsidRDefault="00EB747C" w:rsidP="005D443A">
      <w:pPr>
        <w:spacing w:after="240"/>
        <w:ind w:left="567" w:hanging="567"/>
        <w:rPr>
          <w:rFonts w:eastAsia="MS Mincho"/>
        </w:rPr>
      </w:pPr>
      <w:r>
        <w:rPr>
          <w:rFonts w:eastAsia="MS Mincho"/>
        </w:rPr>
        <w:t>9.</w:t>
      </w:r>
      <w:r>
        <w:rPr>
          <w:rFonts w:eastAsia="MS Mincho"/>
        </w:rPr>
        <w:tab/>
      </w:r>
      <w:r w:rsidR="009D19BE">
        <w:rPr>
          <w:rFonts w:eastAsia="MS Mincho"/>
        </w:rPr>
        <w:t>L’é</w:t>
      </w:r>
      <w:r>
        <w:rPr>
          <w:rFonts w:eastAsia="MS Mincho"/>
        </w:rPr>
        <w:t xml:space="preserve">ducation (notamment </w:t>
      </w:r>
      <w:r w:rsidR="009D19BE">
        <w:rPr>
          <w:rFonts w:eastAsia="MS Mincho"/>
        </w:rPr>
        <w:t>l’</w:t>
      </w:r>
      <w:r>
        <w:rPr>
          <w:rFonts w:eastAsia="MS Mincho"/>
        </w:rPr>
        <w:t xml:space="preserve">existence d’enseignants qualifiés et d’installations suffisantes, </w:t>
      </w:r>
      <w:r w:rsidR="009D19BE">
        <w:rPr>
          <w:rFonts w:eastAsia="MS Mincho"/>
        </w:rPr>
        <w:t xml:space="preserve">les </w:t>
      </w:r>
      <w:r>
        <w:rPr>
          <w:rFonts w:eastAsia="MS Mincho"/>
        </w:rPr>
        <w:t>taux de fréquentation et d’abandon scolaire</w:t>
      </w:r>
      <w:r w:rsidR="009D19BE">
        <w:rPr>
          <w:rFonts w:eastAsia="MS Mincho"/>
        </w:rPr>
        <w:t>s</w:t>
      </w:r>
      <w:r>
        <w:rPr>
          <w:rFonts w:eastAsia="MS Mincho"/>
        </w:rPr>
        <w:t xml:space="preserve">, </w:t>
      </w:r>
      <w:r w:rsidR="009D19BE">
        <w:rPr>
          <w:rFonts w:eastAsia="MS Mincho"/>
        </w:rPr>
        <w:t>l’</w:t>
      </w:r>
      <w:r>
        <w:rPr>
          <w:rFonts w:eastAsia="MS Mincho"/>
        </w:rPr>
        <w:t xml:space="preserve">éducation de la petite enfance et </w:t>
      </w:r>
      <w:r w:rsidR="009D19BE">
        <w:rPr>
          <w:rFonts w:eastAsia="MS Mincho"/>
        </w:rPr>
        <w:t>l’</w:t>
      </w:r>
      <w:r>
        <w:rPr>
          <w:rFonts w:eastAsia="MS Mincho"/>
        </w:rPr>
        <w:t>enseignement secondaire).</w:t>
      </w:r>
    </w:p>
    <w:p w:rsidR="00EB747C" w:rsidRDefault="00EB747C" w:rsidP="005D443A">
      <w:pPr>
        <w:spacing w:after="240"/>
        <w:ind w:left="567" w:hanging="567"/>
        <w:rPr>
          <w:rFonts w:eastAsia="MS Mincho"/>
        </w:rPr>
      </w:pPr>
      <w:r>
        <w:rPr>
          <w:rFonts w:eastAsia="MS Mincho"/>
        </w:rPr>
        <w:t>10.</w:t>
      </w:r>
      <w:r>
        <w:rPr>
          <w:rFonts w:eastAsia="MS Mincho"/>
        </w:rPr>
        <w:tab/>
      </w:r>
      <w:r w:rsidR="009D19BE">
        <w:rPr>
          <w:rFonts w:eastAsia="MS Mincho"/>
        </w:rPr>
        <w:t>L’e</w:t>
      </w:r>
      <w:r>
        <w:rPr>
          <w:rFonts w:eastAsia="MS Mincho"/>
        </w:rPr>
        <w:t xml:space="preserve">xploitation économique, notamment </w:t>
      </w:r>
      <w:r w:rsidR="009D19BE">
        <w:rPr>
          <w:rFonts w:eastAsia="MS Mincho"/>
        </w:rPr>
        <w:t xml:space="preserve">le </w:t>
      </w:r>
      <w:r>
        <w:rPr>
          <w:rFonts w:eastAsia="MS Mincho"/>
        </w:rPr>
        <w:t>travail des enfants.</w:t>
      </w:r>
    </w:p>
    <w:p w:rsidR="00EB747C" w:rsidRDefault="00EB747C" w:rsidP="005D443A">
      <w:pPr>
        <w:spacing w:after="240"/>
        <w:ind w:left="567" w:hanging="567"/>
        <w:rPr>
          <w:rFonts w:eastAsia="MS Mincho"/>
        </w:rPr>
      </w:pPr>
      <w:r>
        <w:rPr>
          <w:rFonts w:eastAsia="MS Mincho"/>
        </w:rPr>
        <w:t>11.</w:t>
      </w:r>
      <w:r>
        <w:rPr>
          <w:rFonts w:eastAsia="MS Mincho"/>
        </w:rPr>
        <w:tab/>
      </w:r>
      <w:r w:rsidR="009D19BE">
        <w:rPr>
          <w:rFonts w:eastAsia="MS Mincho"/>
        </w:rPr>
        <w:t>La t</w:t>
      </w:r>
      <w:r>
        <w:rPr>
          <w:rFonts w:eastAsia="MS Mincho"/>
        </w:rPr>
        <w:t xml:space="preserve">raite et </w:t>
      </w:r>
      <w:r w:rsidR="009D19BE">
        <w:rPr>
          <w:rFonts w:eastAsia="MS Mincho"/>
        </w:rPr>
        <w:t>l’</w:t>
      </w:r>
      <w:r>
        <w:rPr>
          <w:rFonts w:eastAsia="MS Mincho"/>
        </w:rPr>
        <w:t>exploitation sexuelle des enfants.</w:t>
      </w:r>
    </w:p>
    <w:p w:rsidR="00EB747C" w:rsidRDefault="00EB747C" w:rsidP="005D443A">
      <w:pPr>
        <w:spacing w:after="240"/>
        <w:ind w:left="567" w:hanging="567"/>
        <w:rPr>
          <w:rFonts w:eastAsia="MS Mincho"/>
        </w:rPr>
      </w:pPr>
      <w:r>
        <w:rPr>
          <w:rFonts w:eastAsia="MS Mincho"/>
        </w:rPr>
        <w:t>12.</w:t>
      </w:r>
      <w:r>
        <w:rPr>
          <w:rFonts w:eastAsia="MS Mincho"/>
        </w:rPr>
        <w:tab/>
      </w:r>
      <w:r w:rsidR="009D19BE">
        <w:rPr>
          <w:rFonts w:eastAsia="MS Mincho"/>
        </w:rPr>
        <w:t>L’a</w:t>
      </w:r>
      <w:r>
        <w:rPr>
          <w:rFonts w:eastAsia="MS Mincho"/>
        </w:rPr>
        <w:t>dministration de la justice pour mineurs, notamment l’âge minimum de la responsabilité pénale, les solutions de déjudiciarisation, les conditions de vie dans les établissements de détention pour mineurs, le suivi en vue de la réadaptation.</w:t>
      </w:r>
    </w:p>
    <w:p w:rsidR="00EB747C" w:rsidRDefault="00EB747C" w:rsidP="005D443A">
      <w:pPr>
        <w:spacing w:after="240"/>
        <w:ind w:left="567" w:hanging="567"/>
        <w:rPr>
          <w:rFonts w:eastAsia="MS Mincho"/>
        </w:rPr>
      </w:pPr>
      <w:r>
        <w:rPr>
          <w:rFonts w:eastAsia="MS Mincho"/>
        </w:rPr>
        <w:t>13.</w:t>
      </w:r>
      <w:r>
        <w:rPr>
          <w:rFonts w:eastAsia="MS Mincho"/>
        </w:rPr>
        <w:tab/>
        <w:t>La situation des enfants roms.</w:t>
      </w:r>
    </w:p>
    <w:p w:rsidR="00EB747C" w:rsidRPr="00A74E36" w:rsidRDefault="009D19BE" w:rsidP="00EB747C">
      <w:pPr>
        <w:spacing w:after="240"/>
        <w:jc w:val="center"/>
      </w:pPr>
      <w:r>
        <w:t>-----</w:t>
      </w:r>
    </w:p>
    <w:sectPr w:rsidR="00EB747C" w:rsidRPr="00A74E36" w:rsidSect="00EB747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010" w:rsidRDefault="00F07010">
      <w:r>
        <w:separator/>
      </w:r>
    </w:p>
  </w:endnote>
  <w:endnote w:type="continuationSeparator" w:id="0">
    <w:p w:rsidR="00F07010" w:rsidRDefault="00F07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078" w:rsidRDefault="000F1078">
    <w:pPr>
      <w:pStyle w:val="Footer"/>
      <w:spacing w:before="240"/>
    </w:pPr>
    <w:r>
      <w:t>GE.08</w:t>
    </w:r>
    <w:r>
      <w:noBreakHyphen/>
    </w:r>
    <w:r w:rsidR="00EB747C">
      <w:t xml:space="preserve">44568 </w:t>
    </w:r>
    <w:r>
      <w:t>(F)</w:t>
    </w:r>
    <w:r w:rsidR="00EB747C">
      <w:t xml:space="preserve">    111108</w:t>
    </w:r>
    <w:r w:rsidR="00F65691">
      <w:t xml:space="preserve">    121108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010" w:rsidRDefault="00F07010">
      <w:r>
        <w:separator/>
      </w:r>
    </w:p>
  </w:footnote>
  <w:footnote w:type="continuationSeparator" w:id="0">
    <w:p w:rsidR="00F07010" w:rsidRDefault="00F07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7C" w:rsidRDefault="00EB747C">
    <w:pPr>
      <w:pStyle w:val="Header"/>
    </w:pPr>
    <w:r>
      <w:t>CRC/C/MDA/Q/3</w:t>
    </w:r>
  </w:p>
  <w:p w:rsidR="00EB747C" w:rsidRDefault="00EB747C">
    <w:pPr>
      <w:pStyle w:val="Header"/>
    </w:pPr>
    <w:r>
      <w:t xml:space="preserve">page </w:t>
    </w:r>
    <w:r>
      <w:fldChar w:fldCharType="begin"/>
    </w:r>
    <w:r>
      <w:instrText xml:space="preserve"> PAGE  \* MERGEFORMAT </w:instrText>
    </w:r>
    <w:r>
      <w:fldChar w:fldCharType="separate"/>
    </w:r>
    <w:r w:rsidR="0035462F">
      <w:rPr>
        <w:noProof/>
      </w:rPr>
      <w:t>2</w:t>
    </w:r>
    <w:r>
      <w:fldChar w:fldCharType="end"/>
    </w:r>
  </w:p>
  <w:p w:rsidR="00EB747C" w:rsidRDefault="00EB74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7C" w:rsidRDefault="00EB747C" w:rsidP="00EB747C">
    <w:pPr>
      <w:pStyle w:val="Header"/>
      <w:tabs>
        <w:tab w:val="clear" w:pos="4320"/>
        <w:tab w:val="clear" w:pos="8640"/>
        <w:tab w:val="left" w:pos="6803"/>
      </w:tabs>
    </w:pPr>
    <w:r>
      <w:tab/>
      <w:t>CRC/C/MDA/Q/3</w:t>
    </w:r>
  </w:p>
  <w:p w:rsidR="00EB747C" w:rsidRDefault="00EB747C" w:rsidP="00EB747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5462F">
      <w:rPr>
        <w:noProof/>
      </w:rPr>
      <w:t>3</w:t>
    </w:r>
    <w:r>
      <w:fldChar w:fldCharType="end"/>
    </w:r>
  </w:p>
  <w:p w:rsidR="00EB747C" w:rsidRDefault="00EB747C" w:rsidP="00EB747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90F97"/>
    <w:multiLevelType w:val="hybridMultilevel"/>
    <w:tmpl w:val="980ED32C"/>
    <w:lvl w:ilvl="0" w:tplc="61242D42">
      <w:start w:val="1"/>
      <w:numFmt w:val="bullet"/>
      <w:lvlText w:val="−"/>
      <w:lvlJc w:val="left"/>
      <w:pPr>
        <w:tabs>
          <w:tab w:val="num" w:pos="567"/>
        </w:tabs>
        <w:ind w:left="-567" w:firstLine="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078"/>
    <w:rsid w:val="000F1078"/>
    <w:rsid w:val="00133AD6"/>
    <w:rsid w:val="0035462F"/>
    <w:rsid w:val="00497CAD"/>
    <w:rsid w:val="004A4771"/>
    <w:rsid w:val="005B0141"/>
    <w:rsid w:val="005D443A"/>
    <w:rsid w:val="008C15BE"/>
    <w:rsid w:val="008D1692"/>
    <w:rsid w:val="009B5CC0"/>
    <w:rsid w:val="009D19BE"/>
    <w:rsid w:val="00B45562"/>
    <w:rsid w:val="00B541E6"/>
    <w:rsid w:val="00BC561A"/>
    <w:rsid w:val="00C21308"/>
    <w:rsid w:val="00CD39C0"/>
    <w:rsid w:val="00CE49B3"/>
    <w:rsid w:val="00EB747C"/>
    <w:rsid w:val="00F07010"/>
    <w:rsid w:val="00F656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934</Words>
  <Characters>5218</Characters>
  <Application>Microsoft Office Word</Application>
  <DocSecurity>4</DocSecurity>
  <Lines>104</Lines>
  <Paragraphs>57</Paragraphs>
  <ScaleCrop>false</ScaleCrop>
  <HeadingPairs>
    <vt:vector size="2" baseType="variant">
      <vt:variant>
        <vt:lpstr>Titre</vt:lpstr>
      </vt:variant>
      <vt:variant>
        <vt:i4>1</vt:i4>
      </vt:variant>
    </vt:vector>
  </HeadingPairs>
  <TitlesOfParts>
    <vt:vector size="1" baseType="lpstr">
      <vt:lpstr>CRC/C/MDA/Q/3</vt:lpstr>
    </vt:vector>
  </TitlesOfParts>
  <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CRC/C/MDA/Q/3</dc:title>
  <dc:subject>Final</dc:subject>
  <dc:creator>Crelier</dc:creator>
  <cp:keywords/>
  <dc:description/>
  <cp:lastModifiedBy>Adtpsfra</cp:lastModifiedBy>
  <cp:revision>2</cp:revision>
  <cp:lastPrinted>2008-11-12T07:15:00Z</cp:lastPrinted>
  <dcterms:created xsi:type="dcterms:W3CDTF">2008-11-12T13:04:00Z</dcterms:created>
  <dcterms:modified xsi:type="dcterms:W3CDTF">2008-11-12T13:04:00Z</dcterms:modified>
</cp:coreProperties>
</file>