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A7251">
        <w:trPr>
          <w:trHeight w:hRule="exact" w:val="851"/>
        </w:trPr>
        <w:tc>
          <w:tcPr>
            <w:tcW w:w="1280" w:type="dxa"/>
            <w:tcBorders>
              <w:bottom w:val="single" w:sz="4" w:space="0" w:color="auto"/>
            </w:tcBorders>
          </w:tcPr>
          <w:p w:rsidR="00DA7251" w:rsidRDefault="00DA7251">
            <w:pPr>
              <w:rPr>
                <w:rFonts w:hint="eastAsia"/>
              </w:rPr>
            </w:pPr>
          </w:p>
        </w:tc>
        <w:tc>
          <w:tcPr>
            <w:tcW w:w="2273" w:type="dxa"/>
            <w:tcBorders>
              <w:bottom w:val="single" w:sz="4" w:space="0" w:color="auto"/>
            </w:tcBorders>
            <w:vAlign w:val="bottom"/>
          </w:tcPr>
          <w:p w:rsidR="00DA7251" w:rsidRDefault="00DA725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DA7251" w:rsidRDefault="00DA7251">
            <w:pPr>
              <w:spacing w:line="240" w:lineRule="atLeast"/>
              <w:jc w:val="right"/>
              <w:rPr>
                <w:rFonts w:hint="eastAsia"/>
                <w:szCs w:val="21"/>
              </w:rPr>
            </w:pPr>
            <w:r>
              <w:rPr>
                <w:sz w:val="40"/>
                <w:szCs w:val="40"/>
              </w:rPr>
              <w:t>CRPD</w:t>
            </w:r>
            <w:r>
              <w:rPr>
                <w:sz w:val="20"/>
              </w:rPr>
              <w:t>/C/PRY/1</w:t>
            </w:r>
          </w:p>
        </w:tc>
      </w:tr>
      <w:tr w:rsidR="00DA7251">
        <w:trPr>
          <w:trHeight w:hRule="exact" w:val="2835"/>
        </w:trPr>
        <w:tc>
          <w:tcPr>
            <w:tcW w:w="1280" w:type="dxa"/>
            <w:tcBorders>
              <w:top w:val="single" w:sz="4" w:space="0" w:color="auto"/>
              <w:bottom w:val="single" w:sz="12" w:space="0" w:color="auto"/>
            </w:tcBorders>
          </w:tcPr>
          <w:p w:rsidR="00DA7251" w:rsidRDefault="00DA7251">
            <w:pPr>
              <w:spacing w:line="120" w:lineRule="atLeast"/>
              <w:rPr>
                <w:sz w:val="10"/>
                <w:szCs w:val="10"/>
              </w:rPr>
            </w:pPr>
          </w:p>
          <w:p w:rsidR="00DA7251" w:rsidRDefault="00DA725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A7251" w:rsidRDefault="00DA7251">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DA7251" w:rsidRDefault="00DA7251">
            <w:pPr>
              <w:spacing w:before="240" w:line="240" w:lineRule="atLeast"/>
              <w:rPr>
                <w:sz w:val="20"/>
              </w:rPr>
            </w:pPr>
            <w:r>
              <w:rPr>
                <w:sz w:val="20"/>
              </w:rPr>
              <w:t>Distr.: General</w:t>
            </w:r>
          </w:p>
          <w:p w:rsidR="00DA7251" w:rsidRDefault="00DA7251">
            <w:pPr>
              <w:spacing w:line="240" w:lineRule="atLeast"/>
              <w:rPr>
                <w:sz w:val="20"/>
              </w:rPr>
            </w:pPr>
            <w:r>
              <w:rPr>
                <w:sz w:val="20"/>
              </w:rPr>
              <w:t>28 June 20</w:t>
            </w:r>
            <w:r>
              <w:rPr>
                <w:rFonts w:hint="eastAsia"/>
                <w:sz w:val="20"/>
              </w:rPr>
              <w:t>11</w:t>
            </w:r>
          </w:p>
          <w:p w:rsidR="00DA7251" w:rsidRDefault="00DA7251">
            <w:pPr>
              <w:spacing w:line="240" w:lineRule="atLeast"/>
              <w:rPr>
                <w:sz w:val="20"/>
              </w:rPr>
            </w:pPr>
            <w:r>
              <w:rPr>
                <w:sz w:val="20"/>
              </w:rPr>
              <w:t xml:space="preserve">Chinese </w:t>
            </w:r>
          </w:p>
          <w:p w:rsidR="00DA7251" w:rsidRDefault="00DA7251">
            <w:pPr>
              <w:spacing w:line="240" w:lineRule="atLeast"/>
              <w:rPr>
                <w:rFonts w:hint="eastAsia"/>
                <w:sz w:val="20"/>
              </w:rPr>
            </w:pPr>
            <w:r>
              <w:rPr>
                <w:sz w:val="20"/>
              </w:rPr>
              <w:t xml:space="preserve">Original: </w:t>
            </w:r>
            <w:r>
              <w:rPr>
                <w:rFonts w:eastAsia="SimHei"/>
                <w:sz w:val="20"/>
                <w:szCs w:val="21"/>
                <w:lang w:val="fr-CH"/>
              </w:rPr>
              <w:t>Spanish</w:t>
            </w:r>
          </w:p>
        </w:tc>
      </w:tr>
    </w:tbl>
    <w:p w:rsidR="00DA7251" w:rsidRDefault="00DA7251">
      <w:pPr>
        <w:spacing w:before="120"/>
        <w:rPr>
          <w:rFonts w:eastAsia="SimHei" w:hint="eastAsia"/>
          <w:sz w:val="24"/>
          <w:szCs w:val="24"/>
          <w:lang w:val="fr-CH"/>
        </w:rPr>
      </w:pPr>
      <w:r>
        <w:rPr>
          <w:rFonts w:eastAsia="SimHei" w:hint="eastAsia"/>
          <w:sz w:val="24"/>
          <w:szCs w:val="24"/>
          <w:lang w:val="fr-CH"/>
        </w:rPr>
        <w:t>残疾人权利委员会</w:t>
      </w:r>
    </w:p>
    <w:p w:rsidR="00DA7251" w:rsidRDefault="00DA7251">
      <w:pPr>
        <w:pStyle w:val="HMGC"/>
        <w:rPr>
          <w:rFonts w:hint="eastAsia"/>
        </w:rPr>
      </w:pPr>
      <w:r>
        <w:rPr>
          <w:rFonts w:hint="eastAsia"/>
        </w:rPr>
        <w:tab/>
      </w:r>
      <w:r>
        <w:rPr>
          <w:rFonts w:hint="eastAsia"/>
        </w:rPr>
        <w:tab/>
      </w:r>
      <w:r>
        <w:rPr>
          <w:rFonts w:hint="eastAsia"/>
        </w:rPr>
        <w:t>《残疾人权利公约》的实施情况</w:t>
      </w:r>
    </w:p>
    <w:p w:rsidR="00DA7251" w:rsidRDefault="00DA7251">
      <w:pPr>
        <w:pStyle w:val="HChGC"/>
        <w:rPr>
          <w:rFonts w:hint="eastAsia"/>
        </w:rPr>
      </w:pPr>
      <w:r>
        <w:tab/>
      </w:r>
      <w:r>
        <w:tab/>
      </w:r>
      <w:r>
        <w:rPr>
          <w:rFonts w:hint="eastAsia"/>
        </w:rPr>
        <w:t>缔约国按照《公约》</w:t>
      </w:r>
      <w:r>
        <w:t>第</w:t>
      </w:r>
      <w:r>
        <w:rPr>
          <w:rFonts w:hint="eastAsia"/>
        </w:rPr>
        <w:t>三十五</w:t>
      </w:r>
      <w:r>
        <w:t>条提</w:t>
      </w:r>
      <w:r>
        <w:rPr>
          <w:rFonts w:hint="eastAsia"/>
        </w:rPr>
        <w:t>交的初次报告</w:t>
      </w:r>
    </w:p>
    <w:p w:rsidR="00DA7251" w:rsidRDefault="00DA7251">
      <w:pPr>
        <w:pStyle w:val="HMGC"/>
        <w:rPr>
          <w:rFonts w:hint="eastAsia"/>
        </w:rPr>
      </w:pPr>
      <w:r>
        <w:rPr>
          <w:rFonts w:ascii="SimHei"/>
        </w:rPr>
        <w:tab/>
      </w:r>
      <w:r>
        <w:rPr>
          <w:rFonts w:ascii="SimHei"/>
        </w:rPr>
        <w:tab/>
      </w:r>
      <w:r>
        <w:rPr>
          <w:rFonts w:ascii="SimHei" w:hint="eastAsia"/>
        </w:rPr>
        <w:t>巴拉圭</w:t>
      </w:r>
      <w:r>
        <w:rPr>
          <w:rStyle w:val="FootnoteReference"/>
          <w:vertAlign w:val="baseline"/>
        </w:rPr>
        <w:footnoteReference w:customMarkFollows="1" w:id="1"/>
        <w:t>*</w:t>
      </w:r>
      <w:r w:rsidR="00637DAF">
        <w:t xml:space="preserve"> </w:t>
      </w:r>
      <w:r>
        <w:rPr>
          <w:rStyle w:val="FootnoteReference"/>
          <w:vertAlign w:val="baseline"/>
        </w:rPr>
        <w:footnoteReference w:customMarkFollows="1" w:id="2"/>
        <w:t xml:space="preserve">** </w:t>
      </w:r>
    </w:p>
    <w:p w:rsidR="00DA7251" w:rsidRDefault="00DA7251">
      <w:pPr>
        <w:pStyle w:val="SingleTxtGC"/>
      </w:pPr>
    </w:p>
    <w:p w:rsidR="00DA7251" w:rsidRDefault="00DA7251">
      <w:pPr>
        <w:pStyle w:val="SingleTxtGC"/>
      </w:pPr>
    </w:p>
    <w:p w:rsidR="00DA7251" w:rsidRDefault="00DA7251">
      <w:pPr>
        <w:spacing w:after="120"/>
        <w:rPr>
          <w:sz w:val="28"/>
          <w:szCs w:val="28"/>
        </w:rPr>
      </w:pPr>
      <w:r>
        <w:br w:type="page"/>
      </w:r>
      <w:r>
        <w:rPr>
          <w:rFonts w:hint="eastAsia"/>
          <w:sz w:val="28"/>
          <w:szCs w:val="28"/>
        </w:rPr>
        <w:t>目录</w:t>
      </w:r>
    </w:p>
    <w:p w:rsidR="00DA7251" w:rsidRDefault="00DA7251">
      <w:pPr>
        <w:tabs>
          <w:tab w:val="right" w:pos="8789"/>
          <w:tab w:val="right" w:pos="9639"/>
        </w:tabs>
        <w:spacing w:after="120" w:line="260" w:lineRule="exact"/>
        <w:ind w:left="488"/>
        <w:rPr>
          <w:sz w:val="23"/>
          <w:szCs w:val="23"/>
        </w:rPr>
      </w:pPr>
      <w:r>
        <w:rPr>
          <w:sz w:val="18"/>
          <w:szCs w:val="18"/>
          <w:lang w:val="fr-CH"/>
        </w:rPr>
        <w:tab/>
      </w:r>
      <w:r>
        <w:rPr>
          <w:rFonts w:hint="eastAsia"/>
          <w:sz w:val="18"/>
          <w:szCs w:val="18"/>
        </w:rPr>
        <w:t>段次</w:t>
      </w:r>
      <w:r>
        <w:rPr>
          <w:sz w:val="23"/>
          <w:szCs w:val="23"/>
        </w:rPr>
        <w:tab/>
      </w:r>
      <w:r>
        <w:rPr>
          <w:rFonts w:hint="eastAsia"/>
          <w:sz w:val="18"/>
          <w:szCs w:val="18"/>
        </w:rPr>
        <w:t>页次</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一</w:t>
      </w:r>
      <w:r>
        <w:t>.</w:t>
      </w:r>
      <w:r>
        <w:tab/>
      </w:r>
      <w:r>
        <w:rPr>
          <w:rFonts w:hint="eastAsia"/>
        </w:rPr>
        <w:t>导言</w:t>
      </w:r>
      <w:r>
        <w:tab/>
      </w:r>
      <w:r>
        <w:tab/>
      </w:r>
      <w:r>
        <w:tab/>
        <w:t>1-3</w:t>
      </w:r>
      <w:r>
        <w:tab/>
        <w:t>3</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二</w:t>
      </w:r>
      <w:r>
        <w:t>.</w:t>
      </w:r>
      <w:r>
        <w:tab/>
      </w:r>
      <w:r>
        <w:rPr>
          <w:rFonts w:hint="eastAsia"/>
        </w:rPr>
        <w:t>《公约》的一般性规定：第一至四条</w:t>
      </w:r>
      <w:r>
        <w:tab/>
      </w:r>
      <w:r>
        <w:tab/>
        <w:t>4-9</w:t>
      </w:r>
      <w:r>
        <w:tab/>
        <w:t>3</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三</w:t>
      </w:r>
      <w:r>
        <w:t>.</w:t>
      </w:r>
      <w:r>
        <w:tab/>
      </w:r>
      <w:r>
        <w:rPr>
          <w:rFonts w:hint="eastAsia"/>
        </w:rPr>
        <w:t>具体权利</w:t>
      </w:r>
      <w:r>
        <w:tab/>
      </w:r>
      <w:r>
        <w:tab/>
        <w:t>10-195</w:t>
      </w:r>
      <w:r>
        <w:tab/>
        <w:t>4</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A.</w:t>
      </w:r>
      <w:r>
        <w:tab/>
      </w:r>
      <w:r>
        <w:rPr>
          <w:rFonts w:hint="eastAsia"/>
        </w:rPr>
        <w:t>第五条：平等和不歧视</w:t>
      </w:r>
      <w:r>
        <w:tab/>
      </w:r>
      <w:r>
        <w:tab/>
        <w:t>10-19</w:t>
      </w:r>
      <w:r>
        <w:tab/>
        <w:t>4</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B.</w:t>
      </w:r>
      <w:r>
        <w:tab/>
      </w:r>
      <w:r>
        <w:rPr>
          <w:rFonts w:hint="eastAsia"/>
        </w:rPr>
        <w:t>第八条：提高认识</w:t>
      </w:r>
      <w:r>
        <w:tab/>
      </w:r>
      <w:r>
        <w:tab/>
        <w:t>20-23</w:t>
      </w:r>
      <w:r>
        <w:tab/>
        <w:t>6</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C.</w:t>
      </w:r>
      <w:r>
        <w:tab/>
      </w:r>
      <w:r>
        <w:rPr>
          <w:rFonts w:hint="eastAsia"/>
        </w:rPr>
        <w:t>第九条：无障碍</w:t>
      </w:r>
      <w:r>
        <w:tab/>
      </w:r>
      <w:r>
        <w:tab/>
        <w:t>24-27</w:t>
      </w:r>
      <w:r>
        <w:tab/>
        <w:t>6</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D.</w:t>
      </w:r>
      <w:r>
        <w:tab/>
      </w:r>
      <w:r>
        <w:rPr>
          <w:rFonts w:hint="eastAsia"/>
        </w:rPr>
        <w:t>第十条：生命权</w:t>
      </w:r>
      <w:r>
        <w:tab/>
      </w:r>
      <w:r>
        <w:tab/>
        <w:t>28-29</w:t>
      </w:r>
      <w:r>
        <w:tab/>
        <w:t>7</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E.</w:t>
      </w:r>
      <w:r>
        <w:tab/>
      </w:r>
      <w:r>
        <w:rPr>
          <w:rFonts w:hint="eastAsia"/>
        </w:rPr>
        <w:t>第十一条：危难情况和人道主义紧急情况</w:t>
      </w:r>
      <w:r>
        <w:tab/>
      </w:r>
      <w:r>
        <w:tab/>
        <w:t>30-33</w:t>
      </w:r>
      <w:r>
        <w:tab/>
        <w:t>7</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F.</w:t>
      </w:r>
      <w:r>
        <w:tab/>
      </w:r>
      <w:r>
        <w:rPr>
          <w:rFonts w:hint="eastAsia"/>
        </w:rPr>
        <w:t>第十二条：在法律面前获得平等承认</w:t>
      </w:r>
      <w:r>
        <w:tab/>
      </w:r>
      <w:r>
        <w:tab/>
        <w:t>34-39</w:t>
      </w:r>
      <w:r>
        <w:tab/>
        <w:t>8</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G.</w:t>
      </w:r>
      <w:r>
        <w:tab/>
      </w:r>
      <w:r>
        <w:rPr>
          <w:rFonts w:hint="eastAsia"/>
        </w:rPr>
        <w:t>第十三条：获得司法保护</w:t>
      </w:r>
      <w:r>
        <w:tab/>
      </w:r>
      <w:r>
        <w:tab/>
        <w:t>40-106</w:t>
      </w:r>
      <w:r>
        <w:tab/>
        <w:t>9</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H.</w:t>
      </w:r>
      <w:r>
        <w:tab/>
      </w:r>
      <w:r>
        <w:rPr>
          <w:rFonts w:hint="eastAsia"/>
        </w:rPr>
        <w:t>第十四条：自由和人身安全</w:t>
      </w:r>
      <w:r>
        <w:tab/>
      </w:r>
      <w:r>
        <w:tab/>
        <w:t>107-111</w:t>
      </w:r>
      <w:r>
        <w:tab/>
        <w:t>17</w:t>
      </w:r>
    </w:p>
    <w:p w:rsidR="00DA7251" w:rsidRDefault="00DA7251" w:rsidP="00B53B3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2632" w:hanging="2042"/>
      </w:pPr>
      <w:r>
        <w:tab/>
      </w:r>
      <w:r>
        <w:tab/>
      </w:r>
      <w:smartTag w:uri="urn:schemas-microsoft-com:office:smarttags" w:element="place">
        <w:r>
          <w:t>I.</w:t>
        </w:r>
      </w:smartTag>
      <w:r>
        <w:tab/>
      </w:r>
      <w:r>
        <w:rPr>
          <w:rFonts w:hint="eastAsia"/>
        </w:rPr>
        <w:t>第十五条：免于酷刑和其他残忍、不人道</w:t>
      </w:r>
      <w:r w:rsidR="00B53B3D">
        <w:br/>
      </w:r>
      <w:r>
        <w:rPr>
          <w:rFonts w:hint="eastAsia"/>
        </w:rPr>
        <w:t>或有辱人格待遇或处罚</w:t>
      </w:r>
      <w:r>
        <w:tab/>
      </w:r>
      <w:r>
        <w:tab/>
        <w:t>112-119</w:t>
      </w:r>
      <w:r>
        <w:tab/>
        <w:t>18</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J.</w:t>
      </w:r>
      <w:r>
        <w:tab/>
      </w:r>
      <w:r>
        <w:rPr>
          <w:rFonts w:hint="eastAsia"/>
        </w:rPr>
        <w:t>第十六条：免于剥削、暴力和凌辱</w:t>
      </w:r>
      <w:r>
        <w:tab/>
      </w:r>
      <w:r>
        <w:tab/>
        <w:t>120-132</w:t>
      </w:r>
      <w:r>
        <w:tab/>
        <w:t>19</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K.</w:t>
      </w:r>
      <w:r>
        <w:tab/>
      </w:r>
      <w:r>
        <w:rPr>
          <w:rFonts w:hint="eastAsia"/>
        </w:rPr>
        <w:t>第十八条：迁徙自由和国籍</w:t>
      </w:r>
      <w:r>
        <w:tab/>
      </w:r>
      <w:r>
        <w:tab/>
        <w:t>133-135</w:t>
      </w:r>
      <w:r>
        <w:tab/>
        <w:t>20</w:t>
      </w:r>
    </w:p>
    <w:p w:rsidR="00DA7251" w:rsidRDefault="00DA7251" w:rsidP="00B53B3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2842" w:hanging="2252"/>
      </w:pPr>
      <w:r>
        <w:tab/>
      </w:r>
      <w:r>
        <w:tab/>
        <w:t>L.</w:t>
      </w:r>
      <w:r>
        <w:tab/>
      </w:r>
      <w:r>
        <w:rPr>
          <w:rFonts w:hint="eastAsia"/>
        </w:rPr>
        <w:t>第二十一条：表达意见的自由和获得信息的机会</w:t>
      </w:r>
      <w:r>
        <w:tab/>
      </w:r>
      <w:r>
        <w:tab/>
        <w:t>136-138</w:t>
      </w:r>
      <w:r>
        <w:tab/>
        <w:t>20</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M.</w:t>
      </w:r>
      <w:r>
        <w:tab/>
      </w:r>
      <w:r>
        <w:rPr>
          <w:rFonts w:hint="eastAsia"/>
        </w:rPr>
        <w:t>第二十四条：教育</w:t>
      </w:r>
      <w:r>
        <w:tab/>
      </w:r>
      <w:r>
        <w:tab/>
        <w:t>139-149</w:t>
      </w:r>
      <w:r>
        <w:tab/>
        <w:t>21</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N.</w:t>
      </w:r>
      <w:r>
        <w:tab/>
      </w:r>
      <w:r>
        <w:rPr>
          <w:rFonts w:hint="eastAsia"/>
        </w:rPr>
        <w:t>第二十五条：健康</w:t>
      </w:r>
      <w:r>
        <w:tab/>
      </w:r>
      <w:r>
        <w:tab/>
        <w:t>150-153</w:t>
      </w:r>
      <w:r>
        <w:tab/>
        <w:t>22</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O.</w:t>
      </w:r>
      <w:r>
        <w:tab/>
      </w:r>
      <w:r>
        <w:rPr>
          <w:rFonts w:hint="eastAsia"/>
        </w:rPr>
        <w:t>第二十六条：适应训练和康复</w:t>
      </w:r>
      <w:r>
        <w:tab/>
      </w:r>
      <w:r>
        <w:tab/>
        <w:t>154-165</w:t>
      </w:r>
      <w:r>
        <w:tab/>
        <w:t>22</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P.</w:t>
      </w:r>
      <w:r>
        <w:tab/>
      </w:r>
      <w:r>
        <w:rPr>
          <w:rFonts w:hint="eastAsia"/>
        </w:rPr>
        <w:t>第二十七条：工作和就业</w:t>
      </w:r>
      <w:r>
        <w:tab/>
      </w:r>
      <w:r>
        <w:tab/>
        <w:t>166-179</w:t>
      </w:r>
      <w:r>
        <w:tab/>
        <w:t>24</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Q.</w:t>
      </w:r>
      <w:r>
        <w:tab/>
      </w:r>
      <w:r>
        <w:rPr>
          <w:rFonts w:hint="eastAsia"/>
        </w:rPr>
        <w:t>第二十八条：适足生活水准和社会保护</w:t>
      </w:r>
      <w:r>
        <w:tab/>
      </w:r>
      <w:r>
        <w:tab/>
        <w:t>180-187</w:t>
      </w:r>
      <w:r>
        <w:tab/>
        <w:t>26</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R.</w:t>
      </w:r>
      <w:r>
        <w:tab/>
      </w:r>
      <w:r>
        <w:rPr>
          <w:rFonts w:hint="eastAsia"/>
        </w:rPr>
        <w:t>第二十九条：参与政治和公共生活</w:t>
      </w:r>
      <w:r>
        <w:tab/>
      </w:r>
      <w:r>
        <w:tab/>
        <w:t>188-189</w:t>
      </w:r>
      <w:r>
        <w:tab/>
        <w:t>27</w:t>
      </w:r>
    </w:p>
    <w:p w:rsidR="00DA7251" w:rsidRDefault="00DA7251" w:rsidP="00B53B3D">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2632" w:hanging="2042"/>
      </w:pPr>
      <w:r>
        <w:tab/>
      </w:r>
      <w:r>
        <w:tab/>
        <w:t>S.</w:t>
      </w:r>
      <w:r>
        <w:tab/>
      </w:r>
      <w:r>
        <w:rPr>
          <w:rFonts w:hint="eastAsia"/>
        </w:rPr>
        <w:t>第三十条：参与文化生活、娱乐、休闲和体育活动</w:t>
      </w:r>
      <w:r>
        <w:tab/>
      </w:r>
      <w:r>
        <w:tab/>
        <w:t>190-195</w:t>
      </w:r>
      <w:r>
        <w:tab/>
        <w:t>27</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四</w:t>
      </w:r>
      <w:r>
        <w:t>.</w:t>
      </w:r>
      <w:r>
        <w:tab/>
      </w:r>
      <w:r>
        <w:rPr>
          <w:rFonts w:hint="eastAsia"/>
        </w:rPr>
        <w:t>残疾儿童和妇女的特殊境况</w:t>
      </w:r>
      <w:r>
        <w:tab/>
      </w:r>
      <w:r>
        <w:tab/>
        <w:t>196-205</w:t>
      </w:r>
      <w:r>
        <w:tab/>
        <w:t>28</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A.</w:t>
      </w:r>
      <w:r>
        <w:tab/>
      </w:r>
      <w:r>
        <w:rPr>
          <w:rFonts w:hint="eastAsia"/>
        </w:rPr>
        <w:t>第六条：残疾妇女</w:t>
      </w:r>
      <w:r>
        <w:tab/>
      </w:r>
      <w:r>
        <w:tab/>
        <w:t>196-202</w:t>
      </w:r>
      <w:r>
        <w:tab/>
        <w:t>28</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B.</w:t>
      </w:r>
      <w:r>
        <w:tab/>
      </w:r>
      <w:r>
        <w:rPr>
          <w:rFonts w:hint="eastAsia"/>
        </w:rPr>
        <w:t>第七条：残疾儿童</w:t>
      </w:r>
      <w:r>
        <w:tab/>
      </w:r>
      <w:r>
        <w:tab/>
        <w:t>203-205</w:t>
      </w:r>
      <w:r>
        <w:tab/>
        <w:t>29</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五</w:t>
      </w:r>
      <w:r>
        <w:t>.</w:t>
      </w:r>
      <w:r>
        <w:tab/>
      </w:r>
      <w:r>
        <w:rPr>
          <w:rFonts w:hint="eastAsia"/>
        </w:rPr>
        <w:t>具体义务</w:t>
      </w:r>
      <w:r>
        <w:tab/>
      </w:r>
      <w:r>
        <w:tab/>
        <w:t>206-232</w:t>
      </w:r>
      <w:r>
        <w:tab/>
        <w:t>29</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A.</w:t>
      </w:r>
      <w:r>
        <w:tab/>
      </w:r>
      <w:r>
        <w:rPr>
          <w:rFonts w:hint="eastAsia"/>
        </w:rPr>
        <w:t>第三十一条：统计和数据收集</w:t>
      </w:r>
      <w:r>
        <w:tab/>
      </w:r>
      <w:r>
        <w:tab/>
        <w:t>206-223</w:t>
      </w:r>
      <w:r>
        <w:tab/>
        <w:t>29</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B.</w:t>
      </w:r>
      <w:r>
        <w:tab/>
      </w:r>
      <w:r>
        <w:rPr>
          <w:rFonts w:hint="eastAsia"/>
        </w:rPr>
        <w:t>第三十二条：国际合作</w:t>
      </w:r>
      <w:r>
        <w:tab/>
      </w:r>
      <w:r>
        <w:tab/>
        <w:t>224-229</w:t>
      </w:r>
      <w:r>
        <w:tab/>
        <w:t>31</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ind w:left="1565" w:hanging="1565"/>
      </w:pPr>
      <w:r>
        <w:tab/>
      </w:r>
      <w:r>
        <w:tab/>
        <w:t>C.</w:t>
      </w:r>
      <w:r>
        <w:tab/>
      </w:r>
      <w:r>
        <w:rPr>
          <w:rFonts w:hint="eastAsia"/>
        </w:rPr>
        <w:t>第三十三条：国家实施和监测</w:t>
      </w:r>
      <w:r>
        <w:tab/>
      </w:r>
      <w:r>
        <w:tab/>
        <w:t>230-232</w:t>
      </w:r>
      <w:r>
        <w:tab/>
        <w:t>33</w:t>
      </w:r>
    </w:p>
    <w:p w:rsidR="00DA7251" w:rsidRDefault="00DA7251">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40" w:lineRule="exact"/>
      </w:pPr>
      <w:r>
        <w:tab/>
      </w:r>
      <w:r>
        <w:rPr>
          <w:rFonts w:hint="eastAsia"/>
        </w:rPr>
        <w:t>六</w:t>
      </w:r>
      <w:r>
        <w:t>.</w:t>
      </w:r>
      <w:r>
        <w:tab/>
      </w:r>
      <w:r>
        <w:rPr>
          <w:rFonts w:hint="eastAsia"/>
        </w:rPr>
        <w:t>任择议定书</w:t>
      </w:r>
      <w:r>
        <w:tab/>
      </w:r>
      <w:r>
        <w:tab/>
        <w:t>233-236</w:t>
      </w:r>
      <w:r>
        <w:tab/>
        <w:t>33</w:t>
      </w:r>
    </w:p>
    <w:p w:rsidR="00DA7251" w:rsidRDefault="00DA7251">
      <w:pPr>
        <w:pStyle w:val="HChGC"/>
        <w:rPr>
          <w:rFonts w:hint="eastAsia"/>
          <w:lang w:val="es-ES"/>
        </w:rPr>
      </w:pPr>
      <w:r>
        <w:br w:type="page"/>
      </w:r>
      <w:r>
        <w:rPr>
          <w:rFonts w:hint="eastAsia"/>
          <w:lang w:val="es-ES"/>
        </w:rPr>
        <w:tab/>
      </w:r>
      <w:r>
        <w:rPr>
          <w:rFonts w:hint="eastAsia"/>
          <w:lang w:val="es-ES"/>
        </w:rPr>
        <w:t>一</w:t>
      </w:r>
      <w:r>
        <w:rPr>
          <w:rFonts w:hint="eastAsia"/>
          <w:lang w:val="es-ES"/>
        </w:rPr>
        <w:t>.</w:t>
      </w:r>
      <w:r>
        <w:rPr>
          <w:rFonts w:hint="eastAsia"/>
          <w:lang w:val="es-ES"/>
        </w:rPr>
        <w:tab/>
      </w:r>
      <w:r>
        <w:rPr>
          <w:rFonts w:hint="eastAsia"/>
          <w:lang w:val="es-ES"/>
        </w:rPr>
        <w:t>导言</w:t>
      </w:r>
    </w:p>
    <w:p w:rsidR="00DA7251" w:rsidRDefault="00DA7251">
      <w:pPr>
        <w:pStyle w:val="SingleTxtGC"/>
        <w:rPr>
          <w:lang w:val="es-ES"/>
        </w:rPr>
      </w:pPr>
      <w:r>
        <w:rPr>
          <w:lang w:val="es-ES"/>
        </w:rPr>
        <w:t xml:space="preserve">1.  </w:t>
      </w:r>
      <w:r>
        <w:rPr>
          <w:rFonts w:hint="eastAsia"/>
        </w:rPr>
        <w:t>本报告由全国特殊人士保护研究所负责撰写</w:t>
      </w:r>
      <w:r>
        <w:rPr>
          <w:rFonts w:hint="eastAsia"/>
          <w:lang w:val="es-ES"/>
        </w:rPr>
        <w:t>，</w:t>
      </w:r>
      <w:r>
        <w:rPr>
          <w:rFonts w:hint="eastAsia"/>
        </w:rPr>
        <w:t>并得到了外交部人权事务局的支持与合作。最高法院的人权事务局、立法机构中参众两院下属的人权事务委员会、监察员办公室和检察署都为本报告的撰写提供了信息和支持。</w:t>
      </w:r>
    </w:p>
    <w:p w:rsidR="00DA7251" w:rsidRDefault="00DA7251">
      <w:pPr>
        <w:pStyle w:val="SingleTxtGC"/>
        <w:rPr>
          <w:lang w:val="es-ES_tradnl"/>
        </w:rPr>
      </w:pPr>
      <w:r>
        <w:rPr>
          <w:lang w:val="es-ES"/>
        </w:rPr>
        <w:t xml:space="preserve">2.  </w:t>
      </w:r>
      <w:r>
        <w:rPr>
          <w:rFonts w:hint="eastAsia"/>
        </w:rPr>
        <w:t>本报告主要基于各政府部门的文件。很多部门参与了报告的联合起草过程，其中包括：公共卫生和社会福利部、公共事务秘书处、妇女秘书处、国家体育秘书处、教育和文化部、内政部、国家旅游秘书处及</w:t>
      </w:r>
      <w:bookmarkStart w:id="0" w:name="OLE_LINK3"/>
      <w:r>
        <w:rPr>
          <w:rFonts w:hint="eastAsia"/>
        </w:rPr>
        <w:t>统计、调查和普查总局</w:t>
      </w:r>
      <w:bookmarkEnd w:id="0"/>
      <w:r>
        <w:rPr>
          <w:rFonts w:hint="eastAsia"/>
        </w:rPr>
        <w:t>。此外，监察员办公室也参与其中。</w:t>
      </w:r>
    </w:p>
    <w:p w:rsidR="00DA7251" w:rsidRDefault="00DA7251">
      <w:pPr>
        <w:pStyle w:val="SingleTxtGC"/>
        <w:rPr>
          <w:lang w:val="es-ES"/>
        </w:rPr>
      </w:pPr>
      <w:r>
        <w:rPr>
          <w:lang w:val="es-ES"/>
        </w:rPr>
        <w:t xml:space="preserve">3.  </w:t>
      </w:r>
      <w:r>
        <w:rPr>
          <w:rFonts w:hint="eastAsia"/>
        </w:rPr>
        <w:t>民间社会通过因特网参与了本报告的咨询过程。其中</w:t>
      </w:r>
      <w:r>
        <w:rPr>
          <w:rFonts w:hint="eastAsia"/>
          <w:lang w:val="es-ES_tradnl"/>
        </w:rPr>
        <w:t>，促进</w:t>
      </w:r>
      <w:r>
        <w:rPr>
          <w:rFonts w:hint="eastAsia"/>
        </w:rPr>
        <w:t>残疾人权利国家协调办公室和萨拉基</w:t>
      </w:r>
      <w:r>
        <w:rPr>
          <w:rFonts w:hint="eastAsia"/>
          <w:lang w:val="es-ES_tradnl"/>
        </w:rPr>
        <w:t>(</w:t>
      </w:r>
      <w:r>
        <w:rPr>
          <w:lang w:val="es-ES_tradnl"/>
        </w:rPr>
        <w:t>Saraki</w:t>
      </w:r>
      <w:r>
        <w:rPr>
          <w:rFonts w:hint="eastAsia"/>
          <w:lang w:val="es-ES_tradnl"/>
        </w:rPr>
        <w:t>)</w:t>
      </w:r>
      <w:r>
        <w:rPr>
          <w:rFonts w:hint="eastAsia"/>
        </w:rPr>
        <w:t>基金会发表了各自的意见和建议，本报告在撰写过程中也考虑了这些意见和建议。</w:t>
      </w:r>
    </w:p>
    <w:p w:rsidR="00DA7251" w:rsidRDefault="00DA7251">
      <w:pPr>
        <w:pStyle w:val="HChGC"/>
        <w:rPr>
          <w:lang w:val="es-ES"/>
        </w:rPr>
      </w:pPr>
      <w:r>
        <w:rPr>
          <w:rFonts w:hint="eastAsia"/>
          <w:lang w:val="es-ES"/>
        </w:rPr>
        <w:tab/>
      </w:r>
      <w:r>
        <w:rPr>
          <w:rFonts w:hint="eastAsia"/>
          <w:lang w:val="es-ES"/>
        </w:rPr>
        <w:t>二</w:t>
      </w:r>
      <w:r>
        <w:rPr>
          <w:rFonts w:hint="eastAsia"/>
          <w:lang w:val="es-ES"/>
        </w:rPr>
        <w:t>.</w:t>
      </w:r>
      <w:r>
        <w:rPr>
          <w:rFonts w:hint="eastAsia"/>
          <w:lang w:val="es-ES"/>
        </w:rPr>
        <w:tab/>
      </w:r>
      <w:r>
        <w:rPr>
          <w:rFonts w:hint="eastAsia"/>
          <w:lang w:val="es-ES"/>
        </w:rPr>
        <w:t>《公约》的一般性规定：第一至四条</w:t>
      </w:r>
    </w:p>
    <w:p w:rsidR="00DA7251" w:rsidRDefault="00DA7251">
      <w:pPr>
        <w:pStyle w:val="SingleTxtGC"/>
        <w:rPr>
          <w:lang w:val="es-ES"/>
        </w:rPr>
      </w:pPr>
      <w:r>
        <w:rPr>
          <w:lang w:val="es-ES"/>
        </w:rPr>
        <w:t xml:space="preserve">4.  </w:t>
      </w:r>
      <w:r>
        <w:rPr>
          <w:rFonts w:hint="eastAsia"/>
        </w:rPr>
        <w:t>官方文件中用来叙述残疾人的术语包括</w:t>
      </w:r>
      <w:r>
        <w:rPr>
          <w:rFonts w:hint="eastAsia"/>
          <w:lang w:val="es-ES"/>
        </w:rPr>
        <w:t>：</w:t>
      </w:r>
    </w:p>
    <w:p w:rsidR="00DA7251" w:rsidRDefault="00DA7251">
      <w:pPr>
        <w:pStyle w:val="SingleTxtGC"/>
        <w:numPr>
          <w:ilvl w:val="0"/>
          <w:numId w:val="12"/>
        </w:numPr>
        <w:rPr>
          <w:lang w:val="es-ES"/>
        </w:rPr>
      </w:pPr>
      <w:r>
        <w:rPr>
          <w:rFonts w:hint="eastAsia"/>
        </w:rPr>
        <w:t>特殊人士</w:t>
      </w:r>
      <w:r>
        <w:rPr>
          <w:rFonts w:hint="eastAsia"/>
          <w:lang w:val="es-ES_tradnl"/>
        </w:rPr>
        <w:t>：</w:t>
      </w:r>
      <w:r>
        <w:rPr>
          <w:vertAlign w:val="superscript"/>
          <w:lang w:val="es-ES_tradnl"/>
        </w:rPr>
        <w:footnoteReference w:id="3"/>
      </w:r>
      <w:r w:rsidR="00B83EC3">
        <w:rPr>
          <w:lang w:val="es-ES_tradnl"/>
        </w:rPr>
        <w:t xml:space="preserve"> </w:t>
      </w:r>
      <w:r>
        <w:rPr>
          <w:rFonts w:hint="eastAsia"/>
        </w:rPr>
        <w:t>该术语从</w:t>
      </w:r>
      <w:r>
        <w:rPr>
          <w:lang w:val="es-ES_tradnl"/>
        </w:rPr>
        <w:t>1979</w:t>
      </w:r>
      <w:r>
        <w:rPr>
          <w:rFonts w:hint="eastAsia"/>
        </w:rPr>
        <w:t>年起开始使用。所有因先天或后天原因导致精神或生理缺陷，并影响其工作、学习或生活自理能力者，均被称之为“特殊人士”、“身体有缺陷者”或“受益人”。</w:t>
      </w:r>
    </w:p>
    <w:p w:rsidR="00DA7251" w:rsidRDefault="00DA7251">
      <w:pPr>
        <w:pStyle w:val="SingleTxtGC"/>
        <w:numPr>
          <w:ilvl w:val="0"/>
          <w:numId w:val="12"/>
        </w:numPr>
        <w:rPr>
          <w:lang w:val="es-ES"/>
        </w:rPr>
      </w:pPr>
      <w:r>
        <w:rPr>
          <w:rFonts w:hint="eastAsia"/>
        </w:rPr>
        <w:t>异能人士</w:t>
      </w:r>
      <w:r>
        <w:rPr>
          <w:rFonts w:hint="eastAsia"/>
          <w:lang w:val="es-ES_tradnl"/>
        </w:rPr>
        <w:t>：</w:t>
      </w:r>
      <w:r>
        <w:rPr>
          <w:rFonts w:hint="eastAsia"/>
        </w:rPr>
        <w:t>由于运动、感官或精神障碍</w:t>
      </w:r>
      <w:r>
        <w:rPr>
          <w:rFonts w:hint="eastAsia"/>
          <w:lang w:val="es-ES"/>
        </w:rPr>
        <w:t>，</w:t>
      </w:r>
      <w:r>
        <w:rPr>
          <w:rFonts w:hint="eastAsia"/>
        </w:rPr>
        <w:t>在实施正常人的日常生活行为方面存在永久性能力限制者。在中央省政府办公室、全国特殊人士保护研究所、中央省残疾人父母网及统计、调查和普查总局</w:t>
      </w:r>
      <w:r>
        <w:t>于</w:t>
      </w:r>
      <w:r>
        <w:rPr>
          <w:lang w:val="es-ES"/>
        </w:rPr>
        <w:t>2002</w:t>
      </w:r>
      <w:r>
        <w:rPr>
          <w:rFonts w:hint="eastAsia"/>
        </w:rPr>
        <w:t>年进行的</w:t>
      </w:r>
      <w:r>
        <w:rPr>
          <w:rFonts w:hint="eastAsia"/>
          <w:lang w:val="es-ES"/>
        </w:rPr>
        <w:t>“</w:t>
      </w:r>
      <w:r>
        <w:rPr>
          <w:rFonts w:hint="eastAsia"/>
        </w:rPr>
        <w:t>中央省异能人士调查</w:t>
      </w:r>
      <w:r>
        <w:rPr>
          <w:rFonts w:hint="eastAsia"/>
          <w:lang w:val="es-ES"/>
        </w:rPr>
        <w:t>”</w:t>
      </w:r>
      <w:r>
        <w:rPr>
          <w:vertAlign w:val="superscript"/>
          <w:lang w:val="es-ES"/>
        </w:rPr>
        <w:footnoteReference w:id="4"/>
      </w:r>
      <w:r w:rsidR="00B83EC3">
        <w:rPr>
          <w:lang w:val="es-ES"/>
        </w:rPr>
        <w:t xml:space="preserve"> </w:t>
      </w:r>
      <w:r>
        <w:rPr>
          <w:rFonts w:hint="eastAsia"/>
        </w:rPr>
        <w:t>中</w:t>
      </w:r>
      <w:r>
        <w:rPr>
          <w:rFonts w:hint="eastAsia"/>
          <w:lang w:val="es-ES"/>
        </w:rPr>
        <w:t>，</w:t>
      </w:r>
      <w:r>
        <w:rPr>
          <w:rFonts w:hint="eastAsia"/>
        </w:rPr>
        <w:t>用到了这一定义。</w:t>
      </w:r>
    </w:p>
    <w:p w:rsidR="00DA7251" w:rsidRDefault="00DA7251" w:rsidP="00B83EC3">
      <w:pPr>
        <w:pStyle w:val="SingleTxtGC"/>
        <w:numPr>
          <w:ilvl w:val="0"/>
          <w:numId w:val="12"/>
        </w:numPr>
        <w:rPr>
          <w:lang w:val="es-ES"/>
        </w:rPr>
      </w:pPr>
      <w:r>
        <w:rPr>
          <w:rFonts w:hint="eastAsia"/>
        </w:rPr>
        <w:t>残障人士</w:t>
      </w:r>
      <w:r>
        <w:rPr>
          <w:rFonts w:hint="eastAsia"/>
          <w:lang w:val="es-ES"/>
        </w:rPr>
        <w:t>：</w:t>
      </w:r>
      <w:r>
        <w:rPr>
          <w:lang w:val="es-ES"/>
        </w:rPr>
        <w:t>2002</w:t>
      </w:r>
      <w:r>
        <w:t>年</w:t>
      </w:r>
      <w:r>
        <w:rPr>
          <w:rFonts w:hint="eastAsia"/>
        </w:rPr>
        <w:t>全国人口普查中使用了这一术语。</w:t>
      </w:r>
    </w:p>
    <w:p w:rsidR="00DA7251" w:rsidRDefault="00DA7251">
      <w:pPr>
        <w:pStyle w:val="SingleTxtGC"/>
        <w:rPr>
          <w:lang w:val="es-ES"/>
        </w:rPr>
      </w:pPr>
      <w:r>
        <w:rPr>
          <w:lang w:val="es-ES"/>
        </w:rPr>
        <w:t xml:space="preserve">5.  </w:t>
      </w:r>
      <w:r>
        <w:rPr>
          <w:rFonts w:hint="eastAsia"/>
        </w:rPr>
        <w:t>促进残疾人参与公共论坛和服务的基本做法是逐步宣传为残疾人提供合理的便利设备</w:t>
      </w:r>
      <w:r>
        <w:rPr>
          <w:rFonts w:hint="eastAsia"/>
          <w:lang w:val="es-ES"/>
        </w:rPr>
        <w:t>，</w:t>
      </w:r>
      <w:r>
        <w:rPr>
          <w:rFonts w:hint="eastAsia"/>
        </w:rPr>
        <w:t>并采用在通用设计基础上制定的程序、环境和服务。这些措施在无障碍、国家服务信息、医疗保健和教育领域非常重要。虽然已经取得了某些进步</w:t>
      </w:r>
      <w:r>
        <w:rPr>
          <w:rFonts w:hint="eastAsia"/>
          <w:lang w:val="es-ES"/>
        </w:rPr>
        <w:t>，</w:t>
      </w:r>
      <w:r>
        <w:rPr>
          <w:rFonts w:hint="eastAsia"/>
        </w:rPr>
        <w:t>但巴拉圭认识到</w:t>
      </w:r>
      <w:r>
        <w:rPr>
          <w:rFonts w:hint="eastAsia"/>
          <w:lang w:val="es-ES"/>
        </w:rPr>
        <w:t>，</w:t>
      </w:r>
      <w:r>
        <w:rPr>
          <w:rFonts w:hint="eastAsia"/>
        </w:rPr>
        <w:t>需要采取必要的或合理便利措施，促进残疾人的融合</w:t>
      </w:r>
      <w:r>
        <w:rPr>
          <w:rFonts w:hint="eastAsia"/>
          <w:lang w:val="es-ES"/>
        </w:rPr>
        <w:t>，</w:t>
      </w:r>
      <w:r>
        <w:rPr>
          <w:rFonts w:hint="eastAsia"/>
        </w:rPr>
        <w:t>并推进残疾人事务。</w:t>
      </w:r>
    </w:p>
    <w:p w:rsidR="00DA7251" w:rsidRDefault="00DA7251">
      <w:pPr>
        <w:pStyle w:val="SingleTxtGC"/>
        <w:rPr>
          <w:lang w:val="es-ES"/>
        </w:rPr>
      </w:pPr>
      <w:r>
        <w:rPr>
          <w:lang w:val="es-ES"/>
        </w:rPr>
        <w:t xml:space="preserve">6.  </w:t>
      </w:r>
      <w:r>
        <w:rPr>
          <w:rFonts w:hint="eastAsia"/>
        </w:rPr>
        <w:t>巴拉圭制定了包括积极行动措施在内的各种政策和方案</w:t>
      </w:r>
      <w:r>
        <w:rPr>
          <w:rFonts w:hint="eastAsia"/>
          <w:lang w:val="es-ES"/>
        </w:rPr>
        <w:t>，在</w:t>
      </w:r>
      <w:r>
        <w:rPr>
          <w:rFonts w:hint="eastAsia"/>
        </w:rPr>
        <w:t>考虑到残疾人情况多样性的同时</w:t>
      </w:r>
      <w:r>
        <w:rPr>
          <w:rFonts w:hint="eastAsia"/>
          <w:lang w:val="es-ES"/>
        </w:rPr>
        <w:t>，</w:t>
      </w:r>
      <w:r>
        <w:rPr>
          <w:rFonts w:hint="eastAsia"/>
        </w:rPr>
        <w:t>确保实现残疾人事实上的平等。根据《第</w:t>
      </w:r>
      <w:r>
        <w:rPr>
          <w:lang w:val="es-ES"/>
        </w:rPr>
        <w:t>2479/04</w:t>
      </w:r>
      <w:r>
        <w:rPr>
          <w:rFonts w:hint="eastAsia"/>
        </w:rPr>
        <w:t>号法案》及其修正案</w:t>
      </w:r>
      <w:r>
        <w:rPr>
          <w:rFonts w:hint="eastAsia"/>
          <w:lang w:val="es-ES"/>
        </w:rPr>
        <w:t>，即</w:t>
      </w:r>
      <w:r>
        <w:rPr>
          <w:rFonts w:hint="eastAsia"/>
        </w:rPr>
        <w:t>关于残疾人就业的《第</w:t>
      </w:r>
      <w:r>
        <w:rPr>
          <w:lang w:val="es-ES"/>
        </w:rPr>
        <w:t>3585/08</w:t>
      </w:r>
      <w:r>
        <w:rPr>
          <w:rFonts w:hint="eastAsia"/>
        </w:rPr>
        <w:t>号法案》，公共机构至少应有</w:t>
      </w:r>
      <w:r>
        <w:rPr>
          <w:lang w:val="es-ES"/>
        </w:rPr>
        <w:t>5%</w:t>
      </w:r>
      <w:r>
        <w:t>的工作人员为残疾人</w:t>
      </w:r>
      <w:r>
        <w:rPr>
          <w:lang w:val="es-ES"/>
        </w:rPr>
        <w:t>，</w:t>
      </w:r>
      <w:r>
        <w:t>之前</w:t>
      </w:r>
      <w:r>
        <w:rPr>
          <w:rFonts w:hint="eastAsia"/>
        </w:rPr>
        <w:t>的法案</w:t>
      </w:r>
      <w:r>
        <w:t>要求的比例为</w:t>
      </w:r>
      <w:r>
        <w:rPr>
          <w:lang w:val="es-ES"/>
        </w:rPr>
        <w:t>2%</w:t>
      </w:r>
      <w:r>
        <w:rPr>
          <w:lang w:val="es-ES"/>
        </w:rPr>
        <w:t>，</w:t>
      </w:r>
      <w:r>
        <w:t>这</w:t>
      </w:r>
      <w:r>
        <w:rPr>
          <w:rFonts w:hint="eastAsia"/>
        </w:rPr>
        <w:t>已经代表着一项进步。</w:t>
      </w:r>
    </w:p>
    <w:p w:rsidR="00DA7251" w:rsidRDefault="00DA7251">
      <w:pPr>
        <w:pStyle w:val="SingleTxtGC"/>
        <w:rPr>
          <w:lang w:val="es-ES_tradnl"/>
        </w:rPr>
      </w:pPr>
      <w:r>
        <w:rPr>
          <w:lang w:val="es-ES"/>
        </w:rPr>
        <w:t xml:space="preserve">7.  </w:t>
      </w:r>
      <w:r>
        <w:rPr>
          <w:rFonts w:hint="eastAsia"/>
          <w:lang w:val="es-ES"/>
        </w:rPr>
        <w:t>根据《</w:t>
      </w:r>
      <w:r>
        <w:rPr>
          <w:rFonts w:hint="eastAsia"/>
        </w:rPr>
        <w:t>第</w:t>
      </w:r>
      <w:r>
        <w:rPr>
          <w:lang w:val="es-ES"/>
        </w:rPr>
        <w:t>3585/08</w:t>
      </w:r>
      <w:r>
        <w:rPr>
          <w:rFonts w:hint="eastAsia"/>
        </w:rPr>
        <w:t>号法案》</w:t>
      </w:r>
      <w:r>
        <w:t>第</w:t>
      </w:r>
      <w:r>
        <w:rPr>
          <w:lang w:val="es-ES"/>
        </w:rPr>
        <w:t>6</w:t>
      </w:r>
      <w:r>
        <w:t>条</w:t>
      </w:r>
      <w:r>
        <w:rPr>
          <w:rFonts w:hint="eastAsia"/>
        </w:rPr>
        <w:t>，</w:t>
      </w:r>
      <w:r>
        <w:rPr>
          <w:rFonts w:hint="eastAsia"/>
          <w:lang w:val="es-ES"/>
        </w:rPr>
        <w:t>“</w:t>
      </w:r>
      <w:r>
        <w:rPr>
          <w:rFonts w:hint="eastAsia"/>
        </w:rPr>
        <w:t>为了执行本法案</w:t>
      </w:r>
      <w:r>
        <w:rPr>
          <w:rFonts w:hint="eastAsia"/>
          <w:lang w:val="es-ES"/>
        </w:rPr>
        <w:t>，</w:t>
      </w:r>
      <w:r>
        <w:rPr>
          <w:rFonts w:hint="eastAsia"/>
        </w:rPr>
        <w:t>该法案</w:t>
      </w:r>
      <w:r>
        <w:t>第</w:t>
      </w:r>
      <w:r>
        <w:rPr>
          <w:lang w:val="es-ES"/>
        </w:rPr>
        <w:t>1</w:t>
      </w:r>
      <w:r>
        <w:t>条</w:t>
      </w:r>
      <w:r>
        <w:rPr>
          <w:rFonts w:hint="eastAsia"/>
        </w:rPr>
        <w:t>中提到的各机构应对其预算草案或初步预算草案进行适当的调整。此类调整应不仅提供工资和其他社会收益</w:t>
      </w:r>
      <w:r>
        <w:rPr>
          <w:rFonts w:hint="eastAsia"/>
          <w:lang w:val="es-ES"/>
        </w:rPr>
        <w:t>，</w:t>
      </w:r>
      <w:r>
        <w:rPr>
          <w:rFonts w:hint="eastAsia"/>
        </w:rPr>
        <w:t>还应包括为确保该法案</w:t>
      </w:r>
      <w:r>
        <w:rPr>
          <w:rStyle w:val="FootnoteReference"/>
        </w:rPr>
        <w:footnoteReference w:id="5"/>
      </w:r>
      <w:r>
        <w:rPr>
          <w:rStyle w:val="FootnoteReference"/>
          <w:vertAlign w:val="baseline"/>
        </w:rPr>
        <w:t xml:space="preserve"> </w:t>
      </w:r>
      <w:r>
        <w:rPr>
          <w:rFonts w:hint="eastAsia"/>
        </w:rPr>
        <w:t>最佳执行效果所必需的培训</w:t>
      </w:r>
      <w:r>
        <w:rPr>
          <w:rFonts w:hint="eastAsia"/>
          <w:lang w:val="es-ES"/>
        </w:rPr>
        <w:t>，</w:t>
      </w:r>
      <w:r>
        <w:rPr>
          <w:rFonts w:hint="eastAsia"/>
        </w:rPr>
        <w:t>以及为升级物理、技术和沟通设施安排必要的资金。</w:t>
      </w:r>
    </w:p>
    <w:p w:rsidR="00DA7251" w:rsidRDefault="00DA7251">
      <w:pPr>
        <w:pStyle w:val="SingleTxtGC"/>
        <w:rPr>
          <w:lang w:val="es-ES"/>
        </w:rPr>
      </w:pPr>
      <w:r>
        <w:rPr>
          <w:lang w:val="es-ES"/>
        </w:rPr>
        <w:t xml:space="preserve">8.  </w:t>
      </w:r>
      <w:r>
        <w:rPr>
          <w:rFonts w:hint="eastAsia"/>
        </w:rPr>
        <w:t>在咨询民间社会组织后</w:t>
      </w:r>
      <w:r>
        <w:rPr>
          <w:rFonts w:hint="eastAsia"/>
          <w:lang w:val="es-ES_tradnl"/>
        </w:rPr>
        <w:t>，</w:t>
      </w:r>
      <w:r>
        <w:rPr>
          <w:rFonts w:hint="eastAsia"/>
        </w:rPr>
        <w:t>公共事务秘书处起草了第</w:t>
      </w:r>
      <w:r>
        <w:rPr>
          <w:lang w:val="es-ES_tradnl"/>
        </w:rPr>
        <w:t>980/09</w:t>
      </w:r>
      <w:r>
        <w:rPr>
          <w:rFonts w:hint="eastAsia"/>
        </w:rPr>
        <w:t>号决议。该决议对残疾人进入公共职能部门做了一般性规定，该规定</w:t>
      </w:r>
      <w:r>
        <w:t>于</w:t>
      </w:r>
      <w:smartTag w:uri="urn:schemas-microsoft-com:office:smarttags" w:element="chsdate">
        <w:smartTagPr>
          <w:attr w:name="Year" w:val="2010"/>
          <w:attr w:name="Month" w:val="1"/>
          <w:attr w:name="Day" w:val="1"/>
          <w:attr w:name="IsLunarDate" w:val="False"/>
          <w:attr w:name="IsROCDate" w:val="False"/>
        </w:smartTagPr>
        <w:r>
          <w:t>2010</w:t>
        </w:r>
        <w:r>
          <w:t>年</w:t>
        </w:r>
        <w:r>
          <w:t>1</w:t>
        </w:r>
        <w:r>
          <w:t>月</w:t>
        </w:r>
        <w:r>
          <w:t>1</w:t>
        </w:r>
        <w:r>
          <w:t>日</w:t>
        </w:r>
      </w:smartTag>
      <w:r>
        <w:t>起</w:t>
      </w:r>
      <w:r>
        <w:rPr>
          <w:rFonts w:hint="eastAsia"/>
        </w:rPr>
        <w:t>生效。此外，拟议执行的《第</w:t>
      </w:r>
      <w:r>
        <w:t>3585/08</w:t>
      </w:r>
      <w:r>
        <w:rPr>
          <w:rFonts w:hint="eastAsia"/>
        </w:rPr>
        <w:t>号法案》，以及修订《第</w:t>
      </w:r>
      <w:r>
        <w:t>2479/04</w:t>
      </w:r>
      <w:r>
        <w:rPr>
          <w:rFonts w:hint="eastAsia"/>
        </w:rPr>
        <w:t>号法案》第</w:t>
      </w:r>
      <w:r>
        <w:t>1</w:t>
      </w:r>
      <w:r>
        <w:rPr>
          <w:rFonts w:hint="eastAsia"/>
        </w:rPr>
        <w:t>条、第</w:t>
      </w:r>
      <w:r>
        <w:t>4</w:t>
      </w:r>
      <w:r>
        <w:rPr>
          <w:rFonts w:hint="eastAsia"/>
        </w:rPr>
        <w:t>条和第</w:t>
      </w:r>
      <w:r>
        <w:t>6</w:t>
      </w:r>
      <w:r>
        <w:rPr>
          <w:rFonts w:hint="eastAsia"/>
        </w:rPr>
        <w:t>条，已提交民间社会以供其审议。</w:t>
      </w:r>
    </w:p>
    <w:p w:rsidR="00DA7251" w:rsidRDefault="00DA7251">
      <w:pPr>
        <w:pStyle w:val="SingleTxtGC"/>
        <w:rPr>
          <w:lang w:val="es-ES"/>
        </w:rPr>
      </w:pPr>
      <w:r>
        <w:rPr>
          <w:lang w:val="es-ES"/>
        </w:rPr>
        <w:t xml:space="preserve">9.  </w:t>
      </w:r>
      <w:r>
        <w:rPr>
          <w:rFonts w:hint="eastAsia"/>
        </w:rPr>
        <w:t>公共事务秘书处还批准通过了第</w:t>
      </w:r>
      <w:r>
        <w:rPr>
          <w:lang w:val="es-ES"/>
        </w:rPr>
        <w:t>942/09</w:t>
      </w:r>
      <w:r>
        <w:rPr>
          <w:rFonts w:hint="eastAsia"/>
        </w:rPr>
        <w:t>号决议。该决议确立了公共职能部门中不歧视和融合政策的基本框架，其中包括公共职能部门中不得歧视残疾人的条款。通过各方参与，公共事务秘书处编制了公共职能部门融合与不歧视措施指南。该指南不仅提到了支持不歧视的法律框架，还提供了在残疾人事务等领域的一些最佳做法示例。该指南现已出版，根据公共事务秘书处第</w:t>
      </w:r>
      <w:r>
        <w:t>426/10</w:t>
      </w:r>
      <w:r>
        <w:rPr>
          <w:rFonts w:hint="eastAsia"/>
        </w:rPr>
        <w:t>号决议，广为发放该指南以用于培训。</w:t>
      </w:r>
    </w:p>
    <w:p w:rsidR="00DA7251" w:rsidRDefault="00DA7251">
      <w:pPr>
        <w:pStyle w:val="HChGC"/>
        <w:rPr>
          <w:lang w:val="es-ES"/>
        </w:rPr>
      </w:pPr>
      <w:r>
        <w:rPr>
          <w:rFonts w:hint="eastAsia"/>
          <w:lang w:val="es-ES"/>
        </w:rPr>
        <w:tab/>
      </w:r>
      <w:r>
        <w:rPr>
          <w:rFonts w:hint="eastAsia"/>
          <w:lang w:val="es-ES"/>
        </w:rPr>
        <w:t>三</w:t>
      </w:r>
      <w:r>
        <w:rPr>
          <w:rFonts w:hint="eastAsia"/>
          <w:lang w:val="es-ES"/>
        </w:rPr>
        <w:t>.</w:t>
      </w:r>
      <w:r>
        <w:rPr>
          <w:rFonts w:hint="eastAsia"/>
          <w:lang w:val="es-ES"/>
        </w:rPr>
        <w:tab/>
      </w:r>
      <w:r>
        <w:rPr>
          <w:rFonts w:hint="eastAsia"/>
          <w:lang w:val="es-ES"/>
        </w:rPr>
        <w:t>具体权利</w:t>
      </w:r>
    </w:p>
    <w:p w:rsidR="00DA7251" w:rsidRDefault="00DA7251">
      <w:pPr>
        <w:pStyle w:val="H1GC"/>
        <w:rPr>
          <w:lang w:val="es-ES_tradnl"/>
        </w:rPr>
      </w:pPr>
      <w:r>
        <w:rPr>
          <w:rFonts w:hint="eastAsia"/>
          <w:lang w:val="es-ES_tradnl"/>
        </w:rPr>
        <w:tab/>
      </w:r>
      <w:r>
        <w:rPr>
          <w:lang w:val="es-ES_tradnl"/>
        </w:rPr>
        <w:t>A.</w:t>
      </w:r>
      <w:r>
        <w:rPr>
          <w:lang w:val="es-ES_tradnl"/>
        </w:rPr>
        <w:tab/>
      </w:r>
      <w:r>
        <w:rPr>
          <w:rFonts w:hint="eastAsia"/>
          <w:lang w:val="es-ES_tradnl"/>
        </w:rPr>
        <w:t>第五条：平等和不歧视</w:t>
      </w:r>
    </w:p>
    <w:p w:rsidR="00DA7251" w:rsidRDefault="00DA7251">
      <w:pPr>
        <w:pStyle w:val="SingleTxtGC"/>
        <w:rPr>
          <w:lang w:val="es-ES_tradnl"/>
        </w:rPr>
      </w:pPr>
      <w:r>
        <w:rPr>
          <w:lang w:val="es-ES"/>
        </w:rPr>
        <w:t xml:space="preserve">10.  </w:t>
      </w:r>
      <w:r>
        <w:rPr>
          <w:rFonts w:hint="eastAsia"/>
        </w:rPr>
        <w:t>《巴拉圭共和国宪法》对不歧视权做了规定</w:t>
      </w:r>
      <w:r>
        <w:rPr>
          <w:rFonts w:hint="eastAsia"/>
          <w:lang w:val="es-ES"/>
        </w:rPr>
        <w:t>，</w:t>
      </w:r>
      <w:r>
        <w:rPr>
          <w:rFonts w:hint="eastAsia"/>
        </w:rPr>
        <w:t>并指出巴拉圭全体居民应享有平等的尊严和权利。《宪法》同时指出：“国家将消除支持或鼓励</w:t>
      </w:r>
      <w:r>
        <w:rPr>
          <w:rFonts w:hint="eastAsia"/>
        </w:rPr>
        <w:t>[</w:t>
      </w:r>
      <w:r>
        <w:rPr>
          <w:rFonts w:hint="eastAsia"/>
        </w:rPr>
        <w:t>歧视</w:t>
      </w:r>
      <w:r>
        <w:rPr>
          <w:rFonts w:hint="eastAsia"/>
        </w:rPr>
        <w:t>]</w:t>
      </w:r>
      <w:r>
        <w:rPr>
          <w:rFonts w:hint="eastAsia"/>
        </w:rPr>
        <w:t>的一切阻碍及因素。</w:t>
      </w:r>
      <w:r>
        <w:rPr>
          <w:rFonts w:hint="eastAsia"/>
          <w:lang w:val="es-ES_tradnl"/>
        </w:rPr>
        <w:t>”不应将旨在</w:t>
      </w:r>
      <w:r>
        <w:rPr>
          <w:rFonts w:hint="eastAsia"/>
        </w:rPr>
        <w:t>保护公民免受不公正、不平等待遇的保障措施视为</w:t>
      </w:r>
      <w:r>
        <w:rPr>
          <w:rFonts w:hint="eastAsia"/>
        </w:rPr>
        <w:t xml:space="preserve"> </w:t>
      </w:r>
      <w:r>
        <w:rPr>
          <w:rFonts w:hint="eastAsia"/>
        </w:rPr>
        <w:t>“歧视性措施”，而是应视为“主张平等的措施”。</w:t>
      </w:r>
      <w:r>
        <w:rPr>
          <w:rStyle w:val="FootnoteReference"/>
        </w:rPr>
        <w:footnoteReference w:id="6"/>
      </w:r>
      <w:r>
        <w:rPr>
          <w:rStyle w:val="FootnoteReference"/>
          <w:vertAlign w:val="baseline"/>
        </w:rPr>
        <w:t xml:space="preserve"> </w:t>
      </w:r>
    </w:p>
    <w:p w:rsidR="00DA7251" w:rsidRDefault="00DA7251">
      <w:pPr>
        <w:pStyle w:val="SingleTxtGC"/>
        <w:rPr>
          <w:lang w:val="es-ES"/>
        </w:rPr>
      </w:pPr>
      <w:r>
        <w:rPr>
          <w:lang w:val="es-ES"/>
        </w:rPr>
        <w:t xml:space="preserve">11.  </w:t>
      </w:r>
      <w:r>
        <w:rPr>
          <w:rFonts w:hint="eastAsia"/>
        </w:rPr>
        <w:t>为了保障残疾人平等地得到有效的法律保护、免受一切形式的歧视</w:t>
      </w:r>
      <w:r>
        <w:rPr>
          <w:rFonts w:hint="eastAsia"/>
          <w:lang w:val="es-ES_tradnl"/>
        </w:rPr>
        <w:t>，包括</w:t>
      </w:r>
      <w:r>
        <w:rPr>
          <w:rFonts w:hint="eastAsia"/>
        </w:rPr>
        <w:t>向他们提供各种必要的便利</w:t>
      </w:r>
      <w:r>
        <w:rPr>
          <w:rFonts w:hint="eastAsia"/>
          <w:lang w:val="es-ES_tradnl"/>
        </w:rPr>
        <w:t>，</w:t>
      </w:r>
      <w:r>
        <w:rPr>
          <w:rFonts w:hint="eastAsia"/>
        </w:rPr>
        <w:t>法律面前平等的权利，享有受法律保护的权利，享有不歧视的权利等所采取的有效措施是遵循《宪法》所规定的“法治”建立社会国家的基石。《宪法》指出：所有人，无论其有何种不同，都有权利用国家立法。</w:t>
      </w:r>
    </w:p>
    <w:p w:rsidR="00DA7251" w:rsidRDefault="00DA7251" w:rsidP="00B83EC3">
      <w:pPr>
        <w:pStyle w:val="SingleTxtGC"/>
        <w:rPr>
          <w:lang w:val="es-ES"/>
        </w:rPr>
      </w:pPr>
      <w:r>
        <w:rPr>
          <w:lang w:val="es-ES"/>
        </w:rPr>
        <w:t xml:space="preserve">12.  </w:t>
      </w:r>
      <w:r>
        <w:rPr>
          <w:rFonts w:hint="eastAsia"/>
        </w:rPr>
        <w:t>《宪法》第</w:t>
      </w:r>
      <w:r>
        <w:rPr>
          <w:lang w:val="es-ES"/>
        </w:rPr>
        <w:t>58</w:t>
      </w:r>
      <w:r>
        <w:t>条</w:t>
      </w:r>
      <w:r>
        <w:rPr>
          <w:rFonts w:hint="eastAsia"/>
        </w:rPr>
        <w:t>论及特殊人士的权利，该条规定</w:t>
      </w:r>
      <w:r>
        <w:rPr>
          <w:rFonts w:hint="eastAsia"/>
          <w:lang w:val="es-ES"/>
        </w:rPr>
        <w:t>：“应为</w:t>
      </w:r>
      <w:r>
        <w:rPr>
          <w:rFonts w:hint="eastAsia"/>
        </w:rPr>
        <w:t>特殊人士的医疗保健、教育、娱乐服务和旨在全面融入社会的职业培训提供保障。国家应制定预防残疾的政策，为生理、心理和感官残疾人制定治疗、康复和社会融合政策，并应为其提供所需的特别照顾。为了对他们因残疾而承受的不利条件进行补偿</w:t>
      </w:r>
      <w:r>
        <w:rPr>
          <w:rFonts w:hint="eastAsia"/>
          <w:lang w:val="es-ES"/>
        </w:rPr>
        <w:t>，</w:t>
      </w:r>
      <w:r>
        <w:rPr>
          <w:rFonts w:hint="eastAsia"/>
        </w:rPr>
        <w:t>应确保他们享受《宪法》赋予共和国全体居民的机会平等的各项权利。残疾人在与他人平等的基础上能够利用法律保护或追求自身利益。</w:t>
      </w:r>
      <w:r>
        <w:rPr>
          <w:rFonts w:hint="eastAsia"/>
          <w:lang w:val="es-ES"/>
        </w:rPr>
        <w:t>”</w:t>
      </w:r>
    </w:p>
    <w:p w:rsidR="00DA7251" w:rsidRDefault="00DA7251">
      <w:pPr>
        <w:pStyle w:val="SingleTxtGC"/>
        <w:rPr>
          <w:lang w:val="es-ES"/>
        </w:rPr>
      </w:pPr>
      <w:r>
        <w:rPr>
          <w:lang w:val="es-ES"/>
        </w:rPr>
        <w:t xml:space="preserve">13.  </w:t>
      </w:r>
      <w:r>
        <w:rPr>
          <w:rFonts w:hint="eastAsia"/>
        </w:rPr>
        <w:t>此外</w:t>
      </w:r>
      <w:r>
        <w:rPr>
          <w:rFonts w:hint="eastAsia"/>
          <w:lang w:val="es-ES_tradnl"/>
        </w:rPr>
        <w:t>，</w:t>
      </w:r>
      <w:r>
        <w:rPr>
          <w:rFonts w:hint="eastAsia"/>
        </w:rPr>
        <w:t>巴拉圭共和国已批准通过了残疾人权利领域最重要的国际文书</w:t>
      </w:r>
      <w:r>
        <w:rPr>
          <w:rFonts w:hint="eastAsia"/>
          <w:lang w:val="es-ES_tradnl"/>
        </w:rPr>
        <w:t>，</w:t>
      </w:r>
      <w:r>
        <w:rPr>
          <w:rFonts w:hint="eastAsia"/>
        </w:rPr>
        <w:t>这些文书载有不歧视条款以及关于平等和平等保护的条款。</w:t>
      </w:r>
    </w:p>
    <w:p w:rsidR="00DA7251" w:rsidRDefault="00DA7251">
      <w:pPr>
        <w:pStyle w:val="SingleTxtGC"/>
        <w:rPr>
          <w:lang w:val="es-ES_tradnl"/>
        </w:rPr>
      </w:pPr>
      <w:r>
        <w:rPr>
          <w:lang w:val="es-ES"/>
        </w:rPr>
        <w:t xml:space="preserve">14.  </w:t>
      </w:r>
      <w:r>
        <w:rPr>
          <w:rFonts w:hint="eastAsia"/>
        </w:rPr>
        <w:t>例如</w:t>
      </w:r>
      <w:r>
        <w:rPr>
          <w:rFonts w:hint="eastAsia"/>
          <w:lang w:val="es-ES"/>
        </w:rPr>
        <w:t>，</w:t>
      </w:r>
      <w:r>
        <w:rPr>
          <w:rFonts w:hint="eastAsia"/>
        </w:rPr>
        <w:t>《公民权利和政治权利国际公约》禁止《公约》</w:t>
      </w:r>
      <w:r>
        <w:rPr>
          <w:rStyle w:val="FootnoteReference"/>
        </w:rPr>
        <w:footnoteReference w:id="7"/>
      </w:r>
      <w:r>
        <w:rPr>
          <w:rStyle w:val="FootnoteReference"/>
          <w:vertAlign w:val="baseline"/>
        </w:rPr>
        <w:t xml:space="preserve"> </w:t>
      </w:r>
      <w:r>
        <w:rPr>
          <w:rFonts w:hint="eastAsia"/>
        </w:rPr>
        <w:t>所承认的各项权利有关的歧视行为</w:t>
      </w:r>
      <w:r>
        <w:rPr>
          <w:rFonts w:hint="eastAsia"/>
          <w:lang w:val="es-ES"/>
        </w:rPr>
        <w:t>，</w:t>
      </w:r>
      <w:r>
        <w:rPr>
          <w:rFonts w:hint="eastAsia"/>
        </w:rPr>
        <w:t>并提到了男女平等</w:t>
      </w:r>
      <w:r>
        <w:rPr>
          <w:rFonts w:hint="eastAsia"/>
          <w:lang w:val="es-ES"/>
        </w:rPr>
        <w:t>、</w:t>
      </w:r>
      <w:r>
        <w:rPr>
          <w:rStyle w:val="FootnoteReference"/>
        </w:rPr>
        <w:footnoteReference w:id="8"/>
      </w:r>
      <w:r>
        <w:rPr>
          <w:rStyle w:val="FootnoteReference"/>
          <w:vertAlign w:val="baseline"/>
        </w:rPr>
        <w:t xml:space="preserve"> </w:t>
      </w:r>
      <w:r>
        <w:rPr>
          <w:rFonts w:hint="eastAsia"/>
        </w:rPr>
        <w:t>儿童之间平等</w:t>
      </w:r>
      <w:r>
        <w:rPr>
          <w:rFonts w:hint="eastAsia"/>
          <w:lang w:val="es-ES"/>
        </w:rPr>
        <w:t>、</w:t>
      </w:r>
      <w:r>
        <w:rPr>
          <w:rStyle w:val="FootnoteReference"/>
        </w:rPr>
        <w:footnoteReference w:id="9"/>
      </w:r>
      <w:r>
        <w:rPr>
          <w:rStyle w:val="FootnoteReference"/>
          <w:vertAlign w:val="baseline"/>
        </w:rPr>
        <w:t xml:space="preserve"> </w:t>
      </w:r>
      <w:r>
        <w:rPr>
          <w:rFonts w:hint="eastAsia"/>
        </w:rPr>
        <w:t>法律面前平等</w:t>
      </w:r>
      <w:r>
        <w:rPr>
          <w:rFonts w:hint="eastAsia"/>
          <w:lang w:val="es-ES"/>
        </w:rPr>
        <w:t>、</w:t>
      </w:r>
      <w:r>
        <w:rPr>
          <w:rFonts w:hint="eastAsia"/>
        </w:rPr>
        <w:t>平等的法律保护</w:t>
      </w:r>
      <w:r>
        <w:rPr>
          <w:rFonts w:hint="eastAsia"/>
          <w:lang w:val="es-ES"/>
        </w:rPr>
        <w:t>，</w:t>
      </w:r>
      <w:r>
        <w:rPr>
          <w:rStyle w:val="FootnoteReference"/>
        </w:rPr>
        <w:footnoteReference w:id="10"/>
      </w:r>
      <w:r>
        <w:rPr>
          <w:rStyle w:val="FootnoteReference"/>
          <w:vertAlign w:val="baseline"/>
        </w:rPr>
        <w:t xml:space="preserve"> </w:t>
      </w:r>
      <w:r>
        <w:rPr>
          <w:rFonts w:hint="eastAsia"/>
        </w:rPr>
        <w:t>以及保护少数种族、宗教和语言群体。</w:t>
      </w:r>
      <w:r>
        <w:rPr>
          <w:rStyle w:val="FootnoteReference"/>
        </w:rPr>
        <w:footnoteReference w:id="11"/>
      </w:r>
      <w:r>
        <w:rPr>
          <w:rStyle w:val="FootnoteReference"/>
          <w:vertAlign w:val="baseline"/>
        </w:rPr>
        <w:t xml:space="preserve"> </w:t>
      </w:r>
    </w:p>
    <w:p w:rsidR="00DA7251" w:rsidRDefault="00DA7251">
      <w:pPr>
        <w:pStyle w:val="SingleTxtGC"/>
        <w:rPr>
          <w:lang w:val="es-ES"/>
        </w:rPr>
      </w:pPr>
      <w:r>
        <w:rPr>
          <w:lang w:val="es-ES"/>
        </w:rPr>
        <w:t xml:space="preserve">15.  </w:t>
      </w:r>
      <w:r>
        <w:rPr>
          <w:rFonts w:hint="eastAsia"/>
        </w:rPr>
        <w:t>在巴拉圭</w:t>
      </w:r>
      <w:r>
        <w:rPr>
          <w:rFonts w:hint="eastAsia"/>
          <w:lang w:val="es-ES_tradnl"/>
        </w:rPr>
        <w:t>，</w:t>
      </w:r>
      <w:r>
        <w:rPr>
          <w:rFonts w:hint="eastAsia"/>
        </w:rPr>
        <w:t>国际人权条约是法令的一部分</w:t>
      </w:r>
      <w:r>
        <w:rPr>
          <w:rFonts w:hint="eastAsia"/>
          <w:lang w:val="es-ES_tradnl"/>
        </w:rPr>
        <w:t>，</w:t>
      </w:r>
      <w:r>
        <w:rPr>
          <w:rFonts w:hint="eastAsia"/>
        </w:rPr>
        <w:t>规范和指导着政府行动。</w:t>
      </w:r>
      <w:r>
        <w:rPr>
          <w:lang w:val="es-ES"/>
        </w:rPr>
        <w:t>1992</w:t>
      </w:r>
      <w:r>
        <w:rPr>
          <w:rFonts w:hint="eastAsia"/>
        </w:rPr>
        <w:t>年的《巴拉圭宪法》把人权条约提高到准宪法级别，优先于立法机关和较低一级其他立法机构颁布的法律，如：法院判决、法令或行政决议，</w:t>
      </w:r>
      <w:r>
        <w:rPr>
          <w:rStyle w:val="FootnoteReference"/>
        </w:rPr>
        <w:footnoteReference w:id="12"/>
      </w:r>
      <w:r>
        <w:rPr>
          <w:rStyle w:val="FootnoteReference"/>
          <w:vertAlign w:val="baseline"/>
        </w:rPr>
        <w:t xml:space="preserve"> </w:t>
      </w:r>
      <w:r>
        <w:rPr>
          <w:rFonts w:hint="eastAsia"/>
        </w:rPr>
        <w:t>后者在任何情况下均应尊重和执行《宪法》和国际法规定的各项权利。此外，国际人权条约一旦批准通过，其稳定性堪比《宪法》。因为其废除须遵循修宪程序。</w:t>
      </w:r>
      <w:r>
        <w:rPr>
          <w:rStyle w:val="FootnoteReference"/>
        </w:rPr>
        <w:footnoteReference w:id="13"/>
      </w:r>
      <w:r>
        <w:rPr>
          <w:rStyle w:val="FootnoteReference"/>
          <w:vertAlign w:val="baseline"/>
        </w:rPr>
        <w:t xml:space="preserve"> </w:t>
      </w:r>
    </w:p>
    <w:p w:rsidR="00DA7251" w:rsidRDefault="00DA7251">
      <w:pPr>
        <w:pStyle w:val="SingleTxtGC"/>
        <w:rPr>
          <w:lang w:val="es-ES"/>
        </w:rPr>
      </w:pPr>
      <w:r>
        <w:rPr>
          <w:lang w:val="es-ES"/>
        </w:rPr>
        <w:t xml:space="preserve">16.  </w:t>
      </w:r>
      <w:r>
        <w:rPr>
          <w:rFonts w:hint="eastAsia"/>
        </w:rPr>
        <w:t>国家公共事务秘书处通过第</w:t>
      </w:r>
      <w:r>
        <w:rPr>
          <w:lang w:val="es-ES"/>
        </w:rPr>
        <w:t>2226/09</w:t>
      </w:r>
      <w:r>
        <w:rPr>
          <w:rFonts w:hint="eastAsia"/>
        </w:rPr>
        <w:t>号法令成立了平等和包容政策总局</w:t>
      </w:r>
      <w:r>
        <w:rPr>
          <w:rFonts w:hint="eastAsia"/>
          <w:lang w:val="es-ES"/>
        </w:rPr>
        <w:t>；</w:t>
      </w:r>
      <w:r>
        <w:rPr>
          <w:rFonts w:hint="eastAsia"/>
        </w:rPr>
        <w:t>根据第</w:t>
      </w:r>
      <w:r>
        <w:rPr>
          <w:lang w:val="es-ES"/>
        </w:rPr>
        <w:t>942/09</w:t>
      </w:r>
      <w:r>
        <w:rPr>
          <w:rFonts w:hint="eastAsia"/>
        </w:rPr>
        <w:t>号决议制定了公共职能部门不歧视的一般政策框架</w:t>
      </w:r>
      <w:r>
        <w:rPr>
          <w:rFonts w:hint="eastAsia"/>
          <w:lang w:val="es-ES"/>
        </w:rPr>
        <w:t>，其中包括不歧视残疾人的规定</w:t>
      </w:r>
      <w:r>
        <w:rPr>
          <w:rFonts w:hint="eastAsia"/>
        </w:rPr>
        <w:t>。</w:t>
      </w:r>
    </w:p>
    <w:p w:rsidR="00DA7251" w:rsidRDefault="00DA7251">
      <w:pPr>
        <w:pStyle w:val="SingleTxtGC"/>
        <w:rPr>
          <w:lang w:val="es-ES"/>
        </w:rPr>
      </w:pPr>
      <w:r>
        <w:rPr>
          <w:lang w:val="es-ES"/>
        </w:rPr>
        <w:t xml:space="preserve">17.  </w:t>
      </w:r>
      <w:r>
        <w:rPr>
          <w:rFonts w:hint="eastAsia"/>
        </w:rPr>
        <w:t>关于公共职能的《第</w:t>
      </w:r>
      <w:r>
        <w:rPr>
          <w:lang w:val="es-ES"/>
        </w:rPr>
        <w:t>1626/2000</w:t>
      </w:r>
      <w:r>
        <w:rPr>
          <w:rFonts w:hint="eastAsia"/>
        </w:rPr>
        <w:t>号法案》</w:t>
      </w:r>
      <w:r>
        <w:t>第</w:t>
      </w:r>
      <w:r>
        <w:t>23</w:t>
      </w:r>
      <w:r>
        <w:t>条</w:t>
      </w:r>
      <w:r>
        <w:rPr>
          <w:rFonts w:hint="eastAsia"/>
        </w:rPr>
        <w:t>规定</w:t>
      </w:r>
      <w:r>
        <w:rPr>
          <w:rFonts w:hint="eastAsia"/>
          <w:lang w:val="es-ES"/>
        </w:rPr>
        <w:t>：“</w:t>
      </w:r>
      <w:r>
        <w:rPr>
          <w:rFonts w:hint="eastAsia"/>
        </w:rPr>
        <w:t>身体残疾并不影响进入公共职能部门工作。</w:t>
      </w:r>
      <w:r>
        <w:rPr>
          <w:rFonts w:hint="eastAsia"/>
          <w:lang w:val="es-ES_tradnl"/>
        </w:rPr>
        <w:t>”</w:t>
      </w:r>
    </w:p>
    <w:p w:rsidR="00DA7251" w:rsidRDefault="00DA7251">
      <w:pPr>
        <w:pStyle w:val="SingleTxtGC"/>
        <w:rPr>
          <w:lang w:val="es-ES"/>
        </w:rPr>
      </w:pPr>
      <w:r>
        <w:rPr>
          <w:lang w:val="es-ES"/>
        </w:rPr>
        <w:t xml:space="preserve">18.  </w:t>
      </w:r>
      <w:r>
        <w:rPr>
          <w:rFonts w:hint="eastAsia"/>
        </w:rPr>
        <w:t>所有行政措施</w:t>
      </w:r>
      <w:r>
        <w:rPr>
          <w:rFonts w:hint="eastAsia"/>
          <w:lang w:val="es-ES"/>
        </w:rPr>
        <w:t>，所有公共政策的制定和实施，所有监管</w:t>
      </w:r>
      <w:r>
        <w:rPr>
          <w:rFonts w:hint="eastAsia"/>
        </w:rPr>
        <w:t>架构的起草工作，以及所有国家机构对残疾人的管理</w:t>
      </w:r>
      <w:r>
        <w:rPr>
          <w:rFonts w:hint="eastAsia"/>
          <w:lang w:val="es-ES"/>
        </w:rPr>
        <w:t>，</w:t>
      </w:r>
      <w:r>
        <w:rPr>
          <w:rFonts w:hint="eastAsia"/>
        </w:rPr>
        <w:t>均应以《残疾人权利公约》</w:t>
      </w:r>
      <w:r>
        <w:rPr>
          <w:rStyle w:val="FootnoteReference"/>
        </w:rPr>
        <w:footnoteReference w:id="14"/>
      </w:r>
      <w:r>
        <w:rPr>
          <w:rStyle w:val="FootnoteReference"/>
          <w:vertAlign w:val="baseline"/>
        </w:rPr>
        <w:t xml:space="preserve"> </w:t>
      </w:r>
      <w:r>
        <w:rPr>
          <w:rFonts w:hint="eastAsia"/>
        </w:rPr>
        <w:t>和《美洲消除对残疾人一切形式歧视公约》</w:t>
      </w:r>
      <w:r>
        <w:rPr>
          <w:rStyle w:val="FootnoteReference"/>
        </w:rPr>
        <w:footnoteReference w:id="15"/>
      </w:r>
      <w:r>
        <w:rPr>
          <w:rStyle w:val="FootnoteReference"/>
          <w:vertAlign w:val="baseline"/>
        </w:rPr>
        <w:t xml:space="preserve"> </w:t>
      </w:r>
      <w:r>
        <w:rPr>
          <w:rFonts w:hint="eastAsia"/>
        </w:rPr>
        <w:t>为参照基准。</w:t>
      </w:r>
    </w:p>
    <w:p w:rsidR="00DA7251" w:rsidRDefault="00DA7251">
      <w:pPr>
        <w:pStyle w:val="SingleTxtGC"/>
        <w:rPr>
          <w:lang w:val="es-ES"/>
        </w:rPr>
      </w:pPr>
      <w:r>
        <w:rPr>
          <w:lang w:val="es-ES"/>
        </w:rPr>
        <w:t xml:space="preserve">19.  </w:t>
      </w:r>
      <w:r>
        <w:rPr>
          <w:rFonts w:hint="eastAsia"/>
        </w:rPr>
        <w:t>这些都是保护残疾人权利方面最重要的具有法律约束力的国际文书。这些公约为该领域公共政策和服务的制定和管理提供了详细的概念和实际框架。</w:t>
      </w:r>
    </w:p>
    <w:p w:rsidR="00DA7251" w:rsidRDefault="00DA7251">
      <w:pPr>
        <w:pStyle w:val="H1GC"/>
        <w:rPr>
          <w:lang w:val="es-ES_tradnl"/>
        </w:rPr>
      </w:pPr>
      <w:r>
        <w:rPr>
          <w:rFonts w:hint="eastAsia"/>
          <w:lang w:val="es-ES_tradnl"/>
        </w:rPr>
        <w:tab/>
      </w:r>
      <w:r>
        <w:rPr>
          <w:lang w:val="es-ES_tradnl"/>
        </w:rPr>
        <w:t>B.</w:t>
      </w:r>
      <w:r>
        <w:rPr>
          <w:lang w:val="es-ES_tradnl"/>
        </w:rPr>
        <w:tab/>
      </w:r>
      <w:r>
        <w:rPr>
          <w:rFonts w:hint="eastAsia"/>
          <w:lang w:val="es-ES_tradnl"/>
        </w:rPr>
        <w:t>第八条：提高认识</w:t>
      </w:r>
    </w:p>
    <w:p w:rsidR="00DA7251" w:rsidRDefault="00DA7251">
      <w:pPr>
        <w:pStyle w:val="SingleTxtGC"/>
        <w:rPr>
          <w:lang w:val="es-ES"/>
        </w:rPr>
      </w:pPr>
      <w:r>
        <w:rPr>
          <w:lang w:val="es-ES"/>
        </w:rPr>
        <w:t xml:space="preserve">20.  </w:t>
      </w:r>
      <w:r>
        <w:rPr>
          <w:rFonts w:hint="eastAsia"/>
          <w:lang w:val="es-ES"/>
        </w:rPr>
        <w:t>由主流媒体实施的面向普通大众的一个宣传运动是由</w:t>
      </w:r>
      <w:r>
        <w:rPr>
          <w:rFonts w:hint="eastAsia"/>
        </w:rPr>
        <w:t>全国特殊人士保护研究所和中央省政府办公室主办的、名为“不仅要用头脑，还要使用头盔”的运动。</w:t>
      </w:r>
    </w:p>
    <w:p w:rsidR="00DA7251" w:rsidRDefault="00DA7251">
      <w:pPr>
        <w:pStyle w:val="SingleTxtGC"/>
        <w:rPr>
          <w:lang w:val="es-ES"/>
        </w:rPr>
      </w:pPr>
      <w:r>
        <w:rPr>
          <w:lang w:val="es-ES"/>
        </w:rPr>
        <w:t xml:space="preserve">21.  </w:t>
      </w:r>
      <w:r>
        <w:rPr>
          <w:rFonts w:hint="eastAsia"/>
        </w:rPr>
        <w:t>此外</w:t>
      </w:r>
      <w:r>
        <w:rPr>
          <w:rFonts w:hint="eastAsia"/>
          <w:lang w:val="es-ES"/>
        </w:rPr>
        <w:t>，</w:t>
      </w:r>
      <w:r>
        <w:rPr>
          <w:rFonts w:hint="eastAsia"/>
        </w:rPr>
        <w:t>全国特殊人士保护研究所和非政府组织还就</w:t>
      </w:r>
      <w:r>
        <w:rPr>
          <w:rFonts w:hint="eastAsia"/>
          <w:lang w:val="es-ES"/>
        </w:rPr>
        <w:t>“</w:t>
      </w:r>
      <w:r>
        <w:rPr>
          <w:rFonts w:hint="eastAsia"/>
        </w:rPr>
        <w:t>尊重多样性</w:t>
      </w:r>
      <w:r>
        <w:rPr>
          <w:rFonts w:hint="eastAsia"/>
          <w:lang w:val="es-ES"/>
        </w:rPr>
        <w:t>”</w:t>
      </w:r>
      <w:r>
        <w:rPr>
          <w:rFonts w:hint="eastAsia"/>
        </w:rPr>
        <w:t>和</w:t>
      </w:r>
      <w:r>
        <w:rPr>
          <w:rFonts w:hint="eastAsia"/>
          <w:lang w:val="es-ES"/>
        </w:rPr>
        <w:t>“</w:t>
      </w:r>
      <w:r>
        <w:rPr>
          <w:rFonts w:hint="eastAsia"/>
        </w:rPr>
        <w:t>残疾人融入各个领域</w:t>
      </w:r>
      <w:r>
        <w:rPr>
          <w:rFonts w:hint="eastAsia"/>
          <w:lang w:val="es-ES"/>
        </w:rPr>
        <w:t>，</w:t>
      </w:r>
      <w:r>
        <w:rPr>
          <w:rFonts w:hint="eastAsia"/>
        </w:rPr>
        <w:t>尤其是工作场所</w:t>
      </w:r>
      <w:r>
        <w:rPr>
          <w:rFonts w:hint="eastAsia"/>
          <w:lang w:val="es-ES"/>
        </w:rPr>
        <w:t>”主题举办了</w:t>
      </w:r>
      <w:r>
        <w:rPr>
          <w:rFonts w:hint="eastAsia"/>
        </w:rPr>
        <w:t>其他媒体运动。</w:t>
      </w:r>
    </w:p>
    <w:p w:rsidR="00DA7251" w:rsidRDefault="00DA7251">
      <w:pPr>
        <w:pStyle w:val="SingleTxtGC"/>
        <w:rPr>
          <w:lang w:val="es-ES"/>
        </w:rPr>
      </w:pPr>
      <w:r>
        <w:rPr>
          <w:lang w:val="es-ES"/>
        </w:rPr>
        <w:t xml:space="preserve">22.  </w:t>
      </w:r>
      <w:r>
        <w:rPr>
          <w:rFonts w:hint="eastAsia"/>
        </w:rPr>
        <w:t>全国特殊人士保护研究所召集所有省长、市长和国家主管部门</w:t>
      </w:r>
      <w:r>
        <w:rPr>
          <w:rFonts w:hint="eastAsia"/>
          <w:lang w:val="es-ES"/>
        </w:rPr>
        <w:t>，</w:t>
      </w:r>
      <w:r>
        <w:rPr>
          <w:rFonts w:hint="eastAsia"/>
        </w:rPr>
        <w:t>向他们介绍残疾人的权利；并介绍《公约》及《公约》规定的各项权利。</w:t>
      </w:r>
    </w:p>
    <w:p w:rsidR="00DA7251" w:rsidRDefault="00DA7251">
      <w:pPr>
        <w:pStyle w:val="SingleTxtGC"/>
        <w:rPr>
          <w:lang w:val="es-ES"/>
        </w:rPr>
      </w:pPr>
      <w:r>
        <w:rPr>
          <w:lang w:val="es-ES"/>
        </w:rPr>
        <w:t xml:space="preserve">23.  </w:t>
      </w:r>
      <w:r>
        <w:rPr>
          <w:rFonts w:hint="eastAsia"/>
        </w:rPr>
        <w:t>公共事务秘书处为公会成员和人力资源管理机构举办了关于残疾专题的提高认识讲习班。</w:t>
      </w:r>
    </w:p>
    <w:p w:rsidR="00DA7251" w:rsidRDefault="00DA7251">
      <w:pPr>
        <w:pStyle w:val="H1GC"/>
        <w:rPr>
          <w:lang w:val="es-ES_tradnl"/>
        </w:rPr>
      </w:pPr>
      <w:r>
        <w:rPr>
          <w:rFonts w:hint="eastAsia"/>
          <w:lang w:val="es-ES_tradnl"/>
        </w:rPr>
        <w:tab/>
      </w:r>
      <w:r>
        <w:rPr>
          <w:lang w:val="es-ES_tradnl"/>
        </w:rPr>
        <w:t>C.</w:t>
      </w:r>
      <w:r>
        <w:rPr>
          <w:lang w:val="es-ES_tradnl"/>
        </w:rPr>
        <w:tab/>
      </w:r>
      <w:r>
        <w:rPr>
          <w:rFonts w:hint="eastAsia"/>
          <w:lang w:val="es-ES_tradnl"/>
        </w:rPr>
        <w:t>第九条：无障碍</w:t>
      </w:r>
    </w:p>
    <w:p w:rsidR="00DA7251" w:rsidRDefault="00DA7251">
      <w:pPr>
        <w:pStyle w:val="SingleTxtGC"/>
        <w:rPr>
          <w:lang w:val="es-ES"/>
        </w:rPr>
      </w:pPr>
      <w:r>
        <w:rPr>
          <w:lang w:val="es-ES"/>
        </w:rPr>
        <w:t xml:space="preserve">24.  </w:t>
      </w:r>
      <w:r>
        <w:rPr>
          <w:rFonts w:hint="eastAsia"/>
        </w:rPr>
        <w:t>目前</w:t>
      </w:r>
      <w:r>
        <w:rPr>
          <w:rFonts w:hint="eastAsia"/>
          <w:lang w:val="es-ES"/>
        </w:rPr>
        <w:t>，</w:t>
      </w:r>
      <w:r>
        <w:rPr>
          <w:rFonts w:hint="eastAsia"/>
        </w:rPr>
        <w:t>国家技术、标准化和计量研究所与全国特殊人士保护研究所、其他国家机构和“萨拉基”基金会目前都是</w:t>
      </w:r>
      <w:r>
        <w:rPr>
          <w:rFonts w:hint="eastAsia"/>
          <w:lang w:val="es-ES"/>
        </w:rPr>
        <w:t>“</w:t>
      </w:r>
      <w:r>
        <w:rPr>
          <w:rFonts w:hint="eastAsia"/>
        </w:rPr>
        <w:t>无障碍</w:t>
      </w:r>
      <w:r>
        <w:rPr>
          <w:lang w:val="es-ES"/>
        </w:rPr>
        <w:t>45</w:t>
      </w:r>
      <w:r>
        <w:rPr>
          <w:rFonts w:hint="eastAsia"/>
        </w:rPr>
        <w:t>委员会</w:t>
      </w:r>
      <w:r>
        <w:rPr>
          <w:rFonts w:hint="eastAsia"/>
          <w:lang w:val="es-ES"/>
        </w:rPr>
        <w:t>”的成员，后者负责制定自然环境领域</w:t>
      </w:r>
      <w:r>
        <w:rPr>
          <w:rFonts w:hint="eastAsia"/>
        </w:rPr>
        <w:t>的无障碍标准</w:t>
      </w:r>
      <w:r>
        <w:rPr>
          <w:rFonts w:hint="eastAsia"/>
          <w:lang w:val="es-ES"/>
        </w:rPr>
        <w:t>(</w:t>
      </w:r>
      <w:r>
        <w:rPr>
          <w:rFonts w:hint="eastAsia"/>
        </w:rPr>
        <w:t>包括如何使用街头路标和指示牌</w:t>
      </w:r>
      <w:r>
        <w:rPr>
          <w:rFonts w:hint="eastAsia"/>
          <w:lang w:val="es-ES"/>
        </w:rPr>
        <w:t>)</w:t>
      </w:r>
      <w:r>
        <w:rPr>
          <w:rFonts w:hint="eastAsia"/>
        </w:rPr>
        <w:t>。不过交通运输领域尚未做任何工作，仍是一个悬而未决的问题。</w:t>
      </w:r>
    </w:p>
    <w:p w:rsidR="00DA7251" w:rsidRDefault="00DA7251">
      <w:pPr>
        <w:pStyle w:val="SingleTxtGC"/>
        <w:rPr>
          <w:lang w:val="es-ES"/>
        </w:rPr>
      </w:pPr>
      <w:r>
        <w:rPr>
          <w:lang w:val="es-ES"/>
        </w:rPr>
        <w:t xml:space="preserve">25.  </w:t>
      </w:r>
      <w:r>
        <w:rPr>
          <w:rFonts w:hint="eastAsia"/>
        </w:rPr>
        <w:t>全国特殊人士保护研究所目前正与“萨拉基”基金会就改进市政无障碍程序即城市无障碍评估程序的提案合作。目的是促成社会转变，这一点有三项基本要求：</w:t>
      </w:r>
    </w:p>
    <w:p w:rsidR="00DA7251" w:rsidRDefault="00DA7251">
      <w:pPr>
        <w:pStyle w:val="SingleTxtGC"/>
        <w:numPr>
          <w:ilvl w:val="0"/>
          <w:numId w:val="15"/>
        </w:numPr>
        <w:rPr>
          <w:lang w:val="es-ES"/>
        </w:rPr>
      </w:pPr>
      <w:r>
        <w:rPr>
          <w:rFonts w:hint="eastAsia"/>
        </w:rPr>
        <w:t>承诺。这涉及提高社会和弱势个人对无障碍造福所有人的益处以及残疾人和其他弱势群体由于缺乏获得医疗保健、教育、文化和体育等公共服务的机会而面临困难的认识；</w:t>
      </w:r>
    </w:p>
    <w:p w:rsidR="00DA7251" w:rsidRDefault="00DA7251">
      <w:pPr>
        <w:pStyle w:val="SingleTxtGC"/>
        <w:numPr>
          <w:ilvl w:val="0"/>
          <w:numId w:val="15"/>
        </w:numPr>
        <w:rPr>
          <w:lang w:val="es-ES"/>
        </w:rPr>
      </w:pPr>
      <w:r>
        <w:rPr>
          <w:rFonts w:hint="eastAsia"/>
        </w:rPr>
        <w:t>技术知识。这涉及详细分析限制残疾人和其他群体获得各种公共服务的障碍，并针对这些问题研究和实施适当的解决办法；</w:t>
      </w:r>
    </w:p>
    <w:p w:rsidR="00DA7251" w:rsidRDefault="00DA7251">
      <w:pPr>
        <w:pStyle w:val="SingleTxtGC"/>
        <w:numPr>
          <w:ilvl w:val="0"/>
          <w:numId w:val="15"/>
        </w:numPr>
        <w:rPr>
          <w:lang w:val="es-ES"/>
        </w:rPr>
      </w:pPr>
      <w:r>
        <w:rPr>
          <w:rFonts w:hint="eastAsia"/>
        </w:rPr>
        <w:t>策略。这涉及引入契合社会和政治环境的创新型补救和预防措施。</w:t>
      </w:r>
    </w:p>
    <w:p w:rsidR="00DA7251" w:rsidRDefault="00DA7251">
      <w:pPr>
        <w:pStyle w:val="SingleTxtGC"/>
        <w:rPr>
          <w:lang w:val="es-ES"/>
        </w:rPr>
      </w:pPr>
      <w:r>
        <w:rPr>
          <w:lang w:val="es-ES"/>
        </w:rPr>
        <w:t xml:space="preserve">26.  </w:t>
      </w:r>
      <w:r>
        <w:rPr>
          <w:rFonts w:hint="eastAsia"/>
        </w:rPr>
        <w:t>为此</w:t>
      </w:r>
      <w:r>
        <w:rPr>
          <w:rFonts w:hint="eastAsia"/>
          <w:lang w:val="es-ES"/>
        </w:rPr>
        <w:t>，</w:t>
      </w:r>
      <w:r>
        <w:rPr>
          <w:rFonts w:hint="eastAsia"/>
        </w:rPr>
        <w:t>全国特殊人士保护研究所编写和发布用于官方目的的手册通过了城市无障碍评估程序，并建议将该程序作为识别阻碍公民获得公共服务障碍的基本工具。附在本报告附件载有该手册的副本</w:t>
      </w:r>
      <w:r>
        <w:rPr>
          <w:rFonts w:hint="eastAsia"/>
        </w:rPr>
        <w:t>(</w:t>
      </w:r>
      <w:r>
        <w:rPr>
          <w:rFonts w:hint="eastAsia"/>
        </w:rPr>
        <w:t>附件二</w:t>
      </w:r>
      <w:r>
        <w:rPr>
          <w:rFonts w:hint="eastAsia"/>
        </w:rPr>
        <w:t>)</w:t>
      </w:r>
      <w:r>
        <w:rPr>
          <w:rFonts w:hint="eastAsia"/>
        </w:rPr>
        <w:t>。</w:t>
      </w:r>
    </w:p>
    <w:p w:rsidR="00DA7251" w:rsidRDefault="00DA7251">
      <w:pPr>
        <w:pStyle w:val="SingleTxtGC"/>
        <w:rPr>
          <w:lang w:val="es-ES"/>
        </w:rPr>
      </w:pPr>
      <w:r>
        <w:rPr>
          <w:lang w:val="es-ES"/>
        </w:rPr>
        <w:t xml:space="preserve">27.  </w:t>
      </w:r>
      <w:r>
        <w:rPr>
          <w:rFonts w:hint="eastAsia"/>
        </w:rPr>
        <w:t>对自然环境中没有包含的交流和信息的评估研究了以下几点：</w:t>
      </w:r>
    </w:p>
    <w:p w:rsidR="00DA7251" w:rsidRDefault="00DA7251">
      <w:pPr>
        <w:pStyle w:val="SingleTxtGC"/>
        <w:numPr>
          <w:ilvl w:val="0"/>
          <w:numId w:val="16"/>
        </w:numPr>
        <w:spacing w:line="300" w:lineRule="exact"/>
        <w:rPr>
          <w:lang w:val="es-ES"/>
        </w:rPr>
      </w:pPr>
      <w:r>
        <w:rPr>
          <w:rFonts w:hint="eastAsia"/>
        </w:rPr>
        <w:t>提供公共服务的工作人员：接受培训服务残疾人；</w:t>
      </w:r>
    </w:p>
    <w:p w:rsidR="00DA7251" w:rsidRDefault="00DA7251">
      <w:pPr>
        <w:pStyle w:val="SingleTxtGC"/>
        <w:numPr>
          <w:ilvl w:val="0"/>
          <w:numId w:val="16"/>
        </w:numPr>
        <w:spacing w:line="300" w:lineRule="exact"/>
        <w:rPr>
          <w:lang w:val="es-ES"/>
        </w:rPr>
      </w:pPr>
      <w:r>
        <w:rPr>
          <w:rFonts w:hint="eastAsia"/>
        </w:rPr>
        <w:t>应提供书面和口头交流方式之外的其他交流方式，包括手语翻译、盲文替代等系统；</w:t>
      </w:r>
    </w:p>
    <w:p w:rsidR="00DA7251" w:rsidRDefault="00DA7251">
      <w:pPr>
        <w:pStyle w:val="SingleTxtGC"/>
        <w:numPr>
          <w:ilvl w:val="0"/>
          <w:numId w:val="16"/>
        </w:numPr>
        <w:spacing w:line="300" w:lineRule="exact"/>
        <w:rPr>
          <w:lang w:val="es-ES"/>
        </w:rPr>
      </w:pPr>
      <w:r>
        <w:rPr>
          <w:rFonts w:hint="eastAsia"/>
          <w:lang w:val="es-ES"/>
        </w:rPr>
        <w:t>无障碍浏览</w:t>
      </w:r>
      <w:r>
        <w:rPr>
          <w:rFonts w:hint="eastAsia"/>
        </w:rPr>
        <w:t>印刷材料；</w:t>
      </w:r>
    </w:p>
    <w:p w:rsidR="00DA7251" w:rsidRDefault="00DA7251">
      <w:pPr>
        <w:pStyle w:val="SingleTxtGC"/>
        <w:numPr>
          <w:ilvl w:val="0"/>
          <w:numId w:val="16"/>
        </w:numPr>
        <w:spacing w:line="300" w:lineRule="exact"/>
        <w:rPr>
          <w:lang w:val="es-ES"/>
        </w:rPr>
      </w:pPr>
      <w:r>
        <w:rPr>
          <w:rFonts w:hint="eastAsia"/>
        </w:rPr>
        <w:t>无障碍浏览网页。</w:t>
      </w:r>
    </w:p>
    <w:p w:rsidR="00DA7251" w:rsidRDefault="00DA7251">
      <w:pPr>
        <w:pStyle w:val="H1GC"/>
        <w:rPr>
          <w:lang w:val="es-ES_tradnl"/>
        </w:rPr>
      </w:pPr>
      <w:r>
        <w:rPr>
          <w:rFonts w:hint="eastAsia"/>
          <w:lang w:val="es-ES_tradnl"/>
        </w:rPr>
        <w:tab/>
      </w:r>
      <w:r>
        <w:rPr>
          <w:lang w:val="es-ES_tradnl"/>
        </w:rPr>
        <w:t>D.</w:t>
      </w:r>
      <w:r>
        <w:rPr>
          <w:lang w:val="es-ES_tradnl"/>
        </w:rPr>
        <w:tab/>
      </w:r>
      <w:r>
        <w:rPr>
          <w:rFonts w:hint="eastAsia"/>
          <w:lang w:val="es-ES_tradnl"/>
        </w:rPr>
        <w:t>第十条：生命权</w:t>
      </w:r>
    </w:p>
    <w:p w:rsidR="00DA7251" w:rsidRDefault="00DA7251">
      <w:pPr>
        <w:pStyle w:val="SingleTxtGC"/>
        <w:rPr>
          <w:lang w:val="es-ES"/>
        </w:rPr>
      </w:pPr>
      <w:r>
        <w:rPr>
          <w:lang w:val="es-ES"/>
        </w:rPr>
        <w:t xml:space="preserve">28.  </w:t>
      </w:r>
      <w:r>
        <w:rPr>
          <w:rFonts w:hint="eastAsia"/>
        </w:rPr>
        <w:t>《宪法》关于生命权的第</w:t>
      </w:r>
      <w:r>
        <w:rPr>
          <w:lang w:val="es-ES"/>
        </w:rPr>
        <w:t>4</w:t>
      </w:r>
      <w:r>
        <w:rPr>
          <w:rFonts w:hint="eastAsia"/>
        </w:rPr>
        <w:t>条规定</w:t>
      </w:r>
      <w:r>
        <w:rPr>
          <w:rFonts w:hint="eastAsia"/>
          <w:lang w:val="es-ES"/>
        </w:rPr>
        <w:t>：“</w:t>
      </w:r>
      <w:r>
        <w:rPr>
          <w:rFonts w:hint="eastAsia"/>
        </w:rPr>
        <w:t>国家应保护所有人的身心健全</w:t>
      </w:r>
      <w:r>
        <w:rPr>
          <w:rFonts w:hint="eastAsia"/>
          <w:lang w:val="es-ES"/>
        </w:rPr>
        <w:t>”</w:t>
      </w:r>
      <w:r>
        <w:rPr>
          <w:rFonts w:hint="eastAsia"/>
        </w:rPr>
        <w:t>。该条与关于人的平等的</w:t>
      </w:r>
      <w:r>
        <w:rPr>
          <w:rFonts w:hint="eastAsia"/>
          <w:lang w:val="es-ES"/>
        </w:rPr>
        <w:t>第</w:t>
      </w:r>
      <w:r>
        <w:rPr>
          <w:lang w:val="es-ES"/>
        </w:rPr>
        <w:t>46</w:t>
      </w:r>
      <w:r>
        <w:rPr>
          <w:rFonts w:hint="eastAsia"/>
          <w:lang w:val="es-ES"/>
        </w:rPr>
        <w:t>条</w:t>
      </w:r>
      <w:r>
        <w:rPr>
          <w:rFonts w:hint="eastAsia"/>
        </w:rPr>
        <w:t>相一致。因此</w:t>
      </w:r>
      <w:r>
        <w:rPr>
          <w:rFonts w:hint="eastAsia"/>
          <w:lang w:val="es-ES"/>
        </w:rPr>
        <w:t>，</w:t>
      </w:r>
      <w:r>
        <w:rPr>
          <w:rFonts w:hint="eastAsia"/>
        </w:rPr>
        <w:t>虽然</w:t>
      </w:r>
      <w:r>
        <w:rPr>
          <w:rFonts w:hint="eastAsia"/>
          <w:lang w:val="es-ES"/>
        </w:rPr>
        <w:t>第</w:t>
      </w:r>
      <w:r>
        <w:rPr>
          <w:lang w:val="es-ES"/>
        </w:rPr>
        <w:t>4</w:t>
      </w:r>
      <w:r>
        <w:rPr>
          <w:rFonts w:hint="eastAsia"/>
        </w:rPr>
        <w:t>条并没有明确规定保护残疾人</w:t>
      </w:r>
      <w:r>
        <w:rPr>
          <w:rFonts w:hint="eastAsia"/>
          <w:lang w:val="es-ES"/>
        </w:rPr>
        <w:t>，</w:t>
      </w:r>
      <w:r>
        <w:rPr>
          <w:rFonts w:hint="eastAsia"/>
        </w:rPr>
        <w:t>但认为应以对待巴拉圭共和国其他居民的相同方式保护残疾人。</w:t>
      </w:r>
    </w:p>
    <w:p w:rsidR="00DA7251" w:rsidRDefault="00DA7251">
      <w:pPr>
        <w:pStyle w:val="SingleTxtGC"/>
        <w:rPr>
          <w:lang w:val="es-ES"/>
        </w:rPr>
      </w:pPr>
      <w:r>
        <w:rPr>
          <w:lang w:val="es-ES"/>
        </w:rPr>
        <w:t xml:space="preserve">29.  </w:t>
      </w:r>
      <w:r>
        <w:rPr>
          <w:rFonts w:hint="eastAsia"/>
        </w:rPr>
        <w:t>不得任意剥夺残疾人的生命。</w:t>
      </w:r>
    </w:p>
    <w:p w:rsidR="00DA7251" w:rsidRDefault="00DA7251">
      <w:pPr>
        <w:pStyle w:val="H1GC"/>
        <w:rPr>
          <w:lang w:val="es-ES_tradnl"/>
        </w:rPr>
      </w:pPr>
      <w:r>
        <w:rPr>
          <w:rFonts w:hint="eastAsia"/>
          <w:lang w:val="es-ES_tradnl"/>
        </w:rPr>
        <w:tab/>
      </w:r>
      <w:r>
        <w:rPr>
          <w:lang w:val="es-ES_tradnl"/>
        </w:rPr>
        <w:t>E.</w:t>
      </w:r>
      <w:r>
        <w:rPr>
          <w:lang w:val="es-ES_tradnl"/>
        </w:rPr>
        <w:tab/>
      </w:r>
      <w:r>
        <w:rPr>
          <w:rFonts w:hint="eastAsia"/>
          <w:lang w:val="es-ES_tradnl"/>
        </w:rPr>
        <w:t>第十一条：危难情况和人道主义紧急情况</w:t>
      </w:r>
    </w:p>
    <w:p w:rsidR="00DA7251" w:rsidRDefault="00DA7251">
      <w:pPr>
        <w:pStyle w:val="SingleTxtGC"/>
        <w:rPr>
          <w:lang w:val="es-ES"/>
        </w:rPr>
      </w:pPr>
      <w:r>
        <w:rPr>
          <w:lang w:val="es-ES"/>
        </w:rPr>
        <w:t xml:space="preserve">30.  </w:t>
      </w:r>
      <w:r>
        <w:rPr>
          <w:rFonts w:hint="eastAsia"/>
        </w:rPr>
        <w:t>在规定国家紧急事务秘书处的职权范围时，《第</w:t>
      </w:r>
      <w:r>
        <w:rPr>
          <w:lang w:val="es-ES"/>
        </w:rPr>
        <w:t>2615/05</w:t>
      </w:r>
      <w:r>
        <w:rPr>
          <w:rFonts w:hint="eastAsia"/>
        </w:rPr>
        <w:t>号法案》第</w:t>
      </w:r>
      <w:r>
        <w:rPr>
          <w:lang w:val="es-ES"/>
        </w:rPr>
        <w:t>2</w:t>
      </w:r>
      <w:r>
        <w:t>条</w:t>
      </w:r>
      <w:r>
        <w:rPr>
          <w:rFonts w:hint="eastAsia"/>
        </w:rPr>
        <w:t>指出</w:t>
      </w:r>
      <w:r>
        <w:rPr>
          <w:rFonts w:hint="eastAsia"/>
          <w:lang w:val="es-ES"/>
        </w:rPr>
        <w:t>：“</w:t>
      </w:r>
      <w:r>
        <w:rPr>
          <w:rFonts w:hint="eastAsia"/>
        </w:rPr>
        <w:t>国家紧急事务秘书处应主要负责预防紧急情况和因自然或非自然灾害的影响</w:t>
      </w:r>
      <w:r>
        <w:rPr>
          <w:rFonts w:hint="eastAsia"/>
          <w:lang w:val="es-ES"/>
        </w:rPr>
        <w:t>，</w:t>
      </w:r>
      <w:r>
        <w:rPr>
          <w:rFonts w:hint="eastAsia"/>
        </w:rPr>
        <w:t>推动、协调和指导国家、部门、市和私人机构的各项活动，参与受紧急情况或灾害影响社区的预防、减轻和应对紧急情况或灾害以及康复与重建工作。</w:t>
      </w:r>
      <w:r>
        <w:rPr>
          <w:rFonts w:hint="eastAsia"/>
          <w:lang w:val="es-ES_tradnl"/>
        </w:rPr>
        <w:t>”</w:t>
      </w:r>
      <w:r>
        <w:rPr>
          <w:rFonts w:hint="eastAsia"/>
        </w:rPr>
        <w:t>第</w:t>
      </w:r>
      <w:r>
        <w:t>4</w:t>
      </w:r>
      <w:r>
        <w:t>条</w:t>
      </w:r>
      <w:r>
        <w:rPr>
          <w:rFonts w:hint="eastAsia"/>
        </w:rPr>
        <w:t>(</w:t>
      </w:r>
      <w:r>
        <w:t>f</w:t>
      </w:r>
      <w:r>
        <w:rPr>
          <w:rFonts w:hint="eastAsia"/>
        </w:rPr>
        <w:t>)</w:t>
      </w:r>
      <w:r>
        <w:t>款规</w:t>
      </w:r>
      <w:r>
        <w:rPr>
          <w:rFonts w:hint="eastAsia"/>
        </w:rPr>
        <w:t>定：国家紧急事务秘书处“应领导和协调对受紧急情况或灾害影响社区的援助工作</w:t>
      </w:r>
      <w:r>
        <w:rPr>
          <w:rFonts w:hint="eastAsia"/>
          <w:lang w:val="es-ES_tradnl"/>
        </w:rPr>
        <w:t>”</w:t>
      </w:r>
      <w:r>
        <w:rPr>
          <w:rFonts w:hint="eastAsia"/>
        </w:rPr>
        <w:t>。此外，</w:t>
      </w:r>
      <w:r>
        <w:t>第</w:t>
      </w:r>
      <w:r>
        <w:t>5</w:t>
      </w:r>
      <w:r>
        <w:rPr>
          <w:rFonts w:hint="eastAsia"/>
        </w:rPr>
        <w:t>条规定：“国家总预算应根据行政部门批准的工作组织结构，为秘书处及其执行和技术分支机构的工作以及执行具体方案安排必要的资金。</w:t>
      </w:r>
      <w:r>
        <w:rPr>
          <w:rFonts w:hint="eastAsia"/>
          <w:lang w:val="es-ES_tradnl"/>
        </w:rPr>
        <w:t>”</w:t>
      </w:r>
      <w:r>
        <w:rPr>
          <w:rFonts w:hint="eastAsia"/>
        </w:rPr>
        <w:t>因此，国家紧急事务秘书处在执行其方案时，必须考虑到残疾人方面的政策。</w:t>
      </w:r>
    </w:p>
    <w:p w:rsidR="00DA7251" w:rsidRDefault="00DA7251">
      <w:pPr>
        <w:pStyle w:val="SingleTxtGC"/>
        <w:rPr>
          <w:lang w:val="es-ES_tradnl"/>
        </w:rPr>
      </w:pPr>
      <w:r>
        <w:rPr>
          <w:lang w:val="es-ES"/>
        </w:rPr>
        <w:t xml:space="preserve">31.  </w:t>
      </w:r>
      <w:r>
        <w:rPr>
          <w:rFonts w:hint="eastAsia"/>
        </w:rPr>
        <w:t>在军事事务领域，《</w:t>
      </w:r>
      <w:r>
        <w:t>2009-2010</w:t>
      </w:r>
      <w:r>
        <w:rPr>
          <w:rFonts w:hint="eastAsia"/>
        </w:rPr>
        <w:t>双年总指令》关于民事问题的第四章制定了以下目标：“在国防领域合作，在紧急或灾难情况中协调利用军事资源帮助平民”，对民防行动领域的军队成员进行培训，使他们在紧急情况时之前</w:t>
      </w:r>
      <w:r>
        <w:rPr>
          <w:rFonts w:hint="eastAsia"/>
        </w:rPr>
        <w:t>(</w:t>
      </w:r>
      <w:r>
        <w:rPr>
          <w:rFonts w:hint="eastAsia"/>
        </w:rPr>
        <w:t>预防</w:t>
      </w:r>
      <w:r>
        <w:rPr>
          <w:rFonts w:hint="eastAsia"/>
        </w:rPr>
        <w:t>)</w:t>
      </w:r>
      <w:r>
        <w:rPr>
          <w:rFonts w:hint="eastAsia"/>
        </w:rPr>
        <w:t>、期间</w:t>
      </w:r>
      <w:r>
        <w:rPr>
          <w:rFonts w:hint="eastAsia"/>
        </w:rPr>
        <w:t>(</w:t>
      </w:r>
      <w:r>
        <w:rPr>
          <w:rFonts w:hint="eastAsia"/>
        </w:rPr>
        <w:t>应对</w:t>
      </w:r>
      <w:r>
        <w:rPr>
          <w:rFonts w:hint="eastAsia"/>
        </w:rPr>
        <w:t>)</w:t>
      </w:r>
      <w:r>
        <w:rPr>
          <w:rFonts w:hint="eastAsia"/>
        </w:rPr>
        <w:t>和之后</w:t>
      </w:r>
      <w:r>
        <w:rPr>
          <w:rFonts w:hint="eastAsia"/>
        </w:rPr>
        <w:t>(</w:t>
      </w:r>
      <w:r>
        <w:rPr>
          <w:rFonts w:hint="eastAsia"/>
        </w:rPr>
        <w:t>善后</w:t>
      </w:r>
      <w:r>
        <w:rPr>
          <w:rFonts w:hint="eastAsia"/>
        </w:rPr>
        <w:t>)</w:t>
      </w:r>
      <w:r>
        <w:rPr>
          <w:rFonts w:hint="eastAsia"/>
        </w:rPr>
        <w:t>做出快速反应。</w:t>
      </w:r>
      <w:r>
        <w:rPr>
          <w:rStyle w:val="FootnoteReference"/>
        </w:rPr>
        <w:footnoteReference w:id="16"/>
      </w:r>
      <w:r>
        <w:rPr>
          <w:rStyle w:val="FootnoteReference"/>
          <w:vertAlign w:val="baseline"/>
        </w:rPr>
        <w:t xml:space="preserve"> </w:t>
      </w:r>
    </w:p>
    <w:p w:rsidR="00DA7251" w:rsidRDefault="00DA7251">
      <w:pPr>
        <w:pStyle w:val="SingleTxtGC"/>
        <w:rPr>
          <w:lang w:val="es-ES_tradnl"/>
        </w:rPr>
      </w:pPr>
      <w:r>
        <w:rPr>
          <w:lang w:val="es-ES"/>
        </w:rPr>
        <w:t xml:space="preserve">32.  </w:t>
      </w:r>
      <w:r>
        <w:rPr>
          <w:rFonts w:hint="eastAsia"/>
        </w:rPr>
        <w:t>因此</w:t>
      </w:r>
      <w:r>
        <w:rPr>
          <w:rFonts w:hint="eastAsia"/>
          <w:lang w:val="es-ES_tradnl"/>
        </w:rPr>
        <w:t>，</w:t>
      </w:r>
      <w:r>
        <w:rPr>
          <w:rFonts w:hint="eastAsia"/>
        </w:rPr>
        <w:t>每个军事单位都设有一个人权和国际人道主义法办公室。该办公室目前处于全面运作状态，在培训、教育、预防、规划、提高各级军事人员，以及平民对军队负责事宜的认识，包括那些同残疾人直接或间接相关者的认识。</w:t>
      </w:r>
    </w:p>
    <w:p w:rsidR="00DA7251" w:rsidRDefault="00DA7251">
      <w:pPr>
        <w:pStyle w:val="SingleTxtGC"/>
        <w:rPr>
          <w:lang w:val="es-ES"/>
        </w:rPr>
      </w:pPr>
      <w:r>
        <w:rPr>
          <w:lang w:val="es-ES"/>
        </w:rPr>
        <w:t xml:space="preserve">33.  </w:t>
      </w:r>
      <w:r>
        <w:rPr>
          <w:rFonts w:hint="eastAsia"/>
        </w:rPr>
        <w:t>关于为预防、减灾</w:t>
      </w:r>
      <w:r>
        <w:rPr>
          <w:rFonts w:hint="eastAsia"/>
          <w:lang w:val="es-ES_tradnl"/>
        </w:rPr>
        <w:t>，</w:t>
      </w:r>
      <w:r>
        <w:rPr>
          <w:rFonts w:hint="eastAsia"/>
        </w:rPr>
        <w:t>并帮助受灾害、灾难或其他不可抗力危险情况或人道主义紧急情况影响的社区重建家园而开展各种运动或行动，无论是否涉及残疾人，武装部队开展特别行动，支持国家紧急事务秘书处、社会行动秘书处、地方政府办公室和志愿消防队。在执行任务过程中，利用自己的基础设施、各专业兵种训练有素的军事人员、交通工具等，根据特别指令重点救助弱势群体，例如：儿童、老人、妇女和各类残疾人。为在发生危险情况、人道主义紧急情况和</w:t>
      </w:r>
      <w:r>
        <w:t>/</w:t>
      </w:r>
      <w:r>
        <w:rPr>
          <w:rFonts w:hint="eastAsia"/>
        </w:rPr>
        <w:t>或自然灾害时，确保这些人群的安全，军人的具体职责是采取一切可能的措施，及时、妥当地完成这一任务。</w:t>
      </w:r>
    </w:p>
    <w:p w:rsidR="00DA7251" w:rsidRDefault="00DA7251">
      <w:pPr>
        <w:pStyle w:val="H1GC"/>
        <w:rPr>
          <w:lang w:val="es-ES_tradnl"/>
        </w:rPr>
      </w:pPr>
      <w:r>
        <w:rPr>
          <w:rFonts w:hint="eastAsia"/>
          <w:lang w:val="es-ES_tradnl"/>
        </w:rPr>
        <w:tab/>
      </w:r>
      <w:r>
        <w:rPr>
          <w:lang w:val="es-ES_tradnl"/>
        </w:rPr>
        <w:t>F.</w:t>
      </w:r>
      <w:r>
        <w:rPr>
          <w:lang w:val="es-ES_tradnl"/>
        </w:rPr>
        <w:tab/>
      </w:r>
      <w:r>
        <w:rPr>
          <w:rFonts w:hint="eastAsia"/>
          <w:lang w:val="es-ES_tradnl"/>
        </w:rPr>
        <w:t>第十二条：在法律面前获得平等承认</w:t>
      </w:r>
    </w:p>
    <w:p w:rsidR="00DA7251" w:rsidRDefault="00DA7251">
      <w:pPr>
        <w:pStyle w:val="SingleTxtGC"/>
        <w:rPr>
          <w:lang w:val="es-ES"/>
        </w:rPr>
      </w:pPr>
      <w:r>
        <w:rPr>
          <w:lang w:val="es-ES"/>
        </w:rPr>
        <w:t xml:space="preserve">34.  </w:t>
      </w:r>
      <w:r>
        <w:rPr>
          <w:rFonts w:hint="eastAsia"/>
        </w:rPr>
        <w:t>《宪法》</w:t>
      </w:r>
      <w:r>
        <w:t>第</w:t>
      </w:r>
      <w:r>
        <w:rPr>
          <w:lang w:val="es-ES"/>
        </w:rPr>
        <w:t>58</w:t>
      </w:r>
      <w:r>
        <w:rPr>
          <w:rFonts w:hint="eastAsia"/>
        </w:rPr>
        <w:t>条规定，国家采取措施，以确保残疾人在平等基础上享有法律行为能力。此外</w:t>
      </w:r>
      <w:r>
        <w:rPr>
          <w:rFonts w:hint="eastAsia"/>
          <w:lang w:val="es-ES"/>
        </w:rPr>
        <w:t>，</w:t>
      </w:r>
      <w:r>
        <w:rPr>
          <w:rFonts w:hint="eastAsia"/>
        </w:rPr>
        <w:t>《第</w:t>
      </w:r>
      <w:r>
        <w:rPr>
          <w:rFonts w:hint="eastAsia"/>
        </w:rPr>
        <w:t>780/79</w:t>
      </w:r>
      <w:r>
        <w:rPr>
          <w:rFonts w:hint="eastAsia"/>
        </w:rPr>
        <w:t>号法案》设立了全国特殊人士保护研究所，该法案是这方面的一项重要措施。</w:t>
      </w:r>
    </w:p>
    <w:p w:rsidR="00DA7251" w:rsidRDefault="00DA7251">
      <w:pPr>
        <w:pStyle w:val="SingleTxtGC"/>
        <w:rPr>
          <w:lang w:val="es-ES"/>
        </w:rPr>
      </w:pPr>
      <w:r>
        <w:rPr>
          <w:lang w:val="es-ES"/>
        </w:rPr>
        <w:t xml:space="preserve">35.  </w:t>
      </w:r>
      <w:r>
        <w:rPr>
          <w:rFonts w:hint="eastAsia"/>
          <w:lang w:val="es-ES"/>
        </w:rPr>
        <w:t>然而，</w:t>
      </w:r>
      <w:r>
        <w:rPr>
          <w:rFonts w:hint="eastAsia"/>
        </w:rPr>
        <w:t>司法机关并未在这方面采取特别措施</w:t>
      </w:r>
      <w:r>
        <w:rPr>
          <w:rFonts w:hint="eastAsia"/>
          <w:lang w:val="es-ES"/>
        </w:rPr>
        <w:t>，</w:t>
      </w:r>
      <w:r>
        <w:rPr>
          <w:rFonts w:hint="eastAsia"/>
        </w:rPr>
        <w:t>根据《宪法》规定</w:t>
      </w:r>
      <w:r>
        <w:rPr>
          <w:rFonts w:hint="eastAsia"/>
          <w:lang w:val="es-ES"/>
        </w:rPr>
        <w:t>，</w:t>
      </w:r>
      <w:r>
        <w:rPr>
          <w:rFonts w:hint="eastAsia"/>
        </w:rPr>
        <w:t>司法机关在残疾人与其他人平等的基础上处理残疾人的法律诉讼要求。</w:t>
      </w:r>
    </w:p>
    <w:p w:rsidR="00DA7251" w:rsidRDefault="00DA7251">
      <w:pPr>
        <w:pStyle w:val="SingleTxtGC"/>
        <w:rPr>
          <w:lang w:val="es-ES_tradnl"/>
        </w:rPr>
      </w:pPr>
      <w:r>
        <w:rPr>
          <w:lang w:val="es-ES"/>
        </w:rPr>
        <w:t xml:space="preserve">36.  </w:t>
      </w:r>
      <w:r>
        <w:rPr>
          <w:rFonts w:hint="eastAsia"/>
        </w:rPr>
        <w:t>这里有一个例外</w:t>
      </w:r>
      <w:r>
        <w:rPr>
          <w:rFonts w:hint="eastAsia"/>
          <w:lang w:val="es-ES"/>
        </w:rPr>
        <w:t>，</w:t>
      </w:r>
      <w:r>
        <w:rPr>
          <w:rFonts w:hint="eastAsia"/>
        </w:rPr>
        <w:t>就是案件中涉及到无法律行为能力者。</w:t>
      </w:r>
      <w:r>
        <w:rPr>
          <w:rStyle w:val="FootnoteReference"/>
        </w:rPr>
        <w:footnoteReference w:id="17"/>
      </w:r>
      <w:r>
        <w:rPr>
          <w:rStyle w:val="FootnoteReference"/>
          <w:vertAlign w:val="baseline"/>
        </w:rPr>
        <w:t xml:space="preserve"> </w:t>
      </w:r>
      <w:r>
        <w:rPr>
          <w:rFonts w:hint="eastAsia"/>
        </w:rPr>
        <w:t>《民事诉讼法》第</w:t>
      </w:r>
      <w:r>
        <w:rPr>
          <w:lang w:val="es-ES"/>
        </w:rPr>
        <w:t>90</w:t>
      </w:r>
      <w:r>
        <w:rPr>
          <w:rFonts w:hint="eastAsia"/>
        </w:rPr>
        <w:t>条</w:t>
      </w:r>
      <w:r>
        <w:rPr>
          <w:rStyle w:val="FootnoteReference"/>
        </w:rPr>
        <w:footnoteReference w:id="18"/>
      </w:r>
      <w:r>
        <w:rPr>
          <w:rStyle w:val="FootnoteReference"/>
          <w:vertAlign w:val="baseline"/>
        </w:rPr>
        <w:t xml:space="preserve"> </w:t>
      </w:r>
      <w:r>
        <w:rPr>
          <w:rFonts w:hint="eastAsia"/>
        </w:rPr>
        <w:t>规定</w:t>
      </w:r>
      <w:r>
        <w:rPr>
          <w:rFonts w:hint="eastAsia"/>
          <w:lang w:val="es-ES"/>
        </w:rPr>
        <w:t>：“</w:t>
      </w:r>
      <w:bookmarkStart w:id="2" w:name="OLE_LINK18"/>
      <w:r>
        <w:rPr>
          <w:rFonts w:hint="eastAsia"/>
        </w:rPr>
        <w:t>无法律行为能力者在没有得到法院指定监护人允许的情况下</w:t>
      </w:r>
      <w:r>
        <w:rPr>
          <w:rFonts w:hint="eastAsia"/>
          <w:lang w:val="es-ES"/>
        </w:rPr>
        <w:t>，</w:t>
      </w:r>
      <w:r>
        <w:rPr>
          <w:rFonts w:hint="eastAsia"/>
        </w:rPr>
        <w:t>不得拥有或负担财产所涉义务</w:t>
      </w:r>
      <w:r>
        <w:rPr>
          <w:rFonts w:hint="eastAsia"/>
          <w:lang w:val="es-ES"/>
        </w:rPr>
        <w:t>，不得诉诸法律，</w:t>
      </w:r>
      <w:r>
        <w:rPr>
          <w:rFonts w:hint="eastAsia"/>
        </w:rPr>
        <w:t>不得进行交易</w:t>
      </w:r>
      <w:r>
        <w:rPr>
          <w:rFonts w:hint="eastAsia"/>
          <w:lang w:val="es-ES"/>
        </w:rPr>
        <w:t>，</w:t>
      </w:r>
      <w:r>
        <w:rPr>
          <w:rFonts w:hint="eastAsia"/>
        </w:rPr>
        <w:t>不得接受付款</w:t>
      </w:r>
      <w:r>
        <w:rPr>
          <w:rFonts w:hint="eastAsia"/>
          <w:lang w:val="es-ES"/>
        </w:rPr>
        <w:t>，</w:t>
      </w:r>
      <w:r>
        <w:rPr>
          <w:rFonts w:hint="eastAsia"/>
        </w:rPr>
        <w:t>不得出借款或借款</w:t>
      </w:r>
      <w:r>
        <w:rPr>
          <w:rFonts w:hint="eastAsia"/>
          <w:lang w:val="es-ES"/>
        </w:rPr>
        <w:t>，或者进行</w:t>
      </w:r>
      <w:r>
        <w:rPr>
          <w:rFonts w:hint="eastAsia"/>
        </w:rPr>
        <w:t>并非单纯行政性质的行为。</w:t>
      </w:r>
      <w:bookmarkEnd w:id="2"/>
      <w:r>
        <w:rPr>
          <w:rFonts w:hint="eastAsia"/>
          <w:lang w:val="es-ES_tradnl"/>
        </w:rPr>
        <w:t>”</w:t>
      </w:r>
      <w:r>
        <w:rPr>
          <w:rFonts w:hint="eastAsia"/>
        </w:rPr>
        <w:t>因此</w:t>
      </w:r>
      <w:r>
        <w:rPr>
          <w:rFonts w:hint="eastAsia"/>
          <w:lang w:val="es-ES"/>
        </w:rPr>
        <w:t>，</w:t>
      </w:r>
      <w:r>
        <w:rPr>
          <w:rFonts w:hint="eastAsia"/>
        </w:rPr>
        <w:t>该条所指与《公约》的规定不相符。</w:t>
      </w:r>
    </w:p>
    <w:p w:rsidR="00DA7251" w:rsidRDefault="00DA7251">
      <w:pPr>
        <w:pStyle w:val="SingleTxtGC"/>
        <w:rPr>
          <w:lang w:val="es-ES"/>
        </w:rPr>
      </w:pPr>
      <w:r>
        <w:rPr>
          <w:lang w:val="es-ES"/>
        </w:rPr>
        <w:t xml:space="preserve">37.  </w:t>
      </w:r>
      <w:r>
        <w:rPr>
          <w:rFonts w:hint="eastAsia"/>
          <w:lang w:val="es-ES"/>
        </w:rPr>
        <w:t>关于限制</w:t>
      </w:r>
      <w:r>
        <w:rPr>
          <w:rFonts w:hint="eastAsia"/>
        </w:rPr>
        <w:t>完全法律行为能力的立法</w:t>
      </w:r>
      <w:r>
        <w:rPr>
          <w:rFonts w:hint="eastAsia"/>
          <w:lang w:val="es-ES_tradnl"/>
        </w:rPr>
        <w:t>，</w:t>
      </w:r>
      <w:r>
        <w:rPr>
          <w:rFonts w:hint="eastAsia"/>
        </w:rPr>
        <w:t>巴拉圭《民法典》第</w:t>
      </w:r>
      <w:r>
        <w:rPr>
          <w:lang w:val="es-ES_tradnl"/>
        </w:rPr>
        <w:t>37</w:t>
      </w:r>
      <w:r>
        <w:rPr>
          <w:lang w:val="es-ES_tradnl"/>
        </w:rPr>
        <w:t>条</w:t>
      </w:r>
      <w:r>
        <w:t>、第</w:t>
      </w:r>
      <w:r>
        <w:rPr>
          <w:lang w:val="es-ES_tradnl"/>
        </w:rPr>
        <w:t>73</w:t>
      </w:r>
      <w:r>
        <w:rPr>
          <w:lang w:val="es-ES_tradnl"/>
        </w:rPr>
        <w:t>条</w:t>
      </w:r>
      <w:r>
        <w:t>、第</w:t>
      </w:r>
      <w:r>
        <w:rPr>
          <w:lang w:val="es-ES_tradnl"/>
        </w:rPr>
        <w:t>84</w:t>
      </w:r>
      <w:r>
        <w:rPr>
          <w:lang w:val="es-ES_tradnl"/>
        </w:rPr>
        <w:t>条</w:t>
      </w:r>
      <w:r>
        <w:t>、第</w:t>
      </w:r>
      <w:r>
        <w:rPr>
          <w:lang w:val="es-ES_tradnl"/>
        </w:rPr>
        <w:t>85</w:t>
      </w:r>
      <w:r>
        <w:rPr>
          <w:lang w:val="es-ES_tradnl"/>
        </w:rPr>
        <w:t>条</w:t>
      </w:r>
      <w:r>
        <w:t>、第</w:t>
      </w:r>
      <w:r>
        <w:rPr>
          <w:lang w:val="es-ES_tradnl"/>
        </w:rPr>
        <w:t>86</w:t>
      </w:r>
      <w:r>
        <w:rPr>
          <w:lang w:val="es-ES_tradnl"/>
        </w:rPr>
        <w:t>条</w:t>
      </w:r>
      <w:r>
        <w:t>、第</w:t>
      </w:r>
      <w:r>
        <w:rPr>
          <w:lang w:val="es-ES_tradnl"/>
        </w:rPr>
        <w:t>89</w:t>
      </w:r>
      <w:r>
        <w:rPr>
          <w:lang w:val="es-ES_tradnl"/>
        </w:rPr>
        <w:t>条</w:t>
      </w:r>
      <w:r>
        <w:t>和第</w:t>
      </w:r>
      <w:r>
        <w:rPr>
          <w:lang w:val="es-ES_tradnl"/>
        </w:rPr>
        <w:t>90</w:t>
      </w:r>
      <w:r>
        <w:t>条</w:t>
      </w:r>
      <w:r>
        <w:rPr>
          <w:rStyle w:val="FootnoteReference"/>
        </w:rPr>
        <w:footnoteReference w:id="19"/>
      </w:r>
      <w:r>
        <w:rPr>
          <w:rStyle w:val="FootnoteReference"/>
          <w:vertAlign w:val="baseline"/>
        </w:rPr>
        <w:t xml:space="preserve"> </w:t>
      </w:r>
      <w:r>
        <w:rPr>
          <w:rFonts w:hint="eastAsia"/>
        </w:rPr>
        <w:t>规定了司法上禁止和无法律行为能力的标准。被宣布无能力或无法律行为能力者不能自主行使权利，而只能根据《民法典》规定指定的代表行使其权利。《民法典》第</w:t>
      </w:r>
      <w:r>
        <w:t>40</w:t>
      </w:r>
      <w:r>
        <w:t>条</w:t>
      </w:r>
      <w:r>
        <w:rPr>
          <w:rFonts w:hint="eastAsia"/>
        </w:rPr>
        <w:t>规定：“法律指定的代表可以代表当事人参与公民生活中的所有行为。本法典规定的例外情况除外。”</w:t>
      </w:r>
    </w:p>
    <w:p w:rsidR="00DA7251" w:rsidRDefault="00DA7251">
      <w:pPr>
        <w:pStyle w:val="SingleTxtGC"/>
        <w:rPr>
          <w:lang w:val="es-ES"/>
        </w:rPr>
      </w:pPr>
      <w:r>
        <w:rPr>
          <w:lang w:val="es-ES"/>
        </w:rPr>
        <w:t xml:space="preserve">38.  </w:t>
      </w:r>
      <w:r>
        <w:rPr>
          <w:rFonts w:hint="eastAsia"/>
        </w:rPr>
        <w:t>此外</w:t>
      </w:r>
      <w:r>
        <w:rPr>
          <w:rFonts w:hint="eastAsia"/>
          <w:lang w:val="es-ES"/>
        </w:rPr>
        <w:t>，</w:t>
      </w:r>
      <w:r>
        <w:rPr>
          <w:rFonts w:hint="eastAsia"/>
        </w:rPr>
        <w:t>《选举法》</w:t>
      </w:r>
      <w:r>
        <w:rPr>
          <w:rStyle w:val="FootnoteReference"/>
        </w:rPr>
        <w:footnoteReference w:id="20"/>
      </w:r>
      <w:r>
        <w:rPr>
          <w:rStyle w:val="FootnoteReference"/>
          <w:vertAlign w:val="baseline"/>
        </w:rPr>
        <w:t xml:space="preserve"> </w:t>
      </w:r>
      <w:r>
        <w:t>第</w:t>
      </w:r>
      <w:r>
        <w:rPr>
          <w:lang w:val="es-ES"/>
        </w:rPr>
        <w:t>91</w:t>
      </w:r>
      <w:r>
        <w:rPr>
          <w:rFonts w:hint="eastAsia"/>
        </w:rPr>
        <w:t>条规定</w:t>
      </w:r>
      <w:r>
        <w:rPr>
          <w:rFonts w:hint="eastAsia"/>
          <w:lang w:val="es-ES"/>
        </w:rPr>
        <w:t>：“</w:t>
      </w:r>
      <w:r>
        <w:rPr>
          <w:rFonts w:hint="eastAsia"/>
        </w:rPr>
        <w:t>下列人员不得成为选举人</w:t>
      </w:r>
      <w:r>
        <w:rPr>
          <w:lang w:val="es-ES"/>
        </w:rPr>
        <w:t>：</w:t>
      </w:r>
      <w:r>
        <w:rPr>
          <w:lang w:val="es-ES"/>
        </w:rPr>
        <w:t xml:space="preserve">(a) </w:t>
      </w:r>
      <w:r>
        <w:t>在</w:t>
      </w:r>
      <w:r>
        <w:rPr>
          <w:rFonts w:hint="eastAsia"/>
        </w:rPr>
        <w:t>司法上</w:t>
      </w:r>
      <w:r>
        <w:t>被宣布为无法律行为能力者</w:t>
      </w:r>
      <w:r>
        <w:rPr>
          <w:lang w:val="es-ES"/>
        </w:rPr>
        <w:t>；</w:t>
      </w:r>
      <w:r>
        <w:rPr>
          <w:lang w:val="es-ES"/>
        </w:rPr>
        <w:t xml:space="preserve">(b) </w:t>
      </w:r>
      <w:r>
        <w:t>无法通过书面或其他方式让他人</w:t>
      </w:r>
      <w:r>
        <w:rPr>
          <w:rFonts w:hint="eastAsia"/>
        </w:rPr>
        <w:t>理解自己的聋哑人</w:t>
      </w:r>
      <w:r>
        <w:rPr>
          <w:rFonts w:hint="eastAsia"/>
          <w:lang w:val="es-ES"/>
        </w:rPr>
        <w:t>；</w:t>
      </w:r>
      <w:r>
        <w:rPr>
          <w:rFonts w:hint="eastAsia"/>
        </w:rPr>
        <w:t>[</w:t>
      </w:r>
      <w:r>
        <w:rPr>
          <w:rFonts w:hint="eastAsia"/>
          <w:lang w:val="es-ES"/>
        </w:rPr>
        <w:t>……</w:t>
      </w:r>
      <w:r>
        <w:rPr>
          <w:rFonts w:hint="eastAsia"/>
        </w:rPr>
        <w:t>]</w:t>
      </w:r>
      <w:r>
        <w:rPr>
          <w:rFonts w:hint="eastAsia"/>
          <w:lang w:val="es-ES"/>
        </w:rPr>
        <w:t>”。</w:t>
      </w:r>
    </w:p>
    <w:p w:rsidR="00DA7251" w:rsidRDefault="00DA7251">
      <w:pPr>
        <w:pStyle w:val="SingleTxtGC"/>
      </w:pPr>
      <w:r>
        <w:rPr>
          <w:lang w:val="es-ES"/>
        </w:rPr>
        <w:t xml:space="preserve">39.  </w:t>
      </w:r>
      <w:r>
        <w:rPr>
          <w:rFonts w:hint="eastAsia"/>
        </w:rPr>
        <w:t>在帮助残疾人行使其法律行为能力和管理财务方面</w:t>
      </w:r>
      <w:r>
        <w:rPr>
          <w:rFonts w:hint="eastAsia"/>
          <w:lang w:val="es-ES"/>
        </w:rPr>
        <w:t>，</w:t>
      </w:r>
      <w:r>
        <w:rPr>
          <w:rFonts w:hint="eastAsia"/>
        </w:rPr>
        <w:t>最高法院下属的公设辩护人机构为有需要者提供免费司法援助</w:t>
      </w:r>
      <w:r>
        <w:rPr>
          <w:rFonts w:hint="eastAsia"/>
          <w:lang w:val="es-ES"/>
        </w:rPr>
        <w:t>，</w:t>
      </w:r>
      <w:r>
        <w:rPr>
          <w:rFonts w:hint="eastAsia"/>
        </w:rPr>
        <w:t>特别是通过民事事务公设辩护人办公室来提供援助。该办公室有权处理个人之间的法律争端。在不同的案件中，它代表着根据《民法典》被宣布“无能力”者。</w:t>
      </w:r>
      <w:r>
        <w:rPr>
          <w:rStyle w:val="FootnoteReference"/>
        </w:rPr>
        <w:footnoteReference w:id="21"/>
      </w:r>
      <w:r>
        <w:rPr>
          <w:rStyle w:val="FootnoteReference"/>
          <w:vertAlign w:val="baseline"/>
        </w:rPr>
        <w:t xml:space="preserve"> </w:t>
      </w:r>
    </w:p>
    <w:p w:rsidR="00DA7251" w:rsidRDefault="00DA7251">
      <w:pPr>
        <w:pStyle w:val="H1GC"/>
        <w:rPr>
          <w:lang w:val="es-ES_tradnl"/>
        </w:rPr>
      </w:pPr>
      <w:r>
        <w:rPr>
          <w:rFonts w:hint="eastAsia"/>
          <w:lang w:val="es-ES_tradnl"/>
        </w:rPr>
        <w:tab/>
      </w:r>
      <w:r>
        <w:rPr>
          <w:lang w:val="es-ES_tradnl"/>
        </w:rPr>
        <w:t>G.</w:t>
      </w:r>
      <w:r>
        <w:rPr>
          <w:lang w:val="es-ES_tradnl"/>
        </w:rPr>
        <w:tab/>
      </w:r>
      <w:r>
        <w:rPr>
          <w:rFonts w:hint="eastAsia"/>
          <w:lang w:val="es-ES_tradnl"/>
        </w:rPr>
        <w:t>第十三条：获得司法保护</w:t>
      </w:r>
    </w:p>
    <w:p w:rsidR="00DA7251" w:rsidRDefault="00DA7251">
      <w:pPr>
        <w:pStyle w:val="SingleTxtGC"/>
        <w:rPr>
          <w:lang w:val="es-ES"/>
        </w:rPr>
      </w:pPr>
      <w:r>
        <w:rPr>
          <w:lang w:val="es-ES"/>
        </w:rPr>
        <w:t xml:space="preserve">40.  </w:t>
      </w:r>
      <w:r>
        <w:rPr>
          <w:rFonts w:hint="eastAsia"/>
        </w:rPr>
        <w:t>巴拉圭通过公设辩护人机构对在民事或刑事诉讼中需要代理人但又渠道有限的公民提供援助。巴拉圭设立了法官、公设辩护人和检察官的新职位，作为通过扩大司法管理服务，促进获得司法保护的途径。司法委员会目前正筛选候选人填补这些职位。</w:t>
      </w:r>
    </w:p>
    <w:p w:rsidR="00DA7251" w:rsidRDefault="00DA7251">
      <w:pPr>
        <w:pStyle w:val="SingleTxtGC"/>
        <w:rPr>
          <w:lang w:val="es-ES_tradnl"/>
        </w:rPr>
      </w:pPr>
      <w:r>
        <w:rPr>
          <w:lang w:val="es-ES"/>
        </w:rPr>
        <w:t xml:space="preserve">41.  </w:t>
      </w:r>
      <w:r>
        <w:rPr>
          <w:rFonts w:hint="eastAsia"/>
          <w:lang w:val="es-ES"/>
        </w:rPr>
        <w:t>关于获得国家指定的律师，</w:t>
      </w:r>
      <w:r>
        <w:rPr>
          <w:rFonts w:hint="eastAsia"/>
        </w:rPr>
        <w:t>公设辩护人机构负责提供免费的法律顾问。公设辩护人机构是司法机关内的一个公共法律实体</w:t>
      </w:r>
      <w:r>
        <w:rPr>
          <w:rFonts w:hint="eastAsia"/>
          <w:lang w:val="es-ES"/>
        </w:rPr>
        <w:t>，</w:t>
      </w:r>
      <w:r>
        <w:rPr>
          <w:rFonts w:hint="eastAsia"/>
        </w:rPr>
        <w:t>具有惯常的、行政和职能自主权，并资金管理方面享有财政独立。</w:t>
      </w:r>
      <w:r>
        <w:rPr>
          <w:rStyle w:val="FootnoteReference"/>
        </w:rPr>
        <w:footnoteReference w:id="22"/>
      </w:r>
      <w:r>
        <w:rPr>
          <w:rStyle w:val="FootnoteReference"/>
          <w:vertAlign w:val="baseline"/>
        </w:rPr>
        <w:t xml:space="preserve"> </w:t>
      </w:r>
    </w:p>
    <w:p w:rsidR="00DA7251" w:rsidRDefault="00DA7251">
      <w:pPr>
        <w:pStyle w:val="SingleTxtGC"/>
        <w:rPr>
          <w:lang w:val="es-ES"/>
        </w:rPr>
      </w:pPr>
      <w:r>
        <w:rPr>
          <w:lang w:val="es-ES"/>
        </w:rPr>
        <w:t xml:space="preserve">42.  </w:t>
      </w:r>
      <w:r w:rsidRPr="0051428B">
        <w:rPr>
          <w:rFonts w:hint="eastAsia"/>
          <w:spacing w:val="-1"/>
        </w:rPr>
        <w:t>公设辩护人机构的主要职责是维护司法的正当程序。</w:t>
      </w:r>
      <w:r w:rsidRPr="0051428B">
        <w:rPr>
          <w:rStyle w:val="FootnoteReference"/>
          <w:spacing w:val="-1"/>
        </w:rPr>
        <w:footnoteReference w:id="23"/>
      </w:r>
      <w:r w:rsidRPr="0051428B">
        <w:rPr>
          <w:rStyle w:val="FootnoteReference"/>
          <w:spacing w:val="-1"/>
          <w:vertAlign w:val="baseline"/>
        </w:rPr>
        <w:t xml:space="preserve"> </w:t>
      </w:r>
      <w:r w:rsidRPr="0051428B">
        <w:rPr>
          <w:rFonts w:hint="eastAsia"/>
          <w:spacing w:val="-1"/>
        </w:rPr>
        <w:t>公设辩护人机构负责保护那些利用其服务的人们的利益，负责在其管辖范围内，根据《宪法》</w:t>
      </w:r>
      <w:r w:rsidRPr="0051428B">
        <w:rPr>
          <w:rStyle w:val="FootnoteReference"/>
          <w:spacing w:val="-1"/>
        </w:rPr>
        <w:footnoteReference w:id="24"/>
      </w:r>
      <w:r w:rsidRPr="0051428B">
        <w:rPr>
          <w:rStyle w:val="FootnoteReference"/>
          <w:spacing w:val="-1"/>
          <w:vertAlign w:val="baseline"/>
        </w:rPr>
        <w:t xml:space="preserve"> </w:t>
      </w:r>
      <w:r w:rsidRPr="0051428B">
        <w:rPr>
          <w:rFonts w:hint="eastAsia"/>
          <w:spacing w:val="-1"/>
        </w:rPr>
        <w:t>、</w:t>
      </w:r>
      <w:r>
        <w:rPr>
          <w:rFonts w:hint="eastAsia"/>
        </w:rPr>
        <w:t>国际条约和公约</w:t>
      </w:r>
      <w:r>
        <w:rPr>
          <w:rStyle w:val="FootnoteReference"/>
        </w:rPr>
        <w:footnoteReference w:id="25"/>
      </w:r>
      <w:r>
        <w:rPr>
          <w:rStyle w:val="FootnoteReference"/>
          <w:vertAlign w:val="baseline"/>
        </w:rPr>
        <w:t xml:space="preserve"> </w:t>
      </w:r>
      <w:r>
        <w:rPr>
          <w:rFonts w:hint="eastAsia"/>
        </w:rPr>
        <w:t>、《刑事诉讼法》及其他适用法律</w:t>
      </w:r>
      <w:r>
        <w:rPr>
          <w:rStyle w:val="FootnoteReference"/>
        </w:rPr>
        <w:footnoteReference w:id="26"/>
      </w:r>
      <w:r>
        <w:rPr>
          <w:rStyle w:val="FootnoteReference"/>
          <w:vertAlign w:val="baseline"/>
        </w:rPr>
        <w:t xml:space="preserve"> </w:t>
      </w:r>
      <w:r>
        <w:rPr>
          <w:rFonts w:hint="eastAsia"/>
        </w:rPr>
        <w:t>、决定</w:t>
      </w:r>
      <w:r>
        <w:rPr>
          <w:rStyle w:val="FootnoteReference"/>
        </w:rPr>
        <w:footnoteReference w:id="27"/>
      </w:r>
      <w:r>
        <w:rPr>
          <w:rStyle w:val="FootnoteReference"/>
          <w:vertAlign w:val="baseline"/>
        </w:rPr>
        <w:t xml:space="preserve"> </w:t>
      </w:r>
      <w:r>
        <w:rPr>
          <w:rFonts w:hint="eastAsia"/>
        </w:rPr>
        <w:t>和内部法规的规定</w:t>
      </w:r>
      <w:r>
        <w:rPr>
          <w:rFonts w:hint="eastAsia"/>
          <w:lang w:val="es-ES_tradnl"/>
        </w:rPr>
        <w:t>，维护尊重人权。</w:t>
      </w:r>
    </w:p>
    <w:p w:rsidR="00DA7251" w:rsidRDefault="00DA7251">
      <w:pPr>
        <w:pStyle w:val="SingleTxtGC"/>
        <w:rPr>
          <w:lang w:val="es-ES"/>
        </w:rPr>
      </w:pPr>
      <w:r>
        <w:rPr>
          <w:lang w:val="es-ES"/>
        </w:rPr>
        <w:t xml:space="preserve">43.  </w:t>
      </w:r>
      <w:r>
        <w:rPr>
          <w:rFonts w:hint="eastAsia"/>
        </w:rPr>
        <w:t>公设辩护人机构已向议会提出了法案草案。</w:t>
      </w:r>
      <w:r>
        <w:rPr>
          <w:rStyle w:val="FootnoteReference"/>
        </w:rPr>
        <w:footnoteReference w:id="28"/>
      </w:r>
      <w:r>
        <w:rPr>
          <w:rStyle w:val="FootnoteReference"/>
          <w:vertAlign w:val="baseline"/>
        </w:rPr>
        <w:t xml:space="preserve"> </w:t>
      </w:r>
      <w:r>
        <w:rPr>
          <w:rFonts w:hint="eastAsia"/>
        </w:rPr>
        <w:t>该草案共有</w:t>
      </w:r>
      <w:r>
        <w:rPr>
          <w:lang w:val="es-ES"/>
        </w:rPr>
        <w:t>99</w:t>
      </w:r>
      <w:r>
        <w:rPr>
          <w:rFonts w:hint="eastAsia"/>
        </w:rPr>
        <w:t>条</w:t>
      </w:r>
      <w:r>
        <w:rPr>
          <w:rFonts w:hint="eastAsia"/>
          <w:lang w:val="es-ES"/>
        </w:rPr>
        <w:t>，</w:t>
      </w:r>
      <w:r>
        <w:rPr>
          <w:rFonts w:hint="eastAsia"/>
        </w:rPr>
        <w:t>其内容包括</w:t>
      </w:r>
      <w:r>
        <w:rPr>
          <w:rFonts w:hint="eastAsia"/>
          <w:lang w:val="es-ES"/>
        </w:rPr>
        <w:t>：</w:t>
      </w:r>
      <w:r>
        <w:rPr>
          <w:rFonts w:hint="eastAsia"/>
        </w:rPr>
        <w:t>公设辩护人机构的形式、所在地和使命</w:t>
      </w:r>
      <w:r>
        <w:rPr>
          <w:rFonts w:hint="eastAsia"/>
          <w:lang w:val="es-ES"/>
        </w:rPr>
        <w:t>。法案还确定了</w:t>
      </w:r>
      <w:r>
        <w:rPr>
          <w:rFonts w:hint="eastAsia"/>
        </w:rPr>
        <w:t>自主性、自给自足和职责范围，这些对该部门根据服务当事人最佳利益、保密、补充干预和免费服务等原则充分履行其义务非常重要。</w:t>
      </w:r>
    </w:p>
    <w:p w:rsidR="00DA7251" w:rsidRDefault="00DA7251">
      <w:pPr>
        <w:pStyle w:val="SingleTxtGC"/>
        <w:rPr>
          <w:lang w:val="es-ES_tradnl"/>
        </w:rPr>
      </w:pPr>
      <w:r>
        <w:rPr>
          <w:lang w:val="es-ES"/>
        </w:rPr>
        <w:t xml:space="preserve">44.  </w:t>
      </w:r>
      <w:r>
        <w:rPr>
          <w:rFonts w:hint="eastAsia"/>
        </w:rPr>
        <w:t>最高法院已经启动必要的监督和调整行动，以改进弱势群体，包括残疾人获得司法保护的途径。截止</w:t>
      </w:r>
      <w:r>
        <w:rPr>
          <w:lang w:val="es-ES"/>
        </w:rPr>
        <w:t>2008</w:t>
      </w:r>
      <w:r>
        <w:t>年</w:t>
      </w:r>
      <w:r>
        <w:rPr>
          <w:rFonts w:hint="eastAsia"/>
        </w:rPr>
        <w:t>底</w:t>
      </w:r>
      <w:r>
        <w:rPr>
          <w:rFonts w:hint="eastAsia"/>
          <w:lang w:val="es-ES"/>
        </w:rPr>
        <w:t>，</w:t>
      </w:r>
      <w:r>
        <w:rPr>
          <w:rFonts w:hint="eastAsia"/>
        </w:rPr>
        <w:t>巴拉圭与来自其他拉丁美洲国家的审判长和检察长共同签署了一份通过使处境不利人群获得公平审判机会《巴西利亚规则》的承诺书。根据这项承诺书和其他国际人权文书，法院开始了监督并适应国际标准的过程。目前</w:t>
      </w:r>
      <w:r>
        <w:rPr>
          <w:rFonts w:hint="eastAsia"/>
          <w:lang w:val="es-ES"/>
        </w:rPr>
        <w:t>，</w:t>
      </w:r>
      <w:r>
        <w:rPr>
          <w:rFonts w:hint="eastAsia"/>
        </w:rPr>
        <w:t>巴拉圭最高法院正参与执行各项计划，以完善无障碍建筑，出其他外，承诺通过为司法系统和其他人员提供手语翻译和培训的方式，推动参与法律诉讼程序。</w:t>
      </w:r>
    </w:p>
    <w:p w:rsidR="00DA7251" w:rsidRDefault="00DA7251">
      <w:pPr>
        <w:pStyle w:val="SingleTxtGC"/>
        <w:rPr>
          <w:lang w:val="es-ES"/>
        </w:rPr>
      </w:pPr>
      <w:r>
        <w:rPr>
          <w:lang w:val="es-ES"/>
        </w:rPr>
        <w:t xml:space="preserve">45.  </w:t>
      </w:r>
      <w:r>
        <w:rPr>
          <w:rFonts w:hint="eastAsia"/>
        </w:rPr>
        <w:t>根据宪法关于获得司法保护方面的要求</w:t>
      </w:r>
      <w:r>
        <w:rPr>
          <w:rFonts w:hint="eastAsia"/>
          <w:lang w:val="es-ES_tradnl"/>
        </w:rPr>
        <w:t>，</w:t>
      </w:r>
      <w:r>
        <w:rPr>
          <w:rFonts w:hint="eastAsia"/>
        </w:rPr>
        <w:t>最高法院还支持《语言法》中的立法倡议。</w:t>
      </w:r>
    </w:p>
    <w:p w:rsidR="00DA7251" w:rsidRDefault="00DA7251">
      <w:pPr>
        <w:pStyle w:val="SingleTxtGC"/>
        <w:rPr>
          <w:lang w:val="es-ES"/>
        </w:rPr>
      </w:pPr>
      <w:r>
        <w:rPr>
          <w:lang w:val="es-ES"/>
        </w:rPr>
        <w:t xml:space="preserve">46.  </w:t>
      </w:r>
      <w:smartTag w:uri="urn:schemas-microsoft-com:office:smarttags" w:element="chsdate">
        <w:smartTagPr>
          <w:attr w:name="Year" w:val="2010"/>
          <w:attr w:name="Month" w:val="4"/>
          <w:attr w:name="Day" w:val="28"/>
          <w:attr w:name="IsLunarDate" w:val="False"/>
          <w:attr w:name="IsROCDate" w:val="False"/>
        </w:smartTagPr>
        <w:r>
          <w:rPr>
            <w:lang w:val="es-ES"/>
          </w:rPr>
          <w:t>2010</w:t>
        </w:r>
        <w:r>
          <w:t>年</w:t>
        </w:r>
        <w:r>
          <w:rPr>
            <w:lang w:val="es-ES"/>
          </w:rPr>
          <w:t>4</w:t>
        </w:r>
        <w:r>
          <w:t>月</w:t>
        </w:r>
        <w:r>
          <w:rPr>
            <w:lang w:val="es-ES"/>
          </w:rPr>
          <w:t>28</w:t>
        </w:r>
        <w:r>
          <w:t>日</w:t>
        </w:r>
      </w:smartTag>
      <w:r>
        <w:rPr>
          <w:lang w:val="es-ES"/>
        </w:rPr>
        <w:t>，</w:t>
      </w:r>
      <w:r>
        <w:rPr>
          <w:rFonts w:hint="eastAsia"/>
        </w:rPr>
        <w:t>巴拉圭在议会参众两院举办了公共论坛和听证会。在论坛和听证会上</w:t>
      </w:r>
      <w:r>
        <w:rPr>
          <w:rFonts w:hint="eastAsia"/>
          <w:lang w:val="es-ES"/>
        </w:rPr>
        <w:t>，</w:t>
      </w:r>
      <w:r>
        <w:rPr>
          <w:rFonts w:hint="eastAsia"/>
        </w:rPr>
        <w:t>最高法院领导第一小组支持批准该法案，小组成员包括法官萨拉特亚</w:t>
      </w:r>
      <w:r>
        <w:rPr>
          <w:rFonts w:hint="eastAsia"/>
          <w:lang w:val="es-ES"/>
        </w:rPr>
        <w:t>·</w:t>
      </w:r>
      <w:r>
        <w:rPr>
          <w:rFonts w:hint="eastAsia"/>
        </w:rPr>
        <w:t>塔德奥</w:t>
      </w:r>
      <w:r>
        <w:rPr>
          <w:rFonts w:hint="eastAsia"/>
          <w:lang w:val="es-ES"/>
        </w:rPr>
        <w:t>(</w:t>
      </w:r>
      <w:r>
        <w:rPr>
          <w:lang w:val="es-ES"/>
        </w:rPr>
        <w:t>Tadeo Zarratea</w:t>
      </w:r>
      <w:r>
        <w:rPr>
          <w:rFonts w:hint="eastAsia"/>
          <w:lang w:val="es-ES"/>
        </w:rPr>
        <w:t>)</w:t>
      </w:r>
      <w:r>
        <w:rPr>
          <w:rFonts w:hint="eastAsia"/>
        </w:rPr>
        <w:t>，法官解释和论证了该法案通过的重要性。</w:t>
      </w:r>
    </w:p>
    <w:p w:rsidR="00DA7251" w:rsidRDefault="00DA7251">
      <w:pPr>
        <w:pStyle w:val="SingleTxtGC"/>
        <w:rPr>
          <w:lang w:val="es-ES"/>
        </w:rPr>
      </w:pPr>
      <w:r>
        <w:rPr>
          <w:lang w:val="es-ES"/>
        </w:rPr>
        <w:t xml:space="preserve">47.  </w:t>
      </w:r>
      <w:r>
        <w:rPr>
          <w:rFonts w:hint="eastAsia"/>
        </w:rPr>
        <w:t>《语言法》草</w:t>
      </w:r>
      <w:r>
        <w:t>案从</w:t>
      </w:r>
      <w:r>
        <w:rPr>
          <w:lang w:val="es-ES"/>
        </w:rPr>
        <w:t>2009</w:t>
      </w:r>
      <w:r>
        <w:t>年起进入研究论证阶段</w:t>
      </w:r>
      <w:r>
        <w:rPr>
          <w:rFonts w:hint="eastAsia"/>
        </w:rPr>
        <w:t>，文化、教育和体育委员会提出了各种意见</w:t>
      </w:r>
      <w:r>
        <w:t>。巴拉圭</w:t>
      </w:r>
      <w:r>
        <w:rPr>
          <w:lang w:val="es-ES"/>
        </w:rPr>
        <w:t>共</w:t>
      </w:r>
      <w:r>
        <w:t>有</w:t>
      </w:r>
      <w:r>
        <w:rPr>
          <w:lang w:val="es-ES"/>
        </w:rPr>
        <w:t>20</w:t>
      </w:r>
      <w:r>
        <w:t>种土著语言。这些土著语言是</w:t>
      </w:r>
      <w:r>
        <w:rPr>
          <w:rFonts w:hint="eastAsia"/>
        </w:rPr>
        <w:t>国家文化遗产的组成部分，其中一部分已濒临失传。《语言法》提议建立语言政策秘书处，负责维护和保护这些语言。</w:t>
      </w:r>
    </w:p>
    <w:p w:rsidR="00DA7251" w:rsidRDefault="00DA7251">
      <w:pPr>
        <w:pStyle w:val="SingleTxtGC"/>
        <w:rPr>
          <w:lang w:val="es-ES"/>
        </w:rPr>
      </w:pPr>
      <w:r>
        <w:rPr>
          <w:lang w:val="es-ES"/>
        </w:rPr>
        <w:t xml:space="preserve">48.  </w:t>
      </w:r>
      <w:r>
        <w:rPr>
          <w:rFonts w:hint="eastAsia"/>
        </w:rPr>
        <w:t>该法案还包括与手语有关的规定。手语对残疾人的无障碍生活必不可少。</w:t>
      </w:r>
    </w:p>
    <w:p w:rsidR="00DA7251" w:rsidRDefault="00DA7251">
      <w:pPr>
        <w:pStyle w:val="SingleTxtGC"/>
        <w:rPr>
          <w:lang w:val="es-ES"/>
        </w:rPr>
      </w:pPr>
      <w:r>
        <w:rPr>
          <w:lang w:val="es-ES"/>
        </w:rPr>
        <w:t xml:space="preserve">49.  </w:t>
      </w:r>
      <w:r>
        <w:rPr>
          <w:rFonts w:hint="eastAsia"/>
        </w:rPr>
        <w:t>该法案第二章</w:t>
      </w:r>
      <w:r>
        <w:t>第</w:t>
      </w:r>
      <w:r>
        <w:rPr>
          <w:lang w:val="es-ES"/>
        </w:rPr>
        <w:t>9</w:t>
      </w:r>
      <w:r>
        <w:t>条</w:t>
      </w:r>
      <w:r>
        <w:rPr>
          <w:rFonts w:hint="eastAsia"/>
        </w:rPr>
        <w:t>论述了对个人语言权的保护</w:t>
      </w:r>
      <w:r>
        <w:rPr>
          <w:rFonts w:hint="eastAsia"/>
          <w:lang w:val="es-ES"/>
        </w:rPr>
        <w:t>，</w:t>
      </w:r>
      <w:r>
        <w:rPr>
          <w:rFonts w:hint="eastAsia"/>
        </w:rPr>
        <w:t>认为巴拉圭共和国全体居民均享有下列权利</w:t>
      </w:r>
      <w:r>
        <w:rPr>
          <w:rFonts w:hint="eastAsia"/>
          <w:lang w:val="es-ES"/>
        </w:rPr>
        <w:t>：</w:t>
      </w:r>
    </w:p>
    <w:p w:rsidR="00DA7251" w:rsidRDefault="00DA7251">
      <w:pPr>
        <w:pStyle w:val="SingleTxtGC"/>
        <w:numPr>
          <w:ilvl w:val="0"/>
          <w:numId w:val="17"/>
        </w:numPr>
        <w:rPr>
          <w:lang w:val="es-ES"/>
        </w:rPr>
      </w:pPr>
      <w:r>
        <w:rPr>
          <w:rFonts w:hint="eastAsia"/>
        </w:rPr>
        <w:t>以口语和书面语的方式</w:t>
      </w:r>
      <w:r>
        <w:rPr>
          <w:rFonts w:hint="eastAsia"/>
          <w:lang w:val="es-ES"/>
        </w:rPr>
        <w:t>，</w:t>
      </w:r>
      <w:r>
        <w:rPr>
          <w:rFonts w:hint="eastAsia"/>
        </w:rPr>
        <w:t>在各种情况下学习和使用巴拉圭的两种官方语言</w:t>
      </w:r>
      <w:r>
        <w:rPr>
          <w:rFonts w:hint="eastAsia"/>
          <w:lang w:val="es-ES"/>
        </w:rPr>
        <w:t>；</w:t>
      </w:r>
      <w:r>
        <w:rPr>
          <w:rStyle w:val="FootnoteReference"/>
        </w:rPr>
        <w:footnoteReference w:id="29"/>
      </w:r>
      <w:r>
        <w:rPr>
          <w:rStyle w:val="FootnoteReference"/>
          <w:vertAlign w:val="baseline"/>
        </w:rPr>
        <w:t xml:space="preserve"> </w:t>
      </w:r>
      <w:r>
        <w:rPr>
          <w:rFonts w:hint="eastAsia"/>
        </w:rPr>
        <w:t>其所得到的回答也应以相应语言表述。此外</w:t>
      </w:r>
      <w:r>
        <w:rPr>
          <w:rFonts w:hint="eastAsia"/>
          <w:lang w:val="es-ES"/>
        </w:rPr>
        <w:t>，</w:t>
      </w:r>
      <w:r>
        <w:rPr>
          <w:rFonts w:hint="eastAsia"/>
        </w:rPr>
        <w:t>土著巴拉圭人也应有权学习和使用他们自己的语言；</w:t>
      </w:r>
    </w:p>
    <w:p w:rsidR="00DA7251" w:rsidRDefault="00DA7251">
      <w:pPr>
        <w:pStyle w:val="SingleTxtGC"/>
        <w:numPr>
          <w:ilvl w:val="0"/>
          <w:numId w:val="17"/>
        </w:numPr>
        <w:rPr>
          <w:lang w:val="es-ES"/>
        </w:rPr>
      </w:pPr>
      <w:r>
        <w:rPr>
          <w:rFonts w:hint="eastAsia"/>
        </w:rPr>
        <w:t>从私人雇主那里</w:t>
      </w:r>
      <w:r>
        <w:rPr>
          <w:rFonts w:hint="eastAsia"/>
          <w:lang w:val="es-ES"/>
        </w:rPr>
        <w:t>，</w:t>
      </w:r>
      <w:r>
        <w:rPr>
          <w:rFonts w:hint="eastAsia"/>
        </w:rPr>
        <w:t>以当事人使用的语言由于工作原因得到各种与其利益有关的任何就业和行政管理问题方面的信息。</w:t>
      </w:r>
    </w:p>
    <w:p w:rsidR="00DA7251" w:rsidRDefault="00DA7251">
      <w:pPr>
        <w:pStyle w:val="SingleTxtGC"/>
        <w:numPr>
          <w:ilvl w:val="0"/>
          <w:numId w:val="17"/>
        </w:numPr>
        <w:rPr>
          <w:lang w:val="es-ES"/>
        </w:rPr>
      </w:pPr>
      <w:r>
        <w:rPr>
          <w:rFonts w:hint="eastAsia"/>
        </w:rPr>
        <w:t>通过所有各类媒体接受瓜拉尼语和西班牙语官方信息。</w:t>
      </w:r>
    </w:p>
    <w:p w:rsidR="00DA7251" w:rsidRDefault="00DA7251">
      <w:pPr>
        <w:pStyle w:val="SingleTxtGC"/>
        <w:numPr>
          <w:ilvl w:val="0"/>
          <w:numId w:val="17"/>
        </w:numPr>
        <w:rPr>
          <w:lang w:val="es-ES"/>
        </w:rPr>
      </w:pPr>
      <w:r>
        <w:rPr>
          <w:rFonts w:hint="eastAsia"/>
        </w:rPr>
        <w:t>不得出于语言原因进行歧视。</w:t>
      </w:r>
    </w:p>
    <w:p w:rsidR="00DA7251" w:rsidRDefault="00DA7251">
      <w:pPr>
        <w:pStyle w:val="SingleTxtGC"/>
        <w:numPr>
          <w:ilvl w:val="0"/>
          <w:numId w:val="17"/>
        </w:numPr>
        <w:rPr>
          <w:lang w:val="es-ES"/>
        </w:rPr>
      </w:pPr>
      <w:bookmarkStart w:id="4" w:name="OLE_LINK2"/>
      <w:r>
        <w:rPr>
          <w:rFonts w:hint="eastAsia"/>
        </w:rPr>
        <w:t>在法律诉讼程序中使用两种官方语言中的任意一种，并且以其选择的语言受理其陈述而无需翻译。其他语言者有权要求懂该语言者在法庭上为其提供协助。</w:t>
      </w:r>
      <w:bookmarkEnd w:id="4"/>
    </w:p>
    <w:p w:rsidR="00DA7251" w:rsidRDefault="00DA7251">
      <w:pPr>
        <w:pStyle w:val="SingleTxtGC"/>
        <w:numPr>
          <w:ilvl w:val="0"/>
          <w:numId w:val="17"/>
        </w:numPr>
        <w:rPr>
          <w:lang w:val="es-ES"/>
        </w:rPr>
      </w:pPr>
      <w:r>
        <w:rPr>
          <w:rFonts w:hint="eastAsia"/>
        </w:rPr>
        <w:t>在法律诉讼程序中使用两种官方语言中的任意一种，并且以其选择的语言受理其陈述而无需翻译。其他语言者有权要求懂该语言者在法庭上为其提供协助。</w:t>
      </w:r>
    </w:p>
    <w:p w:rsidR="00DA7251" w:rsidRDefault="00DA7251">
      <w:pPr>
        <w:pStyle w:val="SingleTxtGC"/>
        <w:numPr>
          <w:ilvl w:val="0"/>
          <w:numId w:val="17"/>
        </w:numPr>
        <w:rPr>
          <w:lang w:val="es-ES"/>
        </w:rPr>
      </w:pPr>
      <w:r>
        <w:rPr>
          <w:rFonts w:hint="eastAsia"/>
        </w:rPr>
        <w:t>只要是国家的官方语言之一或一种土著语言</w:t>
      </w:r>
      <w:r>
        <w:rPr>
          <w:rFonts w:hint="eastAsia"/>
          <w:lang w:val="es-ES"/>
        </w:rPr>
        <w:t>，则从其上学开始就</w:t>
      </w:r>
      <w:r>
        <w:rPr>
          <w:rFonts w:hint="eastAsia"/>
        </w:rPr>
        <w:t>用自己的母语接受正规教育。</w:t>
      </w:r>
    </w:p>
    <w:p w:rsidR="00DA7251" w:rsidRDefault="00DA7251">
      <w:pPr>
        <w:pStyle w:val="SingleTxtGC"/>
        <w:rPr>
          <w:lang w:val="es-ES"/>
        </w:rPr>
      </w:pPr>
      <w:r>
        <w:rPr>
          <w:lang w:val="es-ES"/>
        </w:rPr>
        <w:t xml:space="preserve">50.  </w:t>
      </w:r>
      <w:r>
        <w:rPr>
          <w:rFonts w:hint="eastAsia"/>
          <w:lang w:val="es-ES"/>
        </w:rPr>
        <w:t>关于</w:t>
      </w:r>
      <w:r>
        <w:rPr>
          <w:rFonts w:hint="eastAsia"/>
        </w:rPr>
        <w:t>法院裁决中适用《公约》的问题</w:t>
      </w:r>
      <w:r>
        <w:rPr>
          <w:rFonts w:hint="eastAsia"/>
          <w:lang w:val="es-ES"/>
        </w:rPr>
        <w:t>，由于</w:t>
      </w:r>
      <w:r>
        <w:rPr>
          <w:rFonts w:hint="eastAsia"/>
        </w:rPr>
        <w:t>《公约》对巴拉圭人来说是一份相对较新的文书</w:t>
      </w:r>
      <w:r>
        <w:rPr>
          <w:rFonts w:hint="eastAsia"/>
          <w:lang w:val="es-ES"/>
        </w:rPr>
        <w:t>，</w:t>
      </w:r>
      <w:r>
        <w:rPr>
          <w:rFonts w:hint="eastAsia"/>
        </w:rPr>
        <w:t>在解决法律争端时很少援引该公约。但是</w:t>
      </w:r>
      <w:r>
        <w:rPr>
          <w:rFonts w:hint="eastAsia"/>
          <w:lang w:val="es-ES"/>
        </w:rPr>
        <w:t>，</w:t>
      </w:r>
      <w:r>
        <w:rPr>
          <w:rFonts w:hint="eastAsia"/>
        </w:rPr>
        <w:t>最高法院人权事务局承诺为法官组织培训和提高认识活动。下文段落中将更详细地介绍这些培训和活动。</w:t>
      </w:r>
    </w:p>
    <w:p w:rsidR="00DA7251" w:rsidRDefault="00DA7251">
      <w:pPr>
        <w:pStyle w:val="SingleTxtGC"/>
        <w:rPr>
          <w:lang w:val="es-ES_tradnl"/>
        </w:rPr>
      </w:pPr>
      <w:r>
        <w:rPr>
          <w:lang w:val="es-ES"/>
        </w:rPr>
        <w:t xml:space="preserve">51.  </w:t>
      </w:r>
      <w:r>
        <w:rPr>
          <w:rFonts w:hint="eastAsia"/>
        </w:rPr>
        <w:t>不过</w:t>
      </w:r>
      <w:r>
        <w:rPr>
          <w:rFonts w:hint="eastAsia"/>
          <w:lang w:val="es-ES"/>
        </w:rPr>
        <w:t>，</w:t>
      </w:r>
      <w:r>
        <w:rPr>
          <w:rFonts w:hint="eastAsia"/>
        </w:rPr>
        <w:t>本报告附上了亚松森法院做出的两起判决。</w:t>
      </w:r>
      <w:r>
        <w:rPr>
          <w:rStyle w:val="FootnoteReference"/>
        </w:rPr>
        <w:footnoteReference w:id="30"/>
      </w:r>
      <w:r>
        <w:rPr>
          <w:rStyle w:val="FootnoteReference"/>
          <w:vertAlign w:val="baseline"/>
        </w:rPr>
        <w:t xml:space="preserve"> </w:t>
      </w:r>
    </w:p>
    <w:p w:rsidR="00DA7251" w:rsidRDefault="00DA7251">
      <w:pPr>
        <w:pStyle w:val="SingleTxtGC"/>
        <w:rPr>
          <w:lang w:val="es-ES"/>
        </w:rPr>
      </w:pPr>
      <w:r>
        <w:rPr>
          <w:lang w:val="es-ES"/>
        </w:rPr>
        <w:t xml:space="preserve">52.  </w:t>
      </w:r>
      <w:r>
        <w:rPr>
          <w:rFonts w:hint="eastAsia"/>
        </w:rPr>
        <w:t>采取适当措施，确保对司法系统人员进行有效培训</w:t>
      </w:r>
      <w:r>
        <w:rPr>
          <w:rFonts w:hint="eastAsia"/>
          <w:lang w:val="es-ES_tradnl"/>
        </w:rPr>
        <w:t>，包括</w:t>
      </w:r>
      <w:r>
        <w:rPr>
          <w:rFonts w:hint="eastAsia"/>
        </w:rPr>
        <w:t>最高法院对法官和裁判官组织的定期培训讲习班</w:t>
      </w:r>
      <w:r>
        <w:rPr>
          <w:rFonts w:hint="eastAsia"/>
          <w:lang w:val="es-ES_tradnl"/>
        </w:rPr>
        <w:t>，目的是统一标准，正确应用规则和法规，</w:t>
      </w:r>
      <w:r>
        <w:rPr>
          <w:rFonts w:hint="eastAsia"/>
        </w:rPr>
        <w:t>以保护法律诉讼程序的当事人。</w:t>
      </w:r>
    </w:p>
    <w:p w:rsidR="00DA7251" w:rsidRDefault="00DA7251">
      <w:pPr>
        <w:pStyle w:val="SingleTxtGC"/>
        <w:rPr>
          <w:lang w:val="es-ES"/>
        </w:rPr>
      </w:pPr>
      <w:r>
        <w:rPr>
          <w:lang w:val="es-ES"/>
        </w:rPr>
        <w:t xml:space="preserve">53.  </w:t>
      </w:r>
      <w:r>
        <w:rPr>
          <w:rFonts w:hint="eastAsia"/>
        </w:rPr>
        <w:t>为了确保所有残疾人都能在司法程序的各个阶段</w:t>
      </w:r>
      <w:r>
        <w:rPr>
          <w:rFonts w:hint="eastAsia"/>
          <w:lang w:val="es-ES"/>
        </w:rPr>
        <w:t>(</w:t>
      </w:r>
      <w:r>
        <w:rPr>
          <w:rFonts w:hint="eastAsia"/>
        </w:rPr>
        <w:t>包括案件的调查阶段和其他初始阶段</w:t>
      </w:r>
      <w:r>
        <w:rPr>
          <w:rFonts w:hint="eastAsia"/>
          <w:lang w:val="es-ES"/>
        </w:rPr>
        <w:t>)</w:t>
      </w:r>
      <w:r>
        <w:rPr>
          <w:rFonts w:hint="eastAsia"/>
        </w:rPr>
        <w:t>获得有效的司法保护</w:t>
      </w:r>
      <w:r>
        <w:rPr>
          <w:rFonts w:hint="eastAsia"/>
          <w:lang w:val="es-ES"/>
        </w:rPr>
        <w:t>，</w:t>
      </w:r>
      <w:r>
        <w:rPr>
          <w:rFonts w:hint="eastAsia"/>
        </w:rPr>
        <w:t>所有案件中所有人请求进行司法正当程序核查时，监察员办公室的代表核查是否符合司法正当程序，并努力确保尊重正当程序权。同时</w:t>
      </w:r>
      <w:r>
        <w:rPr>
          <w:rFonts w:hint="eastAsia"/>
          <w:lang w:val="es-ES"/>
        </w:rPr>
        <w:t>，</w:t>
      </w:r>
      <w:r>
        <w:rPr>
          <w:rFonts w:hint="eastAsia"/>
        </w:rPr>
        <w:t>监察员办公室在访问拘留场所</w:t>
      </w:r>
      <w:r>
        <w:rPr>
          <w:rFonts w:hint="eastAsia"/>
          <w:lang w:val="es-ES"/>
        </w:rPr>
        <w:t>(</w:t>
      </w:r>
      <w:r>
        <w:rPr>
          <w:rFonts w:hint="eastAsia"/>
          <w:lang w:val="es-ES"/>
        </w:rPr>
        <w:t>包括</w:t>
      </w:r>
      <w:r>
        <w:rPr>
          <w:rFonts w:hint="eastAsia"/>
        </w:rPr>
        <w:t>警察局、监狱等</w:t>
      </w:r>
      <w:r>
        <w:rPr>
          <w:rFonts w:hint="eastAsia"/>
          <w:lang w:val="es-ES"/>
        </w:rPr>
        <w:t>)</w:t>
      </w:r>
      <w:r>
        <w:rPr>
          <w:rFonts w:hint="eastAsia"/>
          <w:lang w:val="es-ES"/>
        </w:rPr>
        <w:t>过程中还要对被剥夺自由者进行此类</w:t>
      </w:r>
      <w:r>
        <w:rPr>
          <w:rFonts w:hint="eastAsia"/>
        </w:rPr>
        <w:t>监督。</w:t>
      </w:r>
    </w:p>
    <w:p w:rsidR="00DA7251" w:rsidRDefault="00DA7251">
      <w:pPr>
        <w:pStyle w:val="SingleTxtGC"/>
        <w:rPr>
          <w:lang w:val="es-ES"/>
        </w:rPr>
      </w:pPr>
      <w:r>
        <w:rPr>
          <w:lang w:val="es-ES"/>
        </w:rPr>
        <w:t xml:space="preserve">54.  </w:t>
      </w:r>
      <w:r>
        <w:rPr>
          <w:rFonts w:hint="eastAsia"/>
        </w:rPr>
        <w:t>最高法院第</w:t>
      </w:r>
      <w:r>
        <w:rPr>
          <w:lang w:val="es-ES"/>
        </w:rPr>
        <w:t>298/05</w:t>
      </w:r>
      <w:r>
        <w:rPr>
          <w:rFonts w:hint="eastAsia"/>
        </w:rPr>
        <w:t>号决议</w:t>
      </w:r>
      <w:r>
        <w:t>第</w:t>
      </w:r>
      <w:r>
        <w:t>2</w:t>
      </w:r>
      <w:r>
        <w:t>条</w:t>
      </w:r>
      <w:r>
        <w:rPr>
          <w:rFonts w:hint="eastAsia"/>
        </w:rPr>
        <w:t>规定，司法系统的司法和行政工作人员必须在提出要求时必须参加所有培训课程。</w:t>
      </w:r>
    </w:p>
    <w:p w:rsidR="00DA7251" w:rsidRDefault="00DA7251">
      <w:pPr>
        <w:pStyle w:val="SingleTxtGC"/>
        <w:rPr>
          <w:lang w:val="es-ES_tradnl"/>
        </w:rPr>
      </w:pPr>
      <w:r>
        <w:rPr>
          <w:lang w:val="es-ES"/>
        </w:rPr>
        <w:t xml:space="preserve">55.  </w:t>
      </w:r>
      <w:r>
        <w:rPr>
          <w:rFonts w:hint="eastAsia"/>
        </w:rPr>
        <w:t>为了制定措施，以提高培训的质量</w:t>
      </w:r>
      <w:r>
        <w:rPr>
          <w:rFonts w:hint="eastAsia"/>
          <w:lang w:val="es-ES"/>
        </w:rPr>
        <w:t>，</w:t>
      </w:r>
      <w:r>
        <w:rPr>
          <w:rFonts w:hint="eastAsia"/>
          <w:lang w:val="es-ES"/>
        </w:rPr>
        <w:t>7</w:t>
      </w:r>
      <w:r>
        <w:rPr>
          <w:rFonts w:hint="eastAsia"/>
          <w:lang w:val="es-ES"/>
        </w:rPr>
        <w:t>个具体关于知识和培训的条款已被纳入</w:t>
      </w:r>
      <w:r>
        <w:rPr>
          <w:rFonts w:hint="eastAsia"/>
        </w:rPr>
        <w:t>《巴拉圭共和国司法职业道德守则》第四章。</w:t>
      </w:r>
      <w:r>
        <w:rPr>
          <w:rStyle w:val="FootnoteReference"/>
        </w:rPr>
        <w:footnoteReference w:id="31"/>
      </w:r>
      <w:r>
        <w:rPr>
          <w:rStyle w:val="FootnoteReference"/>
          <w:vertAlign w:val="baseline"/>
        </w:rPr>
        <w:t xml:space="preserve"> </w:t>
      </w:r>
    </w:p>
    <w:p w:rsidR="00DA7251" w:rsidRDefault="00DA7251">
      <w:pPr>
        <w:pStyle w:val="SingleTxtGC"/>
        <w:rPr>
          <w:lang w:val="es-ES"/>
        </w:rPr>
      </w:pPr>
      <w:r>
        <w:rPr>
          <w:lang w:val="es-ES"/>
        </w:rPr>
        <w:t xml:space="preserve">56.  </w:t>
      </w:r>
      <w:r>
        <w:rPr>
          <w:rFonts w:hint="eastAsia"/>
        </w:rPr>
        <w:t>其中的第一条</w:t>
      </w:r>
      <w:r>
        <w:rPr>
          <w:rFonts w:hint="eastAsia"/>
          <w:lang w:val="es-ES_tradnl"/>
        </w:rPr>
        <w:t>(</w:t>
      </w:r>
      <w:r>
        <w:t>第</w:t>
      </w:r>
      <w:r>
        <w:rPr>
          <w:lang w:val="es-ES_tradnl"/>
        </w:rPr>
        <w:t>28</w:t>
      </w:r>
      <w:r>
        <w:rPr>
          <w:rFonts w:hint="eastAsia"/>
        </w:rPr>
        <w:t>条</w:t>
      </w:r>
      <w:r>
        <w:rPr>
          <w:rFonts w:hint="eastAsia"/>
          <w:lang w:val="es-ES_tradnl"/>
        </w:rPr>
        <w:t>)</w:t>
      </w:r>
      <w:r>
        <w:rPr>
          <w:rFonts w:hint="eastAsia"/>
        </w:rPr>
        <w:t>指出</w:t>
      </w:r>
      <w:r>
        <w:rPr>
          <w:rFonts w:hint="eastAsia"/>
          <w:lang w:val="es-ES_tradnl"/>
        </w:rPr>
        <w:t>：“</w:t>
      </w:r>
      <w:r>
        <w:rPr>
          <w:rFonts w:hint="eastAsia"/>
        </w:rPr>
        <w:t>法官有必要了解相关知识</w:t>
      </w:r>
      <w:r>
        <w:rPr>
          <w:rFonts w:hint="eastAsia"/>
          <w:lang w:val="es-ES_tradnl"/>
        </w:rPr>
        <w:t>，</w:t>
      </w:r>
      <w:r>
        <w:rPr>
          <w:rFonts w:hint="eastAsia"/>
        </w:rPr>
        <w:t>并接受培训，是维护法律诉讼过程中所有当事人乃至社会获得优质司法服务权利的途径</w:t>
      </w:r>
      <w:r>
        <w:rPr>
          <w:rFonts w:hint="eastAsia"/>
          <w:lang w:val="es-ES_tradnl"/>
        </w:rPr>
        <w:t>”</w:t>
      </w:r>
      <w:r>
        <w:rPr>
          <w:rFonts w:hint="eastAsia"/>
        </w:rPr>
        <w:t>。</w:t>
      </w:r>
    </w:p>
    <w:p w:rsidR="00DA7251" w:rsidRDefault="00DA7251">
      <w:pPr>
        <w:pStyle w:val="SingleTxtGC"/>
        <w:rPr>
          <w:lang w:val="es-ES"/>
        </w:rPr>
      </w:pPr>
      <w:r>
        <w:rPr>
          <w:lang w:val="es-ES"/>
        </w:rPr>
        <w:t>57.  2006</w:t>
      </w:r>
      <w:r>
        <w:t>年至</w:t>
      </w:r>
      <w:r>
        <w:rPr>
          <w:lang w:val="es-ES"/>
        </w:rPr>
        <w:t>2010</w:t>
      </w:r>
      <w:r>
        <w:t>年</w:t>
      </w:r>
      <w:r>
        <w:rPr>
          <w:rFonts w:hint="eastAsia"/>
          <w:lang w:val="es-ES"/>
        </w:rPr>
        <w:t>，</w:t>
      </w:r>
      <w:r>
        <w:rPr>
          <w:rFonts w:hint="eastAsia"/>
        </w:rPr>
        <w:t>最高法院人权事务局就下列主题开展了人权方面的一般性和专题培训</w:t>
      </w:r>
      <w:r>
        <w:rPr>
          <w:rFonts w:hint="eastAsia"/>
          <w:lang w:val="es-ES"/>
        </w:rPr>
        <w:t>：</w:t>
      </w:r>
      <w:r>
        <w:rPr>
          <w:rFonts w:hint="eastAsia"/>
        </w:rPr>
        <w:t>土著法律和人权</w:t>
      </w:r>
      <w:r>
        <w:rPr>
          <w:rFonts w:hint="eastAsia"/>
          <w:lang w:val="es-ES"/>
        </w:rPr>
        <w:t>；利用</w:t>
      </w:r>
      <w:r>
        <w:rPr>
          <w:rFonts w:hint="eastAsia"/>
        </w:rPr>
        <w:t>儿童和未成年人制作色情制品行为的定罪</w:t>
      </w:r>
      <w:r>
        <w:rPr>
          <w:rFonts w:hint="eastAsia"/>
          <w:lang w:val="es-ES"/>
        </w:rPr>
        <w:t>；</w:t>
      </w:r>
      <w:r>
        <w:rPr>
          <w:rFonts w:hint="eastAsia"/>
        </w:rPr>
        <w:t>家庭暴力和基于性别的暴力</w:t>
      </w:r>
      <w:r>
        <w:rPr>
          <w:rFonts w:hint="eastAsia"/>
          <w:lang w:val="es-ES"/>
        </w:rPr>
        <w:t>；</w:t>
      </w:r>
      <w:r>
        <w:rPr>
          <w:rFonts w:hint="eastAsia"/>
        </w:rPr>
        <w:t>在人权、获得司法保护，</w:t>
      </w:r>
      <w:r>
        <w:rPr>
          <w:rFonts w:hint="eastAsia"/>
          <w:lang w:val="es-ES"/>
        </w:rPr>
        <w:t>以及</w:t>
      </w:r>
      <w:r>
        <w:rPr>
          <w:rFonts w:hint="eastAsia"/>
        </w:rPr>
        <w:t>性别暴力和家庭暴力等背景下防止贩运人口和强迫劳动行为。</w:t>
      </w:r>
    </w:p>
    <w:p w:rsidR="00DA7251" w:rsidRDefault="00DA7251">
      <w:pPr>
        <w:pStyle w:val="SingleTxtGC"/>
        <w:rPr>
          <w:lang w:val="es-ES"/>
        </w:rPr>
      </w:pPr>
      <w:r>
        <w:rPr>
          <w:lang w:val="es-ES"/>
        </w:rPr>
        <w:t>58.  2009</w:t>
      </w:r>
      <w:r>
        <w:rPr>
          <w:rFonts w:hint="eastAsia"/>
        </w:rPr>
        <w:t>年</w:t>
      </w:r>
      <w:r>
        <w:rPr>
          <w:rFonts w:hint="eastAsia"/>
          <w:lang w:val="es-ES"/>
        </w:rPr>
        <w:t>，该局负责</w:t>
      </w:r>
      <w:r>
        <w:rPr>
          <w:rFonts w:hint="eastAsia"/>
        </w:rPr>
        <w:t>保护残疾人权利</w:t>
      </w:r>
      <w:r>
        <w:rPr>
          <w:rFonts w:hint="eastAsia"/>
          <w:lang w:val="es-ES"/>
        </w:rPr>
        <w:t>的部门</w:t>
      </w:r>
      <w:r>
        <w:rPr>
          <w:rFonts w:hint="eastAsia"/>
        </w:rPr>
        <w:t>举办了四个讲习班，名为</w:t>
      </w:r>
      <w:r>
        <w:rPr>
          <w:rFonts w:hint="eastAsia"/>
          <w:lang w:val="es-ES"/>
        </w:rPr>
        <w:t>“</w:t>
      </w:r>
      <w:r>
        <w:rPr>
          <w:rFonts w:hint="eastAsia"/>
        </w:rPr>
        <w:t>人权与心理健康：从司法保护角度看心理健康</w:t>
      </w:r>
      <w:r>
        <w:rPr>
          <w:rFonts w:hint="eastAsia"/>
          <w:lang w:val="es-ES"/>
        </w:rPr>
        <w:t>”</w:t>
      </w:r>
      <w:r>
        <w:rPr>
          <w:rFonts w:hint="eastAsia"/>
        </w:rPr>
        <w:t>。这些讲习班是由公共卫生和社会福利部心理健康局协同组织的，受众为裁判官、公设辩护人、法院官员和其他司法系统人员，目的是讨论与国际人权法、残疾人事务、刑法和其他领域有关的问题。目前</w:t>
      </w:r>
      <w:r>
        <w:rPr>
          <w:rFonts w:hint="eastAsia"/>
          <w:lang w:val="es-ES"/>
        </w:rPr>
        <w:t>，</w:t>
      </w:r>
      <w:r>
        <w:t>约</w:t>
      </w:r>
      <w:r>
        <w:rPr>
          <w:lang w:val="es-ES"/>
        </w:rPr>
        <w:t>80</w:t>
      </w:r>
      <w:r>
        <w:t>名司法工作人员</w:t>
      </w:r>
      <w:r>
        <w:rPr>
          <w:rFonts w:hint="eastAsia"/>
        </w:rPr>
        <w:t>接受</w:t>
      </w:r>
      <w:r>
        <w:t>了培训。整个培训</w:t>
      </w:r>
      <w:r>
        <w:rPr>
          <w:rFonts w:hint="eastAsia"/>
        </w:rPr>
        <w:t>活动</w:t>
      </w:r>
      <w:r>
        <w:t>周期</w:t>
      </w:r>
      <w:r>
        <w:rPr>
          <w:rFonts w:hint="eastAsia"/>
        </w:rPr>
        <w:t>为</w:t>
      </w:r>
      <w:r>
        <w:t>在泛美卫生组织的协助下开办</w:t>
      </w:r>
      <w:r>
        <w:rPr>
          <w:rFonts w:hint="eastAsia"/>
        </w:rPr>
        <w:t>的</w:t>
      </w:r>
      <w:r>
        <w:t>两个</w:t>
      </w:r>
      <w:r>
        <w:rPr>
          <w:rFonts w:hint="eastAsia"/>
        </w:rPr>
        <w:t>关于</w:t>
      </w:r>
      <w:r>
        <w:t>人权和</w:t>
      </w:r>
      <w:r>
        <w:rPr>
          <w:rFonts w:hint="eastAsia"/>
        </w:rPr>
        <w:t>心理</w:t>
      </w:r>
      <w:r>
        <w:t>健康的讲习班。</w:t>
      </w:r>
      <w:r>
        <w:rPr>
          <w:lang w:val="es-ES"/>
        </w:rPr>
        <w:t>61</w:t>
      </w:r>
      <w:r>
        <w:t>名司法工作人</w:t>
      </w:r>
      <w:r>
        <w:rPr>
          <w:rFonts w:hint="eastAsia"/>
        </w:rPr>
        <w:t>员参加了讲习班。</w:t>
      </w:r>
    </w:p>
    <w:p w:rsidR="00DA7251" w:rsidRDefault="00DA7251">
      <w:pPr>
        <w:pStyle w:val="SingleTxtGC"/>
        <w:rPr>
          <w:lang w:val="es-ES_tradnl"/>
        </w:rPr>
      </w:pPr>
      <w:r>
        <w:rPr>
          <w:lang w:val="es-ES"/>
        </w:rPr>
        <w:t xml:space="preserve">59.  </w:t>
      </w:r>
      <w:r>
        <w:rPr>
          <w:rFonts w:hint="eastAsia"/>
        </w:rPr>
        <w:t>作为了解弱势群体权利努力的一部分</w:t>
      </w:r>
      <w:r>
        <w:rPr>
          <w:rFonts w:hint="eastAsia"/>
          <w:lang w:val="es-ES"/>
        </w:rPr>
        <w:t>，</w:t>
      </w:r>
      <w:r>
        <w:rPr>
          <w:rFonts w:hint="eastAsia"/>
        </w:rPr>
        <w:t>最高法院</w:t>
      </w:r>
      <w:r>
        <w:t>于</w:t>
      </w:r>
      <w:smartTag w:uri="urn:schemas-microsoft-com:office:smarttags" w:element="chsdate">
        <w:smartTagPr>
          <w:attr w:name="Year" w:val="2010"/>
          <w:attr w:name="Month" w:val="8"/>
          <w:attr w:name="Day" w:val="24"/>
          <w:attr w:name="IsLunarDate" w:val="False"/>
          <w:attr w:name="IsROCDate" w:val="False"/>
        </w:smartTagPr>
        <w:r>
          <w:rPr>
            <w:lang w:val="es-ES"/>
          </w:rPr>
          <w:t>2010</w:t>
        </w:r>
        <w:r>
          <w:t>年</w:t>
        </w:r>
        <w:r>
          <w:rPr>
            <w:lang w:val="es-ES"/>
          </w:rPr>
          <w:t>8</w:t>
        </w:r>
        <w:r>
          <w:t>月</w:t>
        </w:r>
        <w:r>
          <w:rPr>
            <w:lang w:val="es-ES"/>
          </w:rPr>
          <w:t>24</w:t>
        </w:r>
        <w:r>
          <w:t>日</w:t>
        </w:r>
      </w:smartTag>
      <w:r>
        <w:t>至</w:t>
      </w:r>
      <w:r>
        <w:rPr>
          <w:lang w:val="es-ES"/>
        </w:rPr>
        <w:t>26</w:t>
      </w:r>
      <w:r>
        <w:t>日</w:t>
      </w:r>
      <w:r>
        <w:rPr>
          <w:rFonts w:hint="eastAsia"/>
        </w:rPr>
        <w:t>为负责人、协调员和专业律师开设</w:t>
      </w:r>
      <w:r>
        <w:rPr>
          <w:rFonts w:hint="eastAsia"/>
          <w:lang w:val="es-ES"/>
        </w:rPr>
        <w:t>“</w:t>
      </w:r>
      <w:r>
        <w:rPr>
          <w:rFonts w:hint="eastAsia"/>
        </w:rPr>
        <w:t>培训师培训</w:t>
      </w:r>
      <w:r>
        <w:rPr>
          <w:rFonts w:hint="eastAsia"/>
          <w:lang w:val="es-ES"/>
        </w:rPr>
        <w:t>”</w:t>
      </w:r>
      <w:r>
        <w:rPr>
          <w:rFonts w:hint="eastAsia"/>
        </w:rPr>
        <w:t>课程。该课程涉及残疾人获得司法保护等问题。。</w:t>
      </w:r>
    </w:p>
    <w:p w:rsidR="00DA7251" w:rsidRDefault="00DA7251">
      <w:pPr>
        <w:pStyle w:val="SingleTxtGC"/>
        <w:rPr>
          <w:lang w:val="es-ES"/>
        </w:rPr>
      </w:pPr>
      <w:r>
        <w:rPr>
          <w:lang w:val="es-ES"/>
        </w:rPr>
        <w:t xml:space="preserve">60.  </w:t>
      </w:r>
      <w:r>
        <w:rPr>
          <w:rFonts w:hint="eastAsia"/>
          <w:lang w:val="es-ES"/>
        </w:rPr>
        <w:t>作为提高认识方案的一部分</w:t>
      </w:r>
      <w:r>
        <w:rPr>
          <w:rFonts w:hint="eastAsia"/>
          <w:lang w:val="es-ES_tradnl"/>
        </w:rPr>
        <w:t>，</w:t>
      </w:r>
      <w:r>
        <w:rPr>
          <w:rFonts w:hint="eastAsia"/>
        </w:rPr>
        <w:t>人权事务局多年来一直举办一系列年度活动庆祝人权日</w:t>
      </w:r>
      <w:r>
        <w:rPr>
          <w:rFonts w:hint="eastAsia"/>
          <w:lang w:val="es-ES_tradnl"/>
        </w:rPr>
        <w:t>(</w:t>
      </w:r>
      <w:smartTag w:uri="urn:schemas-microsoft-com:office:smarttags" w:element="chsdate">
        <w:smartTagPr>
          <w:attr w:name="Year" w:val="2011"/>
          <w:attr w:name="Month" w:val="12"/>
          <w:attr w:name="Day" w:val="10"/>
          <w:attr w:name="IsLunarDate" w:val="False"/>
          <w:attr w:name="IsROCDate" w:val="False"/>
        </w:smartTagPr>
        <w:r>
          <w:rPr>
            <w:lang w:val="es-ES_tradnl"/>
          </w:rPr>
          <w:t>12</w:t>
        </w:r>
        <w:r>
          <w:t>月</w:t>
        </w:r>
        <w:r>
          <w:rPr>
            <w:lang w:val="es-ES_tradnl"/>
          </w:rPr>
          <w:t>10</w:t>
        </w:r>
        <w:r>
          <w:rPr>
            <w:rFonts w:hint="eastAsia"/>
          </w:rPr>
          <w:t>日</w:t>
        </w:r>
      </w:smartTag>
      <w:r>
        <w:rPr>
          <w:rFonts w:hint="eastAsia"/>
          <w:lang w:val="es-ES_tradnl"/>
        </w:rPr>
        <w:t>)</w:t>
      </w:r>
      <w:r>
        <w:rPr>
          <w:rFonts w:hint="eastAsia"/>
          <w:lang w:val="es-ES_tradnl"/>
        </w:rPr>
        <w:t>，这些活动共同构成了“</w:t>
      </w:r>
      <w:r>
        <w:rPr>
          <w:rFonts w:hint="eastAsia"/>
        </w:rPr>
        <w:t>人权周</w:t>
      </w:r>
      <w:r>
        <w:rPr>
          <w:rFonts w:hint="eastAsia"/>
          <w:lang w:val="es-ES_tradnl"/>
        </w:rPr>
        <w:t>”</w:t>
      </w:r>
      <w:r>
        <w:rPr>
          <w:rFonts w:hint="eastAsia"/>
        </w:rPr>
        <w:t>。人权周的目的是与民间社会组织和其他国家机构合作</w:t>
      </w:r>
      <w:r>
        <w:rPr>
          <w:rFonts w:hint="eastAsia"/>
          <w:lang w:val="es-ES"/>
        </w:rPr>
        <w:t>，推动</w:t>
      </w:r>
      <w:r>
        <w:rPr>
          <w:rFonts w:hint="eastAsia"/>
        </w:rPr>
        <w:t>司法工作人员在人权问题上进行对话和反思。</w:t>
      </w:r>
    </w:p>
    <w:p w:rsidR="00DA7251" w:rsidRDefault="00DA7251">
      <w:pPr>
        <w:pStyle w:val="SingleTxtGC"/>
        <w:rPr>
          <w:lang w:val="es-ES_tradnl"/>
        </w:rPr>
      </w:pPr>
      <w:r>
        <w:rPr>
          <w:lang w:val="es-ES"/>
        </w:rPr>
        <w:t xml:space="preserve">61.  </w:t>
      </w:r>
      <w:r>
        <w:rPr>
          <w:rFonts w:hint="eastAsia"/>
          <w:lang w:val="es-ES"/>
        </w:rPr>
        <w:t>自发起活动以来的三年中，人权周</w:t>
      </w:r>
      <w:r>
        <w:rPr>
          <w:rFonts w:hint="eastAsia"/>
        </w:rPr>
        <w:t>探讨影响不同群体状况的问题。</w:t>
      </w:r>
      <w:r>
        <w:rPr>
          <w:lang w:val="es-ES_tradnl"/>
        </w:rPr>
        <w:t>2010</w:t>
      </w:r>
      <w:r>
        <w:rPr>
          <w:rFonts w:hint="eastAsia"/>
        </w:rPr>
        <w:t>年“人权周”的重点是弱势人群，活动方案鼓励分析残疾人、有心理健康问题人士、老年人等历史上边缘化群体的当前境况。</w:t>
      </w:r>
    </w:p>
    <w:p w:rsidR="00DA7251" w:rsidRDefault="00DA7251">
      <w:pPr>
        <w:pStyle w:val="SingleTxtGC"/>
        <w:rPr>
          <w:lang w:val="es-ES"/>
        </w:rPr>
      </w:pPr>
      <w:r>
        <w:rPr>
          <w:lang w:val="es-ES"/>
        </w:rPr>
        <w:t xml:space="preserve">62.  </w:t>
      </w:r>
      <w:r>
        <w:rPr>
          <w:rFonts w:hint="eastAsia"/>
        </w:rPr>
        <w:t>活动的目的是从包容的角度出发</w:t>
      </w:r>
      <w:r>
        <w:rPr>
          <w:rFonts w:hint="eastAsia"/>
          <w:lang w:val="es-ES_tradnl"/>
        </w:rPr>
        <w:t>，</w:t>
      </w:r>
      <w:r>
        <w:rPr>
          <w:rFonts w:hint="eastAsia"/>
        </w:rPr>
        <w:t>提高司法工作人员和公众对基本人权的认识，通过参与技巧和影视媒体促进互动。组织者力求在活动中包括除发放视听和其他宣传材料外的其他信息宣传形式，例如</w:t>
      </w:r>
      <w:r>
        <w:rPr>
          <w:rFonts w:hint="eastAsia"/>
          <w:lang w:val="es-ES"/>
        </w:rPr>
        <w:t>，剧院</w:t>
      </w:r>
      <w:r>
        <w:rPr>
          <w:rFonts w:hint="eastAsia"/>
        </w:rPr>
        <w:t>、照片展览、音乐会和会议。</w:t>
      </w:r>
    </w:p>
    <w:p w:rsidR="00DA7251" w:rsidRDefault="00DA7251">
      <w:pPr>
        <w:pStyle w:val="SingleTxtGC"/>
        <w:rPr>
          <w:lang w:val="es-ES"/>
        </w:rPr>
      </w:pPr>
      <w:r>
        <w:rPr>
          <w:lang w:val="es-ES"/>
        </w:rPr>
        <w:t xml:space="preserve">63.  </w:t>
      </w:r>
      <w:r>
        <w:rPr>
          <w:rFonts w:hint="eastAsia"/>
        </w:rPr>
        <w:t>自发动活动起，每年</w:t>
      </w:r>
      <w:r>
        <w:rPr>
          <w:rFonts w:hint="eastAsia"/>
          <w:lang w:val="es-ES"/>
        </w:rPr>
        <w:t>“</w:t>
      </w:r>
      <w:r>
        <w:rPr>
          <w:rFonts w:hint="eastAsia"/>
        </w:rPr>
        <w:t>人权周</w:t>
      </w:r>
      <w:r>
        <w:rPr>
          <w:rFonts w:hint="eastAsia"/>
          <w:lang w:val="es-ES"/>
        </w:rPr>
        <w:t>”</w:t>
      </w:r>
      <w:r>
        <w:rPr>
          <w:rFonts w:hint="eastAsia"/>
        </w:rPr>
        <w:t>均从不同的民间社会组织的参与中受益，它们对人权事务局的工作给予支持，其中一部分组织是通过合作协议，另一部分则是通过开展具体活动。</w:t>
      </w:r>
    </w:p>
    <w:p w:rsidR="00DA7251" w:rsidRDefault="00DA7251">
      <w:pPr>
        <w:pStyle w:val="SingleTxtGC"/>
        <w:rPr>
          <w:lang w:val="es-ES_tradnl"/>
        </w:rPr>
      </w:pPr>
      <w:r>
        <w:rPr>
          <w:lang w:val="es-ES"/>
        </w:rPr>
        <w:t xml:space="preserve">64.  </w:t>
      </w:r>
      <w:r>
        <w:rPr>
          <w:rFonts w:hint="eastAsia"/>
          <w:lang w:val="es-ES"/>
        </w:rPr>
        <w:t>“</w:t>
      </w:r>
      <w:r>
        <w:rPr>
          <w:rFonts w:hint="eastAsia"/>
        </w:rPr>
        <w:t>人权周</w:t>
      </w:r>
      <w:r>
        <w:rPr>
          <w:rFonts w:hint="eastAsia"/>
          <w:lang w:val="es-ES"/>
        </w:rPr>
        <w:t>”</w:t>
      </w:r>
      <w:r>
        <w:rPr>
          <w:rFonts w:hint="eastAsia"/>
        </w:rPr>
        <w:t>的各项活动主要是针对司法系统的人员和利用人权周的人们。据估计</w:t>
      </w:r>
      <w:r>
        <w:rPr>
          <w:rFonts w:hint="eastAsia"/>
          <w:lang w:val="es-ES"/>
        </w:rPr>
        <w:t>，</w:t>
      </w:r>
      <w:r>
        <w:rPr>
          <w:rFonts w:hint="eastAsia"/>
        </w:rPr>
        <w:t>约</w:t>
      </w:r>
      <w:r>
        <w:rPr>
          <w:lang w:val="es-ES"/>
        </w:rPr>
        <w:t>1,200</w:t>
      </w:r>
      <w:r>
        <w:t>人</w:t>
      </w:r>
      <w:r>
        <w:rPr>
          <w:rFonts w:hint="eastAsia"/>
        </w:rPr>
        <w:t>直接受益，</w:t>
      </w:r>
      <w:r>
        <w:rPr>
          <w:rStyle w:val="FootnoteReference"/>
        </w:rPr>
        <w:footnoteReference w:id="32"/>
      </w:r>
      <w:r>
        <w:rPr>
          <w:rStyle w:val="FootnoteReference"/>
          <w:vertAlign w:val="baseline"/>
        </w:rPr>
        <w:t xml:space="preserve"> </w:t>
      </w:r>
      <w:r>
        <w:rPr>
          <w:rFonts w:hint="eastAsia"/>
        </w:rPr>
        <w:t>实际上，很多参与者都对某一领域产生了兴趣。</w:t>
      </w:r>
    </w:p>
    <w:p w:rsidR="00DA7251" w:rsidRDefault="00DA7251">
      <w:pPr>
        <w:pStyle w:val="SingleTxtGC"/>
        <w:rPr>
          <w:lang w:val="es-ES"/>
        </w:rPr>
      </w:pPr>
      <w:r>
        <w:rPr>
          <w:lang w:val="es-ES"/>
        </w:rPr>
        <w:t xml:space="preserve">65.  </w:t>
      </w:r>
      <w:r>
        <w:rPr>
          <w:rFonts w:hint="eastAsia"/>
          <w:lang w:val="es-ES"/>
        </w:rPr>
        <w:t>在活动期间，</w:t>
      </w:r>
      <w:r>
        <w:rPr>
          <w:rFonts w:hint="eastAsia"/>
        </w:rPr>
        <w:t>国家和国际组织和机构有机会设立展台，发放其材料，过去三年的活动中，共免费发放了约</w:t>
      </w:r>
      <w:r>
        <w:t>2,500</w:t>
      </w:r>
      <w:r>
        <w:rPr>
          <w:rFonts w:hint="eastAsia"/>
        </w:rPr>
        <w:t>份与人权有关的出版物、小册子、传单和其他资料。</w:t>
      </w:r>
    </w:p>
    <w:p w:rsidR="00DA7251" w:rsidRDefault="00DA7251">
      <w:pPr>
        <w:pStyle w:val="SingleTxtGC"/>
        <w:rPr>
          <w:lang w:val="es-ES"/>
        </w:rPr>
      </w:pPr>
      <w:r>
        <w:rPr>
          <w:lang w:val="es-ES"/>
        </w:rPr>
        <w:t xml:space="preserve">66.  </w:t>
      </w:r>
      <w:r>
        <w:rPr>
          <w:rFonts w:hint="eastAsia"/>
        </w:rPr>
        <w:t>在</w:t>
      </w:r>
      <w:r>
        <w:t>2010</w:t>
      </w:r>
      <w:r>
        <w:rPr>
          <w:rFonts w:hint="eastAsia"/>
        </w:rPr>
        <w:t>年的</w:t>
      </w:r>
      <w:r>
        <w:rPr>
          <w:rFonts w:hint="eastAsia"/>
          <w:lang w:val="es-ES"/>
        </w:rPr>
        <w:t>“</w:t>
      </w:r>
      <w:r>
        <w:rPr>
          <w:rFonts w:hint="eastAsia"/>
        </w:rPr>
        <w:t>人权周</w:t>
      </w:r>
      <w:r>
        <w:rPr>
          <w:rFonts w:hint="eastAsia"/>
          <w:lang w:val="es-ES"/>
        </w:rPr>
        <w:t>”</w:t>
      </w:r>
      <w:r>
        <w:rPr>
          <w:rFonts w:hint="eastAsia"/>
        </w:rPr>
        <w:t>活动中</w:t>
      </w:r>
      <w:r>
        <w:rPr>
          <w:rFonts w:hint="eastAsia"/>
          <w:lang w:val="es-ES"/>
        </w:rPr>
        <w:t>，得益于</w:t>
      </w:r>
      <w:r>
        <w:rPr>
          <w:rFonts w:hint="eastAsia"/>
        </w:rPr>
        <w:t>听觉、心理和视觉残疾人协会的支持和援助，所有盲文活动和方案首次配有手语同声翻译。</w:t>
      </w:r>
    </w:p>
    <w:p w:rsidR="00DA7251" w:rsidRDefault="00DA7251">
      <w:pPr>
        <w:pStyle w:val="SingleTxtGC"/>
        <w:rPr>
          <w:lang w:val="es-ES"/>
        </w:rPr>
      </w:pPr>
      <w:r>
        <w:rPr>
          <w:lang w:val="es-ES"/>
        </w:rPr>
        <w:t xml:space="preserve">67.  </w:t>
      </w:r>
      <w:r>
        <w:rPr>
          <w:rFonts w:hint="eastAsia"/>
        </w:rPr>
        <w:t>人权事务局编制了关于残疾人权利的法院培训方案，计划在</w:t>
      </w:r>
      <w:r>
        <w:rPr>
          <w:rFonts w:hint="eastAsia"/>
        </w:rPr>
        <w:t>2011</w:t>
      </w:r>
      <w:r>
        <w:rPr>
          <w:rFonts w:hint="eastAsia"/>
        </w:rPr>
        <w:t>年实施。该方案的主要目的是确保法官了解保护残疾人权利方面的所有国内和国际文书</w:t>
      </w:r>
      <w:r>
        <w:rPr>
          <w:rFonts w:hint="eastAsia"/>
          <w:lang w:val="es-ES"/>
        </w:rPr>
        <w:t>，鼓励在司法制度中把</w:t>
      </w:r>
      <w:r>
        <w:rPr>
          <w:rFonts w:hint="eastAsia"/>
        </w:rPr>
        <w:t>这些文书作为工具。</w:t>
      </w:r>
    </w:p>
    <w:p w:rsidR="00DA7251" w:rsidRDefault="00DA7251">
      <w:pPr>
        <w:pStyle w:val="SingleTxtGC"/>
        <w:rPr>
          <w:lang w:val="es-ES"/>
        </w:rPr>
      </w:pPr>
      <w:r>
        <w:rPr>
          <w:lang w:val="es-ES"/>
        </w:rPr>
        <w:t xml:space="preserve">68.  </w:t>
      </w:r>
      <w:r>
        <w:rPr>
          <w:rFonts w:hint="eastAsia"/>
          <w:lang w:val="es-ES"/>
        </w:rPr>
        <w:t>作为“</w:t>
      </w:r>
      <w:r>
        <w:rPr>
          <w:rFonts w:hint="eastAsia"/>
        </w:rPr>
        <w:t>人权周</w:t>
      </w:r>
      <w:r>
        <w:rPr>
          <w:rFonts w:hint="eastAsia"/>
          <w:lang w:val="es-ES"/>
        </w:rPr>
        <w:t>”一部分所组织的</w:t>
      </w:r>
      <w:r>
        <w:rPr>
          <w:rFonts w:hint="eastAsia"/>
        </w:rPr>
        <w:t>活动促使一些司法工作人员意识到需要学习手语。为此</w:t>
      </w:r>
      <w:r>
        <w:rPr>
          <w:rFonts w:hint="eastAsia"/>
          <w:lang w:val="es-ES"/>
        </w:rPr>
        <w:t>，</w:t>
      </w:r>
      <w:r>
        <w:rPr>
          <w:rFonts w:hint="eastAsia"/>
        </w:rPr>
        <w:t>制定了培训方案</w:t>
      </w:r>
      <w:r>
        <w:rPr>
          <w:rFonts w:hint="eastAsia"/>
          <w:lang w:val="es-ES"/>
        </w:rPr>
        <w:t>，</w:t>
      </w:r>
      <w:r>
        <w:rPr>
          <w:rFonts w:hint="eastAsia"/>
        </w:rPr>
        <w:t>并与培训人员取得了联系。</w:t>
      </w:r>
    </w:p>
    <w:p w:rsidR="00DA7251" w:rsidRDefault="00DA7251">
      <w:pPr>
        <w:pStyle w:val="SingleTxtGC"/>
        <w:rPr>
          <w:lang w:val="es-ES"/>
        </w:rPr>
      </w:pPr>
      <w:r>
        <w:rPr>
          <w:lang w:val="es-ES"/>
        </w:rPr>
        <w:t xml:space="preserve">69.  </w:t>
      </w:r>
      <w:r>
        <w:t>2010</w:t>
      </w:r>
      <w:r>
        <w:rPr>
          <w:rFonts w:hint="eastAsia"/>
        </w:rPr>
        <w:t>年</w:t>
      </w:r>
      <w:r>
        <w:t>12</w:t>
      </w:r>
      <w:r>
        <w:rPr>
          <w:rFonts w:hint="eastAsia"/>
        </w:rPr>
        <w:t>月</w:t>
      </w:r>
      <w:r>
        <w:rPr>
          <w:rFonts w:hint="eastAsia"/>
          <w:lang w:val="es-ES"/>
        </w:rPr>
        <w:t>，</w:t>
      </w:r>
      <w:r>
        <w:rPr>
          <w:rFonts w:hint="eastAsia"/>
        </w:rPr>
        <w:t>为纪念国际残疾人日</w:t>
      </w:r>
      <w:r>
        <w:rPr>
          <w:rFonts w:hint="eastAsia"/>
          <w:lang w:val="es-ES"/>
        </w:rPr>
        <w:t>，</w:t>
      </w:r>
      <w:r>
        <w:rPr>
          <w:rFonts w:hint="eastAsia"/>
        </w:rPr>
        <w:t>人权事务局联合各民间社会组织举办了关于残疾人获得司法保护的公开会议。此次会议的目的是向公众报告已采取的行动，征求意见以完善人权事务局的项目，重点是这个社会领域的需求。</w:t>
      </w:r>
    </w:p>
    <w:p w:rsidR="00DA7251" w:rsidRDefault="00DA7251">
      <w:pPr>
        <w:pStyle w:val="SingleTxtGC"/>
        <w:rPr>
          <w:lang w:val="es-ES"/>
        </w:rPr>
      </w:pPr>
      <w:r>
        <w:rPr>
          <w:lang w:val="es-ES"/>
        </w:rPr>
        <w:t xml:space="preserve">70.  </w:t>
      </w:r>
      <w:smartTag w:uri="urn:schemas-microsoft-com:office:smarttags" w:element="chsdate">
        <w:smartTagPr>
          <w:attr w:name="Year" w:val="2010"/>
          <w:attr w:name="Month" w:val="9"/>
          <w:attr w:name="Day" w:val="14"/>
          <w:attr w:name="IsLunarDate" w:val="False"/>
          <w:attr w:name="IsROCDate" w:val="False"/>
        </w:smartTagPr>
        <w:r>
          <w:t>2010</w:t>
        </w:r>
        <w:r>
          <w:rPr>
            <w:rFonts w:hint="eastAsia"/>
          </w:rPr>
          <w:t>年</w:t>
        </w:r>
        <w:r>
          <w:t>9</w:t>
        </w:r>
        <w:r>
          <w:rPr>
            <w:rFonts w:hint="eastAsia"/>
          </w:rPr>
          <w:t>月</w:t>
        </w:r>
        <w:r>
          <w:t>14</w:t>
        </w:r>
        <w:r>
          <w:rPr>
            <w:rFonts w:hint="eastAsia"/>
          </w:rPr>
          <w:t>日</w:t>
        </w:r>
      </w:smartTag>
      <w:r>
        <w:rPr>
          <w:rFonts w:hint="eastAsia"/>
        </w:rPr>
        <w:t>和</w:t>
      </w:r>
      <w:r>
        <w:t>15</w:t>
      </w:r>
      <w:r>
        <w:rPr>
          <w:rFonts w:hint="eastAsia"/>
        </w:rPr>
        <w:t>日</w:t>
      </w:r>
      <w:r>
        <w:rPr>
          <w:rFonts w:hint="eastAsia"/>
          <w:lang w:val="es-ES"/>
        </w:rPr>
        <w:t>，</w:t>
      </w:r>
      <w:r>
        <w:rPr>
          <w:rFonts w:hint="eastAsia"/>
        </w:rPr>
        <w:t>最高法院以儿童、青少年和老人为主题召开了公开会议，会上广泛讨论了残疾人、儿童和老人无障碍获得司法保护的问题。所有这些举措均是最高法院提出的进程的一部分，以确保履行其关于弱势群体获得司法保护的国际承诺。</w:t>
      </w:r>
    </w:p>
    <w:p w:rsidR="00DA7251" w:rsidRDefault="00DA7251">
      <w:pPr>
        <w:pStyle w:val="SingleTxtGC"/>
        <w:rPr>
          <w:lang w:val="es-ES"/>
        </w:rPr>
      </w:pPr>
      <w:r>
        <w:rPr>
          <w:lang w:val="es-ES"/>
        </w:rPr>
        <w:t xml:space="preserve">71.  </w:t>
      </w:r>
      <w:r>
        <w:rPr>
          <w:rFonts w:hint="eastAsia"/>
        </w:rPr>
        <w:t>为了支持针对司法工作人员的培训活动</w:t>
      </w:r>
      <w:r>
        <w:rPr>
          <w:rFonts w:hint="eastAsia"/>
          <w:lang w:val="es-ES"/>
        </w:rPr>
        <w:t>，</w:t>
      </w:r>
      <w:r>
        <w:rPr>
          <w:rFonts w:hint="eastAsia"/>
        </w:rPr>
        <w:t>并帮助他们了解国际人权文书和国内立法</w:t>
      </w:r>
      <w:r>
        <w:rPr>
          <w:rFonts w:hint="eastAsia"/>
          <w:lang w:val="es-ES"/>
        </w:rPr>
        <w:t>，在“</w:t>
      </w:r>
      <w:r>
        <w:rPr>
          <w:rFonts w:hint="eastAsia"/>
        </w:rPr>
        <w:t>萨拉基</w:t>
      </w:r>
      <w:r>
        <w:rPr>
          <w:rFonts w:hint="eastAsia"/>
          <w:lang w:val="es-ES"/>
        </w:rPr>
        <w:t>”</w:t>
      </w:r>
      <w:r>
        <w:rPr>
          <w:rFonts w:hint="eastAsia"/>
        </w:rPr>
        <w:t>基金会的资助下</w:t>
      </w:r>
      <w:r>
        <w:rPr>
          <w:rFonts w:hint="eastAsia"/>
          <w:lang w:val="es-ES"/>
        </w:rPr>
        <w:t>，</w:t>
      </w:r>
      <w:r>
        <w:rPr>
          <w:rFonts w:hint="eastAsia"/>
        </w:rPr>
        <w:t>汇编了关于残疾人人权的立法。该资料将纳入计算机应用，目前处在设计阶段</w:t>
      </w:r>
      <w:r>
        <w:rPr>
          <w:rFonts w:hint="eastAsia"/>
          <w:lang w:val="es-ES"/>
        </w:rPr>
        <w:t>，</w:t>
      </w:r>
      <w:r>
        <w:rPr>
          <w:rFonts w:hint="eastAsia"/>
        </w:rPr>
        <w:t>并将会同步推出</w:t>
      </w:r>
      <w:r>
        <w:t>PowerPoint</w:t>
      </w:r>
      <w:r>
        <w:rPr>
          <w:rFonts w:hint="eastAsia"/>
        </w:rPr>
        <w:t>版本。</w:t>
      </w:r>
    </w:p>
    <w:p w:rsidR="00DA7251" w:rsidRDefault="00DA7251">
      <w:pPr>
        <w:pStyle w:val="SingleTxtGC"/>
        <w:rPr>
          <w:lang w:val="es-ES_tradnl"/>
        </w:rPr>
      </w:pPr>
      <w:r>
        <w:rPr>
          <w:lang w:val="es-ES"/>
        </w:rPr>
        <w:t xml:space="preserve">72.  </w:t>
      </w:r>
      <w:r>
        <w:rPr>
          <w:rFonts w:hint="eastAsia"/>
        </w:rPr>
        <w:t>关于提供合理住宿的问题</w:t>
      </w:r>
      <w:r>
        <w:rPr>
          <w:rFonts w:hint="eastAsia"/>
          <w:lang w:val="es-ES"/>
        </w:rPr>
        <w:t>，</w:t>
      </w:r>
      <w:r>
        <w:rPr>
          <w:rFonts w:hint="eastAsia"/>
        </w:rPr>
        <w:t>最高法院承认，提供必要的合理住宿，以确保残疾人的有效参与，这是一个挑战。不过正采取措施，以实现获得住所，从而履行其对巴拉圭社会的承诺及其国际义务。</w:t>
      </w:r>
      <w:r>
        <w:rPr>
          <w:rStyle w:val="FootnoteReference"/>
        </w:rPr>
        <w:footnoteReference w:id="33"/>
      </w:r>
      <w:r>
        <w:rPr>
          <w:rStyle w:val="FootnoteReference"/>
          <w:vertAlign w:val="baseline"/>
        </w:rPr>
        <w:t xml:space="preserve"> </w:t>
      </w:r>
    </w:p>
    <w:p w:rsidR="00DA7251" w:rsidRDefault="00DA7251">
      <w:pPr>
        <w:pStyle w:val="SingleTxtGC"/>
        <w:rPr>
          <w:lang w:val="es-ES_tradnl"/>
        </w:rPr>
      </w:pPr>
      <w:r>
        <w:rPr>
          <w:lang w:val="es-ES"/>
        </w:rPr>
        <w:t xml:space="preserve">73.  </w:t>
      </w:r>
      <w:r>
        <w:rPr>
          <w:rFonts w:hint="eastAsia"/>
        </w:rPr>
        <w:t>在这方面</w:t>
      </w:r>
      <w:r>
        <w:rPr>
          <w:rFonts w:hint="eastAsia"/>
          <w:lang w:val="es-ES_tradnl"/>
        </w:rPr>
        <w:t>，最高法院认为</w:t>
      </w:r>
      <w:r>
        <w:rPr>
          <w:rFonts w:hint="eastAsia"/>
        </w:rPr>
        <w:t>在所有司法区域提供手语翻译是的主要挑战，出于这个原因</w:t>
      </w:r>
      <w:r>
        <w:rPr>
          <w:rFonts w:hint="eastAsia"/>
          <w:lang w:val="es-ES"/>
        </w:rPr>
        <w:t>，</w:t>
      </w:r>
      <w:r>
        <w:rPr>
          <w:rStyle w:val="FootnoteReference"/>
        </w:rPr>
        <w:footnoteReference w:id="34"/>
      </w:r>
      <w:r>
        <w:rPr>
          <w:rStyle w:val="FootnoteReference"/>
          <w:vertAlign w:val="baseline"/>
        </w:rPr>
        <w:t xml:space="preserve"> </w:t>
      </w:r>
      <w:r>
        <w:rPr>
          <w:rFonts w:hint="eastAsia"/>
        </w:rPr>
        <w:t>最高法院正为《语言法》提供体制性支持</w:t>
      </w:r>
      <w:r>
        <w:rPr>
          <w:rStyle w:val="FootnoteReference"/>
        </w:rPr>
        <w:footnoteReference w:id="35"/>
      </w:r>
      <w:r>
        <w:rPr>
          <w:rStyle w:val="FootnoteReference"/>
          <w:vertAlign w:val="baseline"/>
        </w:rPr>
        <w:t xml:space="preserve"> </w:t>
      </w:r>
      <w:r>
        <w:rPr>
          <w:rFonts w:hint="eastAsia"/>
        </w:rPr>
        <w:t>。《语言法》规定，手语翻译应成为司法系统和其他公共机构的一部分。这就有利于听觉障碍残疾人获得司法保护</w:t>
      </w:r>
      <w:r>
        <w:rPr>
          <w:rFonts w:hint="eastAsia"/>
          <w:lang w:val="es-ES"/>
        </w:rPr>
        <w:t>，</w:t>
      </w:r>
      <w:r>
        <w:rPr>
          <w:rFonts w:hint="eastAsia"/>
        </w:rPr>
        <w:t>并使他们以受害人、证人或被告人的身份充分参与法律诉讼程序。此外</w:t>
      </w:r>
      <w:r>
        <w:rPr>
          <w:rFonts w:hint="eastAsia"/>
          <w:lang w:val="es-ES_tradnl"/>
        </w:rPr>
        <w:t>，</w:t>
      </w:r>
      <w:r>
        <w:rPr>
          <w:rFonts w:hint="eastAsia"/>
        </w:rPr>
        <w:t>司法机关宣传局开始进行必要的调整和改动，以一目了然、方便用户使用的格式处理信息，使司法网站更方便残疾人浏览，截止</w:t>
      </w:r>
      <w:r>
        <w:rPr>
          <w:rFonts w:hint="eastAsia"/>
        </w:rPr>
        <w:t>2011</w:t>
      </w:r>
      <w:r>
        <w:rPr>
          <w:rFonts w:hint="eastAsia"/>
        </w:rPr>
        <w:t>年，引入了倾听网站内容的办法。这些调整行动将方便残疾人更轻松地获取信息</w:t>
      </w:r>
      <w:r>
        <w:rPr>
          <w:rFonts w:hint="eastAsia"/>
          <w:spacing w:val="-50"/>
        </w:rPr>
        <w:t>―</w:t>
      </w:r>
      <w:r>
        <w:rPr>
          <w:rFonts w:hint="eastAsia"/>
          <w:spacing w:val="10"/>
        </w:rPr>
        <w:t>―</w:t>
      </w:r>
      <w:r>
        <w:rPr>
          <w:rFonts w:hint="eastAsia"/>
        </w:rPr>
        <w:t>这是巴拉圭社会的一项基本人权</w:t>
      </w:r>
      <w:bookmarkStart w:id="5" w:name="OLE_LINK45"/>
      <w:r>
        <w:rPr>
          <w:rFonts w:hint="eastAsia"/>
        </w:rPr>
        <w:t>。</w:t>
      </w:r>
    </w:p>
    <w:p w:rsidR="00DA7251" w:rsidRDefault="00DA7251">
      <w:pPr>
        <w:pStyle w:val="SingleTxtGC"/>
        <w:rPr>
          <w:lang w:val="es-ES"/>
        </w:rPr>
      </w:pPr>
      <w:r>
        <w:rPr>
          <w:lang w:val="es-ES"/>
        </w:rPr>
        <w:t xml:space="preserve">74.  </w:t>
      </w:r>
      <w:r>
        <w:rPr>
          <w:rFonts w:hint="eastAsia"/>
        </w:rPr>
        <w:t>巴拉圭还计划在</w:t>
      </w:r>
      <w:r>
        <w:rPr>
          <w:rFonts w:hint="eastAsia"/>
        </w:rPr>
        <w:t>2010</w:t>
      </w:r>
      <w:r>
        <w:rPr>
          <w:rFonts w:hint="eastAsia"/>
        </w:rPr>
        <w:t>年</w:t>
      </w:r>
      <w:r>
        <w:rPr>
          <w:lang w:val="es-ES_tradnl"/>
        </w:rPr>
        <w:t>12</w:t>
      </w:r>
      <w:r>
        <w:t>月</w:t>
      </w:r>
      <w:r>
        <w:rPr>
          <w:rFonts w:hint="eastAsia"/>
        </w:rPr>
        <w:t>举办一次</w:t>
      </w:r>
      <w:r>
        <w:rPr>
          <w:rFonts w:hint="eastAsia"/>
          <w:lang w:val="es-ES_tradnl"/>
        </w:rPr>
        <w:t>关于</w:t>
      </w:r>
      <w:r>
        <w:rPr>
          <w:rFonts w:hint="eastAsia"/>
        </w:rPr>
        <w:t>残疾人获得司法保护的公开会议</w:t>
      </w:r>
      <w:r>
        <w:rPr>
          <w:rFonts w:hint="eastAsia"/>
          <w:lang w:val="es-ES_tradnl"/>
        </w:rPr>
        <w:t>，会上活跃在残疾人领域的组织将征求公众的意见，并利用这些起草建议，以便随后将之纳入机构计划</w:t>
      </w:r>
      <w:bookmarkEnd w:id="5"/>
      <w:r>
        <w:rPr>
          <w:rFonts w:hint="eastAsia"/>
        </w:rPr>
        <w:t>中。</w:t>
      </w:r>
    </w:p>
    <w:p w:rsidR="00DA7251" w:rsidRDefault="00DA7251">
      <w:pPr>
        <w:pStyle w:val="SingleTxtGC"/>
        <w:rPr>
          <w:lang w:val="es-ES_tradnl"/>
        </w:rPr>
      </w:pPr>
      <w:r>
        <w:rPr>
          <w:lang w:val="es-ES"/>
        </w:rPr>
        <w:t xml:space="preserve">75.  </w:t>
      </w:r>
      <w:r>
        <w:rPr>
          <w:rFonts w:hint="eastAsia"/>
        </w:rPr>
        <w:t>对不同的法院建筑</w:t>
      </w:r>
      <w:r>
        <w:rPr>
          <w:rFonts w:hint="eastAsia"/>
          <w:spacing w:val="-50"/>
        </w:rPr>
        <w:t>―</w:t>
      </w:r>
      <w:r>
        <w:rPr>
          <w:rFonts w:hint="eastAsia"/>
          <w:spacing w:val="10"/>
        </w:rPr>
        <w:t>―</w:t>
      </w:r>
      <w:r>
        <w:rPr>
          <w:rFonts w:hint="eastAsia"/>
        </w:rPr>
        <w:t>这些措施主要集中在新建的司法建筑</w:t>
      </w:r>
      <w:r>
        <w:rPr>
          <w:rStyle w:val="FootnoteReference"/>
        </w:rPr>
        <w:footnoteReference w:id="36"/>
      </w:r>
      <w:r>
        <w:rPr>
          <w:rStyle w:val="FootnoteReference"/>
          <w:vertAlign w:val="baseline"/>
        </w:rPr>
        <w:t xml:space="preserve"> </w:t>
      </w:r>
      <w:r>
        <w:rPr>
          <w:rFonts w:hint="eastAsia"/>
        </w:rPr>
        <w:t>中</w:t>
      </w:r>
      <w:r>
        <w:rPr>
          <w:rFonts w:hint="eastAsia"/>
          <w:spacing w:val="-50"/>
          <w:lang w:val="es-ES"/>
        </w:rPr>
        <w:t>―</w:t>
      </w:r>
      <w:r>
        <w:rPr>
          <w:rFonts w:hint="eastAsia"/>
          <w:spacing w:val="10"/>
          <w:lang w:val="es-ES"/>
        </w:rPr>
        <w:t>―</w:t>
      </w:r>
      <w:r>
        <w:rPr>
          <w:rFonts w:hint="eastAsia"/>
        </w:rPr>
        <w:t>以及司法机构中央办事处进行了结构性调整</w:t>
      </w:r>
      <w:r>
        <w:rPr>
          <w:rFonts w:hint="eastAsia"/>
          <w:lang w:val="es-ES"/>
        </w:rPr>
        <w:t>。这些调整包括</w:t>
      </w:r>
      <w:r>
        <w:rPr>
          <w:rFonts w:hint="eastAsia"/>
        </w:rPr>
        <w:t>在建筑物进口处和周边区域设立缓解不同地面之间高差的坡道，使残疾人能够出入建筑物并在其中行动。</w:t>
      </w:r>
    </w:p>
    <w:p w:rsidR="00DA7251" w:rsidRDefault="00DA7251">
      <w:pPr>
        <w:pStyle w:val="SingleTxtGC"/>
        <w:rPr>
          <w:lang w:val="es-ES"/>
        </w:rPr>
      </w:pPr>
      <w:r>
        <w:rPr>
          <w:lang w:val="es-ES"/>
        </w:rPr>
        <w:t xml:space="preserve">76.  </w:t>
      </w:r>
      <w:r>
        <w:rPr>
          <w:rFonts w:hint="eastAsia"/>
        </w:rPr>
        <w:t>为残疾人到达或进入</w:t>
      </w:r>
      <w:r>
        <w:rPr>
          <w:rFonts w:hint="eastAsia"/>
          <w:lang w:val="es-ES_tradnl"/>
        </w:rPr>
        <w:t>，</w:t>
      </w:r>
      <w:r>
        <w:rPr>
          <w:rFonts w:hint="eastAsia"/>
        </w:rPr>
        <w:t>均设有坡道和通行标志。在停车场</w:t>
      </w:r>
      <w:r>
        <w:rPr>
          <w:rFonts w:hint="eastAsia"/>
          <w:lang w:val="es-ES"/>
        </w:rPr>
        <w:t>，</w:t>
      </w:r>
      <w:r>
        <w:rPr>
          <w:rFonts w:hint="eastAsia"/>
        </w:rPr>
        <w:t>为残疾人车辆明确指定专门的停车位。在建筑物内</w:t>
      </w:r>
      <w:r>
        <w:rPr>
          <w:rFonts w:hint="eastAsia"/>
          <w:lang w:val="es-ES"/>
        </w:rPr>
        <w:t>，</w:t>
      </w:r>
      <w:r>
        <w:rPr>
          <w:rFonts w:hint="eastAsia"/>
        </w:rPr>
        <w:t>每一层都有残疾人专用的卫生设施。</w:t>
      </w:r>
    </w:p>
    <w:p w:rsidR="00DA7251" w:rsidRDefault="00DA7251">
      <w:pPr>
        <w:pStyle w:val="SingleTxtGC"/>
        <w:rPr>
          <w:lang w:val="es-ES"/>
        </w:rPr>
      </w:pPr>
      <w:r>
        <w:rPr>
          <w:lang w:val="es-ES"/>
        </w:rPr>
        <w:t xml:space="preserve">77.  </w:t>
      </w:r>
      <w:r>
        <w:rPr>
          <w:rFonts w:hint="eastAsia"/>
          <w:lang w:val="es-ES"/>
        </w:rPr>
        <w:t>设计并配备</w:t>
      </w:r>
      <w:r>
        <w:rPr>
          <w:rFonts w:hint="eastAsia"/>
        </w:rPr>
        <w:t>卫生设施满足残疾人的最紧急迫切需求，并在建筑物入口处明确标示。电梯也引入了盲文说明</w:t>
      </w:r>
      <w:r>
        <w:rPr>
          <w:rFonts w:hint="eastAsia"/>
          <w:lang w:val="es-ES"/>
        </w:rPr>
        <w:t>，</w:t>
      </w:r>
      <w:r>
        <w:rPr>
          <w:rFonts w:hint="eastAsia"/>
        </w:rPr>
        <w:t>并有足够的空间容纳一辆轮椅。</w:t>
      </w:r>
    </w:p>
    <w:p w:rsidR="00DA7251" w:rsidRDefault="00DA7251">
      <w:pPr>
        <w:pStyle w:val="SingleTxtGC"/>
        <w:rPr>
          <w:lang w:val="es-ES_tradnl"/>
        </w:rPr>
      </w:pPr>
      <w:r>
        <w:rPr>
          <w:lang w:val="es-ES"/>
        </w:rPr>
        <w:t xml:space="preserve">78.  </w:t>
      </w:r>
      <w:r>
        <w:rPr>
          <w:rFonts w:hint="eastAsia"/>
          <w:lang w:val="es-ES"/>
        </w:rPr>
        <w:t>门、办公室</w:t>
      </w:r>
      <w:r>
        <w:rPr>
          <w:rFonts w:hint="eastAsia"/>
        </w:rPr>
        <w:t>和走廊的设计方便残疾人进出和行动。不过</w:t>
      </w:r>
      <w:r>
        <w:rPr>
          <w:rFonts w:hint="eastAsia"/>
          <w:lang w:val="es-ES"/>
        </w:rPr>
        <w:t>，</w:t>
      </w:r>
      <w:r>
        <w:rPr>
          <w:rFonts w:hint="eastAsia"/>
        </w:rPr>
        <w:t>建筑物内的各种设施还包括有利于残疾人观察外面和内部走廊的情况</w:t>
      </w:r>
      <w:r>
        <w:rPr>
          <w:rFonts w:hint="eastAsia"/>
          <w:lang w:val="es-ES"/>
        </w:rPr>
        <w:t>；可为行动时有需求的任何残疾人提供指导和援助</w:t>
      </w:r>
      <w:r>
        <w:rPr>
          <w:rFonts w:hint="eastAsia"/>
        </w:rPr>
        <w:t>。例如，在亚松森司法大厦</w:t>
      </w:r>
      <w:r>
        <w:rPr>
          <w:rFonts w:hint="eastAsia"/>
          <w:lang w:val="es-ES"/>
        </w:rPr>
        <w:t>(</w:t>
      </w:r>
      <w:r>
        <w:rPr>
          <w:rFonts w:hint="eastAsia"/>
        </w:rPr>
        <w:t>北塔</w:t>
      </w:r>
      <w:r>
        <w:rPr>
          <w:rFonts w:hint="eastAsia"/>
          <w:lang w:val="es-ES"/>
        </w:rPr>
        <w:t>)</w:t>
      </w:r>
      <w:r>
        <w:rPr>
          <w:rFonts w:hint="eastAsia"/>
          <w:lang w:val="es-ES"/>
        </w:rPr>
        <w:t>竣工后，考虑到</w:t>
      </w:r>
      <w:r>
        <w:rPr>
          <w:rFonts w:hint="eastAsia"/>
        </w:rPr>
        <w:t>大厦的楼层数</w:t>
      </w:r>
      <w:r>
        <w:rPr>
          <w:rFonts w:hint="eastAsia"/>
          <w:lang w:val="es-ES"/>
        </w:rPr>
        <w:t>，</w:t>
      </w:r>
      <w:r>
        <w:rPr>
          <w:rFonts w:hint="eastAsia"/>
        </w:rPr>
        <w:t>在每一层都设计了安全区域</w:t>
      </w:r>
      <w:r>
        <w:rPr>
          <w:rFonts w:hint="eastAsia"/>
          <w:lang w:val="es-ES"/>
        </w:rPr>
        <w:t>：</w:t>
      </w:r>
      <w:r>
        <w:rPr>
          <w:rFonts w:hint="eastAsia"/>
        </w:rPr>
        <w:t>在发生事故时</w:t>
      </w:r>
      <w:r>
        <w:rPr>
          <w:rFonts w:hint="eastAsia"/>
          <w:lang w:val="es-ES"/>
        </w:rPr>
        <w:t>，</w:t>
      </w:r>
      <w:r>
        <w:rPr>
          <w:rFonts w:hint="eastAsia"/>
        </w:rPr>
        <w:t>残疾人、老人和病人可以在安全区域内等待救援。因此，必然在新建筑物的建造和老建筑物的改造中实施这些措施。还将采取歧视措施，以进一步改进无障碍通行。</w:t>
      </w:r>
    </w:p>
    <w:p w:rsidR="00DA7251" w:rsidRDefault="00DA7251">
      <w:pPr>
        <w:pStyle w:val="SingleTxtGC"/>
        <w:rPr>
          <w:lang w:val="es-ES"/>
        </w:rPr>
      </w:pPr>
      <w:r>
        <w:rPr>
          <w:lang w:val="es-ES"/>
        </w:rPr>
        <w:t xml:space="preserve">79.  </w:t>
      </w:r>
      <w:r>
        <w:rPr>
          <w:rFonts w:hint="eastAsia"/>
        </w:rPr>
        <w:t>此外，</w:t>
      </w:r>
      <w:smartTag w:uri="urn:schemas-microsoft-com:office:smarttags" w:element="chsdate">
        <w:smartTagPr>
          <w:attr w:name="Year" w:val="2010"/>
          <w:attr w:name="Month" w:val="6"/>
          <w:attr w:name="Day" w:val="1"/>
          <w:attr w:name="IsLunarDate" w:val="False"/>
          <w:attr w:name="IsROCDate" w:val="False"/>
        </w:smartTagPr>
        <w:r>
          <w:t>2010</w:t>
        </w:r>
        <w:r>
          <w:t>年</w:t>
        </w:r>
        <w:r>
          <w:t>6</w:t>
        </w:r>
        <w:r>
          <w:t>月</w:t>
        </w:r>
        <w:r>
          <w:t>1</w:t>
        </w:r>
        <w:r>
          <w:t>日</w:t>
        </w:r>
      </w:smartTag>
      <w:r>
        <w:rPr>
          <w:rFonts w:hint="eastAsia"/>
        </w:rPr>
        <w:t>最高法院根据</w:t>
      </w:r>
      <w:r>
        <w:t>第</w:t>
      </w:r>
      <w:r>
        <w:t>633</w:t>
      </w:r>
      <w:r>
        <w:t>号</w:t>
      </w:r>
      <w:r>
        <w:rPr>
          <w:rFonts w:hint="eastAsia"/>
        </w:rPr>
        <w:t>决议通过了</w:t>
      </w:r>
      <w:bookmarkStart w:id="6" w:name="OLE_LINK29"/>
      <w:r>
        <w:rPr>
          <w:rFonts w:hint="eastAsia"/>
        </w:rPr>
        <w:t>关于使处境不利人群获得公平审判机会的《巴西利亚规则》</w:t>
      </w:r>
      <w:bookmarkEnd w:id="6"/>
      <w:r>
        <w:rPr>
          <w:rStyle w:val="FootnoteReference"/>
        </w:rPr>
        <w:footnoteReference w:id="37"/>
      </w:r>
      <w:r>
        <w:rPr>
          <w:rStyle w:val="FootnoteReference"/>
          <w:vertAlign w:val="baseline"/>
        </w:rPr>
        <w:t xml:space="preserve"> </w:t>
      </w:r>
      <w:r>
        <w:rPr>
          <w:rFonts w:hint="eastAsia"/>
        </w:rPr>
        <w:t>，目的是批准规则的内容，并成立一个委员会对逐步执行该规则进行监督。</w:t>
      </w:r>
    </w:p>
    <w:p w:rsidR="00DA7251" w:rsidRDefault="00DA7251">
      <w:pPr>
        <w:pStyle w:val="SingleTxtGC"/>
        <w:rPr>
          <w:lang w:val="es-ES_tradnl"/>
        </w:rPr>
      </w:pPr>
      <w:r>
        <w:rPr>
          <w:lang w:val="es-ES"/>
        </w:rPr>
        <w:t xml:space="preserve">80.  </w:t>
      </w:r>
      <w:r>
        <w:rPr>
          <w:rFonts w:hint="eastAsia"/>
        </w:rPr>
        <w:t>《巴西利亚规则》涉及的人群中，就包括因年龄原因处境不利的人群</w:t>
      </w:r>
      <w:r>
        <w:rPr>
          <w:rStyle w:val="FootnoteReference"/>
        </w:rPr>
        <w:footnoteReference w:id="38"/>
      </w:r>
      <w:r>
        <w:rPr>
          <w:rStyle w:val="FootnoteReference"/>
          <w:vertAlign w:val="baseline"/>
        </w:rPr>
        <w:t xml:space="preserve"> </w:t>
      </w:r>
      <w:r>
        <w:rPr>
          <w:rFonts w:hint="eastAsia"/>
        </w:rPr>
        <w:t>和残疾人。</w:t>
      </w:r>
    </w:p>
    <w:p w:rsidR="00DA7251" w:rsidRDefault="00DA7251">
      <w:pPr>
        <w:pStyle w:val="SingleTxtGC"/>
        <w:rPr>
          <w:lang w:val="es-ES"/>
        </w:rPr>
      </w:pPr>
      <w:r>
        <w:rPr>
          <w:lang w:val="es-ES"/>
        </w:rPr>
        <w:t xml:space="preserve">81.  </w:t>
      </w:r>
      <w:r>
        <w:rPr>
          <w:rFonts w:hint="eastAsia"/>
          <w:lang w:val="es-ES"/>
        </w:rPr>
        <w:t>为发挥</w:t>
      </w:r>
      <w:r>
        <w:rPr>
          <w:rFonts w:hint="eastAsia"/>
        </w:rPr>
        <w:t>检察院的人力潜力，确保检察院实现其战略目标，在机构活动的不同领域实施了人员培训计划和方案。</w:t>
      </w:r>
    </w:p>
    <w:p w:rsidR="00DA7251" w:rsidRDefault="00DA7251">
      <w:pPr>
        <w:pStyle w:val="SingleTxtGC"/>
        <w:rPr>
          <w:lang w:val="es-ES"/>
        </w:rPr>
      </w:pPr>
      <w:r>
        <w:rPr>
          <w:lang w:val="es-ES"/>
        </w:rPr>
        <w:t xml:space="preserve">82.  </w:t>
      </w:r>
      <w:r>
        <w:rPr>
          <w:rFonts w:hint="eastAsia"/>
        </w:rPr>
        <w:t>在机构一级</w:t>
      </w:r>
      <w:r>
        <w:rPr>
          <w:rFonts w:hint="eastAsia"/>
          <w:lang w:val="es-ES"/>
        </w:rPr>
        <w:t>，</w:t>
      </w:r>
      <w:r>
        <w:rPr>
          <w:rFonts w:hint="eastAsia"/>
        </w:rPr>
        <w:t>检察长办公室基于下列三个战略优先事项制定了一项政策</w:t>
      </w:r>
      <w:r>
        <w:rPr>
          <w:rFonts w:hint="eastAsia"/>
          <w:lang w:val="es-ES"/>
        </w:rPr>
        <w:t>：</w:t>
      </w:r>
      <w:r>
        <w:rPr>
          <w:lang w:val="es-ES"/>
        </w:rPr>
        <w:t xml:space="preserve">(a) </w:t>
      </w:r>
      <w:r>
        <w:rPr>
          <w:rFonts w:hint="eastAsia"/>
        </w:rPr>
        <w:t>根据《宪法》和国内立法敏锐认识到人们的各项需求</w:t>
      </w:r>
      <w:r>
        <w:rPr>
          <w:rFonts w:hint="eastAsia"/>
          <w:lang w:val="es-ES"/>
        </w:rPr>
        <w:t>；</w:t>
      </w:r>
      <w:r>
        <w:rPr>
          <w:lang w:val="es-ES"/>
        </w:rPr>
        <w:t xml:space="preserve">(b) </w:t>
      </w:r>
      <w:r>
        <w:rPr>
          <w:rFonts w:hint="eastAsia"/>
        </w:rPr>
        <w:t>检察院的有效管理</w:t>
      </w:r>
      <w:r>
        <w:rPr>
          <w:rFonts w:hint="eastAsia"/>
          <w:lang w:val="es-ES"/>
        </w:rPr>
        <w:t>；以及</w:t>
      </w:r>
      <w:r>
        <w:rPr>
          <w:lang w:val="es-ES"/>
        </w:rPr>
        <w:t xml:space="preserve">(c) </w:t>
      </w:r>
      <w:r>
        <w:rPr>
          <w:rFonts w:hint="eastAsia"/>
        </w:rPr>
        <w:t>信息的透明度和获取途径。</w:t>
      </w:r>
    </w:p>
    <w:p w:rsidR="00DA7251" w:rsidRDefault="00DA7251">
      <w:pPr>
        <w:pStyle w:val="SingleTxtGC"/>
        <w:rPr>
          <w:lang w:val="es-ES"/>
        </w:rPr>
      </w:pPr>
      <w:r>
        <w:rPr>
          <w:lang w:val="es-ES"/>
        </w:rPr>
        <w:t xml:space="preserve">83.  </w:t>
      </w:r>
      <w:r>
        <w:rPr>
          <w:rFonts w:hint="eastAsia"/>
        </w:rPr>
        <w:t>在执行其</w:t>
      </w:r>
      <w:r>
        <w:rPr>
          <w:rFonts w:hint="eastAsia"/>
          <w:lang w:val="es-ES"/>
        </w:rPr>
        <w:t>“</w:t>
      </w:r>
      <w:r>
        <w:rPr>
          <w:rFonts w:hint="eastAsia"/>
        </w:rPr>
        <w:t>为了工作开展培训</w:t>
      </w:r>
      <w:r>
        <w:rPr>
          <w:rFonts w:hint="eastAsia"/>
          <w:lang w:val="es-ES"/>
        </w:rPr>
        <w:t>”</w:t>
      </w:r>
      <w:r>
        <w:rPr>
          <w:rFonts w:hint="eastAsia"/>
        </w:rPr>
        <w:t>政策时</w:t>
      </w:r>
      <w:r>
        <w:rPr>
          <w:rFonts w:hint="eastAsia"/>
          <w:lang w:val="es-ES"/>
        </w:rPr>
        <w:t>，检察长办公室</w:t>
      </w:r>
      <w:r>
        <w:rPr>
          <w:rFonts w:hint="eastAsia"/>
        </w:rPr>
        <w:t>尊重残疾人等脆弱者的人权，包括尊重其获得适当照顾权以及获得司法保护的权利，这是其培训方案的一个贯穿各领域的主题，并使之契合检察长办公室的具体战略政策目标。</w:t>
      </w:r>
    </w:p>
    <w:p w:rsidR="00DA7251" w:rsidRDefault="00DA7251">
      <w:pPr>
        <w:pStyle w:val="SingleTxtGC"/>
        <w:rPr>
          <w:lang w:val="es-ES"/>
        </w:rPr>
      </w:pPr>
      <w:r>
        <w:rPr>
          <w:lang w:val="es-ES"/>
        </w:rPr>
        <w:t xml:space="preserve">84.  </w:t>
      </w:r>
      <w:r>
        <w:rPr>
          <w:rFonts w:hint="eastAsia"/>
          <w:lang w:val="es-ES"/>
        </w:rPr>
        <w:t>还调整了</w:t>
      </w:r>
      <w:r>
        <w:rPr>
          <w:rFonts w:hint="eastAsia"/>
        </w:rPr>
        <w:t>检察院的人力开发方案课程</w:t>
      </w:r>
      <w:r>
        <w:rPr>
          <w:rFonts w:hint="eastAsia"/>
          <w:lang w:val="es-ES"/>
        </w:rPr>
        <w:t>，使之包括涵盖下列领域的</w:t>
      </w:r>
      <w:r>
        <w:rPr>
          <w:rFonts w:hint="eastAsia"/>
        </w:rPr>
        <w:t>新模块和新课程</w:t>
      </w:r>
      <w:r>
        <w:rPr>
          <w:rFonts w:hint="eastAsia"/>
          <w:lang w:val="es-ES"/>
        </w:rPr>
        <w:t>：</w:t>
      </w:r>
      <w:r>
        <w:rPr>
          <w:lang w:val="es-ES"/>
        </w:rPr>
        <w:t xml:space="preserve">(a) </w:t>
      </w:r>
      <w:r>
        <w:rPr>
          <w:rFonts w:hint="eastAsia"/>
          <w:lang w:val="es-ES"/>
        </w:rPr>
        <w:t>妥善与公众打交道；</w:t>
      </w:r>
      <w:r>
        <w:rPr>
          <w:lang w:val="es-ES"/>
        </w:rPr>
        <w:t xml:space="preserve">(b) </w:t>
      </w:r>
      <w:r>
        <w:rPr>
          <w:rFonts w:hint="eastAsia"/>
          <w:lang w:val="es-ES"/>
        </w:rPr>
        <w:t>妥善照顾受害者；</w:t>
      </w:r>
      <w:r>
        <w:rPr>
          <w:lang w:val="es-ES"/>
        </w:rPr>
        <w:t xml:space="preserve">(c) </w:t>
      </w:r>
      <w:r>
        <w:rPr>
          <w:rFonts w:hint="eastAsia"/>
          <w:lang w:val="es-ES"/>
        </w:rPr>
        <w:t>落实</w:t>
      </w:r>
      <w:r>
        <w:rPr>
          <w:rFonts w:hint="eastAsia"/>
        </w:rPr>
        <w:t>关于使处境不利人群获得公平审判机会的《巴西利亚规则》</w:t>
      </w:r>
      <w:r>
        <w:rPr>
          <w:rFonts w:hint="eastAsia"/>
          <w:lang w:val="es-ES"/>
        </w:rPr>
        <w:t>；</w:t>
      </w:r>
      <w:r>
        <w:rPr>
          <w:lang w:val="es-ES"/>
        </w:rPr>
        <w:t xml:space="preserve">(d) </w:t>
      </w:r>
      <w:r>
        <w:rPr>
          <w:rFonts w:hint="eastAsia"/>
          <w:lang w:val="es-ES"/>
        </w:rPr>
        <w:t>落实</w:t>
      </w:r>
      <w:r>
        <w:rPr>
          <w:rFonts w:hint="eastAsia"/>
        </w:rPr>
        <w:t>《受害者和证人保护圣地亚哥指南》</w:t>
      </w:r>
      <w:r>
        <w:rPr>
          <w:rFonts w:hint="eastAsia"/>
          <w:lang w:val="es-ES"/>
        </w:rPr>
        <w:t>；</w:t>
      </w:r>
      <w:r>
        <w:rPr>
          <w:lang w:val="es-ES"/>
        </w:rPr>
        <w:t xml:space="preserve">(e) </w:t>
      </w:r>
      <w:r>
        <w:rPr>
          <w:rFonts w:hint="eastAsia"/>
          <w:lang w:val="es-ES"/>
        </w:rPr>
        <w:t>提供基本的手语，向</w:t>
      </w:r>
      <w:r>
        <w:rPr>
          <w:rFonts w:hint="eastAsia"/>
        </w:rPr>
        <w:t>聋人受害者提供初级照顾</w:t>
      </w:r>
      <w:r>
        <w:rPr>
          <w:rFonts w:hint="eastAsia"/>
          <w:lang w:val="es-ES"/>
        </w:rPr>
        <w:t>；</w:t>
      </w:r>
      <w:r>
        <w:rPr>
          <w:lang w:val="es-ES"/>
        </w:rPr>
        <w:t xml:space="preserve">(f) </w:t>
      </w:r>
      <w:r>
        <w:rPr>
          <w:rFonts w:hint="eastAsia"/>
        </w:rPr>
        <w:t>使用瓜拉尼语，以便妥善地与公众打交道。</w:t>
      </w:r>
    </w:p>
    <w:p w:rsidR="00DA7251" w:rsidRDefault="00DA7251">
      <w:pPr>
        <w:pStyle w:val="SingleTxtGC"/>
        <w:rPr>
          <w:lang w:val="es-ES"/>
        </w:rPr>
      </w:pPr>
      <w:r>
        <w:rPr>
          <w:lang w:val="es-ES"/>
        </w:rPr>
        <w:t xml:space="preserve">85.  </w:t>
      </w:r>
      <w:r>
        <w:rPr>
          <w:rFonts w:hint="eastAsia"/>
        </w:rPr>
        <w:t>从</w:t>
      </w:r>
      <w:r>
        <w:rPr>
          <w:lang w:val="es-ES"/>
        </w:rPr>
        <w:t>2006</w:t>
      </w:r>
      <w:r>
        <w:t>年</w:t>
      </w:r>
      <w:r>
        <w:rPr>
          <w:rFonts w:hint="eastAsia"/>
        </w:rPr>
        <w:t>起</w:t>
      </w:r>
      <w:r>
        <w:rPr>
          <w:rFonts w:hint="eastAsia"/>
          <w:lang w:val="es-ES"/>
        </w:rPr>
        <w:t>，更新</w:t>
      </w:r>
      <w:r>
        <w:rPr>
          <w:rFonts w:hint="eastAsia"/>
        </w:rPr>
        <w:t>检察院培训中心提供的课程一直在进行。目前，根据以下日程启动的上述课程模块已经投入使用。</w:t>
      </w:r>
    </w:p>
    <w:p w:rsidR="00DA7251" w:rsidRDefault="00DA7251">
      <w:pPr>
        <w:pStyle w:val="H23GC"/>
        <w:rPr>
          <w:lang w:val="es-ES_tradnl"/>
        </w:rPr>
      </w:pPr>
      <w:r>
        <w:rPr>
          <w:lang w:val="es-ES_tradnl"/>
        </w:rPr>
        <w:tab/>
      </w:r>
      <w:r>
        <w:rPr>
          <w:rFonts w:hint="eastAsia"/>
          <w:lang w:val="es-ES_tradnl"/>
        </w:rPr>
        <w:tab/>
      </w:r>
      <w:r>
        <w:rPr>
          <w:b/>
          <w:lang w:val="es-ES_tradnl"/>
        </w:rPr>
        <w:t>2006</w:t>
      </w:r>
      <w:r>
        <w:rPr>
          <w:rFonts w:hint="eastAsia"/>
          <w:lang w:val="es-ES_tradnl"/>
        </w:rPr>
        <w:t>年</w:t>
      </w:r>
    </w:p>
    <w:p w:rsidR="00DA7251" w:rsidRDefault="00DA7251">
      <w:pPr>
        <w:pStyle w:val="SingleTxtGC"/>
        <w:rPr>
          <w:lang w:val="es-ES"/>
        </w:rPr>
      </w:pPr>
      <w:r>
        <w:rPr>
          <w:lang w:val="es-ES"/>
        </w:rPr>
        <w:t xml:space="preserve">86.  </w:t>
      </w:r>
      <w:r>
        <w:rPr>
          <w:rFonts w:hint="eastAsia"/>
          <w:lang w:val="es-ES"/>
        </w:rPr>
        <w:t>2004</w:t>
      </w:r>
      <w:r>
        <w:rPr>
          <w:rFonts w:hint="eastAsia"/>
          <w:lang w:val="es-ES"/>
        </w:rPr>
        <w:t>年以来，</w:t>
      </w:r>
      <w:r>
        <w:rPr>
          <w:rFonts w:hint="eastAsia"/>
        </w:rPr>
        <w:t>针对检察官和检察院的其他工作人员开展的关于妥善与公众打交道的培训模块一直在运作。</w:t>
      </w:r>
      <w:r>
        <w:t>2006</w:t>
      </w:r>
      <w:r>
        <w:rPr>
          <w:rFonts w:hint="eastAsia"/>
        </w:rPr>
        <w:t>年起启动了关于妥当与受害者打交道的模块，目标群体不变。这两门课程的培训对象为亚松森或各省检察院所有各部门的检察官和工作人员。</w:t>
      </w:r>
    </w:p>
    <w:p w:rsidR="00DA7251" w:rsidRDefault="00DA7251">
      <w:pPr>
        <w:pStyle w:val="H23GC"/>
        <w:rPr>
          <w:lang w:val="es-ES_tradnl"/>
        </w:rPr>
      </w:pPr>
      <w:r>
        <w:rPr>
          <w:rFonts w:hint="eastAsia"/>
          <w:lang w:val="es-ES_tradnl"/>
        </w:rPr>
        <w:tab/>
      </w:r>
      <w:r>
        <w:rPr>
          <w:lang w:val="es-ES_tradnl"/>
        </w:rPr>
        <w:tab/>
      </w:r>
      <w:r>
        <w:rPr>
          <w:b/>
          <w:lang w:val="es-ES_tradnl"/>
        </w:rPr>
        <w:t>2007</w:t>
      </w:r>
      <w:r>
        <w:rPr>
          <w:rFonts w:hint="eastAsia"/>
          <w:lang w:val="es-ES_tradnl"/>
        </w:rPr>
        <w:t>年</w:t>
      </w:r>
    </w:p>
    <w:p w:rsidR="00DA7251" w:rsidRDefault="00DA7251">
      <w:pPr>
        <w:pStyle w:val="SingleTxtGC"/>
        <w:rPr>
          <w:lang w:val="es-ES"/>
        </w:rPr>
      </w:pPr>
      <w:r>
        <w:rPr>
          <w:lang w:val="es-ES"/>
        </w:rPr>
        <w:t>87.  2007</w:t>
      </w:r>
      <w:r>
        <w:t>年</w:t>
      </w:r>
      <w:r>
        <w:rPr>
          <w:rFonts w:hint="eastAsia"/>
        </w:rPr>
        <w:t>涵盖的一个主题是不歧视。具体举措包括在联合国妇女发展基金</w:t>
      </w:r>
      <w:r>
        <w:rPr>
          <w:rFonts w:hint="eastAsia"/>
        </w:rPr>
        <w:t>(</w:t>
      </w:r>
      <w:r>
        <w:rPr>
          <w:rFonts w:hint="eastAsia"/>
        </w:rPr>
        <w:t>妇发基金</w:t>
      </w:r>
      <w:r>
        <w:rPr>
          <w:rFonts w:hint="eastAsia"/>
        </w:rPr>
        <w:t>)</w:t>
      </w:r>
      <w:r>
        <w:rPr>
          <w:rFonts w:hint="eastAsia"/>
        </w:rPr>
        <w:t>支持下举办的关于在国际法律框架下不受歧视的权利和妇女权利的讲习班</w:t>
      </w:r>
      <w:r>
        <w:rPr>
          <w:rStyle w:val="FootnoteReference"/>
        </w:rPr>
        <w:footnoteReference w:id="39"/>
      </w:r>
      <w:r>
        <w:rPr>
          <w:rStyle w:val="FootnoteReference"/>
          <w:vertAlign w:val="baseline"/>
        </w:rPr>
        <w:t xml:space="preserve"> </w:t>
      </w:r>
      <w:r>
        <w:rPr>
          <w:rFonts w:hint="eastAsia"/>
        </w:rPr>
        <w:t>，以及与促进残疾人权利国家协调办公室共同组织的关于《残疾人权利公约》的讲习班。</w:t>
      </w:r>
    </w:p>
    <w:p w:rsidR="00DA7251" w:rsidRDefault="00DA7251">
      <w:pPr>
        <w:pStyle w:val="SingleTxtGC"/>
        <w:rPr>
          <w:lang w:val="es-ES"/>
        </w:rPr>
      </w:pPr>
      <w:r>
        <w:rPr>
          <w:lang w:val="es-ES"/>
        </w:rPr>
        <w:t xml:space="preserve">88.  </w:t>
      </w:r>
      <w:r>
        <w:rPr>
          <w:rFonts w:hint="eastAsia"/>
        </w:rPr>
        <w:t>这些讲习班的目的是鼓励司法系统的工作人员制定对性别问题有敏感人士的变革战略，推动残疾人有效的社会融合。讲习班的代表包括检察官</w:t>
      </w:r>
      <w:r>
        <w:rPr>
          <w:rFonts w:hint="eastAsia"/>
          <w:lang w:val="es-ES"/>
        </w:rPr>
        <w:t>、</w:t>
      </w:r>
      <w:r>
        <w:rPr>
          <w:rFonts w:hint="eastAsia"/>
        </w:rPr>
        <w:t>普通监狱的工作人员、从事儿童和青少年事务工作的官员、宪法保障办公室和投诉办公室的工作人员、法医心理学家和法医。</w:t>
      </w:r>
    </w:p>
    <w:p w:rsidR="00DA7251" w:rsidRDefault="00DA7251">
      <w:pPr>
        <w:pStyle w:val="H23GC"/>
        <w:rPr>
          <w:lang w:val="es-ES_tradnl"/>
        </w:rPr>
      </w:pPr>
      <w:r>
        <w:rPr>
          <w:lang w:val="es-ES_tradnl"/>
        </w:rPr>
        <w:tab/>
      </w:r>
      <w:r>
        <w:rPr>
          <w:lang w:val="es-ES_tradnl"/>
        </w:rPr>
        <w:tab/>
      </w:r>
      <w:r>
        <w:rPr>
          <w:b/>
          <w:lang w:val="es-ES_tradnl"/>
        </w:rPr>
        <w:t>2008</w:t>
      </w:r>
      <w:r>
        <w:rPr>
          <w:rFonts w:hint="eastAsia"/>
          <w:lang w:val="es-ES_tradnl"/>
        </w:rPr>
        <w:t>年</w:t>
      </w:r>
    </w:p>
    <w:p w:rsidR="00DA7251" w:rsidRDefault="00DA7251">
      <w:pPr>
        <w:pStyle w:val="SingleTxtGC"/>
        <w:rPr>
          <w:lang w:val="es-ES"/>
        </w:rPr>
      </w:pPr>
      <w:r>
        <w:rPr>
          <w:lang w:val="es-ES"/>
        </w:rPr>
        <w:t xml:space="preserve">89.  </w:t>
      </w:r>
      <w:r>
        <w:rPr>
          <w:rFonts w:hint="eastAsia"/>
        </w:rPr>
        <w:t>在</w:t>
      </w:r>
      <w:r>
        <w:rPr>
          <w:rFonts w:hint="eastAsia"/>
          <w:lang w:val="es-ES"/>
        </w:rPr>
        <w:t>“</w:t>
      </w:r>
      <w:r>
        <w:rPr>
          <w:rFonts w:hint="eastAsia"/>
        </w:rPr>
        <w:t>为了弱势群体获得司法保护</w:t>
      </w:r>
      <w:r>
        <w:rPr>
          <w:rFonts w:hint="eastAsia"/>
          <w:lang w:val="es-ES"/>
        </w:rPr>
        <w:t>”</w:t>
      </w:r>
      <w:r>
        <w:rPr>
          <w:rFonts w:hint="eastAsia"/>
        </w:rPr>
        <w:t>的主题之下</w:t>
      </w:r>
      <w:r>
        <w:rPr>
          <w:rFonts w:hint="eastAsia"/>
          <w:lang w:val="es-ES"/>
        </w:rPr>
        <w:t>，</w:t>
      </w:r>
      <w:r>
        <w:rPr>
          <w:rFonts w:hint="eastAsia"/>
        </w:rPr>
        <w:t>在国内和国际一级采取具体措施，作为促进弱势群体获得司法保护运动的一部分。</w:t>
      </w:r>
    </w:p>
    <w:p w:rsidR="00DA7251" w:rsidRDefault="00DA7251">
      <w:pPr>
        <w:pStyle w:val="SingleTxtGC"/>
        <w:rPr>
          <w:lang w:val="es-ES"/>
        </w:rPr>
      </w:pPr>
      <w:r>
        <w:rPr>
          <w:lang w:val="es-ES"/>
        </w:rPr>
        <w:t xml:space="preserve">90.  </w:t>
      </w:r>
      <w:r>
        <w:rPr>
          <w:rFonts w:hint="eastAsia"/>
        </w:rPr>
        <w:t>为关于《弱势群体获得司法保护的巴西利亚规则》讲习班和</w:t>
      </w:r>
      <w:r>
        <w:rPr>
          <w:rFonts w:hint="eastAsia"/>
          <w:lang w:val="es-ES"/>
        </w:rPr>
        <w:t>关于</w:t>
      </w:r>
      <w:r>
        <w:rPr>
          <w:rFonts w:hint="eastAsia"/>
        </w:rPr>
        <w:t>《受害者和证人保护圣地亚哥指南》讲习班制定了教学大纲，检察院培训中心于</w:t>
      </w:r>
      <w:r>
        <w:rPr>
          <w:rFonts w:hint="eastAsia"/>
        </w:rPr>
        <w:t>2008</w:t>
      </w:r>
      <w:r>
        <w:rPr>
          <w:rFonts w:hint="eastAsia"/>
        </w:rPr>
        <w:t>年</w:t>
      </w:r>
      <w:r>
        <w:rPr>
          <w:rFonts w:hint="eastAsia"/>
        </w:rPr>
        <w:t>10</w:t>
      </w:r>
      <w:r>
        <w:rPr>
          <w:rFonts w:hint="eastAsia"/>
        </w:rPr>
        <w:t>月和</w:t>
      </w:r>
      <w:r>
        <w:rPr>
          <w:rFonts w:hint="eastAsia"/>
        </w:rPr>
        <w:t>11</w:t>
      </w:r>
      <w:r>
        <w:rPr>
          <w:rFonts w:hint="eastAsia"/>
        </w:rPr>
        <w:t>月试点投入使用了该大纲。为宪法保障办公室和投诉办公室工作人员、儿童问题检察官和副检察官、刑事检察官等组织了三个讲习班。</w:t>
      </w:r>
    </w:p>
    <w:p w:rsidR="00DA7251" w:rsidRDefault="00DA7251">
      <w:pPr>
        <w:pStyle w:val="SingleTxtGC"/>
        <w:rPr>
          <w:lang w:val="es-ES"/>
        </w:rPr>
      </w:pPr>
      <w:r>
        <w:rPr>
          <w:lang w:val="es-ES"/>
        </w:rPr>
        <w:t xml:space="preserve">91.  </w:t>
      </w:r>
      <w:r>
        <w:rPr>
          <w:rFonts w:hint="eastAsia"/>
        </w:rPr>
        <w:t>在国际一级</w:t>
      </w:r>
      <w:r>
        <w:rPr>
          <w:rFonts w:hint="eastAsia"/>
          <w:lang w:val="es-ES"/>
        </w:rPr>
        <w:t>，</w:t>
      </w:r>
      <w:bookmarkStart w:id="7" w:name="OLE_LINK56"/>
      <w:r>
        <w:rPr>
          <w:rFonts w:hint="eastAsia"/>
        </w:rPr>
        <w:t>伊比利亚半岛</w:t>
      </w:r>
      <w:r>
        <w:rPr>
          <w:rFonts w:hint="eastAsia"/>
        </w:rPr>
        <w:t>-</w:t>
      </w:r>
      <w:bookmarkEnd w:id="7"/>
      <w:r>
        <w:rPr>
          <w:rFonts w:hint="eastAsia"/>
        </w:rPr>
        <w:t>美州检察院培训网络第七次会议</w:t>
      </w:r>
      <w:r>
        <w:t>于</w:t>
      </w:r>
      <w:smartTag w:uri="urn:schemas-microsoft-com:office:smarttags" w:element="chsdate">
        <w:smartTagPr>
          <w:attr w:name="Year" w:val="2008"/>
          <w:attr w:name="Month" w:val="11"/>
          <w:attr w:name="Day" w:val="4"/>
          <w:attr w:name="IsLunarDate" w:val="False"/>
          <w:attr w:name="IsROCDate" w:val="False"/>
        </w:smartTagPr>
        <w:r>
          <w:rPr>
            <w:lang w:val="es-ES"/>
          </w:rPr>
          <w:t>2008</w:t>
        </w:r>
        <w:r>
          <w:t>年</w:t>
        </w:r>
        <w:r>
          <w:rPr>
            <w:lang w:val="es-ES"/>
          </w:rPr>
          <w:t>11</w:t>
        </w:r>
        <w:r>
          <w:t>月</w:t>
        </w:r>
        <w:r>
          <w:rPr>
            <w:lang w:val="es-ES"/>
          </w:rPr>
          <w:t>4</w:t>
        </w:r>
        <w:r>
          <w:t>日</w:t>
        </w:r>
      </w:smartTag>
      <w:r>
        <w:t>至</w:t>
      </w:r>
      <w:r>
        <w:rPr>
          <w:lang w:val="es-ES"/>
        </w:rPr>
        <w:t>7</w:t>
      </w:r>
      <w:r>
        <w:t>日在亚松森召开</w:t>
      </w:r>
      <w:r>
        <w:rPr>
          <w:lang w:val="es-ES"/>
        </w:rPr>
        <w:t>，</w:t>
      </w:r>
      <w:r>
        <w:rPr>
          <w:rFonts w:hint="eastAsia"/>
          <w:lang w:val="es-ES"/>
        </w:rPr>
        <w:t>使</w:t>
      </w:r>
      <w:r>
        <w:t>培训中心</w:t>
      </w:r>
      <w:r>
        <w:rPr>
          <w:rFonts w:hint="eastAsia"/>
        </w:rPr>
        <w:t>有机会分享其经验和努力成果，让检察院内部了解</w:t>
      </w:r>
      <w:r>
        <w:t>《巴西利亚规则》</w:t>
      </w:r>
      <w:r>
        <w:rPr>
          <w:lang w:val="es-ES"/>
        </w:rPr>
        <w:t>，</w:t>
      </w:r>
      <w:r>
        <w:rPr>
          <w:rFonts w:hint="eastAsia"/>
        </w:rPr>
        <w:t>从而履行其</w:t>
      </w:r>
      <w:r>
        <w:t>于</w:t>
      </w:r>
      <w:r>
        <w:rPr>
          <w:lang w:val="es-ES"/>
        </w:rPr>
        <w:t>2007</w:t>
      </w:r>
      <w:r>
        <w:t>年做出</w:t>
      </w:r>
      <w:r>
        <w:rPr>
          <w:rFonts w:hint="eastAsia"/>
        </w:rPr>
        <w:t>使该规则制度化</w:t>
      </w:r>
      <w:r>
        <w:t>的承诺。</w:t>
      </w:r>
      <w:r>
        <w:rPr>
          <w:lang w:val="es-ES"/>
        </w:rPr>
        <w:t>2008</w:t>
      </w:r>
      <w:r>
        <w:t>年</w:t>
      </w:r>
      <w:r>
        <w:rPr>
          <w:lang w:val="es-ES"/>
        </w:rPr>
        <w:t>10</w:t>
      </w:r>
      <w:r>
        <w:t>月</w:t>
      </w:r>
      <w:r>
        <w:rPr>
          <w:rFonts w:hint="eastAsia"/>
          <w:lang w:val="es-ES"/>
        </w:rPr>
        <w:t>，</w:t>
      </w:r>
      <w:r>
        <w:rPr>
          <w:rFonts w:hint="eastAsia"/>
        </w:rPr>
        <w:t>培训中心向伊比利亚半岛</w:t>
      </w:r>
      <w:r>
        <w:rPr>
          <w:rFonts w:hint="eastAsia"/>
        </w:rPr>
        <w:t>-</w:t>
      </w:r>
      <w:r>
        <w:rPr>
          <w:rFonts w:hint="eastAsia"/>
        </w:rPr>
        <w:t>美洲检察院培训网络提交了一份落实单一、标准培训方案以了解《巴西利亚规则》的提案。</w:t>
      </w:r>
    </w:p>
    <w:p w:rsidR="00DA7251" w:rsidRDefault="00DA7251">
      <w:pPr>
        <w:pStyle w:val="SingleTxtGC"/>
        <w:rPr>
          <w:lang w:val="es-ES"/>
        </w:rPr>
      </w:pPr>
      <w:r>
        <w:rPr>
          <w:lang w:val="es-ES"/>
        </w:rPr>
        <w:t xml:space="preserve">92.  </w:t>
      </w:r>
      <w:r>
        <w:rPr>
          <w:rFonts w:hint="eastAsia"/>
        </w:rPr>
        <w:t>在伊比利亚半岛</w:t>
      </w:r>
      <w:r>
        <w:rPr>
          <w:rFonts w:hint="eastAsia"/>
          <w:spacing w:val="-50"/>
        </w:rPr>
        <w:t>―</w:t>
      </w:r>
      <w:r>
        <w:rPr>
          <w:rFonts w:hint="eastAsia"/>
        </w:rPr>
        <w:t>―美洲检察院培训网络会议上</w:t>
      </w:r>
      <w:r>
        <w:rPr>
          <w:rFonts w:hint="eastAsia"/>
          <w:lang w:val="es-ES"/>
        </w:rPr>
        <w:t>，</w:t>
      </w:r>
      <w:r>
        <w:rPr>
          <w:rFonts w:hint="eastAsia"/>
        </w:rPr>
        <w:t>培训中心使用西班牙语和手语进行报告</w:t>
      </w:r>
      <w:r>
        <w:rPr>
          <w:rFonts w:hint="eastAsia"/>
          <w:lang w:val="es-ES"/>
        </w:rPr>
        <w:t>，使</w:t>
      </w:r>
      <w:r>
        <w:rPr>
          <w:rFonts w:hint="eastAsia"/>
        </w:rPr>
        <w:t>该机构成为本次会议上使用手语翻译的第一个机构。</w:t>
      </w:r>
    </w:p>
    <w:p w:rsidR="00DA7251" w:rsidRDefault="00DA7251">
      <w:pPr>
        <w:pStyle w:val="SingleTxtGC"/>
        <w:rPr>
          <w:lang w:val="es-ES"/>
        </w:rPr>
      </w:pPr>
      <w:r>
        <w:rPr>
          <w:lang w:val="es-ES"/>
        </w:rPr>
        <w:t xml:space="preserve">93.  </w:t>
      </w:r>
      <w:r>
        <w:rPr>
          <w:rFonts w:hint="eastAsia"/>
          <w:lang w:val="es-ES"/>
        </w:rPr>
        <w:t>2008</w:t>
      </w:r>
      <w:r>
        <w:rPr>
          <w:rFonts w:hint="eastAsia"/>
          <w:lang w:val="es-ES"/>
        </w:rPr>
        <w:t>年策划和实施的其他新课程包括</w:t>
      </w:r>
      <w:r>
        <w:rPr>
          <w:rFonts w:hint="eastAsia"/>
        </w:rPr>
        <w:t>为了向聋人受害者提供初期援助而开设的基础手语课程。参加新课程的有宪法保障办公室和投诉办公室的工作人员、检察官、副检察官、青少年问题检察官、心理学家、社会工作者一级培训中心的教育工作者。为支持新课程，检察院培训中心和巴拉圭聋人协会共同编撰了一本司法用语手语基础参考指南。这本手册已在培训中使用，目前正在对其进行修订。</w:t>
      </w:r>
    </w:p>
    <w:p w:rsidR="00DA7251" w:rsidRDefault="00DA7251">
      <w:pPr>
        <w:pStyle w:val="H23GC"/>
        <w:rPr>
          <w:lang w:val="es-ES_tradnl"/>
        </w:rPr>
      </w:pPr>
      <w:r>
        <w:rPr>
          <w:rFonts w:hint="eastAsia"/>
          <w:lang w:val="es-ES_tradnl"/>
        </w:rPr>
        <w:tab/>
      </w:r>
      <w:r>
        <w:rPr>
          <w:lang w:val="es-ES_tradnl"/>
        </w:rPr>
        <w:tab/>
      </w:r>
      <w:r>
        <w:rPr>
          <w:b/>
          <w:lang w:val="es-ES_tradnl"/>
        </w:rPr>
        <w:t>2009</w:t>
      </w:r>
      <w:r>
        <w:rPr>
          <w:rFonts w:hint="eastAsia"/>
          <w:lang w:val="es-ES_tradnl"/>
        </w:rPr>
        <w:t>年</w:t>
      </w:r>
    </w:p>
    <w:p w:rsidR="00DA7251" w:rsidRDefault="00DA7251">
      <w:pPr>
        <w:pStyle w:val="SingleTxtGC"/>
        <w:rPr>
          <w:lang w:val="es-ES"/>
        </w:rPr>
      </w:pPr>
      <w:r>
        <w:rPr>
          <w:lang w:val="es-ES"/>
        </w:rPr>
        <w:t xml:space="preserve">94.  </w:t>
      </w:r>
      <w:r>
        <w:rPr>
          <w:rFonts w:hint="eastAsia"/>
          <w:lang w:val="es-ES"/>
        </w:rPr>
        <w:t>2009</w:t>
      </w:r>
      <w:r>
        <w:rPr>
          <w:rFonts w:hint="eastAsia"/>
          <w:lang w:val="es-ES"/>
        </w:rPr>
        <w:t>年，继续在亚松森和各省开办关于</w:t>
      </w:r>
      <w:r>
        <w:rPr>
          <w:rFonts w:hint="eastAsia"/>
        </w:rPr>
        <w:t>《弱势群体获得司法保护的巴西利亚规则》和《受害人和证人保护圣地亚哥指南》的讲习班。对检察院培训中心编制的教学大纲进行了更新</w:t>
      </w:r>
      <w:r>
        <w:rPr>
          <w:rFonts w:hint="eastAsia"/>
          <w:lang w:val="es-ES"/>
        </w:rPr>
        <w:t>，</w:t>
      </w:r>
      <w:r>
        <w:rPr>
          <w:rFonts w:hint="eastAsia"/>
        </w:rPr>
        <w:t>使其包括这些规则。</w:t>
      </w:r>
    </w:p>
    <w:p w:rsidR="00DA7251" w:rsidRDefault="00DA7251">
      <w:pPr>
        <w:pStyle w:val="SingleTxtGC"/>
        <w:rPr>
          <w:lang w:val="es-ES"/>
        </w:rPr>
      </w:pPr>
      <w:r>
        <w:rPr>
          <w:lang w:val="es-ES"/>
        </w:rPr>
        <w:t xml:space="preserve">95.  </w:t>
      </w:r>
      <w:r>
        <w:rPr>
          <w:rFonts w:hint="eastAsia"/>
        </w:rPr>
        <w:t>在开展检察院</w:t>
      </w:r>
      <w:r>
        <w:rPr>
          <w:rFonts w:hint="eastAsia"/>
          <w:lang w:val="es-ES"/>
        </w:rPr>
        <w:t>“</w:t>
      </w:r>
      <w:r>
        <w:rPr>
          <w:rFonts w:hint="eastAsia"/>
        </w:rPr>
        <w:t>消除暴力侵害妇女行为</w:t>
      </w:r>
      <w:r>
        <w:rPr>
          <w:rFonts w:hint="eastAsia"/>
          <w:lang w:val="es-ES"/>
        </w:rPr>
        <w:t>”</w:t>
      </w:r>
      <w:r>
        <w:rPr>
          <w:rStyle w:val="FootnoteReference"/>
        </w:rPr>
        <w:footnoteReference w:id="40"/>
      </w:r>
      <w:r>
        <w:rPr>
          <w:rStyle w:val="FootnoteReference"/>
          <w:vertAlign w:val="baseline"/>
        </w:rPr>
        <w:t xml:space="preserve"> </w:t>
      </w:r>
      <w:r>
        <w:rPr>
          <w:rFonts w:hint="eastAsia"/>
          <w:lang w:val="es-ES"/>
        </w:rPr>
        <w:t>运动</w:t>
      </w:r>
      <w:r>
        <w:rPr>
          <w:rFonts w:hint="eastAsia"/>
        </w:rPr>
        <w:t>时</w:t>
      </w:r>
      <w:r>
        <w:rPr>
          <w:rFonts w:hint="eastAsia"/>
          <w:lang w:val="es-ES"/>
        </w:rPr>
        <w:t>，</w:t>
      </w:r>
      <w:r>
        <w:rPr>
          <w:rFonts w:hint="eastAsia"/>
        </w:rPr>
        <w:t>张贴了宣传海报</w:t>
      </w:r>
      <w:r>
        <w:rPr>
          <w:rFonts w:hint="eastAsia"/>
          <w:lang w:val="es-ES"/>
        </w:rPr>
        <w:t>，</w:t>
      </w:r>
      <w:r>
        <w:rPr>
          <w:rFonts w:hint="eastAsia"/>
        </w:rPr>
        <w:t>并向参与课程者分发了资料。</w:t>
      </w:r>
    </w:p>
    <w:p w:rsidR="00DA7251" w:rsidRDefault="00DA7251">
      <w:pPr>
        <w:pStyle w:val="H23GC"/>
        <w:rPr>
          <w:lang w:val="es-ES_tradnl"/>
        </w:rPr>
      </w:pPr>
      <w:r>
        <w:rPr>
          <w:rFonts w:hint="eastAsia"/>
          <w:lang w:val="es-ES_tradnl"/>
        </w:rPr>
        <w:tab/>
      </w:r>
      <w:r>
        <w:rPr>
          <w:lang w:val="es-ES_tradnl"/>
        </w:rPr>
        <w:tab/>
      </w:r>
      <w:r>
        <w:rPr>
          <w:b/>
          <w:lang w:val="es-ES_tradnl"/>
        </w:rPr>
        <w:t>2010</w:t>
      </w:r>
      <w:r>
        <w:rPr>
          <w:rFonts w:hint="eastAsia"/>
          <w:lang w:val="es-ES_tradnl"/>
        </w:rPr>
        <w:t>年</w:t>
      </w:r>
    </w:p>
    <w:p w:rsidR="00DA7251" w:rsidRDefault="00DA7251">
      <w:pPr>
        <w:pStyle w:val="SingleTxtGC"/>
        <w:rPr>
          <w:lang w:val="es-ES"/>
        </w:rPr>
      </w:pPr>
      <w:r>
        <w:rPr>
          <w:lang w:val="es-ES"/>
        </w:rPr>
        <w:t xml:space="preserve">96.  </w:t>
      </w:r>
      <w:r>
        <w:rPr>
          <w:rFonts w:hint="eastAsia"/>
          <w:lang w:val="es-ES"/>
        </w:rPr>
        <w:t>2010</w:t>
      </w:r>
      <w:r>
        <w:rPr>
          <w:rFonts w:hint="eastAsia"/>
          <w:lang w:val="es-ES"/>
        </w:rPr>
        <w:t>年</w:t>
      </w:r>
      <w:r>
        <w:rPr>
          <w:rFonts w:hint="eastAsia"/>
        </w:rPr>
        <w:t>上半年</w:t>
      </w:r>
      <w:r>
        <w:rPr>
          <w:rFonts w:hint="eastAsia"/>
          <w:lang w:val="es-ES"/>
        </w:rPr>
        <w:t>，</w:t>
      </w:r>
      <w:r>
        <w:rPr>
          <w:rFonts w:hint="eastAsia"/>
        </w:rPr>
        <w:t>培训中心与公共事务秘书处融合局共同制作了一份有关残疾人在公共职能部门就业的简报。决定下一个联合倡议是</w:t>
      </w:r>
      <w:r>
        <w:rPr>
          <w:rFonts w:hint="eastAsia"/>
          <w:lang w:val="es-ES"/>
        </w:rPr>
        <w:t>面向机构不同部门教师、负责人和领导，举办关于包容性做法和不歧视</w:t>
      </w:r>
      <w:r>
        <w:rPr>
          <w:rFonts w:hint="eastAsia"/>
        </w:rPr>
        <w:t>公共职能部门中残疾人的讲习班。该讲习班于</w:t>
      </w:r>
      <w:smartTag w:uri="urn:schemas-microsoft-com:office:smarttags" w:element="chsdate">
        <w:smartTagPr>
          <w:attr w:name="Year" w:val="2010"/>
          <w:attr w:name="Month" w:val="6"/>
          <w:attr w:name="Day" w:val="3"/>
          <w:attr w:name="IsLunarDate" w:val="False"/>
          <w:attr w:name="IsROCDate" w:val="False"/>
        </w:smartTagPr>
        <w:r>
          <w:rPr>
            <w:lang w:val="es-ES"/>
          </w:rPr>
          <w:t>2010</w:t>
        </w:r>
        <w:r>
          <w:rPr>
            <w:rFonts w:hint="eastAsia"/>
          </w:rPr>
          <w:t>年</w:t>
        </w:r>
        <w:r>
          <w:t>6</w:t>
        </w:r>
        <w:r>
          <w:rPr>
            <w:rFonts w:hint="eastAsia"/>
          </w:rPr>
          <w:t>月</w:t>
        </w:r>
        <w:r>
          <w:rPr>
            <w:lang w:val="es-ES"/>
          </w:rPr>
          <w:t>3</w:t>
        </w:r>
        <w:r>
          <w:rPr>
            <w:rFonts w:hint="eastAsia"/>
          </w:rPr>
          <w:t>日</w:t>
        </w:r>
      </w:smartTag>
      <w:r>
        <w:rPr>
          <w:rFonts w:hint="eastAsia"/>
        </w:rPr>
        <w:t>开班。</w:t>
      </w:r>
    </w:p>
    <w:p w:rsidR="00DA7251" w:rsidRDefault="00DA7251">
      <w:pPr>
        <w:pStyle w:val="SingleTxtGC"/>
        <w:rPr>
          <w:lang w:val="es-ES"/>
        </w:rPr>
      </w:pPr>
      <w:r>
        <w:rPr>
          <w:lang w:val="es-ES"/>
        </w:rPr>
        <w:t xml:space="preserve">97.  </w:t>
      </w:r>
      <w:r>
        <w:rPr>
          <w:rFonts w:hint="eastAsia"/>
          <w:lang w:val="es-ES"/>
        </w:rPr>
        <w:t>展望未来，</w:t>
      </w:r>
      <w:r>
        <w:rPr>
          <w:rFonts w:hint="eastAsia"/>
        </w:rPr>
        <w:t>目标是在机构内建立一支专业团队</w:t>
      </w:r>
      <w:r>
        <w:rPr>
          <w:rFonts w:hint="eastAsia"/>
          <w:lang w:val="es-ES"/>
        </w:rPr>
        <w:t>，</w:t>
      </w:r>
      <w:r>
        <w:rPr>
          <w:rFonts w:hint="eastAsia"/>
        </w:rPr>
        <w:t>推动残疾人进入检察院工作</w:t>
      </w:r>
      <w:r>
        <w:rPr>
          <w:rFonts w:hint="eastAsia"/>
          <w:lang w:val="es-ES"/>
        </w:rPr>
        <w:t>。</w:t>
      </w:r>
      <w:r>
        <w:rPr>
          <w:rFonts w:hint="eastAsia"/>
        </w:rPr>
        <w:t>该团队将在公共事务秘书处融合局的指导下与人力资源局协作。此外</w:t>
      </w:r>
      <w:r>
        <w:rPr>
          <w:rFonts w:hint="eastAsia"/>
          <w:lang w:val="es-ES"/>
        </w:rPr>
        <w:t>，</w:t>
      </w:r>
      <w:r>
        <w:rPr>
          <w:rFonts w:hint="eastAsia"/>
        </w:rPr>
        <w:t>培训中心还打算就中心开展的各项活动用盲文来编写简报。同时</w:t>
      </w:r>
      <w:r>
        <w:rPr>
          <w:rFonts w:hint="eastAsia"/>
          <w:lang w:val="es-ES"/>
        </w:rPr>
        <w:t>，</w:t>
      </w:r>
      <w:r>
        <w:rPr>
          <w:rFonts w:hint="eastAsia"/>
        </w:rPr>
        <w:t>提供有关艾滋病毒</w:t>
      </w:r>
      <w:r>
        <w:rPr>
          <w:lang w:val="es-ES"/>
        </w:rPr>
        <w:t>/</w:t>
      </w:r>
      <w:r>
        <w:rPr>
          <w:rFonts w:hint="eastAsia"/>
        </w:rPr>
        <w:t>艾滋病和人权问题的培训。</w:t>
      </w:r>
    </w:p>
    <w:p w:rsidR="00DA7251" w:rsidRDefault="00DA7251">
      <w:pPr>
        <w:pStyle w:val="SingleTxtGC"/>
        <w:rPr>
          <w:lang w:val="es-ES"/>
        </w:rPr>
      </w:pPr>
      <w:r>
        <w:rPr>
          <w:lang w:val="es-ES"/>
        </w:rPr>
        <w:t xml:space="preserve">98.  </w:t>
      </w:r>
      <w:r>
        <w:rPr>
          <w:rFonts w:hint="eastAsia"/>
          <w:lang w:val="es-ES"/>
        </w:rPr>
        <w:t>根据</w:t>
      </w:r>
      <w:r>
        <w:rPr>
          <w:rFonts w:hint="eastAsia"/>
        </w:rPr>
        <w:t>《宪法》下的国内法令设立了监察员职位，作为“一名议会专员，其职责包括维护人权，受理公众成员的投诉以及保护社会利益”。监察员的职责和权力包括</w:t>
      </w:r>
      <w:r>
        <w:rPr>
          <w:rFonts w:hint="eastAsia"/>
          <w:lang w:val="es-ES"/>
        </w:rPr>
        <w:t>，“</w:t>
      </w:r>
      <w:r>
        <w:rPr>
          <w:rFonts w:hint="eastAsia"/>
        </w:rPr>
        <w:t>向检察院报告公职人员及个人的侵犯人权行为</w:t>
      </w:r>
      <w:r>
        <w:rPr>
          <w:rFonts w:hint="eastAsia"/>
          <w:lang w:val="es-ES"/>
        </w:rPr>
        <w:t>；</w:t>
      </w:r>
      <w:r>
        <w:rPr>
          <w:rFonts w:hint="eastAsia"/>
        </w:rPr>
        <w:t>在不损害个人可援引法律的前提下</w:t>
      </w:r>
      <w:r>
        <w:rPr>
          <w:rFonts w:hint="eastAsia"/>
          <w:lang w:val="es-ES"/>
        </w:rPr>
        <w:t>，</w:t>
      </w:r>
      <w:r>
        <w:rPr>
          <w:rFonts w:hint="eastAsia"/>
        </w:rPr>
        <w:t>提出人身保护令并请求保护</w:t>
      </w:r>
      <w:r>
        <w:rPr>
          <w:rFonts w:hint="eastAsia"/>
          <w:lang w:val="es-ES"/>
        </w:rPr>
        <w:t>；</w:t>
      </w:r>
      <w:r>
        <w:rPr>
          <w:rFonts w:hint="eastAsia"/>
        </w:rPr>
        <w:t>正式或根据当事人的请求实施保护人权行为。”《宪法》</w:t>
      </w:r>
      <w:r>
        <w:t>第</w:t>
      </w:r>
      <w:r>
        <w:rPr>
          <w:rFonts w:hint="eastAsia"/>
        </w:rPr>
        <w:t>279</w:t>
      </w:r>
      <w:r>
        <w:t>条第</w:t>
      </w:r>
      <w:r>
        <w:t>1</w:t>
      </w:r>
      <w:r>
        <w:t>款</w:t>
      </w:r>
      <w:r>
        <w:rPr>
          <w:rFonts w:hint="eastAsia"/>
        </w:rPr>
        <w:t>还</w:t>
      </w:r>
      <w:r>
        <w:t>规</w:t>
      </w:r>
      <w:r>
        <w:rPr>
          <w:rFonts w:hint="eastAsia"/>
        </w:rPr>
        <w:t>定：“监察员应接受和调查《宪法》、国际条约和国内立法承认的侵犯各种人权的举报、投诉和控诉”，包括公职人员实施的此类侵犯人权行为。</w:t>
      </w:r>
    </w:p>
    <w:p w:rsidR="00DA7251" w:rsidRDefault="00DA7251">
      <w:pPr>
        <w:pStyle w:val="SingleTxtGC"/>
        <w:rPr>
          <w:lang w:val="es-ES"/>
        </w:rPr>
      </w:pPr>
      <w:r>
        <w:rPr>
          <w:lang w:val="es-ES"/>
        </w:rPr>
        <w:t xml:space="preserve">99.  </w:t>
      </w:r>
      <w:r>
        <w:rPr>
          <w:rFonts w:hint="eastAsia"/>
        </w:rPr>
        <w:t>监察员不得出任律师，监察员无权提起诉讼，这样做是违反其授权范围的。相反，其主要职责是通过对私人律师或公设辩护人提起的诉讼进行监督，推进宪法的各项保障措施，维护包括残疾人在内的所有人的权利。</w:t>
      </w:r>
    </w:p>
    <w:p w:rsidR="00DA7251" w:rsidRDefault="00DA7251">
      <w:pPr>
        <w:pStyle w:val="SingleTxtGC"/>
        <w:rPr>
          <w:lang w:val="es-ES"/>
        </w:rPr>
      </w:pPr>
      <w:r>
        <w:rPr>
          <w:lang w:val="es-ES"/>
        </w:rPr>
        <w:t xml:space="preserve">100.  </w:t>
      </w:r>
      <w:r>
        <w:rPr>
          <w:rFonts w:hint="eastAsia"/>
        </w:rPr>
        <w:t>在残疾人权利方面</w:t>
      </w:r>
      <w:r>
        <w:rPr>
          <w:rFonts w:hint="eastAsia"/>
          <w:lang w:val="es-ES"/>
        </w:rPr>
        <w:t>，</w:t>
      </w:r>
      <w:r>
        <w:rPr>
          <w:rFonts w:hint="eastAsia"/>
        </w:rPr>
        <w:t>监察员办公室定期举办向所有人开放的研讨会和讲习班。为此</w:t>
      </w:r>
      <w:r>
        <w:rPr>
          <w:rFonts w:hint="eastAsia"/>
          <w:lang w:val="es-ES"/>
        </w:rPr>
        <w:t>，</w:t>
      </w:r>
      <w:r>
        <w:rPr>
          <w:rFonts w:hint="eastAsia"/>
        </w:rPr>
        <w:t>监察员办公室与一个专注于制定残疾人融合政策的基金会签订了一项协议。通过该协议</w:t>
      </w:r>
      <w:r>
        <w:rPr>
          <w:rFonts w:hint="eastAsia"/>
          <w:lang w:val="es-ES"/>
        </w:rPr>
        <w:t>，</w:t>
      </w:r>
      <w:r>
        <w:rPr>
          <w:rFonts w:hint="eastAsia"/>
        </w:rPr>
        <w:t>该机构能够对监察员办公室的负责人进行培训，以充当主要联络中心，肩负促进和维护人权的广泛职责。由于反歧视行动部已经投入运作，监察员办公室与不同机构和促进残疾人权利国家协调办公室等联盟建立了伙伴关系。</w:t>
      </w:r>
    </w:p>
    <w:p w:rsidR="00DA7251" w:rsidRDefault="00DA7251">
      <w:pPr>
        <w:pStyle w:val="SingleTxtGC"/>
        <w:rPr>
          <w:lang w:val="es-ES"/>
        </w:rPr>
      </w:pPr>
      <w:r>
        <w:rPr>
          <w:lang w:val="es-ES"/>
        </w:rPr>
        <w:t xml:space="preserve">101.  </w:t>
      </w:r>
      <w:r>
        <w:rPr>
          <w:rFonts w:hint="eastAsia"/>
        </w:rPr>
        <w:t>虽然监察员办公室针对普通民众开设了课程</w:t>
      </w:r>
      <w:r>
        <w:rPr>
          <w:rFonts w:hint="eastAsia"/>
          <w:lang w:val="es-ES"/>
        </w:rPr>
        <w:t>，但</w:t>
      </w:r>
      <w:r>
        <w:rPr>
          <w:rFonts w:hint="eastAsia"/>
        </w:rPr>
        <w:t>这些课程的重点培训对象是司法机关和监狱工作人员。监察员办公室仅在其提供的方案下部分谈到了其实问题，虽然针对具体群体开展了对话。</w:t>
      </w:r>
    </w:p>
    <w:p w:rsidR="00DA7251" w:rsidRDefault="00DA7251">
      <w:pPr>
        <w:pStyle w:val="SingleTxtGC"/>
        <w:rPr>
          <w:lang w:val="es-ES"/>
        </w:rPr>
      </w:pPr>
      <w:r>
        <w:rPr>
          <w:lang w:val="es-ES"/>
        </w:rPr>
        <w:t xml:space="preserve">102.  </w:t>
      </w:r>
      <w:r>
        <w:rPr>
          <w:rFonts w:hint="eastAsia"/>
        </w:rPr>
        <w:t>遗憾的是</w:t>
      </w:r>
      <w:r>
        <w:rPr>
          <w:rFonts w:hint="eastAsia"/>
          <w:lang w:val="es-ES"/>
        </w:rPr>
        <w:t>，</w:t>
      </w:r>
      <w:r>
        <w:rPr>
          <w:rFonts w:hint="eastAsia"/>
        </w:rPr>
        <w:t>巴拉圭尚未制定囊括所有歧视相关问题的综合方案。不过，针对具体人群的关于倡议的许多得到监察员办公室批准项目、方案和行动计划都包含了残疾人问题，目的是减轻受益人的脆弱性。该办公室与监狱总长共同对被剥夺自由者的卷宗进行了审查，从而为随后的司法程序监督做准备，如果是已判罪的囚犯，酌情办理假释申请。这些审查不会因当事人是否残疾而区别对待；监察员办公室迄今从未收到残疾人提交的正当程序审查申请。</w:t>
      </w:r>
    </w:p>
    <w:p w:rsidR="00DA7251" w:rsidRDefault="00DA7251">
      <w:pPr>
        <w:pStyle w:val="SingleTxtGC"/>
        <w:rPr>
          <w:lang w:val="es-ES"/>
        </w:rPr>
      </w:pPr>
      <w:r>
        <w:rPr>
          <w:lang w:val="es-ES"/>
        </w:rPr>
        <w:t xml:space="preserve">103.  </w:t>
      </w:r>
      <w:r>
        <w:rPr>
          <w:rFonts w:hint="eastAsia"/>
          <w:lang w:val="es-ES"/>
        </w:rPr>
        <w:t>为确保提供合理便利，</w:t>
      </w:r>
      <w:r>
        <w:rPr>
          <w:rFonts w:hint="eastAsia"/>
        </w:rPr>
        <w:t>监察员办公室已采取各种措施，包括</w:t>
      </w:r>
      <w:r>
        <w:rPr>
          <w:rFonts w:hint="eastAsia"/>
          <w:lang w:val="es-ES"/>
        </w:rPr>
        <w:t>法律程序中的程序便利，允许残疾人有效参与，包括</w:t>
      </w:r>
      <w:r>
        <w:rPr>
          <w:rFonts w:hint="eastAsia"/>
        </w:rPr>
        <w:t>与一个致力于提高残疾人生活质量的基金会签订了一项协议。这个项目由反歧视行动部实施，已开展了大量新举措。</w:t>
      </w:r>
    </w:p>
    <w:p w:rsidR="00DA7251" w:rsidRDefault="00DA7251">
      <w:pPr>
        <w:pStyle w:val="SingleTxtGC"/>
        <w:rPr>
          <w:lang w:val="es-ES"/>
        </w:rPr>
      </w:pPr>
      <w:r>
        <w:rPr>
          <w:lang w:val="es-ES"/>
        </w:rPr>
        <w:t xml:space="preserve">104.  </w:t>
      </w:r>
      <w:r>
        <w:rPr>
          <w:rFonts w:hint="eastAsia"/>
        </w:rPr>
        <w:t>这些举措包括分析当前无障碍领域存在的不足，并开展后续研究，以确定建筑物等的补救措施。该活动建议由建筑专业人员进行调查研究，启动必要的建筑物改造程序，以实现必须的无障碍通行。由于上述基金会的资助，改造过程目前正在进行之中。</w:t>
      </w:r>
    </w:p>
    <w:p w:rsidR="00DA7251" w:rsidRDefault="00DA7251">
      <w:pPr>
        <w:pStyle w:val="SingleTxtGC"/>
        <w:rPr>
          <w:lang w:val="es-ES"/>
        </w:rPr>
      </w:pPr>
      <w:r>
        <w:rPr>
          <w:lang w:val="es-ES"/>
        </w:rPr>
        <w:t xml:space="preserve">105.  </w:t>
      </w:r>
      <w:r>
        <w:rPr>
          <w:rFonts w:hint="eastAsia"/>
          <w:lang w:val="es-ES"/>
        </w:rPr>
        <w:t>预算紧张使监察员办公室难以实施促进残疾人人权的其他许多项目，</w:t>
      </w:r>
      <w:r>
        <w:rPr>
          <w:rFonts w:hint="eastAsia"/>
        </w:rPr>
        <w:t>虽然监察员办公室努力签订合作协议，以期消除这个阻碍。</w:t>
      </w:r>
    </w:p>
    <w:p w:rsidR="00DA7251" w:rsidRDefault="00DA7251">
      <w:pPr>
        <w:pStyle w:val="SingleTxtGC"/>
        <w:rPr>
          <w:lang w:val="es-ES"/>
        </w:rPr>
      </w:pPr>
      <w:r>
        <w:rPr>
          <w:lang w:val="es-ES"/>
        </w:rPr>
        <w:t xml:space="preserve">106.  </w:t>
      </w:r>
      <w:r>
        <w:rPr>
          <w:rFonts w:hint="eastAsia"/>
        </w:rPr>
        <w:t>监察员办公室有专门的儿童和青少年部和大量其他部门，包括反歧视行动部</w:t>
      </w:r>
      <w:r>
        <w:rPr>
          <w:rFonts w:hint="eastAsia"/>
          <w:lang w:val="es-ES"/>
        </w:rPr>
        <w:t>，它们</w:t>
      </w:r>
      <w:r>
        <w:rPr>
          <w:rFonts w:hint="eastAsia"/>
        </w:rPr>
        <w:t>还参与制定关于有效融入就业的政策，这项政策将消除障碍，履行经《第</w:t>
      </w:r>
      <w:r>
        <w:t>3585/08</w:t>
      </w:r>
      <w:r>
        <w:rPr>
          <w:rFonts w:hint="eastAsia"/>
        </w:rPr>
        <w:t>号法案》修订的关于公共机构聘用残疾人义务的《第</w:t>
      </w:r>
      <w:r>
        <w:t>2479/04</w:t>
      </w:r>
      <w:r>
        <w:rPr>
          <w:rFonts w:hint="eastAsia"/>
        </w:rPr>
        <w:t>号法案》。</w:t>
      </w:r>
    </w:p>
    <w:p w:rsidR="00DA7251" w:rsidRDefault="00DA7251">
      <w:pPr>
        <w:pStyle w:val="H1GC"/>
        <w:rPr>
          <w:lang w:val="es-ES_tradnl"/>
        </w:rPr>
      </w:pPr>
      <w:r>
        <w:rPr>
          <w:rFonts w:hint="eastAsia"/>
          <w:lang w:val="es-ES_tradnl"/>
        </w:rPr>
        <w:tab/>
      </w:r>
      <w:r>
        <w:rPr>
          <w:lang w:val="es-ES_tradnl"/>
        </w:rPr>
        <w:t>H.</w:t>
      </w:r>
      <w:r>
        <w:rPr>
          <w:lang w:val="es-ES_tradnl"/>
        </w:rPr>
        <w:tab/>
      </w:r>
      <w:r>
        <w:rPr>
          <w:rFonts w:hint="eastAsia"/>
          <w:lang w:val="es-ES_tradnl"/>
        </w:rPr>
        <w:t>第十四条：自由和人身安全</w:t>
      </w:r>
    </w:p>
    <w:p w:rsidR="00DA7251" w:rsidRDefault="00DA7251">
      <w:pPr>
        <w:pStyle w:val="SingleTxtGC"/>
        <w:rPr>
          <w:lang w:val="es-ES"/>
        </w:rPr>
      </w:pPr>
      <w:r>
        <w:rPr>
          <w:lang w:val="es-ES"/>
        </w:rPr>
        <w:t xml:space="preserve">107.  </w:t>
      </w:r>
      <w:r>
        <w:rPr>
          <w:rFonts w:hint="eastAsia"/>
        </w:rPr>
        <w:t>关于国家采取措施，</w:t>
      </w:r>
      <w:r>
        <w:rPr>
          <w:rFonts w:hint="eastAsia"/>
          <w:lang w:val="en"/>
        </w:rPr>
        <w:t>确保所有残疾人均享有自由权，且不得因残疾剥夺任何人的自由，全部国家法律框架，《宪法》、《刑法典》和《刑事诉讼法》保障所有人平等，奠定了保障享有自由和安全以及防止因残疾被剥夺自由的法律基础。</w:t>
      </w:r>
    </w:p>
    <w:p w:rsidR="00DA7251" w:rsidRDefault="00DA7251">
      <w:pPr>
        <w:pStyle w:val="SingleTxtGC"/>
        <w:rPr>
          <w:lang w:val="es-ES"/>
        </w:rPr>
      </w:pPr>
      <w:r>
        <w:rPr>
          <w:lang w:val="es-ES"/>
        </w:rPr>
        <w:t xml:space="preserve">108.  </w:t>
      </w:r>
      <w:r>
        <w:rPr>
          <w:rFonts w:hint="eastAsia"/>
          <w:lang w:val="es-ES"/>
        </w:rPr>
        <w:t>如果不存在此种法律基础，任何法庭不得承认仅因某种残疾而剥夺当事人自由的案件，并且提起的任何诉讼将宣布无效</w:t>
      </w:r>
      <w:r>
        <w:rPr>
          <w:rFonts w:hint="eastAsia"/>
        </w:rPr>
        <w:t>。</w:t>
      </w:r>
    </w:p>
    <w:p w:rsidR="00DA7251" w:rsidRDefault="00DA7251">
      <w:pPr>
        <w:pStyle w:val="SingleTxtGC"/>
        <w:rPr>
          <w:lang w:val="es-ES"/>
        </w:rPr>
      </w:pPr>
      <w:r>
        <w:rPr>
          <w:lang w:val="es-ES"/>
        </w:rPr>
        <w:t xml:space="preserve">109.  </w:t>
      </w:r>
      <w:r>
        <w:rPr>
          <w:rFonts w:hint="eastAsia"/>
        </w:rPr>
        <w:t>残疾人不得因某种残疾而被监禁或被剥夺自由。这种剥夺自由的做法是非法的。但是</w:t>
      </w:r>
      <w:r>
        <w:rPr>
          <w:rFonts w:hint="eastAsia"/>
          <w:lang w:val="es-ES"/>
        </w:rPr>
        <w:t>，</w:t>
      </w:r>
      <w:r>
        <w:rPr>
          <w:rFonts w:hint="eastAsia"/>
        </w:rPr>
        <w:t>残疾人犯罪必须进入教养所或监狱服刑则是另一种情况。这依据的是《残疾人权利公约》第</w:t>
      </w:r>
      <w:r>
        <w:rPr>
          <w:rFonts w:hint="eastAsia"/>
          <w:lang w:val="es-ES_tradnl"/>
        </w:rPr>
        <w:t>十四</w:t>
      </w:r>
      <w:r>
        <w:rPr>
          <w:rFonts w:hint="eastAsia"/>
        </w:rPr>
        <w:t>条第</w:t>
      </w:r>
      <w:r>
        <w:rPr>
          <w:lang w:val="es-ES_tradnl"/>
        </w:rPr>
        <w:t>1</w:t>
      </w:r>
      <w:r>
        <w:rPr>
          <w:rFonts w:hint="eastAsia"/>
          <w:lang w:val="es-ES_tradnl"/>
        </w:rPr>
        <w:t>(</w:t>
      </w:r>
      <w:r>
        <w:rPr>
          <w:lang w:val="es-ES_tradnl"/>
        </w:rPr>
        <w:t>b</w:t>
      </w:r>
      <w:r>
        <w:rPr>
          <w:rFonts w:hint="eastAsia"/>
          <w:lang w:val="es-ES_tradnl"/>
        </w:rPr>
        <w:t>)</w:t>
      </w:r>
      <w:r>
        <w:rPr>
          <w:rFonts w:hint="eastAsia"/>
        </w:rPr>
        <w:t>款</w:t>
      </w:r>
      <w:r>
        <w:t>和第</w:t>
      </w:r>
      <w:r>
        <w:rPr>
          <w:lang w:val="es-ES_tradnl"/>
        </w:rPr>
        <w:t>2</w:t>
      </w:r>
      <w:r>
        <w:rPr>
          <w:rFonts w:hint="eastAsia"/>
          <w:lang w:val="es-ES_tradnl"/>
        </w:rPr>
        <w:t>款</w:t>
      </w:r>
      <w:r>
        <w:rPr>
          <w:rFonts w:hint="eastAsia"/>
        </w:rPr>
        <w:t>。</w:t>
      </w:r>
    </w:p>
    <w:p w:rsidR="00DA7251" w:rsidRDefault="00DA7251">
      <w:pPr>
        <w:pStyle w:val="SingleTxtGC"/>
        <w:rPr>
          <w:lang w:val="es-ES"/>
        </w:rPr>
      </w:pPr>
      <w:r>
        <w:rPr>
          <w:lang w:val="es-ES"/>
        </w:rPr>
        <w:t xml:space="preserve">110.  </w:t>
      </w:r>
      <w:r>
        <w:rPr>
          <w:rFonts w:hint="eastAsia"/>
        </w:rPr>
        <w:t>在巴拉圭</w:t>
      </w:r>
      <w:r>
        <w:rPr>
          <w:rFonts w:hint="eastAsia"/>
          <w:lang w:val="es-ES"/>
        </w:rPr>
        <w:t>，</w:t>
      </w:r>
      <w:r>
        <w:rPr>
          <w:rFonts w:hint="eastAsia"/>
        </w:rPr>
        <w:t>目前没有任何立法允许仅以残疾为理由监禁、拘留残疾人或剥夺残疾人的自由。但是</w:t>
      </w:r>
      <w:r>
        <w:rPr>
          <w:rFonts w:hint="eastAsia"/>
          <w:lang w:val="es-ES"/>
        </w:rPr>
        <w:t>，</w:t>
      </w:r>
      <w:r>
        <w:rPr>
          <w:rFonts w:hint="eastAsia"/>
        </w:rPr>
        <w:t>存在这样的情况</w:t>
      </w:r>
      <w:r>
        <w:rPr>
          <w:rFonts w:hint="eastAsia"/>
          <w:lang w:val="es-ES"/>
        </w:rPr>
        <w:t>：</w:t>
      </w:r>
      <w:r>
        <w:rPr>
          <w:rFonts w:hint="eastAsia"/>
        </w:rPr>
        <w:t>残疾人被认定犯下应被惩罚的罪行而被追究法律责任，必须被送往监狱服刑。</w:t>
      </w:r>
    </w:p>
    <w:p w:rsidR="00DA7251" w:rsidRDefault="00DA7251">
      <w:pPr>
        <w:pStyle w:val="SingleTxtGC"/>
        <w:rPr>
          <w:lang w:val="es-ES"/>
        </w:rPr>
      </w:pPr>
      <w:r>
        <w:rPr>
          <w:lang w:val="es-ES"/>
        </w:rPr>
        <w:t xml:space="preserve">111.  </w:t>
      </w:r>
      <w:r>
        <w:rPr>
          <w:rFonts w:hint="eastAsia"/>
        </w:rPr>
        <w:t>在这一点上</w:t>
      </w:r>
      <w:r>
        <w:rPr>
          <w:rFonts w:hint="eastAsia"/>
          <w:lang w:val="es-ES"/>
        </w:rPr>
        <w:t>，</w:t>
      </w:r>
      <w:r>
        <w:rPr>
          <w:rFonts w:hint="eastAsia"/>
        </w:rPr>
        <w:t>要提一下最高法院的第</w:t>
      </w:r>
      <w:r>
        <w:rPr>
          <w:lang w:val="es-ES"/>
        </w:rPr>
        <w:t>60/97</w:t>
      </w:r>
      <w:r>
        <w:rPr>
          <w:rFonts w:hint="eastAsia"/>
        </w:rPr>
        <w:t>号和第</w:t>
      </w:r>
      <w:r>
        <w:rPr>
          <w:lang w:val="es-ES"/>
        </w:rPr>
        <w:t>182/00</w:t>
      </w:r>
      <w:r>
        <w:rPr>
          <w:rFonts w:hint="eastAsia"/>
        </w:rPr>
        <w:t>号裁决，</w:t>
      </w:r>
      <w:r>
        <w:rPr>
          <w:rStyle w:val="FootnoteReference"/>
        </w:rPr>
        <w:footnoteReference w:id="41"/>
      </w:r>
      <w:r>
        <w:rPr>
          <w:rStyle w:val="FootnoteReference"/>
          <w:vertAlign w:val="baseline"/>
        </w:rPr>
        <w:t xml:space="preserve"> </w:t>
      </w:r>
      <w:r>
        <w:rPr>
          <w:rFonts w:hint="eastAsia"/>
        </w:rPr>
        <w:t>这两个裁决涉及对精神障碍残疾人</w:t>
      </w:r>
      <w:r>
        <w:rPr>
          <w:rStyle w:val="FootnoteReference"/>
        </w:rPr>
        <w:footnoteReference w:id="42"/>
      </w:r>
      <w:r>
        <w:rPr>
          <w:rStyle w:val="FootnoteReference"/>
          <w:vertAlign w:val="baseline"/>
        </w:rPr>
        <w:t xml:space="preserve"> </w:t>
      </w:r>
      <w:r>
        <w:rPr>
          <w:rFonts w:hint="eastAsia"/>
        </w:rPr>
        <w:t>实施预防性拘押或监禁的情况。这两个裁决规定，刑事法院的法官“在处理精神病人的预防性拘押或监禁案件时，应下令将精神病人拘押在专门为他们设计的监禁场所内”。还规定：“在这类专用监禁场所建成之前，法官应下令将精神病人转移到塔孔布国家监狱中的精神病人专用牢房中。</w:t>
      </w:r>
      <w:r>
        <w:rPr>
          <w:rFonts w:hint="eastAsia"/>
          <w:lang w:val="es-ES_tradnl"/>
        </w:rPr>
        <w:t>”</w:t>
      </w:r>
    </w:p>
    <w:p w:rsidR="00DA7251" w:rsidRDefault="00DA7251">
      <w:pPr>
        <w:pStyle w:val="H1GC"/>
        <w:rPr>
          <w:lang w:val="es-ES_tradnl"/>
        </w:rPr>
      </w:pPr>
      <w:r>
        <w:rPr>
          <w:rFonts w:hint="eastAsia"/>
          <w:lang w:val="es-ES_tradnl"/>
        </w:rPr>
        <w:tab/>
      </w:r>
      <w:r>
        <w:rPr>
          <w:lang w:val="es-ES_tradnl"/>
        </w:rPr>
        <w:t>I.</w:t>
      </w:r>
      <w:r>
        <w:rPr>
          <w:lang w:val="es-ES_tradnl"/>
        </w:rPr>
        <w:tab/>
      </w:r>
      <w:r>
        <w:rPr>
          <w:rFonts w:hint="eastAsia"/>
          <w:lang w:val="es-ES_tradnl"/>
        </w:rPr>
        <w:t>第十五条：免于酷刑和其他残忍、不人道或有辱人格待遇或处罚</w:t>
      </w:r>
    </w:p>
    <w:p w:rsidR="00DA7251" w:rsidRDefault="00DA7251">
      <w:pPr>
        <w:pStyle w:val="SingleTxtGC"/>
        <w:rPr>
          <w:lang w:val="es-ES"/>
        </w:rPr>
      </w:pPr>
      <w:r>
        <w:rPr>
          <w:lang w:val="es-ES"/>
        </w:rPr>
        <w:t xml:space="preserve">112.  </w:t>
      </w:r>
      <w:r>
        <w:rPr>
          <w:rFonts w:hint="eastAsia"/>
        </w:rPr>
        <w:t>巴拉圭采取的各种保护措施包括立法措施</w:t>
      </w:r>
      <w:r>
        <w:rPr>
          <w:rFonts w:hint="eastAsia"/>
          <w:lang w:val="es-ES"/>
        </w:rPr>
        <w:t>，</w:t>
      </w:r>
      <w:r>
        <w:rPr>
          <w:rFonts w:hint="eastAsia"/>
        </w:rPr>
        <w:t>即</w:t>
      </w:r>
      <w:r>
        <w:rPr>
          <w:rFonts w:hint="eastAsia"/>
          <w:lang w:val="es-ES"/>
        </w:rPr>
        <w:t>：</w:t>
      </w:r>
      <w:r>
        <w:rPr>
          <w:rFonts w:hint="eastAsia"/>
        </w:rPr>
        <w:t>批准通过了《残疾人权利公约》及其《任择议定书》。</w:t>
      </w:r>
    </w:p>
    <w:p w:rsidR="00DA7251" w:rsidRDefault="00DA7251">
      <w:pPr>
        <w:pStyle w:val="SingleTxtGC"/>
        <w:rPr>
          <w:lang w:val="es-ES"/>
        </w:rPr>
      </w:pPr>
      <w:r>
        <w:rPr>
          <w:lang w:val="es-ES"/>
        </w:rPr>
        <w:t xml:space="preserve">113.  </w:t>
      </w:r>
      <w:r>
        <w:rPr>
          <w:rFonts w:hint="eastAsia"/>
        </w:rPr>
        <w:t>残疾人权利的一个根本原则是他们的人权具有普遍性，因为这些权利是所有人类的权利。</w:t>
      </w:r>
    </w:p>
    <w:p w:rsidR="00DA7251" w:rsidRDefault="00DA7251">
      <w:pPr>
        <w:pStyle w:val="SingleTxtGC"/>
        <w:rPr>
          <w:lang w:val="es-ES"/>
        </w:rPr>
      </w:pPr>
      <w:r>
        <w:rPr>
          <w:lang w:val="es-ES"/>
        </w:rPr>
        <w:t xml:space="preserve">114.  </w:t>
      </w:r>
      <w:r>
        <w:rPr>
          <w:rFonts w:hint="eastAsia"/>
        </w:rPr>
        <w:t>残疾人应该和社会上其他人一样</w:t>
      </w:r>
      <w:r>
        <w:rPr>
          <w:rFonts w:hint="eastAsia"/>
          <w:lang w:val="es-ES"/>
        </w:rPr>
        <w:t>，</w:t>
      </w:r>
      <w:r>
        <w:rPr>
          <w:rFonts w:hint="eastAsia"/>
        </w:rPr>
        <w:t>在没有任何歧视</w:t>
      </w:r>
      <w:r>
        <w:rPr>
          <w:rFonts w:hint="eastAsia"/>
          <w:lang w:val="es-ES"/>
        </w:rPr>
        <w:t>(</w:t>
      </w:r>
      <w:r>
        <w:rPr>
          <w:rFonts w:hint="eastAsia"/>
        </w:rPr>
        <w:t>不包含所谓</w:t>
      </w:r>
      <w:r>
        <w:rPr>
          <w:rFonts w:hint="eastAsia"/>
          <w:lang w:val="es-ES"/>
        </w:rPr>
        <w:t>“</w:t>
      </w:r>
      <w:r>
        <w:rPr>
          <w:rFonts w:hint="eastAsia"/>
        </w:rPr>
        <w:t>积极歧视</w:t>
      </w:r>
      <w:r>
        <w:rPr>
          <w:rFonts w:hint="eastAsia"/>
          <w:lang w:val="es-ES"/>
        </w:rPr>
        <w:t>”</w:t>
      </w:r>
      <w:r>
        <w:rPr>
          <w:rFonts w:hint="eastAsia"/>
          <w:lang w:val="es-ES"/>
        </w:rPr>
        <w:t>)</w:t>
      </w:r>
      <w:r>
        <w:rPr>
          <w:rFonts w:hint="eastAsia"/>
        </w:rPr>
        <w:t>的情况下</w:t>
      </w:r>
      <w:r>
        <w:rPr>
          <w:rFonts w:hint="eastAsia"/>
          <w:lang w:val="es-ES"/>
        </w:rPr>
        <w:t>，</w:t>
      </w:r>
      <w:r>
        <w:rPr>
          <w:rFonts w:hint="eastAsia"/>
        </w:rPr>
        <w:t>平等地享受人权和基本自由。同时</w:t>
      </w:r>
      <w:r>
        <w:rPr>
          <w:rFonts w:hint="eastAsia"/>
          <w:lang w:val="es-ES"/>
        </w:rPr>
        <w:t>，</w:t>
      </w:r>
      <w:r>
        <w:rPr>
          <w:rFonts w:hint="eastAsia"/>
        </w:rPr>
        <w:t>残疾人还应享受与他们的残疾状况相关的一些特别权利。</w:t>
      </w:r>
    </w:p>
    <w:p w:rsidR="00DA7251" w:rsidRDefault="00DA7251">
      <w:pPr>
        <w:pStyle w:val="SingleTxtGC"/>
        <w:rPr>
          <w:lang w:val="es-ES"/>
        </w:rPr>
      </w:pPr>
      <w:r>
        <w:rPr>
          <w:lang w:val="es-ES"/>
        </w:rPr>
        <w:t xml:space="preserve">115.  </w:t>
      </w:r>
      <w:r>
        <w:rPr>
          <w:rFonts w:hint="eastAsia"/>
        </w:rPr>
        <w:t>残疾人的人权包括下列不可分割、相互依存和关联的权利</w:t>
      </w:r>
      <w:r>
        <w:rPr>
          <w:rFonts w:hint="eastAsia"/>
          <w:lang w:val="es-ES"/>
        </w:rPr>
        <w:t>：</w:t>
      </w:r>
    </w:p>
    <w:p w:rsidR="00DA7251" w:rsidRDefault="00DA7251">
      <w:pPr>
        <w:pStyle w:val="SingleTxtGC"/>
        <w:numPr>
          <w:ilvl w:val="0"/>
          <w:numId w:val="18"/>
        </w:numPr>
        <w:rPr>
          <w:lang w:val="es-ES"/>
        </w:rPr>
      </w:pPr>
      <w:r>
        <w:t>不受任何基于其残疾状况并影响其享受人权和基本自由的差别、排斥、限制或偏好的权利</w:t>
      </w:r>
      <w:r>
        <w:rPr>
          <w:rFonts w:hint="eastAsia"/>
        </w:rPr>
        <w:t>；</w:t>
      </w:r>
    </w:p>
    <w:p w:rsidR="00DA7251" w:rsidRDefault="00DA7251">
      <w:pPr>
        <w:pStyle w:val="SingleTxtGC"/>
        <w:numPr>
          <w:ilvl w:val="0"/>
          <w:numId w:val="18"/>
        </w:numPr>
        <w:rPr>
          <w:lang w:val="es-ES"/>
        </w:rPr>
      </w:pPr>
      <w:r>
        <w:t>机会平等的权利</w:t>
      </w:r>
      <w:r>
        <w:rPr>
          <w:rFonts w:hint="eastAsia"/>
        </w:rPr>
        <w:t>；</w:t>
      </w:r>
    </w:p>
    <w:p w:rsidR="00DA7251" w:rsidRDefault="00DA7251">
      <w:pPr>
        <w:pStyle w:val="SingleTxtGC"/>
        <w:numPr>
          <w:ilvl w:val="0"/>
          <w:numId w:val="18"/>
        </w:numPr>
        <w:rPr>
          <w:lang w:val="es-ES"/>
        </w:rPr>
      </w:pPr>
      <w:r>
        <w:rPr>
          <w:lang w:val="es-ES"/>
        </w:rPr>
        <w:t>在法律面前</w:t>
      </w:r>
      <w:r>
        <w:t>完全平等，并受法律保护的权利</w:t>
      </w:r>
      <w:r>
        <w:rPr>
          <w:rFonts w:hint="eastAsia"/>
        </w:rPr>
        <w:t>；</w:t>
      </w:r>
    </w:p>
    <w:p w:rsidR="00DA7251" w:rsidRDefault="00DA7251">
      <w:pPr>
        <w:pStyle w:val="SingleTxtGC"/>
        <w:numPr>
          <w:ilvl w:val="0"/>
          <w:numId w:val="18"/>
        </w:numPr>
        <w:rPr>
          <w:lang w:val="es-ES"/>
        </w:rPr>
      </w:pPr>
      <w:r>
        <w:t>享受高标准的医疗卫生服务</w:t>
      </w:r>
      <w:r>
        <w:rPr>
          <w:rFonts w:hint="eastAsia"/>
          <w:lang w:val="es-ES"/>
        </w:rPr>
        <w:t>，</w:t>
      </w:r>
      <w:r>
        <w:t>包括</w:t>
      </w:r>
      <w:r>
        <w:rPr>
          <w:rFonts w:hint="eastAsia"/>
          <w:lang w:val="es-ES"/>
        </w:rPr>
        <w:t>适当的</w:t>
      </w:r>
      <w:r>
        <w:rPr>
          <w:rFonts w:hint="eastAsia"/>
        </w:rPr>
        <w:t>医疗</w:t>
      </w:r>
      <w:r>
        <w:t>、心理和</w:t>
      </w:r>
      <w:r>
        <w:rPr>
          <w:rFonts w:hint="eastAsia"/>
        </w:rPr>
        <w:t>职业</w:t>
      </w:r>
      <w:r>
        <w:t>治疗</w:t>
      </w:r>
      <w:r>
        <w:rPr>
          <w:lang w:val="es-ES"/>
        </w:rPr>
        <w:t>，</w:t>
      </w:r>
      <w:r>
        <w:t>以及有利于最大限度地提升残疾人的能力、技巧和自信的医疗与社会康复</w:t>
      </w:r>
      <w:r>
        <w:rPr>
          <w:rFonts w:hint="eastAsia"/>
        </w:rPr>
        <w:t>和其他服务；</w:t>
      </w:r>
    </w:p>
    <w:p w:rsidR="00DA7251" w:rsidRDefault="00DA7251">
      <w:pPr>
        <w:pStyle w:val="SingleTxtGC"/>
        <w:numPr>
          <w:ilvl w:val="0"/>
          <w:numId w:val="18"/>
        </w:numPr>
        <w:rPr>
          <w:lang w:val="es-ES"/>
        </w:rPr>
      </w:pPr>
      <w:r>
        <w:t>根据其能力参加工作</w:t>
      </w:r>
      <w:r>
        <w:rPr>
          <w:lang w:val="es-ES"/>
        </w:rPr>
        <w:t>，</w:t>
      </w:r>
      <w:r>
        <w:rPr>
          <w:rFonts w:hint="eastAsia"/>
        </w:rPr>
        <w:t>获得同等薪酬</w:t>
      </w:r>
      <w:r>
        <w:t>以维持适足生活水平的权利</w:t>
      </w:r>
      <w:r>
        <w:rPr>
          <w:rFonts w:hint="eastAsia"/>
        </w:rPr>
        <w:t>；</w:t>
      </w:r>
    </w:p>
    <w:p w:rsidR="00DA7251" w:rsidRDefault="00DA7251">
      <w:pPr>
        <w:pStyle w:val="SingleTxtGC"/>
        <w:numPr>
          <w:ilvl w:val="0"/>
          <w:numId w:val="18"/>
        </w:numPr>
        <w:rPr>
          <w:lang w:val="es-ES"/>
        </w:rPr>
      </w:pPr>
      <w:r>
        <w:t>被尊重和维护尊严的权利。</w:t>
      </w:r>
    </w:p>
    <w:p w:rsidR="00DA7251" w:rsidRDefault="00DA7251">
      <w:pPr>
        <w:pStyle w:val="SingleTxtGC"/>
        <w:rPr>
          <w:lang w:val="es-ES"/>
        </w:rPr>
      </w:pPr>
      <w:r>
        <w:rPr>
          <w:lang w:val="es-ES"/>
        </w:rPr>
        <w:t xml:space="preserve">116.  </w:t>
      </w:r>
      <w:r>
        <w:rPr>
          <w:rFonts w:hint="eastAsia"/>
        </w:rPr>
        <w:t>巴拉圭采取了法律保护措施。以</w:t>
      </w:r>
      <w:r>
        <w:rPr>
          <w:rFonts w:hint="eastAsia"/>
          <w:lang w:val="en"/>
        </w:rPr>
        <w:t>确保不会在未获本人自由和知情同意的情况下，对残疾人，包括在履行法律行为能力时需要获得支助的人士，进行医学或科学试验，包括《民法典》宣布无法律行为能力和指定监护人，代表不能照顾自己或管理自资产的无法律行为能力者在民事行为中做出行动的程序</w:t>
      </w:r>
      <w:r>
        <w:rPr>
          <w:rFonts w:hint="eastAsia"/>
          <w:lang w:val="es-ES"/>
        </w:rPr>
        <w:t>。</w:t>
      </w:r>
    </w:p>
    <w:p w:rsidR="00DA7251" w:rsidRDefault="00DA7251">
      <w:pPr>
        <w:pStyle w:val="SingleTxtGC"/>
        <w:rPr>
          <w:lang w:val="es-ES"/>
        </w:rPr>
      </w:pPr>
      <w:r>
        <w:rPr>
          <w:lang w:val="es-ES"/>
        </w:rPr>
        <w:t xml:space="preserve">117.  </w:t>
      </w:r>
      <w:r>
        <w:rPr>
          <w:rFonts w:hint="eastAsia"/>
        </w:rPr>
        <w:t>如果无行为能力者和其代表的利益发生冲突</w:t>
      </w:r>
      <w:r>
        <w:rPr>
          <w:rFonts w:hint="eastAsia"/>
          <w:lang w:val="es-ES"/>
        </w:rPr>
        <w:t>，</w:t>
      </w:r>
      <w:r>
        <w:rPr>
          <w:rFonts w:hint="eastAsia"/>
        </w:rPr>
        <w:t>可在相关案例中指定专门的监护人代替其原代理人。</w:t>
      </w:r>
    </w:p>
    <w:p w:rsidR="00DA7251" w:rsidRDefault="00DA7251">
      <w:pPr>
        <w:pStyle w:val="SingleTxtGC"/>
        <w:rPr>
          <w:lang w:val="es-ES_tradnl"/>
        </w:rPr>
      </w:pPr>
      <w:r>
        <w:rPr>
          <w:lang w:val="es-ES"/>
        </w:rPr>
        <w:t xml:space="preserve">118.  </w:t>
      </w:r>
      <w:r>
        <w:rPr>
          <w:rFonts w:hint="eastAsia"/>
        </w:rPr>
        <w:t>在与酷刑有关的方面</w:t>
      </w:r>
      <w:r>
        <w:rPr>
          <w:rFonts w:hint="eastAsia"/>
          <w:lang w:val="es-ES"/>
        </w:rPr>
        <w:t>，</w:t>
      </w:r>
      <w:r>
        <w:rPr>
          <w:rFonts w:hint="eastAsia"/>
        </w:rPr>
        <w:t>《宪法》第</w:t>
      </w:r>
      <w:r>
        <w:rPr>
          <w:lang w:val="es-ES"/>
        </w:rPr>
        <w:t>5</w:t>
      </w:r>
      <w:r>
        <w:rPr>
          <w:rFonts w:hint="eastAsia"/>
        </w:rPr>
        <w:t>条规定</w:t>
      </w:r>
      <w:r>
        <w:rPr>
          <w:rFonts w:hint="eastAsia"/>
          <w:lang w:val="es-ES"/>
        </w:rPr>
        <w:t>：“</w:t>
      </w:r>
      <w:r>
        <w:rPr>
          <w:rFonts w:hint="eastAsia"/>
        </w:rPr>
        <w:t>不得对任何人实施酷刑和残忍、不人道或有辱人格的待遇或处罚。种族灭绝和酷刑</w:t>
      </w:r>
      <w:r>
        <w:rPr>
          <w:rFonts w:hint="eastAsia"/>
          <w:lang w:val="es-ES"/>
        </w:rPr>
        <w:t>，</w:t>
      </w:r>
      <w:r>
        <w:rPr>
          <w:rFonts w:hint="eastAsia"/>
        </w:rPr>
        <w:t>以及强迫失踪、绑架和出于政治原因的谋杀</w:t>
      </w:r>
      <w:r>
        <w:rPr>
          <w:rFonts w:hint="eastAsia"/>
          <w:lang w:val="es-ES"/>
        </w:rPr>
        <w:t>，</w:t>
      </w:r>
      <w:r>
        <w:rPr>
          <w:rFonts w:hint="eastAsia"/>
        </w:rPr>
        <w:t>均不受法律保护。</w:t>
      </w:r>
      <w:r>
        <w:rPr>
          <w:rFonts w:hint="eastAsia"/>
          <w:lang w:val="es-ES_tradnl"/>
        </w:rPr>
        <w:t>”</w:t>
      </w:r>
    </w:p>
    <w:p w:rsidR="00DA7251" w:rsidRDefault="00DA7251">
      <w:pPr>
        <w:pStyle w:val="SingleTxtGC"/>
        <w:rPr>
          <w:lang w:val="es-ES"/>
        </w:rPr>
      </w:pPr>
      <w:r>
        <w:rPr>
          <w:lang w:val="es-ES"/>
        </w:rPr>
        <w:t xml:space="preserve">119.  </w:t>
      </w:r>
      <w:r>
        <w:rPr>
          <w:rFonts w:hint="eastAsia"/>
        </w:rPr>
        <w:t>在将残疾人纳入巴拉圭防止酷刑的国家战略和机制方面</w:t>
      </w:r>
      <w:r>
        <w:rPr>
          <w:rFonts w:hint="eastAsia"/>
          <w:lang w:val="es-ES_tradnl"/>
        </w:rPr>
        <w:t>，</w:t>
      </w:r>
      <w:r>
        <w:rPr>
          <w:rFonts w:hint="eastAsia"/>
        </w:rPr>
        <w:t>巴拉圭批准了《禁止酷刑和其他残忍、不人道或有辱人格的待遇或处罚公约》及其《任择议定书》。但是，巴拉圭尚未根据已经批准的《任择议定书》建立其国家级防止酷刑机制，人权委员会、财政、预算和账务委员会及立法、编纂、司法和劳动委员会批准了该机制并提出了修改意见，目前正等待在巴拉圭参议院全体会议上进行讨论。</w:t>
      </w:r>
    </w:p>
    <w:p w:rsidR="00DA7251" w:rsidRDefault="00DA7251">
      <w:pPr>
        <w:pStyle w:val="H1GC"/>
        <w:rPr>
          <w:lang w:val="es-ES_tradnl"/>
        </w:rPr>
      </w:pPr>
      <w:r>
        <w:rPr>
          <w:rFonts w:hint="eastAsia"/>
          <w:lang w:val="es-ES_tradnl"/>
        </w:rPr>
        <w:tab/>
      </w:r>
      <w:r>
        <w:rPr>
          <w:lang w:val="es-ES_tradnl"/>
        </w:rPr>
        <w:t>J.</w:t>
      </w:r>
      <w:r>
        <w:rPr>
          <w:lang w:val="es-ES_tradnl"/>
        </w:rPr>
        <w:tab/>
      </w:r>
      <w:r>
        <w:rPr>
          <w:rFonts w:hint="eastAsia"/>
          <w:lang w:val="es-ES_tradnl"/>
        </w:rPr>
        <w:t>第十六条：免于剥削、暴力和凌辱</w:t>
      </w:r>
    </w:p>
    <w:p w:rsidR="00DA7251" w:rsidRDefault="00DA7251">
      <w:pPr>
        <w:pStyle w:val="SingleTxtGC"/>
        <w:rPr>
          <w:lang w:val="es-ES"/>
        </w:rPr>
      </w:pPr>
      <w:r>
        <w:rPr>
          <w:lang w:val="es-ES"/>
        </w:rPr>
        <w:t xml:space="preserve">120.  </w:t>
      </w:r>
      <w:r>
        <w:rPr>
          <w:rFonts w:hint="eastAsia"/>
        </w:rPr>
        <w:t>通过对巴拉圭立法的审视发现</w:t>
      </w:r>
      <w:r>
        <w:rPr>
          <w:rFonts w:hint="eastAsia"/>
          <w:lang w:val="es-ES"/>
        </w:rPr>
        <w:t>，制定的条款不足以防止歧视，使得可能高度存在歧视的领域的保护存在显著差距。</w:t>
      </w:r>
    </w:p>
    <w:p w:rsidR="00DA7251" w:rsidRDefault="00DA7251">
      <w:pPr>
        <w:pStyle w:val="SingleTxtGC"/>
        <w:rPr>
          <w:lang w:val="es-ES"/>
        </w:rPr>
      </w:pPr>
      <w:r>
        <w:rPr>
          <w:lang w:val="es-ES"/>
        </w:rPr>
        <w:t xml:space="preserve">121.  </w:t>
      </w:r>
      <w:r>
        <w:rPr>
          <w:rFonts w:hint="eastAsia"/>
          <w:lang w:val="es-ES"/>
        </w:rPr>
        <w:t>法律</w:t>
      </w:r>
      <w:r>
        <w:rPr>
          <w:rFonts w:hint="eastAsia"/>
        </w:rPr>
        <w:t>禁止选举中对投票人的歧视</w:t>
      </w:r>
      <w:r>
        <w:rPr>
          <w:rFonts w:hint="eastAsia"/>
          <w:lang w:val="es-ES"/>
        </w:rPr>
        <w:t>，以及</w:t>
      </w:r>
      <w:r>
        <w:rPr>
          <w:rFonts w:hint="eastAsia"/>
        </w:rPr>
        <w:t>禁止工作场所对参加工会工人的歧视，禁止对怀孕工人的歧视，授予同工同酬的权利。只有在这些法律条款中，设立了有效机制惩罚犯罪者，并授权司法机构恢复受害者的权利。</w:t>
      </w:r>
    </w:p>
    <w:p w:rsidR="00DA7251" w:rsidRDefault="00DA7251">
      <w:pPr>
        <w:pStyle w:val="SingleTxtGC"/>
        <w:rPr>
          <w:lang w:val="es-ES"/>
        </w:rPr>
      </w:pPr>
      <w:r>
        <w:rPr>
          <w:lang w:val="es-ES"/>
        </w:rPr>
        <w:t xml:space="preserve">122.  </w:t>
      </w:r>
      <w:r>
        <w:rPr>
          <w:rFonts w:hint="eastAsia"/>
        </w:rPr>
        <w:t>在残疾人事务方面</w:t>
      </w:r>
      <w:r>
        <w:rPr>
          <w:rFonts w:hint="eastAsia"/>
          <w:lang w:val="es-ES"/>
        </w:rPr>
        <w:t>，</w:t>
      </w:r>
      <w:r>
        <w:rPr>
          <w:rFonts w:hint="eastAsia"/>
        </w:rPr>
        <w:t>监察员办公室努力让政府政策促进提高巴拉圭残疾人的生活质量。国会中已成立了一个议会小组，开始起草关于这个主题的一些法案。</w:t>
      </w:r>
    </w:p>
    <w:p w:rsidR="00DA7251" w:rsidRDefault="00DA7251">
      <w:pPr>
        <w:pStyle w:val="SingleTxtGC"/>
        <w:rPr>
          <w:lang w:val="es-ES"/>
        </w:rPr>
      </w:pPr>
      <w:r>
        <w:rPr>
          <w:lang w:val="es-ES"/>
        </w:rPr>
        <w:t xml:space="preserve">123.  </w:t>
      </w:r>
      <w:r>
        <w:rPr>
          <w:rFonts w:hint="eastAsia"/>
          <w:lang w:val="es-ES"/>
        </w:rPr>
        <w:t>组织收集的促进残疾人权利的数据显示了残疾人口的比例，使得有可能拟定一份官方报告，作为敦促通过国家政策支持残疾人的依据</w:t>
      </w:r>
      <w:r>
        <w:rPr>
          <w:rFonts w:hint="eastAsia"/>
        </w:rPr>
        <w:t>。</w:t>
      </w:r>
    </w:p>
    <w:p w:rsidR="00DA7251" w:rsidRDefault="00DA7251">
      <w:pPr>
        <w:pStyle w:val="SingleTxtGC"/>
        <w:rPr>
          <w:lang w:val="es-ES"/>
        </w:rPr>
      </w:pPr>
      <w:r>
        <w:rPr>
          <w:lang w:val="es-ES"/>
        </w:rPr>
        <w:t xml:space="preserve">124.  </w:t>
      </w:r>
      <w:r>
        <w:rPr>
          <w:rFonts w:hint="eastAsia"/>
        </w:rPr>
        <w:t>监察员办公室通过反歧视行动部的培训方案提高了人们的认识，始终坚持这样一个理念，即一个知情的社会是一个能够终结虐待，变得更加公正、更加仁爱的社会。</w:t>
      </w:r>
    </w:p>
    <w:p w:rsidR="00DA7251" w:rsidRDefault="00DA7251">
      <w:pPr>
        <w:pStyle w:val="SingleTxtGC"/>
        <w:rPr>
          <w:lang w:val="es-ES"/>
        </w:rPr>
      </w:pPr>
      <w:r>
        <w:rPr>
          <w:lang w:val="es-ES"/>
        </w:rPr>
        <w:t xml:space="preserve">125.  </w:t>
      </w:r>
      <w:r>
        <w:rPr>
          <w:rFonts w:hint="eastAsia"/>
          <w:lang w:val="es-ES"/>
        </w:rPr>
        <w:t>提高认识活动还进一步力求鼓励公民提交正式控告，即便未能对歧视行为定罪在巴拉圭仍是一项挑战。</w:t>
      </w:r>
      <w:r>
        <w:rPr>
          <w:rStyle w:val="FootnoteReference"/>
        </w:rPr>
        <w:footnoteReference w:id="43"/>
      </w:r>
      <w:r>
        <w:rPr>
          <w:rStyle w:val="FootnoteReference"/>
          <w:vertAlign w:val="baseline"/>
        </w:rPr>
        <w:t xml:space="preserve"> </w:t>
      </w:r>
    </w:p>
    <w:p w:rsidR="00DA7251" w:rsidRDefault="00DA7251">
      <w:pPr>
        <w:pStyle w:val="SingleTxtGC"/>
        <w:rPr>
          <w:lang w:val="es-ES"/>
        </w:rPr>
      </w:pPr>
      <w:r>
        <w:rPr>
          <w:lang w:val="es-ES"/>
        </w:rPr>
        <w:t xml:space="preserve">126.  </w:t>
      </w:r>
      <w:r>
        <w:rPr>
          <w:rFonts w:hint="eastAsia"/>
        </w:rPr>
        <w:t>监察员办公室将对任何歧视控告作为调解机构进行干预。如调解未果</w:t>
      </w:r>
      <w:r>
        <w:rPr>
          <w:rFonts w:hint="eastAsia"/>
          <w:lang w:val="es-ES"/>
        </w:rPr>
        <w:t>，</w:t>
      </w:r>
      <w:r>
        <w:rPr>
          <w:rFonts w:hint="eastAsia"/>
        </w:rPr>
        <w:t>则可以通过司法途径予以解决。</w:t>
      </w:r>
    </w:p>
    <w:p w:rsidR="00DA7251" w:rsidRDefault="00DA7251">
      <w:pPr>
        <w:pStyle w:val="SingleTxtGC"/>
        <w:rPr>
          <w:lang w:val="es-ES"/>
        </w:rPr>
      </w:pPr>
      <w:r>
        <w:rPr>
          <w:lang w:val="es-ES"/>
        </w:rPr>
        <w:t xml:space="preserve">127.  </w:t>
      </w:r>
      <w:r>
        <w:rPr>
          <w:rFonts w:hint="eastAsia"/>
          <w:lang w:val="es-ES"/>
        </w:rPr>
        <w:t>目前在本阶段</w:t>
      </w:r>
      <w:r>
        <w:rPr>
          <w:rFonts w:hint="eastAsia"/>
        </w:rPr>
        <w:t>有一些阻碍受害者获得司法保护的因素</w:t>
      </w:r>
      <w:r>
        <w:rPr>
          <w:rFonts w:hint="eastAsia"/>
          <w:lang w:val="es-ES"/>
        </w:rPr>
        <w:t>，</w:t>
      </w:r>
      <w:r>
        <w:rPr>
          <w:rFonts w:hint="eastAsia"/>
        </w:rPr>
        <w:t>如</w:t>
      </w:r>
      <w:r>
        <w:rPr>
          <w:rFonts w:hint="eastAsia"/>
          <w:lang w:val="es-ES"/>
        </w:rPr>
        <w:t>：</w:t>
      </w:r>
      <w:r>
        <w:rPr>
          <w:rFonts w:hint="eastAsia"/>
        </w:rPr>
        <w:t>诉讼成本</w:t>
      </w:r>
      <w:r>
        <w:rPr>
          <w:rFonts w:hint="eastAsia"/>
          <w:lang w:val="es-ES"/>
        </w:rPr>
        <w:t>，</w:t>
      </w:r>
      <w:r>
        <w:rPr>
          <w:rFonts w:hint="eastAsia"/>
        </w:rPr>
        <w:t>个人提出刑事诉讼所涉及的犯罪行为的属性</w:t>
      </w:r>
      <w:r>
        <w:rPr>
          <w:rFonts w:hint="eastAsia"/>
          <w:lang w:val="es-ES"/>
        </w:rPr>
        <w:t>，</w:t>
      </w:r>
      <w:r>
        <w:rPr>
          <w:rFonts w:hint="eastAsia"/>
        </w:rPr>
        <w:t>如前所述</w:t>
      </w:r>
      <w:r>
        <w:rPr>
          <w:rFonts w:hint="eastAsia"/>
          <w:lang w:val="es-ES"/>
        </w:rPr>
        <w:t>，必须</w:t>
      </w:r>
      <w:r>
        <w:rPr>
          <w:rFonts w:hint="eastAsia"/>
        </w:rPr>
        <w:t>由受害者提起的诉讼程序。《刑法典》中没有规定歧视行为是一项应加以惩罚的罪行，这一事实也是一个问题。</w:t>
      </w:r>
    </w:p>
    <w:p w:rsidR="00DA7251" w:rsidRDefault="00DA7251">
      <w:pPr>
        <w:pStyle w:val="SingleTxtGC"/>
        <w:rPr>
          <w:lang w:val="es-ES"/>
        </w:rPr>
      </w:pPr>
      <w:r>
        <w:rPr>
          <w:lang w:val="es-ES"/>
        </w:rPr>
        <w:t xml:space="preserve">128.  </w:t>
      </w:r>
      <w:r>
        <w:rPr>
          <w:rFonts w:hint="eastAsia"/>
        </w:rPr>
        <w:t>《刑法典》关于违反照顾老人和残疾人义务的第</w:t>
      </w:r>
      <w:r>
        <w:rPr>
          <w:lang w:val="es-ES"/>
        </w:rPr>
        <w:t>227</w:t>
      </w:r>
      <w:r>
        <w:rPr>
          <w:rFonts w:hint="eastAsia"/>
        </w:rPr>
        <w:t>条规定</w:t>
      </w:r>
      <w:r>
        <w:rPr>
          <w:rFonts w:hint="eastAsia"/>
          <w:lang w:val="es-ES"/>
        </w:rPr>
        <w:t>：“</w:t>
      </w:r>
      <w:r>
        <w:rPr>
          <w:rFonts w:hint="eastAsia"/>
        </w:rPr>
        <w:t>严重违反对老年人和残疾人的照顾义务者</w:t>
      </w:r>
      <w:r>
        <w:rPr>
          <w:rFonts w:hint="eastAsia"/>
          <w:lang w:val="es-ES"/>
        </w:rPr>
        <w:t>，</w:t>
      </w:r>
      <w:r>
        <w:rPr>
          <w:rFonts w:hint="eastAsia"/>
        </w:rPr>
        <w:t>将被判处最高三年的监禁或处以罚款。</w:t>
      </w:r>
      <w:r>
        <w:rPr>
          <w:rFonts w:hint="eastAsia"/>
          <w:lang w:val="es-ES_tradnl"/>
        </w:rPr>
        <w:t>”</w:t>
      </w:r>
    </w:p>
    <w:p w:rsidR="00DA7251" w:rsidRDefault="00DA7251">
      <w:pPr>
        <w:pStyle w:val="SingleTxtGC"/>
        <w:rPr>
          <w:lang w:val="es-ES"/>
        </w:rPr>
      </w:pPr>
      <w:r>
        <w:rPr>
          <w:lang w:val="es-ES"/>
        </w:rPr>
        <w:t xml:space="preserve">129.  </w:t>
      </w:r>
      <w:r>
        <w:rPr>
          <w:rFonts w:hint="eastAsia"/>
          <w:lang w:val="en"/>
        </w:rPr>
        <w:t>已采取社会保护措施，以支持残疾人及其家庭和提供照料者，以及预防、甄别和举报剥削、暴力或凌虐事件，包括基于性别的和年龄的剥削、暴力和凌虐事件</w:t>
      </w:r>
      <w:r>
        <w:rPr>
          <w:rFonts w:hint="eastAsia"/>
          <w:lang w:val="es-ES"/>
        </w:rPr>
        <w:t>，关于成立全国特殊人士保护研究所的</w:t>
      </w:r>
      <w:r>
        <w:rPr>
          <w:rFonts w:hint="eastAsia"/>
        </w:rPr>
        <w:t>《第</w:t>
      </w:r>
      <w:r>
        <w:rPr>
          <w:lang w:val="es-ES"/>
        </w:rPr>
        <w:t>780/1979</w:t>
      </w:r>
      <w:r>
        <w:rPr>
          <w:rFonts w:hint="eastAsia"/>
        </w:rPr>
        <w:t>号法案》中对这些保护措施做了介绍，其中规定该研究所的目标是向特殊人士提供全面保护，以抵消其自身状况有关的弱势地位，并为他们提供机会，使其通过自身的努力，在社区中发挥与正常人同等的作用。</w:t>
      </w:r>
      <w:r>
        <w:rPr>
          <w:rStyle w:val="FootnoteReference"/>
        </w:rPr>
        <w:footnoteReference w:id="44"/>
      </w:r>
      <w:r>
        <w:rPr>
          <w:rStyle w:val="FootnoteReference"/>
          <w:vertAlign w:val="baseline"/>
        </w:rPr>
        <w:t xml:space="preserve"> </w:t>
      </w:r>
    </w:p>
    <w:p w:rsidR="00DA7251" w:rsidRDefault="00DA7251">
      <w:pPr>
        <w:pStyle w:val="SingleTxtGC"/>
        <w:rPr>
          <w:lang w:val="es-ES"/>
        </w:rPr>
      </w:pPr>
      <w:r>
        <w:rPr>
          <w:lang w:val="es-ES"/>
        </w:rPr>
        <w:t xml:space="preserve">130.  </w:t>
      </w:r>
      <w:r>
        <w:rPr>
          <w:rFonts w:hint="eastAsia"/>
          <w:lang w:val="es-ES"/>
        </w:rPr>
        <w:t>作为综合办法的一部分，</w:t>
      </w:r>
      <w:r>
        <w:rPr>
          <w:rFonts w:hint="eastAsia"/>
        </w:rPr>
        <w:t>该研究所采取措施</w:t>
      </w:r>
      <w:r>
        <w:rPr>
          <w:rFonts w:hint="eastAsia"/>
          <w:lang w:val="es-ES"/>
        </w:rPr>
        <w:t>，</w:t>
      </w:r>
      <w:r>
        <w:rPr>
          <w:rFonts w:hint="eastAsia"/>
        </w:rPr>
        <w:t>确保暴力行为中所有残疾人受害者获得促使其复原和康复并重新融入社会的有效服务和方案。</w:t>
      </w:r>
    </w:p>
    <w:p w:rsidR="00DA7251" w:rsidRDefault="00DA7251">
      <w:pPr>
        <w:pStyle w:val="SingleTxtGC"/>
        <w:rPr>
          <w:lang w:val="es-ES"/>
        </w:rPr>
      </w:pPr>
      <w:r>
        <w:rPr>
          <w:lang w:val="es-ES"/>
        </w:rPr>
        <w:t xml:space="preserve">131.  </w:t>
      </w:r>
      <w:r>
        <w:rPr>
          <w:rFonts w:hint="eastAsia"/>
        </w:rPr>
        <w:t>巴拉圭还面临一个挑战</w:t>
      </w:r>
      <w:r>
        <w:rPr>
          <w:rFonts w:hint="eastAsia"/>
          <w:lang w:val="es-ES"/>
        </w:rPr>
        <w:t>，</w:t>
      </w:r>
      <w:r>
        <w:rPr>
          <w:rFonts w:hint="eastAsia"/>
        </w:rPr>
        <w:t>那就是</w:t>
      </w:r>
      <w:r>
        <w:rPr>
          <w:rFonts w:hint="eastAsia"/>
          <w:lang w:val="es-ES"/>
        </w:rPr>
        <w:t>：</w:t>
      </w:r>
      <w:r>
        <w:rPr>
          <w:rFonts w:hint="eastAsia"/>
        </w:rPr>
        <w:t>实施分散照顾方案</w:t>
      </w:r>
      <w:r>
        <w:rPr>
          <w:rFonts w:hint="eastAsia"/>
          <w:lang w:val="es-ES"/>
        </w:rPr>
        <w:t>，</w:t>
      </w:r>
      <w:r>
        <w:rPr>
          <w:rFonts w:hint="eastAsia"/>
        </w:rPr>
        <w:t>以确保所有的暴力行为受害者都能获得医疗服务</w:t>
      </w:r>
      <w:r>
        <w:rPr>
          <w:rFonts w:hint="eastAsia"/>
          <w:lang w:val="es-ES"/>
        </w:rPr>
        <w:t>；包括</w:t>
      </w:r>
      <w:r>
        <w:rPr>
          <w:rFonts w:hint="eastAsia"/>
        </w:rPr>
        <w:t>在所有医疗机构中针对残疾人受害者提供的具体医疗服务。</w:t>
      </w:r>
    </w:p>
    <w:p w:rsidR="00DA7251" w:rsidRDefault="00DA7251">
      <w:pPr>
        <w:pStyle w:val="SingleTxtGC"/>
        <w:rPr>
          <w:lang w:val="es-ES"/>
        </w:rPr>
      </w:pPr>
      <w:r>
        <w:rPr>
          <w:lang w:val="es-ES"/>
        </w:rPr>
        <w:t xml:space="preserve">132.  </w:t>
      </w:r>
      <w:r>
        <w:rPr>
          <w:rFonts w:hint="eastAsia"/>
        </w:rPr>
        <w:t>根据关于防止家庭暴力的《第</w:t>
      </w:r>
      <w:r>
        <w:rPr>
          <w:lang w:val="es-ES"/>
        </w:rPr>
        <w:t>1600/00</w:t>
      </w:r>
      <w:r>
        <w:rPr>
          <w:rFonts w:hint="eastAsia"/>
        </w:rPr>
        <w:t>号法案》</w:t>
      </w:r>
      <w:r>
        <w:rPr>
          <w:rFonts w:hint="eastAsia"/>
          <w:lang w:val="es-ES"/>
        </w:rPr>
        <w:t>，规定</w:t>
      </w:r>
      <w:r>
        <w:rPr>
          <w:rFonts w:hint="eastAsia"/>
        </w:rPr>
        <w:t>家庭暴力行为是一项应加以惩罚的罪行并建立法律保护机制的法律框架，这是防止暴力的一项重要措施。</w:t>
      </w:r>
    </w:p>
    <w:p w:rsidR="00DA7251" w:rsidRDefault="00DA7251">
      <w:pPr>
        <w:pStyle w:val="H1GC"/>
        <w:rPr>
          <w:lang w:val="es-ES_tradnl"/>
        </w:rPr>
      </w:pPr>
      <w:r>
        <w:rPr>
          <w:rFonts w:hint="eastAsia"/>
          <w:lang w:val="es-ES_tradnl"/>
        </w:rPr>
        <w:tab/>
      </w:r>
      <w:r>
        <w:rPr>
          <w:lang w:val="es-ES_tradnl"/>
        </w:rPr>
        <w:t>K.</w:t>
      </w:r>
      <w:r>
        <w:rPr>
          <w:lang w:val="es-ES_tradnl"/>
        </w:rPr>
        <w:tab/>
      </w:r>
      <w:r>
        <w:rPr>
          <w:rFonts w:hint="eastAsia"/>
          <w:lang w:val="es-ES_tradnl"/>
        </w:rPr>
        <w:t>第十八条：迁徙自由和国籍</w:t>
      </w:r>
    </w:p>
    <w:p w:rsidR="00DA7251" w:rsidRDefault="00DA7251">
      <w:pPr>
        <w:pStyle w:val="SingleTxtGC"/>
        <w:rPr>
          <w:lang w:val="es-ES"/>
        </w:rPr>
      </w:pPr>
      <w:r>
        <w:rPr>
          <w:lang w:val="es-ES"/>
        </w:rPr>
        <w:t xml:space="preserve">133.  </w:t>
      </w:r>
      <w:r>
        <w:rPr>
          <w:rFonts w:hint="eastAsia"/>
        </w:rPr>
        <w:t>虽然《第</w:t>
      </w:r>
      <w:r>
        <w:rPr>
          <w:lang w:val="es-ES"/>
        </w:rPr>
        <w:t>978/96</w:t>
      </w:r>
      <w:r>
        <w:rPr>
          <w:rFonts w:hint="eastAsia"/>
        </w:rPr>
        <w:t>号法案》</w:t>
      </w:r>
      <w:r>
        <w:t>第</w:t>
      </w:r>
      <w:r>
        <w:rPr>
          <w:lang w:val="es-ES"/>
        </w:rPr>
        <w:t>6</w:t>
      </w:r>
      <w:r>
        <w:t>条第</w:t>
      </w:r>
      <w:r>
        <w:rPr>
          <w:lang w:val="es-ES"/>
        </w:rPr>
        <w:t>3</w:t>
      </w:r>
      <w:r>
        <w:rPr>
          <w:rFonts w:hint="eastAsia"/>
          <w:lang w:val="es-ES"/>
        </w:rPr>
        <w:t>款</w:t>
      </w:r>
      <w:r>
        <w:rPr>
          <w:rFonts w:hint="eastAsia"/>
        </w:rPr>
        <w:t>指出</w:t>
      </w:r>
      <w:r>
        <w:rPr>
          <w:rFonts w:hint="eastAsia"/>
          <w:lang w:val="es-ES"/>
        </w:rPr>
        <w:t>，</w:t>
      </w:r>
      <w:r>
        <w:rPr>
          <w:rFonts w:hint="eastAsia"/>
        </w:rPr>
        <w:t>阻碍愿意在巴拉圭长期或临时居住的外国人入境的原因之一</w:t>
      </w:r>
      <w:r>
        <w:rPr>
          <w:rFonts w:hint="eastAsia"/>
          <w:lang w:val="es-ES"/>
        </w:rPr>
        <w:t>，</w:t>
      </w:r>
      <w:r>
        <w:rPr>
          <w:rFonts w:hint="eastAsia"/>
        </w:rPr>
        <w:t>是那些会使申请人无法从事其所希望的职业、工作、行业或领域的生理或心理缺陷</w:t>
      </w:r>
      <w:r>
        <w:rPr>
          <w:rFonts w:hint="eastAsia"/>
          <w:lang w:val="es-ES"/>
        </w:rPr>
        <w:t>，</w:t>
      </w:r>
      <w:r>
        <w:rPr>
          <w:rFonts w:hint="eastAsia"/>
        </w:rPr>
        <w:t>不论是先天和后天缺陷抑或慢性病</w:t>
      </w:r>
      <w:r>
        <w:rPr>
          <w:rFonts w:hint="eastAsia"/>
          <w:lang w:val="es-ES"/>
        </w:rPr>
        <w:t>，</w:t>
      </w:r>
      <w:r>
        <w:rPr>
          <w:rFonts w:hint="eastAsia"/>
        </w:rPr>
        <w:t>但移民总局在对每个申请个案进行研究后</w:t>
      </w:r>
      <w:r>
        <w:rPr>
          <w:rFonts w:hint="eastAsia"/>
          <w:lang w:val="es-ES"/>
        </w:rPr>
        <w:t>，</w:t>
      </w:r>
      <w:r>
        <w:rPr>
          <w:rFonts w:hint="eastAsia"/>
        </w:rPr>
        <w:t>会首先应用《宪法》第</w:t>
      </w:r>
      <w:r>
        <w:rPr>
          <w:lang w:val="es-ES"/>
        </w:rPr>
        <w:t>58</w:t>
      </w:r>
      <w:r>
        <w:rPr>
          <w:rFonts w:hint="eastAsia"/>
        </w:rPr>
        <w:t>条</w:t>
      </w:r>
      <w:r>
        <w:rPr>
          <w:rFonts w:hint="eastAsia"/>
          <w:lang w:val="es-ES"/>
        </w:rPr>
        <w:t>(</w:t>
      </w:r>
      <w:r>
        <w:rPr>
          <w:rFonts w:hint="eastAsia"/>
        </w:rPr>
        <w:t>即特殊人士权利条款</w:t>
      </w:r>
      <w:r>
        <w:rPr>
          <w:rFonts w:hint="eastAsia"/>
          <w:lang w:val="es-ES"/>
        </w:rPr>
        <w:t>)</w:t>
      </w:r>
      <w:r>
        <w:rPr>
          <w:rFonts w:hint="eastAsia"/>
        </w:rPr>
        <w:t>和《世界人权宣言》</w:t>
      </w:r>
      <w:r>
        <w:rPr>
          <w:rFonts w:hint="eastAsia"/>
          <w:lang w:val="es-ES"/>
        </w:rPr>
        <w:t>，根据特殊原则批准</w:t>
      </w:r>
      <w:r>
        <w:rPr>
          <w:rFonts w:hint="eastAsia"/>
        </w:rPr>
        <w:t>残疾人提出的临时或长期居住申请。</w:t>
      </w:r>
    </w:p>
    <w:p w:rsidR="00DA7251" w:rsidRDefault="00DA7251">
      <w:pPr>
        <w:pStyle w:val="SingleTxtGC"/>
        <w:rPr>
          <w:lang w:val="es-ES"/>
        </w:rPr>
      </w:pPr>
      <w:r>
        <w:rPr>
          <w:lang w:val="es-ES"/>
        </w:rPr>
        <w:t>134.</w:t>
      </w:r>
      <w:r>
        <w:rPr>
          <w:rFonts w:hint="eastAsia"/>
        </w:rPr>
        <w:t xml:space="preserve"> </w:t>
      </w:r>
      <w:r>
        <w:t xml:space="preserve"> </w:t>
      </w:r>
      <w:r>
        <w:rPr>
          <w:rFonts w:hint="eastAsia"/>
        </w:rPr>
        <w:t>鉴于《第</w:t>
      </w:r>
      <w:r>
        <w:rPr>
          <w:lang w:val="es-ES"/>
        </w:rPr>
        <w:t>978/96</w:t>
      </w:r>
      <w:r>
        <w:rPr>
          <w:rFonts w:hint="eastAsia"/>
        </w:rPr>
        <w:t>号法案》和其他一些法律规定有失平等，因此必须尽快予以修正。移民总局目前正提交一项法案以修订《第</w:t>
      </w:r>
      <w:bookmarkStart w:id="8" w:name="OLE_LINK65"/>
      <w:r>
        <w:rPr>
          <w:lang w:val="es-ES"/>
        </w:rPr>
        <w:t>978/96</w:t>
      </w:r>
      <w:r>
        <w:rPr>
          <w:rFonts w:hint="eastAsia"/>
        </w:rPr>
        <w:t>号法</w:t>
      </w:r>
      <w:bookmarkEnd w:id="8"/>
      <w:r>
        <w:rPr>
          <w:rFonts w:hint="eastAsia"/>
        </w:rPr>
        <w:t>案》。</w:t>
      </w:r>
    </w:p>
    <w:p w:rsidR="00DA7251" w:rsidRDefault="00DA7251">
      <w:pPr>
        <w:pStyle w:val="SingleTxtGC"/>
        <w:rPr>
          <w:lang w:val="es-ES"/>
        </w:rPr>
      </w:pPr>
      <w:r>
        <w:rPr>
          <w:lang w:val="es-ES"/>
        </w:rPr>
        <w:t xml:space="preserve">135.  </w:t>
      </w:r>
      <w:r>
        <w:rPr>
          <w:rFonts w:hint="eastAsia"/>
        </w:rPr>
        <w:t>在行政措施方面</w:t>
      </w:r>
      <w:r>
        <w:rPr>
          <w:rFonts w:hint="eastAsia"/>
          <w:lang w:val="es-ES"/>
        </w:rPr>
        <w:t>，</w:t>
      </w:r>
      <w:r>
        <w:rPr>
          <w:rFonts w:hint="eastAsia"/>
        </w:rPr>
        <w:t>对移民总局的四名工作人员进行了手语培训，以照顾利用本机构服务的听力障碍残疾人。为了更好地与残疾人交流沟通</w:t>
      </w:r>
      <w:r>
        <w:rPr>
          <w:rFonts w:hint="eastAsia"/>
          <w:lang w:val="es-ES"/>
        </w:rPr>
        <w:t>，还对移民</w:t>
      </w:r>
      <w:r>
        <w:rPr>
          <w:rFonts w:hint="eastAsia"/>
        </w:rPr>
        <w:t>总局不同部门的五名工作人员进行了培训。</w:t>
      </w:r>
    </w:p>
    <w:p w:rsidR="00DA7251" w:rsidRDefault="00DA7251">
      <w:pPr>
        <w:pStyle w:val="H1GC"/>
        <w:rPr>
          <w:lang w:val="es-ES_tradnl"/>
        </w:rPr>
      </w:pPr>
      <w:r>
        <w:rPr>
          <w:rFonts w:hint="eastAsia"/>
          <w:lang w:val="es-ES_tradnl"/>
        </w:rPr>
        <w:tab/>
      </w:r>
      <w:r>
        <w:rPr>
          <w:lang w:val="es-ES_tradnl"/>
        </w:rPr>
        <w:t>L.</w:t>
      </w:r>
      <w:r>
        <w:rPr>
          <w:lang w:val="es-ES_tradnl"/>
        </w:rPr>
        <w:tab/>
      </w:r>
      <w:r>
        <w:rPr>
          <w:rFonts w:hint="eastAsia"/>
          <w:lang w:val="es-ES_tradnl"/>
        </w:rPr>
        <w:t>第二十一条：表达意见的自由和获得信息的机会</w:t>
      </w:r>
      <w:r>
        <w:rPr>
          <w:lang w:val="es-ES_tradnl"/>
        </w:rPr>
        <w:t xml:space="preserve"> </w:t>
      </w:r>
    </w:p>
    <w:p w:rsidR="00DA7251" w:rsidRDefault="00DA7251">
      <w:pPr>
        <w:pStyle w:val="SingleTxtGC"/>
        <w:rPr>
          <w:lang w:val="es-ES_tradnl"/>
        </w:rPr>
      </w:pPr>
      <w:r>
        <w:rPr>
          <w:lang w:val="es-ES"/>
        </w:rPr>
        <w:t xml:space="preserve">136.  </w:t>
      </w:r>
      <w:r>
        <w:rPr>
          <w:rFonts w:hint="eastAsia"/>
        </w:rPr>
        <w:t>《宪法》第</w:t>
      </w:r>
      <w:r>
        <w:rPr>
          <w:lang w:val="es-ES"/>
        </w:rPr>
        <w:t>28</w:t>
      </w:r>
      <w:r>
        <w:rPr>
          <w:rFonts w:hint="eastAsia"/>
        </w:rPr>
        <w:t>条规定</w:t>
      </w:r>
      <w:r>
        <w:rPr>
          <w:rFonts w:hint="eastAsia"/>
          <w:lang w:val="es-ES"/>
        </w:rPr>
        <w:t>：</w:t>
      </w:r>
      <w:r>
        <w:rPr>
          <w:rFonts w:hint="eastAsia"/>
        </w:rPr>
        <w:t>保障所有人有权获得真实、负责任和公允的信息。但是</w:t>
      </w:r>
      <w:r>
        <w:rPr>
          <w:rFonts w:hint="eastAsia"/>
          <w:lang w:val="es-ES"/>
        </w:rPr>
        <w:t>，没有</w:t>
      </w:r>
      <w:r>
        <w:rPr>
          <w:rFonts w:hint="eastAsia"/>
        </w:rPr>
        <w:t>在获取信息方面考虑听觉和视觉障碍残疾人特殊需求的立法。</w:t>
      </w:r>
    </w:p>
    <w:p w:rsidR="00DA7251" w:rsidRDefault="00DA7251">
      <w:pPr>
        <w:pStyle w:val="SingleTxtGC"/>
        <w:rPr>
          <w:lang w:val="es-ES"/>
        </w:rPr>
      </w:pPr>
      <w:r>
        <w:rPr>
          <w:lang w:val="es-ES"/>
        </w:rPr>
        <w:t xml:space="preserve">137.  </w:t>
      </w:r>
      <w:r>
        <w:rPr>
          <w:rFonts w:hint="eastAsia"/>
        </w:rPr>
        <w:t>教育和文化部下属的全纳教育总局和公共事务秘书处共同出版了手语字典和手册。这本出版物是巴拉圭语言史上的一个里程碑，标志着巴拉圭的变革，以及社会在向公民提供支持和服务方面态度的转变，这些转变的依据是推进人权、包容、不歧视和公正。</w:t>
      </w:r>
    </w:p>
    <w:p w:rsidR="00DA7251" w:rsidRDefault="00DA7251">
      <w:pPr>
        <w:pStyle w:val="SingleTxtGC"/>
        <w:rPr>
          <w:lang w:val="es-ES"/>
        </w:rPr>
      </w:pPr>
      <w:r>
        <w:rPr>
          <w:lang w:val="es-ES"/>
        </w:rPr>
        <w:t xml:space="preserve">138.  </w:t>
      </w:r>
      <w:r>
        <w:rPr>
          <w:rFonts w:hint="eastAsia"/>
        </w:rPr>
        <w:t>已起草了旨在正式承认手语的法案</w:t>
      </w:r>
      <w:r>
        <w:rPr>
          <w:rFonts w:hint="eastAsia"/>
          <w:lang w:val="es-ES_tradnl"/>
        </w:rPr>
        <w:t>，</w:t>
      </w:r>
      <w:r>
        <w:rPr>
          <w:rFonts w:hint="eastAsia"/>
        </w:rPr>
        <w:t>同时还提出了减少歧视的项目。</w:t>
      </w:r>
      <w:r>
        <w:t>从</w:t>
      </w:r>
      <w:r>
        <w:rPr>
          <w:lang w:val="es-ES"/>
        </w:rPr>
        <w:t>2009</w:t>
      </w:r>
      <w:r>
        <w:t>年</w:t>
      </w:r>
      <w:r>
        <w:rPr>
          <w:rFonts w:hint="eastAsia"/>
        </w:rPr>
        <w:t>起</w:t>
      </w:r>
      <w:r>
        <w:rPr>
          <w:rFonts w:hint="eastAsia"/>
          <w:lang w:val="es-ES"/>
        </w:rPr>
        <w:t>，</w:t>
      </w:r>
      <w:r>
        <w:rPr>
          <w:rFonts w:hint="eastAsia"/>
        </w:rPr>
        <w:t>全国特殊人士保护研究所就在该项目的框架内</w:t>
      </w:r>
      <w:r>
        <w:rPr>
          <w:rFonts w:hint="eastAsia"/>
          <w:lang w:val="es-ES"/>
        </w:rPr>
        <w:t>，</w:t>
      </w:r>
      <w:r>
        <w:rPr>
          <w:rFonts w:hint="eastAsia"/>
        </w:rPr>
        <w:t>为研究所和私人机构的工作人员开设手语课程。同时</w:t>
      </w:r>
      <w:r>
        <w:rPr>
          <w:rFonts w:hint="eastAsia"/>
          <w:lang w:val="es-ES"/>
        </w:rPr>
        <w:t>，</w:t>
      </w:r>
      <w:r>
        <w:rPr>
          <w:rFonts w:hint="eastAsia"/>
        </w:rPr>
        <w:t>公共事务秘书处也一直为国家机构的工作人员开设了手语课程。这些课程旨在减少歧视和改善公共部门的客户服务</w:t>
      </w:r>
      <w:r>
        <w:rPr>
          <w:rFonts w:hint="eastAsia"/>
          <w:lang w:val="es-ES"/>
        </w:rPr>
        <w:t>，</w:t>
      </w:r>
      <w:r>
        <w:rPr>
          <w:rFonts w:hint="eastAsia"/>
        </w:rPr>
        <w:t>并推动听觉障碍残疾人进入公共职能部门。</w:t>
      </w:r>
    </w:p>
    <w:p w:rsidR="00DA7251" w:rsidRDefault="00DA7251">
      <w:pPr>
        <w:pStyle w:val="H1GC"/>
        <w:rPr>
          <w:lang w:val="es-ES_tradnl"/>
        </w:rPr>
      </w:pPr>
      <w:r>
        <w:rPr>
          <w:rFonts w:hint="eastAsia"/>
          <w:lang w:val="es-ES_tradnl"/>
        </w:rPr>
        <w:tab/>
      </w:r>
      <w:r>
        <w:rPr>
          <w:lang w:val="es-ES_tradnl"/>
        </w:rPr>
        <w:t>M.</w:t>
      </w:r>
      <w:r>
        <w:rPr>
          <w:lang w:val="es-ES_tradnl"/>
        </w:rPr>
        <w:tab/>
      </w:r>
      <w:r>
        <w:rPr>
          <w:rFonts w:hint="eastAsia"/>
          <w:lang w:val="es-ES_tradnl"/>
        </w:rPr>
        <w:t>第二十四条：教育</w:t>
      </w:r>
    </w:p>
    <w:p w:rsidR="00DA7251" w:rsidRDefault="00DA7251">
      <w:pPr>
        <w:pStyle w:val="SingleTxtGC"/>
        <w:rPr>
          <w:lang w:val="es-ES"/>
        </w:rPr>
      </w:pPr>
      <w:r>
        <w:rPr>
          <w:lang w:val="es-ES"/>
        </w:rPr>
        <w:t xml:space="preserve">139.  </w:t>
      </w:r>
      <w:r>
        <w:rPr>
          <w:rFonts w:hint="eastAsia"/>
        </w:rPr>
        <w:t>巴拉圭并没有残疾人数量方面的数据库。</w:t>
      </w:r>
      <w:r>
        <w:rPr>
          <w:rFonts w:hint="eastAsia"/>
          <w:lang w:val="es-ES"/>
        </w:rPr>
        <w:t>使得更难制定残疾人的教育政策。不过正实施计划，</w:t>
      </w:r>
      <w:r>
        <w:rPr>
          <w:rFonts w:hint="eastAsia"/>
        </w:rPr>
        <w:t>在瓜伊拉省、卡瓜苏省和卡萨帕省的部门进行研究</w:t>
      </w:r>
      <w:r>
        <w:rPr>
          <w:rFonts w:hint="eastAsia"/>
          <w:lang w:val="es-ES"/>
        </w:rPr>
        <w:t>，以</w:t>
      </w:r>
      <w:r>
        <w:rPr>
          <w:rFonts w:hint="eastAsia"/>
        </w:rPr>
        <w:t>确定这三个省份的残疾人人数</w:t>
      </w:r>
      <w:r>
        <w:rPr>
          <w:rFonts w:hint="eastAsia"/>
          <w:lang w:val="es-ES"/>
        </w:rPr>
        <w:t>，</w:t>
      </w:r>
      <w:r>
        <w:rPr>
          <w:rFonts w:hint="eastAsia"/>
        </w:rPr>
        <w:t>并立即制定项目</w:t>
      </w:r>
      <w:r>
        <w:rPr>
          <w:rFonts w:hint="eastAsia"/>
          <w:lang w:val="es-ES"/>
        </w:rPr>
        <w:t>，</w:t>
      </w:r>
      <w:r>
        <w:rPr>
          <w:rFonts w:hint="eastAsia"/>
        </w:rPr>
        <w:t>便利残疾人就学。</w:t>
      </w:r>
    </w:p>
    <w:p w:rsidR="00DA7251" w:rsidRDefault="00DA7251">
      <w:pPr>
        <w:pStyle w:val="SingleTxtGC"/>
        <w:rPr>
          <w:lang w:val="es-ES"/>
        </w:rPr>
      </w:pPr>
      <w:r>
        <w:rPr>
          <w:lang w:val="es-ES"/>
        </w:rPr>
        <w:t xml:space="preserve">140.  </w:t>
      </w:r>
      <w:r>
        <w:rPr>
          <w:rFonts w:hint="eastAsia"/>
        </w:rPr>
        <w:t>巴拉圭全纳教育委员会是特殊教育局建立的一个协同工作和对话机制，目的是促进巴拉圭的全纳教育。该委员会的宗旨是便利残疾人获得教育，使之更方便残疾人继续学习并取得进步。</w:t>
      </w:r>
    </w:p>
    <w:p w:rsidR="00DA7251" w:rsidRDefault="00DA7251">
      <w:pPr>
        <w:pStyle w:val="SingleTxtGC"/>
        <w:rPr>
          <w:lang w:val="es-ES"/>
        </w:rPr>
      </w:pPr>
      <w:r>
        <w:rPr>
          <w:lang w:val="es-ES"/>
        </w:rPr>
        <w:t xml:space="preserve">141.  </w:t>
      </w:r>
      <w:r>
        <w:rPr>
          <w:rFonts w:hint="eastAsia"/>
        </w:rPr>
        <w:t>强化特殊教育是目前教育系统面临的一大挑战。特殊教育局成立了全纳教育委员会</w:t>
      </w:r>
      <w:r>
        <w:rPr>
          <w:rFonts w:hint="eastAsia"/>
          <w:lang w:val="es-ES"/>
        </w:rPr>
        <w:t>，将其</w:t>
      </w:r>
      <w:r>
        <w:rPr>
          <w:rFonts w:hint="eastAsia"/>
        </w:rPr>
        <w:t>作为一个咨询、行动和对话的平台</w:t>
      </w:r>
      <w:r>
        <w:rPr>
          <w:rFonts w:hint="eastAsia"/>
          <w:lang w:val="es-ES"/>
        </w:rPr>
        <w:t>，该平台通过与相关的民间社会组织和国家教育机构协调行动和战略，考虑到残疾人显然是一个弱势人口群体，将尤其重视</w:t>
      </w:r>
      <w:r>
        <w:rPr>
          <w:rFonts w:hint="eastAsia"/>
        </w:rPr>
        <w:t>残疾人的受教育，同时重视通过教育制度使残疾人继续学习并取得进步。</w:t>
      </w:r>
    </w:p>
    <w:p w:rsidR="00DA7251" w:rsidRDefault="00DA7251">
      <w:pPr>
        <w:pStyle w:val="SingleTxtGC"/>
        <w:rPr>
          <w:lang w:val="es-ES"/>
        </w:rPr>
      </w:pPr>
      <w:r>
        <w:rPr>
          <w:lang w:val="es-ES"/>
        </w:rPr>
        <w:t xml:space="preserve">142.  </w:t>
      </w:r>
      <w:r>
        <w:rPr>
          <w:rFonts w:hint="eastAsia"/>
        </w:rPr>
        <w:t>全纳教育委员会的成员构成为：五名成员来自民间社会组织，他们是该领域公认的代表并具有一定的资质，另五名成员来自教育和文化部，代表负责国家教育体系不同部门各局。这样的人员配置是为了整合与残疾人及其教育相关的各部门的行动，针对全纳教育领域现存的各种障碍提出解决方案。</w:t>
      </w:r>
    </w:p>
    <w:p w:rsidR="00DA7251" w:rsidRDefault="00DA7251">
      <w:pPr>
        <w:pStyle w:val="SingleTxtGC"/>
        <w:rPr>
          <w:lang w:val="es-ES"/>
        </w:rPr>
      </w:pPr>
      <w:r>
        <w:rPr>
          <w:lang w:val="es-ES"/>
        </w:rPr>
        <w:t xml:space="preserve">143.  </w:t>
      </w:r>
      <w:r>
        <w:rPr>
          <w:rFonts w:hint="eastAsia"/>
        </w:rPr>
        <w:t>早期教育方案中很少涉及残疾儿童。根据教育和文化部</w:t>
      </w:r>
      <w:r>
        <w:rPr>
          <w:rStyle w:val="FootnoteReference"/>
        </w:rPr>
        <w:footnoteReference w:id="45"/>
      </w:r>
      <w:r>
        <w:rPr>
          <w:rStyle w:val="FootnoteReference"/>
          <w:vertAlign w:val="baseline"/>
        </w:rPr>
        <w:t xml:space="preserve"> </w:t>
      </w:r>
      <w:r>
        <w:rPr>
          <w:rFonts w:hint="eastAsia"/>
        </w:rPr>
        <w:t>与公共卫生和社会福利部签署的一项协议以及一项国际合作协议，正在全国多个地方组织设立了早期学习服务</w:t>
      </w:r>
      <w:r>
        <w:rPr>
          <w:rFonts w:hint="eastAsia"/>
          <w:lang w:val="es-ES"/>
        </w:rPr>
        <w:t>，</w:t>
      </w:r>
      <w:r>
        <w:rPr>
          <w:rFonts w:hint="eastAsia"/>
        </w:rPr>
        <w:t>以提高残疾人的参与率和覆盖率。</w:t>
      </w:r>
    </w:p>
    <w:p w:rsidR="00DA7251" w:rsidRDefault="00DA7251">
      <w:pPr>
        <w:pStyle w:val="SingleTxtGC"/>
        <w:rPr>
          <w:lang w:val="es-ES"/>
        </w:rPr>
      </w:pPr>
      <w:r>
        <w:rPr>
          <w:lang w:val="es-ES"/>
        </w:rPr>
        <w:t xml:space="preserve">144.  </w:t>
      </w:r>
      <w:r>
        <w:rPr>
          <w:rFonts w:hint="eastAsia"/>
        </w:rPr>
        <w:t>教育和文化部采取了下列官方行动</w:t>
      </w:r>
      <w:r>
        <w:rPr>
          <w:rFonts w:hint="eastAsia"/>
          <w:lang w:val="es-ES"/>
        </w:rPr>
        <w:t>：</w:t>
      </w:r>
    </w:p>
    <w:p w:rsidR="00DA7251" w:rsidRDefault="00DA7251">
      <w:pPr>
        <w:pStyle w:val="SingleTxtGC"/>
        <w:numPr>
          <w:ilvl w:val="0"/>
          <w:numId w:val="19"/>
        </w:numPr>
        <w:rPr>
          <w:lang w:val="es-ES"/>
        </w:rPr>
      </w:pPr>
      <w:r>
        <w:rPr>
          <w:lang w:val="es-ES"/>
        </w:rPr>
        <w:t>2008</w:t>
      </w:r>
      <w:r>
        <w:t>年</w:t>
      </w:r>
      <w:r>
        <w:rPr>
          <w:lang w:val="es-ES"/>
        </w:rPr>
        <w:t>8</w:t>
      </w:r>
      <w:r>
        <w:t>月</w:t>
      </w:r>
      <w:r>
        <w:rPr>
          <w:rFonts w:hint="eastAsia"/>
          <w:lang w:val="es-ES"/>
        </w:rPr>
        <w:t>，</w:t>
      </w:r>
      <w:r>
        <w:rPr>
          <w:rFonts w:hint="eastAsia"/>
        </w:rPr>
        <w:t>在教育和文化部内设立了全纳教育总局；</w:t>
      </w:r>
    </w:p>
    <w:p w:rsidR="00DA7251" w:rsidRDefault="00DA7251">
      <w:pPr>
        <w:pStyle w:val="SingleTxtGC"/>
        <w:numPr>
          <w:ilvl w:val="0"/>
          <w:numId w:val="19"/>
        </w:numPr>
        <w:rPr>
          <w:rFonts w:hint="eastAsia"/>
          <w:lang w:val="es-ES"/>
        </w:rPr>
      </w:pPr>
      <w:r>
        <w:t>成立全纳教育总局</w:t>
      </w:r>
      <w:r>
        <w:rPr>
          <w:lang w:val="es-ES"/>
        </w:rPr>
        <w:t>，</w:t>
      </w:r>
      <w:r>
        <w:t>并将原先的特殊教育局更名为</w:t>
      </w:r>
      <w:bookmarkStart w:id="9" w:name="OLE_LINK60"/>
      <w:r>
        <w:t>有特殊教育需求人士教育局</w:t>
      </w:r>
      <w:bookmarkEnd w:id="9"/>
      <w:r>
        <w:rPr>
          <w:rFonts w:hint="eastAsia"/>
        </w:rPr>
        <w:t>；</w:t>
      </w:r>
    </w:p>
    <w:p w:rsidR="00DA7251" w:rsidRDefault="00DA7251">
      <w:pPr>
        <w:pStyle w:val="SingleTxtGC"/>
        <w:numPr>
          <w:ilvl w:val="0"/>
          <w:numId w:val="19"/>
        </w:numPr>
        <w:rPr>
          <w:rFonts w:hint="eastAsia"/>
          <w:lang w:val="es-ES"/>
        </w:rPr>
      </w:pPr>
      <w:r>
        <w:t>参加</w:t>
      </w:r>
      <w:r>
        <w:rPr>
          <w:rFonts w:hint="eastAsia"/>
        </w:rPr>
        <w:t>机构间委员会工作</w:t>
      </w:r>
      <w:r>
        <w:rPr>
          <w:lang w:val="es-ES"/>
        </w:rPr>
        <w:t>，</w:t>
      </w:r>
      <w:r>
        <w:t>制定</w:t>
      </w:r>
      <w:r>
        <w:rPr>
          <w:rFonts w:hint="eastAsia"/>
        </w:rPr>
        <w:t>国家</w:t>
      </w:r>
      <w:r>
        <w:t>计划</w:t>
      </w:r>
      <w:r>
        <w:rPr>
          <w:rFonts w:hint="eastAsia"/>
        </w:rPr>
        <w:t>(</w:t>
      </w:r>
      <w:r>
        <w:rPr>
          <w:rFonts w:hint="eastAsia"/>
          <w:lang w:val="es-ES"/>
        </w:rPr>
        <w:t>关于</w:t>
      </w:r>
      <w:r>
        <w:t>幼儿、就业、公共职能部门</w:t>
      </w:r>
      <w:r>
        <w:rPr>
          <w:rFonts w:hint="eastAsia"/>
        </w:rPr>
        <w:t>中</w:t>
      </w:r>
      <w:r>
        <w:t>残疾妇女</w:t>
      </w:r>
      <w:r>
        <w:rPr>
          <w:rFonts w:hint="eastAsia"/>
        </w:rPr>
        <w:t>的</w:t>
      </w:r>
      <w:r>
        <w:t>国家计划</w:t>
      </w:r>
      <w:r>
        <w:rPr>
          <w:rFonts w:hint="eastAsia"/>
        </w:rPr>
        <w:t>)</w:t>
      </w:r>
      <w:r>
        <w:rPr>
          <w:rFonts w:hint="eastAsia"/>
        </w:rPr>
        <w:t>；</w:t>
      </w:r>
    </w:p>
    <w:p w:rsidR="00DA7251" w:rsidRDefault="00DA7251">
      <w:pPr>
        <w:pStyle w:val="SingleTxtGC"/>
        <w:numPr>
          <w:ilvl w:val="0"/>
          <w:numId w:val="19"/>
        </w:numPr>
        <w:rPr>
          <w:lang w:val="es-ES"/>
        </w:rPr>
      </w:pPr>
      <w:r>
        <w:t>公共卫生和社会福利部</w:t>
      </w:r>
      <w:r>
        <w:rPr>
          <w:rFonts w:hint="eastAsia"/>
        </w:rPr>
        <w:t>、教育和文化部</w:t>
      </w:r>
      <w:r>
        <w:rPr>
          <w:rFonts w:hint="eastAsia"/>
          <w:spacing w:val="-50"/>
        </w:rPr>
        <w:t>―</w:t>
      </w:r>
      <w:r>
        <w:rPr>
          <w:rFonts w:hint="eastAsia"/>
          <w:spacing w:val="10"/>
        </w:rPr>
        <w:t>―</w:t>
      </w:r>
      <w:r>
        <w:t>通过全纳教育总局</w:t>
      </w:r>
      <w:r>
        <w:rPr>
          <w:rFonts w:hint="eastAsia"/>
          <w:spacing w:val="-50"/>
        </w:rPr>
        <w:t>―</w:t>
      </w:r>
      <w:r>
        <w:rPr>
          <w:rFonts w:hint="eastAsia"/>
          <w:spacing w:val="10"/>
        </w:rPr>
        <w:t>―</w:t>
      </w:r>
      <w:r>
        <w:rPr>
          <w:rFonts w:hint="eastAsia"/>
        </w:rPr>
        <w:t>和</w:t>
      </w:r>
      <w:r>
        <w:t>全国特殊人士保护研究所</w:t>
      </w:r>
      <w:r>
        <w:rPr>
          <w:rFonts w:hint="eastAsia"/>
        </w:rPr>
        <w:t>联合建立</w:t>
      </w:r>
      <w:r>
        <w:t>各种</w:t>
      </w:r>
      <w:r>
        <w:rPr>
          <w:rFonts w:hint="eastAsia"/>
        </w:rPr>
        <w:t>照顾和</w:t>
      </w:r>
      <w:r>
        <w:t>早期</w:t>
      </w:r>
      <w:r>
        <w:rPr>
          <w:rFonts w:hint="eastAsia"/>
        </w:rPr>
        <w:t>学习机构</w:t>
      </w:r>
      <w:r>
        <w:t>。</w:t>
      </w:r>
    </w:p>
    <w:p w:rsidR="00DA7251" w:rsidRDefault="00DA7251">
      <w:pPr>
        <w:pStyle w:val="SingleTxtGC"/>
        <w:rPr>
          <w:lang w:val="es-ES"/>
        </w:rPr>
      </w:pPr>
      <w:r>
        <w:rPr>
          <w:lang w:val="es-ES"/>
        </w:rPr>
        <w:t xml:space="preserve">145.  </w:t>
      </w:r>
      <w:r>
        <w:rPr>
          <w:rFonts w:hint="eastAsia"/>
        </w:rPr>
        <w:t>全纳教育总局有一个专为视觉障碍残疾人服务的盲文资料和触觉图形印刷中心。还对教师开展巴拉圭手语培训</w:t>
      </w:r>
      <w:r>
        <w:rPr>
          <w:rFonts w:hint="eastAsia"/>
          <w:lang w:val="es-ES"/>
        </w:rPr>
        <w:t>，</w:t>
      </w:r>
      <w:r>
        <w:rPr>
          <w:rFonts w:hint="eastAsia"/>
        </w:rPr>
        <w:t>巴拉圭已将盲文、触觉图形和有声读物纳入国家教育系统</w:t>
      </w:r>
      <w:r>
        <w:rPr>
          <w:rFonts w:hint="eastAsia"/>
          <w:lang w:val="es-ES"/>
        </w:rPr>
        <w:t>，</w:t>
      </w:r>
      <w:r>
        <w:rPr>
          <w:rFonts w:hint="eastAsia"/>
        </w:rPr>
        <w:t>并发放用盲文印刷的资料。</w:t>
      </w:r>
    </w:p>
    <w:p w:rsidR="00DA7251" w:rsidRDefault="00DA7251">
      <w:pPr>
        <w:pStyle w:val="SingleTxtGC"/>
        <w:rPr>
          <w:lang w:val="es-ES"/>
        </w:rPr>
      </w:pPr>
      <w:r>
        <w:rPr>
          <w:lang w:val="es-ES"/>
        </w:rPr>
        <w:t xml:space="preserve">146.  </w:t>
      </w:r>
      <w:r>
        <w:rPr>
          <w:rFonts w:hint="eastAsia"/>
        </w:rPr>
        <w:t>巴拉圭成立了巴拉圭手语常设委员会</w:t>
      </w:r>
      <w:r>
        <w:rPr>
          <w:rFonts w:hint="eastAsia"/>
          <w:lang w:val="es-ES"/>
        </w:rPr>
        <w:t>，</w:t>
      </w:r>
      <w:r>
        <w:rPr>
          <w:rFonts w:hint="eastAsia"/>
        </w:rPr>
        <w:t>发放巴拉圭手语数字式手册和字典。在有特殊教育需求人士教育局的人员编制中设立了巴拉圭手语翻译</w:t>
      </w:r>
      <w:r>
        <w:rPr>
          <w:rFonts w:hint="eastAsia"/>
          <w:lang w:val="es-ES"/>
        </w:rPr>
        <w:t>，</w:t>
      </w:r>
      <w:r>
        <w:rPr>
          <w:rFonts w:hint="eastAsia"/>
        </w:rPr>
        <w:t>并对该局自身部门和教育机构的教育人员、授课讲师和专业人士进行在职培训。</w:t>
      </w:r>
    </w:p>
    <w:p w:rsidR="00DA7251" w:rsidRDefault="00DA7251">
      <w:pPr>
        <w:pStyle w:val="SingleTxtGC"/>
        <w:rPr>
          <w:lang w:val="es-ES"/>
        </w:rPr>
      </w:pPr>
      <w:r>
        <w:rPr>
          <w:lang w:val="es-ES"/>
        </w:rPr>
        <w:t xml:space="preserve">147.  </w:t>
      </w:r>
      <w:r>
        <w:rPr>
          <w:rFonts w:hint="eastAsia"/>
        </w:rPr>
        <w:t>此外</w:t>
      </w:r>
      <w:r>
        <w:rPr>
          <w:rFonts w:hint="eastAsia"/>
          <w:lang w:val="es-ES"/>
        </w:rPr>
        <w:t>，</w:t>
      </w:r>
      <w:r>
        <w:rPr>
          <w:rFonts w:hint="eastAsia"/>
        </w:rPr>
        <w:t>巴拉圭还对正规教育系统的教师进行了培训</w:t>
      </w:r>
      <w:r>
        <w:rPr>
          <w:rFonts w:hint="eastAsia"/>
          <w:lang w:val="es-ES"/>
        </w:rPr>
        <w:t>，以支持残疾人的融合，</w:t>
      </w:r>
      <w:r>
        <w:rPr>
          <w:rFonts w:hint="eastAsia"/>
        </w:rPr>
        <w:t>并在教育和文化部下属各局之间建立了工作小组，以协调国家教育系统中课程调整适应、评估机制和残疾人统计数据方面的行动，并积极参与制定针对</w:t>
      </w:r>
      <w:r>
        <w:rPr>
          <w:rFonts w:hint="eastAsia"/>
        </w:rPr>
        <w:t>15</w:t>
      </w:r>
      <w:r>
        <w:rPr>
          <w:rFonts w:hint="eastAsia"/>
        </w:rPr>
        <w:t>岁以上残疾人双语基础教育的课程；还设计了以权利为基础的课程。</w:t>
      </w:r>
    </w:p>
    <w:p w:rsidR="00DA7251" w:rsidRDefault="00DA7251">
      <w:pPr>
        <w:pStyle w:val="SingleTxtGC"/>
        <w:rPr>
          <w:lang w:val="es-ES"/>
        </w:rPr>
      </w:pPr>
      <w:r>
        <w:rPr>
          <w:lang w:val="es-ES"/>
        </w:rPr>
        <w:t xml:space="preserve">148.  </w:t>
      </w:r>
      <w:r>
        <w:rPr>
          <w:rFonts w:hint="eastAsia"/>
        </w:rPr>
        <w:t>教育和文化部下属的全纳教育总局以《残疾人权利公约》</w:t>
      </w:r>
      <w:r>
        <w:rPr>
          <w:rFonts w:hint="eastAsia"/>
          <w:lang w:val="es-ES"/>
        </w:rPr>
        <w:t>(</w:t>
      </w:r>
      <w:r>
        <w:rPr>
          <w:rFonts w:hint="eastAsia"/>
        </w:rPr>
        <w:t>特别是第</w:t>
      </w:r>
      <w:r>
        <w:rPr>
          <w:rFonts w:hint="eastAsia"/>
          <w:lang w:val="es-ES"/>
        </w:rPr>
        <w:t>二十一</w:t>
      </w:r>
      <w:r>
        <w:t>条</w:t>
      </w:r>
      <w:r>
        <w:rPr>
          <w:rFonts w:hint="eastAsia"/>
        </w:rPr>
        <w:t>第五款</w:t>
      </w:r>
      <w:r>
        <w:rPr>
          <w:rFonts w:hint="eastAsia"/>
          <w:lang w:val="es-ES"/>
        </w:rPr>
        <w:t>)</w:t>
      </w:r>
      <w:r>
        <w:rPr>
          <w:rFonts w:hint="eastAsia"/>
        </w:rPr>
        <w:t>为基础通过了下列决议</w:t>
      </w:r>
      <w:r>
        <w:rPr>
          <w:rFonts w:hint="eastAsia"/>
          <w:lang w:val="es-ES"/>
        </w:rPr>
        <w:t>：</w:t>
      </w:r>
    </w:p>
    <w:p w:rsidR="00DA7251" w:rsidRDefault="00DA7251">
      <w:pPr>
        <w:pStyle w:val="SingleTxtGC"/>
        <w:numPr>
          <w:ilvl w:val="0"/>
          <w:numId w:val="20"/>
        </w:numPr>
        <w:rPr>
          <w:rFonts w:hint="eastAsia"/>
          <w:lang w:val="es-ES"/>
        </w:rPr>
      </w:pPr>
      <w:smartTag w:uri="urn:schemas-microsoft-com:office:smarttags" w:element="chsdate">
        <w:smartTagPr>
          <w:attr w:name="Year" w:val="2009"/>
          <w:attr w:name="Month" w:val="7"/>
          <w:attr w:name="Day" w:val="13"/>
          <w:attr w:name="IsLunarDate" w:val="False"/>
          <w:attr w:name="IsROCDate" w:val="False"/>
        </w:smartTagPr>
        <w:r>
          <w:rPr>
            <w:lang w:val="es-ES"/>
          </w:rPr>
          <w:t>2009</w:t>
        </w:r>
        <w:r>
          <w:t>年</w:t>
        </w:r>
        <w:r>
          <w:rPr>
            <w:lang w:val="es-ES"/>
          </w:rPr>
          <w:t>7</w:t>
        </w:r>
        <w:r>
          <w:t>月</w:t>
        </w:r>
        <w:r>
          <w:rPr>
            <w:lang w:val="es-ES"/>
          </w:rPr>
          <w:t>13</w:t>
        </w:r>
        <w:r>
          <w:t>日</w:t>
        </w:r>
      </w:smartTag>
      <w:r>
        <w:t>的第</w:t>
      </w:r>
      <w:r>
        <w:rPr>
          <w:lang w:val="es-ES"/>
        </w:rPr>
        <w:t>43</w:t>
      </w:r>
      <w:r>
        <w:t>号决议</w:t>
      </w:r>
      <w:r>
        <w:rPr>
          <w:lang w:val="es-ES"/>
        </w:rPr>
        <w:t>：</w:t>
      </w:r>
      <w:r>
        <w:t>通过该决议</w:t>
      </w:r>
      <w:r>
        <w:rPr>
          <w:lang w:val="es-ES"/>
        </w:rPr>
        <w:t>，</w:t>
      </w:r>
      <w:r>
        <w:t>巴拉圭</w:t>
      </w:r>
      <w:bookmarkStart w:id="10" w:name="OLE_LINK4"/>
      <w:r>
        <w:t>在教育体系</w:t>
      </w:r>
      <w:r>
        <w:rPr>
          <w:rFonts w:hint="eastAsia"/>
        </w:rPr>
        <w:t>的</w:t>
      </w:r>
      <w:r>
        <w:t>公立、政府补贴和私立</w:t>
      </w:r>
      <w:r>
        <w:rPr>
          <w:rFonts w:hint="eastAsia"/>
        </w:rPr>
        <w:t>机构</w:t>
      </w:r>
      <w:bookmarkEnd w:id="10"/>
      <w:r>
        <w:rPr>
          <w:rFonts w:hint="eastAsia"/>
        </w:rPr>
        <w:t>提供</w:t>
      </w:r>
      <w:r>
        <w:t>手语服务</w:t>
      </w:r>
      <w:r>
        <w:rPr>
          <w:rFonts w:hint="eastAsia"/>
        </w:rPr>
        <w:t>；</w:t>
      </w:r>
    </w:p>
    <w:p w:rsidR="00DA7251" w:rsidRDefault="00DA7251">
      <w:pPr>
        <w:pStyle w:val="SingleTxtGC"/>
        <w:numPr>
          <w:ilvl w:val="0"/>
          <w:numId w:val="20"/>
        </w:numPr>
        <w:rPr>
          <w:rFonts w:hint="eastAsia"/>
          <w:lang w:val="es-ES"/>
        </w:rPr>
      </w:pPr>
      <w:smartTag w:uri="urn:schemas-microsoft-com:office:smarttags" w:element="chsdate">
        <w:smartTagPr>
          <w:attr w:name="Year" w:val="2009"/>
          <w:attr w:name="Month" w:val="7"/>
          <w:attr w:name="Day" w:val="20"/>
          <w:attr w:name="IsLunarDate" w:val="False"/>
          <w:attr w:name="IsROCDate" w:val="False"/>
        </w:smartTagPr>
        <w:r>
          <w:rPr>
            <w:lang w:val="es-ES"/>
          </w:rPr>
          <w:t>2009</w:t>
        </w:r>
        <w:r>
          <w:t>年</w:t>
        </w:r>
        <w:r>
          <w:rPr>
            <w:lang w:val="es-ES"/>
          </w:rPr>
          <w:t>7</w:t>
        </w:r>
        <w:r>
          <w:t>月</w:t>
        </w:r>
        <w:r>
          <w:rPr>
            <w:lang w:val="es-ES"/>
          </w:rPr>
          <w:t>20</w:t>
        </w:r>
        <w:r>
          <w:t>日</w:t>
        </w:r>
      </w:smartTag>
      <w:r>
        <w:t>的第</w:t>
      </w:r>
      <w:r>
        <w:rPr>
          <w:lang w:val="es-ES"/>
        </w:rPr>
        <w:t>1359</w:t>
      </w:r>
      <w:r>
        <w:t>号决议</w:t>
      </w:r>
      <w:r>
        <w:rPr>
          <w:lang w:val="es-ES"/>
        </w:rPr>
        <w:t>：</w:t>
      </w:r>
      <w:r>
        <w:t>该决议批准在</w:t>
      </w:r>
      <w:r>
        <w:rPr>
          <w:rFonts w:hint="eastAsia"/>
        </w:rPr>
        <w:t>在教育体系的公立、政府补贴和私立机构</w:t>
      </w:r>
      <w:r>
        <w:t>使用手语版巴拉圭国歌</w:t>
      </w:r>
      <w:r>
        <w:rPr>
          <w:rFonts w:hint="eastAsia"/>
        </w:rPr>
        <w:t>；</w:t>
      </w:r>
    </w:p>
    <w:p w:rsidR="00DA7251" w:rsidRDefault="00DA7251">
      <w:pPr>
        <w:pStyle w:val="SingleTxtGC"/>
        <w:numPr>
          <w:ilvl w:val="0"/>
          <w:numId w:val="20"/>
        </w:numPr>
        <w:rPr>
          <w:rFonts w:hint="eastAsia"/>
          <w:lang w:val="es-ES"/>
        </w:rPr>
      </w:pPr>
      <w:r>
        <w:t>全纳教育总局第</w:t>
      </w:r>
      <w:r>
        <w:rPr>
          <w:lang w:val="es-ES"/>
        </w:rPr>
        <w:t>31</w:t>
      </w:r>
      <w:r>
        <w:t>号决议</w:t>
      </w:r>
      <w:r>
        <w:rPr>
          <w:lang w:val="es-ES"/>
        </w:rPr>
        <w:t>：</w:t>
      </w:r>
      <w:r>
        <w:t>通过该决议</w:t>
      </w:r>
      <w:r>
        <w:rPr>
          <w:lang w:val="es-ES"/>
        </w:rPr>
        <w:t>，</w:t>
      </w:r>
      <w:r>
        <w:t>全纳教育总局对巴拉圭手语全国常设委员会的地位予以认可</w:t>
      </w:r>
      <w:r>
        <w:rPr>
          <w:rFonts w:hint="eastAsia"/>
        </w:rPr>
        <w:t>；</w:t>
      </w:r>
    </w:p>
    <w:p w:rsidR="00DA7251" w:rsidRDefault="00DA7251">
      <w:pPr>
        <w:pStyle w:val="SingleTxtGC"/>
        <w:numPr>
          <w:ilvl w:val="0"/>
          <w:numId w:val="20"/>
        </w:numPr>
        <w:rPr>
          <w:rFonts w:hint="eastAsia"/>
          <w:lang w:val="es-ES"/>
        </w:rPr>
      </w:pPr>
      <w:smartTag w:uri="urn:schemas-microsoft-com:office:smarttags" w:element="chsdate">
        <w:smartTagPr>
          <w:attr w:name="Year" w:val="2009"/>
          <w:attr w:name="Month" w:val="8"/>
          <w:attr w:name="Day" w:val="11"/>
          <w:attr w:name="IsLunarDate" w:val="False"/>
          <w:attr w:name="IsROCDate" w:val="False"/>
        </w:smartTagPr>
        <w:r>
          <w:rPr>
            <w:lang w:val="es-ES"/>
          </w:rPr>
          <w:t>2009</w:t>
        </w:r>
        <w:r>
          <w:t>年</w:t>
        </w:r>
        <w:r>
          <w:rPr>
            <w:lang w:val="es-ES"/>
          </w:rPr>
          <w:t>8</w:t>
        </w:r>
        <w:r>
          <w:t>月</w:t>
        </w:r>
        <w:r>
          <w:rPr>
            <w:lang w:val="es-ES"/>
          </w:rPr>
          <w:t>11</w:t>
        </w:r>
        <w:r>
          <w:t>日</w:t>
        </w:r>
      </w:smartTag>
      <w:r>
        <w:t>的第</w:t>
      </w:r>
      <w:r>
        <w:rPr>
          <w:lang w:val="es-ES"/>
        </w:rPr>
        <w:t>4256</w:t>
      </w:r>
      <w:r>
        <w:t>号决议</w:t>
      </w:r>
      <w:r>
        <w:rPr>
          <w:lang w:val="es-ES"/>
        </w:rPr>
        <w:t>：</w:t>
      </w:r>
      <w:r>
        <w:t>该决议批准在公立医院逐步建立课堂</w:t>
      </w:r>
      <w:r>
        <w:rPr>
          <w:lang w:val="es-ES"/>
        </w:rPr>
        <w:t>，</w:t>
      </w:r>
      <w:r>
        <w:rPr>
          <w:rFonts w:hint="eastAsia"/>
        </w:rPr>
        <w:t>服务</w:t>
      </w:r>
      <w:r>
        <w:t>长期住院的儿童和青少年</w:t>
      </w:r>
      <w:r>
        <w:rPr>
          <w:rFonts w:hint="eastAsia"/>
        </w:rPr>
        <w:t>；</w:t>
      </w:r>
    </w:p>
    <w:p w:rsidR="00DA7251" w:rsidRDefault="00DA7251">
      <w:pPr>
        <w:pStyle w:val="SingleTxtGC"/>
        <w:numPr>
          <w:ilvl w:val="0"/>
          <w:numId w:val="20"/>
        </w:numPr>
        <w:rPr>
          <w:lang w:val="es-ES"/>
        </w:rPr>
      </w:pPr>
      <w:r>
        <w:t>第</w:t>
      </w:r>
      <w:r>
        <w:rPr>
          <w:lang w:val="es-ES"/>
        </w:rPr>
        <w:t>30</w:t>
      </w:r>
      <w:r>
        <w:t>条</w:t>
      </w:r>
      <w:r>
        <w:rPr>
          <w:lang w:val="es-ES"/>
        </w:rPr>
        <w:t>：</w:t>
      </w:r>
      <w:r>
        <w:t>参与文化生活、娱乐、休闲和体育活动。</w:t>
      </w:r>
    </w:p>
    <w:p w:rsidR="00DA7251" w:rsidRDefault="00DA7251">
      <w:pPr>
        <w:pStyle w:val="SingleTxtGC"/>
        <w:rPr>
          <w:lang w:val="es-ES"/>
        </w:rPr>
      </w:pPr>
      <w:r>
        <w:rPr>
          <w:lang w:val="es-ES"/>
        </w:rPr>
        <w:t xml:space="preserve">149.  </w:t>
      </w:r>
      <w:r>
        <w:rPr>
          <w:rFonts w:hint="eastAsia"/>
        </w:rPr>
        <w:t>此外</w:t>
      </w:r>
      <w:r>
        <w:rPr>
          <w:rFonts w:hint="eastAsia"/>
          <w:lang w:val="es-ES"/>
        </w:rPr>
        <w:t>，</w:t>
      </w:r>
      <w:r>
        <w:rPr>
          <w:rFonts w:hint="eastAsia"/>
        </w:rPr>
        <w:t>正收集特殊学校、幼儿园和中小学残疾学生的统计数据。</w:t>
      </w:r>
    </w:p>
    <w:p w:rsidR="00DA7251" w:rsidRDefault="00DA7251">
      <w:pPr>
        <w:pStyle w:val="H1GC"/>
        <w:rPr>
          <w:lang w:val="es-ES_tradnl"/>
        </w:rPr>
      </w:pPr>
      <w:r>
        <w:rPr>
          <w:rFonts w:hint="eastAsia"/>
          <w:lang w:val="es-ES_tradnl"/>
        </w:rPr>
        <w:tab/>
      </w:r>
      <w:r>
        <w:rPr>
          <w:lang w:val="es-ES_tradnl"/>
        </w:rPr>
        <w:t>N.</w:t>
      </w:r>
      <w:r>
        <w:rPr>
          <w:lang w:val="es-ES_tradnl"/>
        </w:rPr>
        <w:tab/>
      </w:r>
      <w:r>
        <w:rPr>
          <w:rFonts w:hint="eastAsia"/>
          <w:lang w:val="es-ES_tradnl"/>
        </w:rPr>
        <w:t>第二十五条：健康</w:t>
      </w:r>
    </w:p>
    <w:p w:rsidR="00DA7251" w:rsidRDefault="00DA7251">
      <w:pPr>
        <w:pStyle w:val="SingleTxtGC"/>
        <w:rPr>
          <w:lang w:val="es-ES"/>
        </w:rPr>
      </w:pPr>
      <w:r>
        <w:rPr>
          <w:lang w:val="es-ES"/>
        </w:rPr>
        <w:t xml:space="preserve">150.  </w:t>
      </w:r>
      <w:r>
        <w:rPr>
          <w:rFonts w:hint="eastAsia"/>
        </w:rPr>
        <w:t>巴拉圭各省首府的地区级医院已具备了康复治疗的能力。目标是在所有地区级医院实现康复治疗的全覆盖。目前，已有两家地区级医院具备了康复治疗功能，另两家则正在建设中。</w:t>
      </w:r>
    </w:p>
    <w:p w:rsidR="00DA7251" w:rsidRDefault="00DA7251">
      <w:pPr>
        <w:pStyle w:val="SingleTxtGC"/>
        <w:rPr>
          <w:lang w:val="es-ES"/>
        </w:rPr>
      </w:pPr>
      <w:r>
        <w:rPr>
          <w:lang w:val="es-ES"/>
        </w:rPr>
        <w:t xml:space="preserve">151.  </w:t>
      </w:r>
      <w:r>
        <w:rPr>
          <w:rFonts w:hint="eastAsia"/>
        </w:rPr>
        <w:t>巴拉圭通过</w:t>
      </w:r>
      <w:r>
        <w:t>第</w:t>
      </w:r>
      <w:r>
        <w:rPr>
          <w:lang w:val="es-ES"/>
        </w:rPr>
        <w:t>2669/10</w:t>
      </w:r>
      <w:r>
        <w:t>号决议</w:t>
      </w:r>
      <w:r>
        <w:rPr>
          <w:lang w:val="es-ES"/>
        </w:rPr>
        <w:t>，</w:t>
      </w:r>
      <w:r>
        <w:t>指派</w:t>
      </w:r>
      <w:r>
        <w:rPr>
          <w:rFonts w:hint="eastAsia"/>
        </w:rPr>
        <w:t>专业人员到指导委员会任职，以编写“</w:t>
      </w:r>
      <w:r>
        <w:t>2010</w:t>
      </w:r>
      <w:r>
        <w:rPr>
          <w:rFonts w:hint="eastAsia"/>
        </w:rPr>
        <w:t>年运作计划</w:t>
      </w:r>
      <w:r>
        <w:rPr>
          <w:rFonts w:hint="eastAsia"/>
          <w:lang w:val="es-ES"/>
        </w:rPr>
        <w:t>”</w:t>
      </w:r>
      <w:r>
        <w:rPr>
          <w:rFonts w:hint="eastAsia"/>
        </w:rPr>
        <w:t>。该委员会负责公共卫生和社会福利部内残疾人的招聘、留任和擢升事务，该计划是与公共事务秘书处和社会福利研究院一起撰写的。目前该计划正等待审批；批准后即可立即付诸实施。</w:t>
      </w:r>
    </w:p>
    <w:p w:rsidR="00DA7251" w:rsidRDefault="00DA7251">
      <w:pPr>
        <w:pStyle w:val="SingleTxtGC"/>
        <w:rPr>
          <w:lang w:val="es-ES"/>
        </w:rPr>
      </w:pPr>
      <w:r>
        <w:rPr>
          <w:lang w:val="es-ES"/>
        </w:rPr>
        <w:t xml:space="preserve">152.  </w:t>
      </w:r>
      <w:r>
        <w:rPr>
          <w:rFonts w:hint="eastAsia"/>
        </w:rPr>
        <w:t>社会福利研究院与泛美卫生组织</w:t>
      </w:r>
      <w:r>
        <w:rPr>
          <w:rFonts w:hint="eastAsia"/>
        </w:rPr>
        <w:t>/</w:t>
      </w:r>
      <w:r>
        <w:rPr>
          <w:rFonts w:hint="eastAsia"/>
        </w:rPr>
        <w:t>世界卫生组织驻巴拉圭办事处进行对话</w:t>
      </w:r>
      <w:r>
        <w:rPr>
          <w:rFonts w:hint="eastAsia"/>
          <w:lang w:val="es-ES"/>
        </w:rPr>
        <w:t>，</w:t>
      </w:r>
      <w:r>
        <w:rPr>
          <w:rFonts w:hint="eastAsia"/>
        </w:rPr>
        <w:t>以获得后勤支持</w:t>
      </w:r>
      <w:r>
        <w:rPr>
          <w:rFonts w:hint="eastAsia"/>
          <w:lang w:val="es-ES"/>
        </w:rPr>
        <w:t>，</w:t>
      </w:r>
      <w:r>
        <w:rPr>
          <w:rFonts w:hint="eastAsia"/>
        </w:rPr>
        <w:t>引进外国专业人员用</w:t>
      </w:r>
      <w:r>
        <w:rPr>
          <w:rFonts w:hint="eastAsia"/>
          <w:lang w:val="es-ES"/>
        </w:rPr>
        <w:t>“</w:t>
      </w:r>
      <w:r>
        <w:rPr>
          <w:lang w:val="es-ES"/>
        </w:rPr>
        <w:t>Estrella</w:t>
      </w:r>
      <w:r>
        <w:rPr>
          <w:rFonts w:hint="eastAsia"/>
          <w:lang w:val="es-ES"/>
        </w:rPr>
        <w:t>”方法教授课程</w:t>
      </w:r>
      <w:r>
        <w:rPr>
          <w:rFonts w:hint="eastAsia"/>
        </w:rPr>
        <w:t>，从而评估残疾人的能力。</w:t>
      </w:r>
    </w:p>
    <w:p w:rsidR="00DA7251" w:rsidRDefault="00DA7251">
      <w:pPr>
        <w:pStyle w:val="SingleTxtGC"/>
        <w:rPr>
          <w:lang w:val="es-ES"/>
        </w:rPr>
      </w:pPr>
      <w:r>
        <w:rPr>
          <w:lang w:val="es-ES"/>
        </w:rPr>
        <w:t xml:space="preserve">153.  </w:t>
      </w:r>
      <w:r>
        <w:rPr>
          <w:rFonts w:hint="eastAsia"/>
        </w:rPr>
        <w:t>社会福利研究院出版了载有第</w:t>
      </w:r>
      <w:r>
        <w:rPr>
          <w:lang w:val="es-ES"/>
        </w:rPr>
        <w:t>980/09</w:t>
      </w:r>
      <w:r>
        <w:t>号决议的小册子。该决议</w:t>
      </w:r>
      <w:r>
        <w:rPr>
          <w:rFonts w:hint="eastAsia"/>
        </w:rPr>
        <w:t>提到了《</w:t>
      </w:r>
      <w:r>
        <w:t>第</w:t>
      </w:r>
      <w:r>
        <w:t>2479/04</w:t>
      </w:r>
      <w:r>
        <w:t>号法</w:t>
      </w:r>
      <w:r>
        <w:rPr>
          <w:rFonts w:hint="eastAsia"/>
        </w:rPr>
        <w:t>案》</w:t>
      </w:r>
      <w:r>
        <w:t>及其修正案</w:t>
      </w:r>
      <w:r>
        <w:rPr>
          <w:rFonts w:hint="eastAsia"/>
        </w:rPr>
        <w:t>《</w:t>
      </w:r>
      <w:r>
        <w:t>第</w:t>
      </w:r>
      <w:r>
        <w:t>3585/08</w:t>
      </w:r>
      <w:r>
        <w:t>号法</w:t>
      </w:r>
      <w:r>
        <w:rPr>
          <w:rFonts w:hint="eastAsia"/>
        </w:rPr>
        <w:t>案》的执行条例。</w:t>
      </w:r>
    </w:p>
    <w:p w:rsidR="00DA7251" w:rsidRDefault="00DA7251">
      <w:pPr>
        <w:pStyle w:val="H1GC"/>
        <w:rPr>
          <w:lang w:val="es-ES_tradnl"/>
        </w:rPr>
      </w:pPr>
      <w:r>
        <w:rPr>
          <w:rFonts w:hint="eastAsia"/>
          <w:lang w:val="es-ES_tradnl"/>
        </w:rPr>
        <w:tab/>
      </w:r>
      <w:r>
        <w:rPr>
          <w:lang w:val="es-ES_tradnl"/>
        </w:rPr>
        <w:t>O.</w:t>
      </w:r>
      <w:r>
        <w:rPr>
          <w:lang w:val="es-ES_tradnl"/>
        </w:rPr>
        <w:tab/>
      </w:r>
      <w:r>
        <w:rPr>
          <w:rFonts w:hint="eastAsia"/>
          <w:lang w:val="es-ES_tradnl"/>
        </w:rPr>
        <w:t>第二十六条：适应训练和康复</w:t>
      </w:r>
    </w:p>
    <w:p w:rsidR="00DA7251" w:rsidRDefault="00DA7251">
      <w:pPr>
        <w:pStyle w:val="SingleTxtGC"/>
        <w:rPr>
          <w:lang w:val="es-ES"/>
        </w:rPr>
      </w:pPr>
      <w:r>
        <w:rPr>
          <w:lang w:val="es-ES"/>
        </w:rPr>
        <w:t xml:space="preserve">154.  </w:t>
      </w:r>
      <w:r>
        <w:rPr>
          <w:rFonts w:hint="eastAsia"/>
        </w:rPr>
        <w:t>巴拉圭通过《第</w:t>
      </w:r>
      <w:r>
        <w:rPr>
          <w:rFonts w:hint="eastAsia"/>
        </w:rPr>
        <w:t>780/79</w:t>
      </w:r>
      <w:r>
        <w:rPr>
          <w:rFonts w:hint="eastAsia"/>
        </w:rPr>
        <w:t>号法案》成立了全国特殊人士保护研究所，研究所的目标是为特殊人士提供全面保护，从而削弱“特殊人士”由于自身状况造成的弱势地位，并确保他们享有平等机会，充分适应其所生活的社会文化和经济环境。</w:t>
      </w:r>
    </w:p>
    <w:p w:rsidR="00DA7251" w:rsidRDefault="00DA7251">
      <w:pPr>
        <w:pStyle w:val="SingleTxtGC"/>
        <w:rPr>
          <w:lang w:val="es-ES_tradnl"/>
        </w:rPr>
      </w:pPr>
      <w:r>
        <w:rPr>
          <w:lang w:val="es-ES"/>
        </w:rPr>
        <w:t xml:space="preserve">155.  </w:t>
      </w:r>
      <w:r>
        <w:rPr>
          <w:rFonts w:hint="eastAsia"/>
        </w:rPr>
        <w:t>司法和劳动部下属的国家职业促进局和国家职业培训局为身体和感官残疾人提供免费培训课程。</w:t>
      </w:r>
      <w:r>
        <w:rPr>
          <w:rStyle w:val="FootnoteReference"/>
        </w:rPr>
        <w:footnoteReference w:id="46"/>
      </w:r>
      <w:r>
        <w:rPr>
          <w:rStyle w:val="FootnoteReference"/>
          <w:vertAlign w:val="baseline"/>
        </w:rPr>
        <w:t xml:space="preserve"> </w:t>
      </w:r>
      <w:r>
        <w:rPr>
          <w:rFonts w:hint="eastAsia"/>
        </w:rPr>
        <w:t>此外</w:t>
      </w:r>
      <w:r>
        <w:rPr>
          <w:rFonts w:hint="eastAsia"/>
          <w:lang w:val="es-ES"/>
        </w:rPr>
        <w:t>，</w:t>
      </w:r>
      <w:r>
        <w:rPr>
          <w:rFonts w:hint="eastAsia"/>
        </w:rPr>
        <w:t>全国特殊人士保护研究所也有</w:t>
      </w:r>
      <w:r>
        <w:rPr>
          <w:rFonts w:hint="eastAsia"/>
          <w:lang w:val="es-ES"/>
        </w:rPr>
        <w:t>“</w:t>
      </w:r>
      <w:r>
        <w:rPr>
          <w:rFonts w:hint="eastAsia"/>
        </w:rPr>
        <w:t>职业培训讲习班</w:t>
      </w:r>
      <w:r>
        <w:rPr>
          <w:rFonts w:hint="eastAsia"/>
          <w:lang w:val="es-ES"/>
        </w:rPr>
        <w:t>”，</w:t>
      </w:r>
      <w:r>
        <w:rPr>
          <w:rFonts w:hint="eastAsia"/>
        </w:rPr>
        <w:t>帮助他们以技术专业人员的身份进入就业市场。</w:t>
      </w:r>
    </w:p>
    <w:p w:rsidR="00DA7251" w:rsidRDefault="00DA7251">
      <w:pPr>
        <w:pStyle w:val="SingleTxtGC"/>
        <w:rPr>
          <w:lang w:val="es-ES"/>
        </w:rPr>
      </w:pPr>
      <w:r>
        <w:rPr>
          <w:lang w:val="es-ES"/>
        </w:rPr>
        <w:t xml:space="preserve">156.  </w:t>
      </w:r>
      <w:r>
        <w:rPr>
          <w:rFonts w:hint="eastAsia"/>
        </w:rPr>
        <w:t>“中心广场”项目是国家职业促进局、全国特殊人士保护研究所和巴拉圭盲人协会共同推进的</w:t>
      </w:r>
      <w:r>
        <w:rPr>
          <w:rFonts w:hint="eastAsia"/>
          <w:lang w:val="es-ES_tradnl"/>
        </w:rPr>
        <w:t>；该项目</w:t>
      </w:r>
      <w:r>
        <w:rPr>
          <w:rFonts w:hint="eastAsia"/>
        </w:rPr>
        <w:t>具体帮助视觉障碍残疾人从事信息技术工作。通过一个名为“</w:t>
      </w:r>
      <w:r>
        <w:t>Jaws</w:t>
      </w:r>
      <w:r>
        <w:rPr>
          <w:rFonts w:hint="eastAsia"/>
        </w:rPr>
        <w:t>”的计划，帮助视觉障碍残疾人最大程度地利用计算机。</w:t>
      </w:r>
    </w:p>
    <w:p w:rsidR="00DA7251" w:rsidRDefault="00DA7251">
      <w:pPr>
        <w:pStyle w:val="SingleTxtGC"/>
        <w:rPr>
          <w:lang w:val="es-ES"/>
        </w:rPr>
      </w:pPr>
      <w:r>
        <w:rPr>
          <w:lang w:val="es-ES"/>
        </w:rPr>
        <w:t xml:space="preserve">157.  </w:t>
      </w:r>
      <w:r>
        <w:rPr>
          <w:rFonts w:hint="eastAsia"/>
        </w:rPr>
        <w:t>全国特殊人士保护研究所通过其在各地的机构</w:t>
      </w:r>
      <w:r>
        <w:rPr>
          <w:rFonts w:hint="eastAsia"/>
          <w:lang w:val="es-ES"/>
        </w:rPr>
        <w:t>(</w:t>
      </w:r>
      <w:r>
        <w:rPr>
          <w:rFonts w:hint="eastAsia"/>
        </w:rPr>
        <w:t>如</w:t>
      </w:r>
      <w:r>
        <w:rPr>
          <w:rFonts w:hint="eastAsia"/>
          <w:lang w:val="es-ES"/>
        </w:rPr>
        <w:t>：</w:t>
      </w:r>
      <w:r>
        <w:rPr>
          <w:rFonts w:hint="eastAsia"/>
        </w:rPr>
        <w:t>职业培训中心</w:t>
      </w:r>
      <w:r>
        <w:rPr>
          <w:rFonts w:hint="eastAsia"/>
          <w:lang w:val="es-ES"/>
        </w:rPr>
        <w:t>)</w:t>
      </w:r>
      <w:r>
        <w:rPr>
          <w:rFonts w:hint="eastAsia"/>
        </w:rPr>
        <w:t>为残疾人提供总体性的适应训练和康复方案。</w:t>
      </w:r>
    </w:p>
    <w:p w:rsidR="00DA7251" w:rsidRDefault="00DA7251">
      <w:pPr>
        <w:pStyle w:val="SingleTxtGC"/>
        <w:rPr>
          <w:lang w:val="es-ES_tradnl"/>
        </w:rPr>
      </w:pPr>
      <w:r>
        <w:rPr>
          <w:lang w:val="es-ES"/>
        </w:rPr>
        <w:t xml:space="preserve">158.  </w:t>
      </w:r>
      <w:r>
        <w:rPr>
          <w:rFonts w:hint="eastAsia"/>
        </w:rPr>
        <w:t>国家对由民间组织运营的康复中心给予经济援助</w:t>
      </w:r>
      <w:r>
        <w:rPr>
          <w:rFonts w:hint="eastAsia"/>
          <w:lang w:val="es-ES"/>
        </w:rPr>
        <w:t>，</w:t>
      </w:r>
      <w:r>
        <w:rPr>
          <w:rFonts w:hint="eastAsia"/>
        </w:rPr>
        <w:t>使这些机构以最佳方式为残疾人提供服务。这些康复中心大部分设在农村地区</w:t>
      </w:r>
      <w:r>
        <w:rPr>
          <w:rFonts w:hint="eastAsia"/>
          <w:lang w:val="es-ES"/>
        </w:rPr>
        <w:t>，</w:t>
      </w:r>
      <w:r>
        <w:rPr>
          <w:rFonts w:hint="eastAsia"/>
        </w:rPr>
        <w:t>如</w:t>
      </w:r>
      <w:r>
        <w:rPr>
          <w:rFonts w:hint="eastAsia"/>
          <w:lang w:val="es-ES"/>
        </w:rPr>
        <w:t>：</w:t>
      </w:r>
      <w:r>
        <w:rPr>
          <w:rFonts w:hint="eastAsia"/>
        </w:rPr>
        <w:t>肢体伤残康复协会</w:t>
      </w:r>
      <w:r>
        <w:rPr>
          <w:rFonts w:hint="eastAsia"/>
          <w:lang w:val="es-ES"/>
        </w:rPr>
        <w:t>、</w:t>
      </w:r>
      <w:r>
        <w:rPr>
          <w:rFonts w:hint="eastAsia"/>
        </w:rPr>
        <w:t>巴拉圭盲人协会</w:t>
      </w:r>
      <w:r>
        <w:rPr>
          <w:rFonts w:hint="eastAsia"/>
          <w:lang w:val="es-ES"/>
        </w:rPr>
        <w:t>、</w:t>
      </w:r>
      <w:r>
        <w:rPr>
          <w:rFonts w:hint="eastAsia"/>
        </w:rPr>
        <w:t>巴拉圭聋人中心</w:t>
      </w:r>
      <w:r>
        <w:rPr>
          <w:rFonts w:hint="eastAsia"/>
          <w:lang w:val="es-ES"/>
        </w:rPr>
        <w:t>、亚松森</w:t>
      </w:r>
      <w:r>
        <w:rPr>
          <w:rFonts w:hint="eastAsia"/>
        </w:rPr>
        <w:t>特雷顿基金会</w:t>
      </w:r>
      <w:r>
        <w:rPr>
          <w:rFonts w:hint="eastAsia"/>
          <w:lang w:val="es-ES"/>
        </w:rPr>
        <w:t>、</w:t>
      </w:r>
      <w:r>
        <w:rPr>
          <w:rFonts w:hint="eastAsia"/>
        </w:rPr>
        <w:t>费尔南多</w:t>
      </w:r>
      <w:r>
        <w:rPr>
          <w:rFonts w:hint="eastAsia"/>
          <w:lang w:val="es-ES"/>
        </w:rPr>
        <w:t>·</w:t>
      </w:r>
      <w:r>
        <w:rPr>
          <w:rFonts w:hint="eastAsia"/>
        </w:rPr>
        <w:t>德拉莫拉</w:t>
      </w:r>
      <w:r>
        <w:rPr>
          <w:lang w:val="es-ES"/>
        </w:rPr>
        <w:t>APAPEX</w:t>
      </w:r>
      <w:r>
        <w:rPr>
          <w:lang w:val="es-ES"/>
        </w:rPr>
        <w:t>康复中心</w:t>
      </w:r>
      <w:r>
        <w:rPr>
          <w:rFonts w:hint="eastAsia"/>
          <w:lang w:val="es-ES"/>
        </w:rPr>
        <w:t>、</w:t>
      </w:r>
      <w:r>
        <w:t>金迪市</w:t>
      </w:r>
      <w:r>
        <w:rPr>
          <w:lang w:val="es-ES"/>
        </w:rPr>
        <w:t>APAQUIPEX</w:t>
      </w:r>
      <w:r>
        <w:rPr>
          <w:lang w:val="es-ES"/>
        </w:rPr>
        <w:t>康复中心</w:t>
      </w:r>
      <w:r>
        <w:rPr>
          <w:rFonts w:hint="eastAsia"/>
          <w:lang w:val="es-ES"/>
        </w:rPr>
        <w:t>、</w:t>
      </w:r>
      <w:r>
        <w:rPr>
          <w:lang w:val="es-ES"/>
        </w:rPr>
        <w:t>科罗奈尔奥维耶多</w:t>
      </w:r>
      <w:r>
        <w:rPr>
          <w:lang w:val="es-ES"/>
        </w:rPr>
        <w:t>COANIF</w:t>
      </w:r>
      <w:r>
        <w:rPr>
          <w:lang w:val="es-ES"/>
        </w:rPr>
        <w:t>康复中心</w:t>
      </w:r>
      <w:r>
        <w:rPr>
          <w:rFonts w:hint="eastAsia"/>
          <w:lang w:val="es-ES"/>
        </w:rPr>
        <w:t>、</w:t>
      </w:r>
      <w:r>
        <w:t>米西奥内斯</w:t>
      </w:r>
      <w:r>
        <w:rPr>
          <w:lang w:val="es-ES"/>
        </w:rPr>
        <w:t>APAPEMI</w:t>
      </w:r>
      <w:r>
        <w:t>和</w:t>
      </w:r>
      <w:r>
        <w:rPr>
          <w:lang w:val="es-ES"/>
        </w:rPr>
        <w:t>APAPECOL</w:t>
      </w:r>
      <w:r>
        <w:rPr>
          <w:lang w:val="es-ES"/>
        </w:rPr>
        <w:t>康复中心</w:t>
      </w:r>
      <w:r>
        <w:rPr>
          <w:rFonts w:hint="eastAsia"/>
          <w:lang w:val="es-ES"/>
        </w:rPr>
        <w:t>、</w:t>
      </w:r>
      <w:bookmarkStart w:id="11" w:name="OLE_LINK10"/>
      <w:r>
        <w:rPr>
          <w:lang w:val="es-ES"/>
        </w:rPr>
        <w:t>Itacurubi del Rosario</w:t>
      </w:r>
      <w:bookmarkEnd w:id="11"/>
      <w:r>
        <w:rPr>
          <w:rFonts w:hint="eastAsia"/>
          <w:lang w:val="es-ES"/>
        </w:rPr>
        <w:t xml:space="preserve"> </w:t>
      </w:r>
      <w:r>
        <w:rPr>
          <w:lang w:val="es-ES"/>
        </w:rPr>
        <w:t>APDIR</w:t>
      </w:r>
      <w:r>
        <w:rPr>
          <w:lang w:val="es-ES"/>
        </w:rPr>
        <w:t>康复中心</w:t>
      </w:r>
      <w:r>
        <w:rPr>
          <w:rFonts w:hint="eastAsia"/>
          <w:lang w:val="es-ES"/>
        </w:rPr>
        <w:t>、</w:t>
      </w:r>
      <w:r>
        <w:t>埃斯特</w:t>
      </w:r>
      <w:r>
        <w:rPr>
          <w:lang w:val="es-ES"/>
        </w:rPr>
        <w:t>APAMAP</w:t>
      </w:r>
      <w:r>
        <w:t>基金会</w:t>
      </w:r>
      <w:r>
        <w:rPr>
          <w:rFonts w:hint="eastAsia"/>
          <w:lang w:val="es-ES"/>
        </w:rPr>
        <w:t>、</w:t>
      </w:r>
      <w:r>
        <w:t>伊塔城</w:t>
      </w:r>
      <w:r>
        <w:rPr>
          <w:lang w:val="es-ES"/>
        </w:rPr>
        <w:t>APANI</w:t>
      </w:r>
      <w:r>
        <w:t>康复中心等。</w:t>
      </w:r>
      <w:r>
        <w:rPr>
          <w:rFonts w:hint="eastAsia"/>
        </w:rPr>
        <w:t>收到的资助数额因概念计划活动而不同</w:t>
      </w:r>
      <w:r>
        <w:t>，</w:t>
      </w:r>
      <w:r>
        <w:rPr>
          <w:rFonts w:hint="eastAsia"/>
        </w:rPr>
        <w:t>为</w:t>
      </w:r>
      <w:r>
        <w:rPr>
          <w:lang w:val="es-ES"/>
        </w:rPr>
        <w:t>21,000</w:t>
      </w:r>
      <w:r>
        <w:t>至</w:t>
      </w:r>
      <w:r>
        <w:rPr>
          <w:lang w:val="es-ES"/>
        </w:rPr>
        <w:t>83,000</w:t>
      </w:r>
      <w:r>
        <w:t>美元。</w:t>
      </w:r>
      <w:r>
        <w:rPr>
          <w:rStyle w:val="FootnoteReference"/>
        </w:rPr>
        <w:footnoteReference w:id="47"/>
      </w:r>
      <w:r>
        <w:rPr>
          <w:rStyle w:val="FootnoteReference"/>
          <w:vertAlign w:val="baseline"/>
        </w:rPr>
        <w:t xml:space="preserve"> </w:t>
      </w:r>
    </w:p>
    <w:p w:rsidR="00DA7251" w:rsidRDefault="00DA7251">
      <w:pPr>
        <w:pStyle w:val="SingleTxtGC"/>
        <w:rPr>
          <w:lang w:val="es-ES"/>
        </w:rPr>
      </w:pPr>
      <w:r>
        <w:rPr>
          <w:lang w:val="es-ES"/>
        </w:rPr>
        <w:t xml:space="preserve">159.  </w:t>
      </w:r>
      <w:bookmarkStart w:id="12" w:name="OLE_LINK15"/>
      <w:r>
        <w:rPr>
          <w:rFonts w:hint="eastAsia"/>
        </w:rPr>
        <w:t>全国特殊人士保护研究所</w:t>
      </w:r>
      <w:bookmarkEnd w:id="12"/>
      <w:r>
        <w:rPr>
          <w:rFonts w:hint="eastAsia"/>
        </w:rPr>
        <w:t>提供的适应训练和康复服务完全免费</w:t>
      </w:r>
      <w:r>
        <w:rPr>
          <w:rFonts w:hint="eastAsia"/>
          <w:lang w:val="es-ES_tradnl"/>
        </w:rPr>
        <w:t>，</w:t>
      </w:r>
      <w:r>
        <w:rPr>
          <w:rFonts w:hint="eastAsia"/>
        </w:rPr>
        <w:t>包括向残疾人提供各种帮助他们提高行动和自理能力的器械</w:t>
      </w:r>
      <w:r>
        <w:rPr>
          <w:rFonts w:hint="eastAsia"/>
          <w:lang w:val="es-ES_tradnl"/>
        </w:rPr>
        <w:t>，</w:t>
      </w:r>
      <w:r>
        <w:rPr>
          <w:rFonts w:hint="eastAsia"/>
        </w:rPr>
        <w:t>如</w:t>
      </w:r>
      <w:r>
        <w:rPr>
          <w:rFonts w:hint="eastAsia"/>
          <w:lang w:val="es-ES_tradnl"/>
        </w:rPr>
        <w:t>：</w:t>
      </w:r>
      <w:r>
        <w:rPr>
          <w:rFonts w:hint="eastAsia"/>
        </w:rPr>
        <w:t>轮椅、助行架、拐杖、手杖、卫生椅、矫正椅、助听器等</w:t>
      </w:r>
      <w:r>
        <w:rPr>
          <w:rFonts w:hint="eastAsia"/>
          <w:lang w:val="es-ES_tradnl"/>
        </w:rPr>
        <w:t>)</w:t>
      </w:r>
      <w:r>
        <w:rPr>
          <w:rFonts w:hint="eastAsia"/>
        </w:rPr>
        <w:t>。此外</w:t>
      </w:r>
      <w:r>
        <w:rPr>
          <w:rFonts w:hint="eastAsia"/>
          <w:lang w:val="es-ES"/>
        </w:rPr>
        <w:t>，</w:t>
      </w:r>
      <w:r>
        <w:rPr>
          <w:rFonts w:hint="eastAsia"/>
        </w:rPr>
        <w:t>全国特殊人士保护研究所还为残疾人开设了药房</w:t>
      </w:r>
      <w:r>
        <w:rPr>
          <w:rFonts w:hint="eastAsia"/>
          <w:lang w:val="es-ES"/>
        </w:rPr>
        <w:t>：</w:t>
      </w:r>
      <w:r>
        <w:rPr>
          <w:rFonts w:hint="eastAsia"/>
        </w:rPr>
        <w:t>残疾人可以获得免费药物，并向残疾人提供门对门交通服务，以增加残疾人的流动。</w:t>
      </w:r>
    </w:p>
    <w:p w:rsidR="00DA7251" w:rsidRDefault="00DA7251">
      <w:pPr>
        <w:pStyle w:val="SingleTxtGC"/>
        <w:rPr>
          <w:lang w:val="es-ES"/>
        </w:rPr>
      </w:pPr>
      <w:r>
        <w:rPr>
          <w:lang w:val="es-ES"/>
        </w:rPr>
        <w:t xml:space="preserve">160.  </w:t>
      </w:r>
      <w:r>
        <w:rPr>
          <w:rFonts w:hint="eastAsia"/>
        </w:rPr>
        <w:t>鉴于欠发达社区周边康复设施的不足</w:t>
      </w:r>
      <w:r>
        <w:rPr>
          <w:rFonts w:hint="eastAsia"/>
          <w:lang w:val="es-ES"/>
        </w:rPr>
        <w:t>，</w:t>
      </w:r>
      <w:r>
        <w:rPr>
          <w:rFonts w:hint="eastAsia"/>
        </w:rPr>
        <w:t>以及残疾人要求按照公平的生活质量和保健公共政策就近获得康复服务的需求</w:t>
      </w:r>
      <w:r>
        <w:rPr>
          <w:rFonts w:hint="eastAsia"/>
          <w:lang w:val="es-ES"/>
        </w:rPr>
        <w:t>，</w:t>
      </w:r>
      <w:r>
        <w:rPr>
          <w:rFonts w:hint="eastAsia"/>
        </w:rPr>
        <w:t>全国特殊人士保护研究所正在各省首府的地区级医院内建立康复治疗室。这一举措的目的是形成康复设施网络和并更新现有设施，以使所有残疾人在其居住地附近获得康复服务。全国特殊人士保护研究所、公共卫生和社会福利部、各省政府、司法和劳动部及各省的民间社会组织通常签订协议，以完成康复设施在各地的布点。目前，已有两个省的康复设施投入运行，其他两省也正在筹划康复设施。</w:t>
      </w:r>
    </w:p>
    <w:p w:rsidR="00DA7251" w:rsidRDefault="00DA7251">
      <w:pPr>
        <w:pStyle w:val="H23GC"/>
        <w:rPr>
          <w:lang w:val="es-ES_tradnl"/>
        </w:rPr>
      </w:pPr>
      <w:r>
        <w:rPr>
          <w:lang w:val="es-ES_tradnl"/>
        </w:rPr>
        <w:tab/>
      </w:r>
      <w:r>
        <w:rPr>
          <w:rFonts w:hint="eastAsia"/>
          <w:lang w:val="es-ES_tradnl"/>
        </w:rPr>
        <w:tab/>
      </w:r>
      <w:r>
        <w:rPr>
          <w:rFonts w:hint="eastAsia"/>
          <w:lang w:val="es-ES_tradnl"/>
        </w:rPr>
        <w:t>社会心理残疾</w:t>
      </w:r>
    </w:p>
    <w:p w:rsidR="00DA7251" w:rsidRDefault="00DA7251">
      <w:pPr>
        <w:pStyle w:val="SingleTxtGC"/>
        <w:rPr>
          <w:lang w:val="es-ES"/>
        </w:rPr>
      </w:pPr>
      <w:r>
        <w:rPr>
          <w:lang w:val="es-ES"/>
        </w:rPr>
        <w:t xml:space="preserve">161.  </w:t>
      </w:r>
      <w:r>
        <w:rPr>
          <w:rFonts w:hint="eastAsia"/>
        </w:rPr>
        <w:t>在各地的卫生中心和地区级医院中</w:t>
      </w:r>
      <w:r>
        <w:rPr>
          <w:rFonts w:hint="eastAsia"/>
          <w:lang w:val="es-ES"/>
        </w:rPr>
        <w:t>，</w:t>
      </w:r>
      <w:r>
        <w:rPr>
          <w:rFonts w:hint="eastAsia"/>
        </w:rPr>
        <w:t>共</w:t>
      </w:r>
      <w:r>
        <w:t>有</w:t>
      </w:r>
      <w:r>
        <w:rPr>
          <w:lang w:val="es-ES"/>
        </w:rPr>
        <w:t>39</w:t>
      </w:r>
      <w:r>
        <w:rPr>
          <w:rFonts w:hint="eastAsia"/>
        </w:rPr>
        <w:t>个提供精神和心理治疗以及免费药物的心理健康机构。此外</w:t>
      </w:r>
      <w:r>
        <w:rPr>
          <w:rFonts w:hint="eastAsia"/>
          <w:lang w:val="es-ES"/>
        </w:rPr>
        <w:t>，</w:t>
      </w:r>
      <w:r>
        <w:rPr>
          <w:rFonts w:hint="eastAsia"/>
        </w:rPr>
        <w:t>巴拉圭还有一支医疗队，有两名心理学家</w:t>
      </w:r>
      <w:r>
        <w:rPr>
          <w:rFonts w:hint="eastAsia"/>
        </w:rPr>
        <w:t>(</w:t>
      </w:r>
      <w:r>
        <w:rPr>
          <w:rFonts w:hint="eastAsia"/>
        </w:rPr>
        <w:t>成人和儿童心理学专家各一名</w:t>
      </w:r>
      <w:r>
        <w:rPr>
          <w:rFonts w:hint="eastAsia"/>
        </w:rPr>
        <w:t>)</w:t>
      </w:r>
      <w:r>
        <w:rPr>
          <w:rFonts w:hint="eastAsia"/>
        </w:rPr>
        <w:t>，每月一次与一至二名亚松森国立大学医学系精神病学科的住院内科医师到首都外没有建立精神和心理机构的四座城市巡诊。</w:t>
      </w:r>
      <w:r>
        <w:rPr>
          <w:rStyle w:val="FootnoteReference"/>
        </w:rPr>
        <w:footnoteReference w:id="48"/>
      </w:r>
      <w:r>
        <w:rPr>
          <w:rStyle w:val="FootnoteReference"/>
          <w:vertAlign w:val="baseline"/>
        </w:rPr>
        <w:t xml:space="preserve"> </w:t>
      </w:r>
      <w:r>
        <w:rPr>
          <w:rFonts w:hint="eastAsia"/>
        </w:rPr>
        <w:t>该医疗队还免费提供药物。</w:t>
      </w:r>
    </w:p>
    <w:p w:rsidR="00DA7251" w:rsidRDefault="00DA7251">
      <w:pPr>
        <w:pStyle w:val="SingleTxtGC"/>
        <w:rPr>
          <w:lang w:val="es-ES"/>
        </w:rPr>
      </w:pPr>
      <w:r>
        <w:rPr>
          <w:lang w:val="es-ES"/>
        </w:rPr>
        <w:t xml:space="preserve">162.  </w:t>
      </w:r>
      <w:r>
        <w:rPr>
          <w:rFonts w:hint="eastAsia"/>
        </w:rPr>
        <w:t>公共卫生和社会福利部有两处可收治严重精神障碍病人的医院</w:t>
      </w:r>
      <w:r>
        <w:rPr>
          <w:rFonts w:hint="eastAsia"/>
          <w:lang w:val="es-ES"/>
        </w:rPr>
        <w:t>：</w:t>
      </w:r>
      <w:r>
        <w:rPr>
          <w:rFonts w:hint="eastAsia"/>
        </w:rPr>
        <w:t>一处是亚松森的精神病医院</w:t>
      </w:r>
      <w:r>
        <w:rPr>
          <w:rFonts w:hint="eastAsia"/>
          <w:lang w:val="es-ES"/>
        </w:rPr>
        <w:t>(</w:t>
      </w:r>
      <w:r>
        <w:rPr>
          <w:rFonts w:hint="eastAsia"/>
        </w:rPr>
        <w:t>可接纳</w:t>
      </w:r>
      <w:r>
        <w:t>约</w:t>
      </w:r>
      <w:r>
        <w:rPr>
          <w:lang w:val="es-ES"/>
        </w:rPr>
        <w:t>300</w:t>
      </w:r>
      <w:r>
        <w:rPr>
          <w:rFonts w:hint="eastAsia"/>
        </w:rPr>
        <w:t>名患者</w:t>
      </w:r>
      <w:r>
        <w:rPr>
          <w:rFonts w:hint="eastAsia"/>
          <w:lang w:val="es-ES"/>
        </w:rPr>
        <w:t>)</w:t>
      </w:r>
      <w:r>
        <w:rPr>
          <w:rFonts w:hint="eastAsia"/>
          <w:lang w:val="es-ES"/>
        </w:rPr>
        <w:t>，</w:t>
      </w:r>
      <w:r>
        <w:rPr>
          <w:rFonts w:hint="eastAsia"/>
        </w:rPr>
        <w:t>另一处是佩德罗</w:t>
      </w:r>
      <w:r>
        <w:rPr>
          <w:rFonts w:hint="eastAsia"/>
          <w:lang w:val="es-ES"/>
        </w:rPr>
        <w:t>·</w:t>
      </w:r>
      <w:r>
        <w:rPr>
          <w:rFonts w:hint="eastAsia"/>
        </w:rPr>
        <w:t>胡安</w:t>
      </w:r>
      <w:r>
        <w:rPr>
          <w:rFonts w:hint="eastAsia"/>
          <w:lang w:val="es-ES"/>
        </w:rPr>
        <w:t>·</w:t>
      </w:r>
      <w:r>
        <w:rPr>
          <w:rFonts w:hint="eastAsia"/>
        </w:rPr>
        <w:t>卡瓦列罗地区级医院的精神卫生中心</w:t>
      </w:r>
      <w:r>
        <w:rPr>
          <w:rFonts w:hint="eastAsia"/>
          <w:lang w:val="es-ES"/>
        </w:rPr>
        <w:t>(</w:t>
      </w:r>
      <w:r>
        <w:rPr>
          <w:rFonts w:hint="eastAsia"/>
        </w:rPr>
        <w:t>有</w:t>
      </w:r>
      <w:r>
        <w:t>6</w:t>
      </w:r>
      <w:r>
        <w:rPr>
          <w:rFonts w:hint="eastAsia"/>
        </w:rPr>
        <w:t>张床位</w:t>
      </w:r>
      <w:r>
        <w:rPr>
          <w:rFonts w:hint="eastAsia"/>
          <w:lang w:val="es-ES"/>
        </w:rPr>
        <w:t>)</w:t>
      </w:r>
      <w:r>
        <w:rPr>
          <w:rFonts w:hint="eastAsia"/>
        </w:rPr>
        <w:t>。</w:t>
      </w:r>
    </w:p>
    <w:p w:rsidR="00DA7251" w:rsidRDefault="00DA7251">
      <w:pPr>
        <w:pStyle w:val="SingleTxtGC"/>
        <w:rPr>
          <w:lang w:val="es-ES_tradnl"/>
        </w:rPr>
      </w:pPr>
      <w:r>
        <w:rPr>
          <w:lang w:val="es-ES"/>
        </w:rPr>
        <w:t xml:space="preserve">163.  </w:t>
      </w:r>
      <w:r>
        <w:rPr>
          <w:rFonts w:hint="eastAsia"/>
        </w:rPr>
        <w:t>此外</w:t>
      </w:r>
      <w:r>
        <w:rPr>
          <w:rFonts w:hint="eastAsia"/>
          <w:lang w:val="es-ES"/>
        </w:rPr>
        <w:t>，</w:t>
      </w:r>
      <w:r>
        <w:rPr>
          <w:rFonts w:hint="eastAsia"/>
        </w:rPr>
        <w:t>还设有五处家庭式精神卫生院。这些精神卫生院最多可收治</w:t>
      </w:r>
      <w:r>
        <w:t>10</w:t>
      </w:r>
      <w:r>
        <w:rPr>
          <w:rFonts w:hint="eastAsia"/>
        </w:rPr>
        <w:t>名从精神病医院转来的患者，</w:t>
      </w:r>
      <w:r>
        <w:rPr>
          <w:rStyle w:val="FootnoteReference"/>
        </w:rPr>
        <w:footnoteReference w:id="49"/>
      </w:r>
      <w:r>
        <w:rPr>
          <w:rStyle w:val="FootnoteReference"/>
          <w:vertAlign w:val="baseline"/>
        </w:rPr>
        <w:t xml:space="preserve"> </w:t>
      </w:r>
      <w:r>
        <w:rPr>
          <w:rFonts w:hint="eastAsia"/>
        </w:rPr>
        <w:t>并由精神卫生工作者和护士为他们提供康复和重返社会服务。</w:t>
      </w:r>
    </w:p>
    <w:p w:rsidR="00DA7251" w:rsidRDefault="00DA7251">
      <w:pPr>
        <w:pStyle w:val="SingleTxtGC"/>
        <w:rPr>
          <w:lang w:val="es-ES_tradnl"/>
        </w:rPr>
      </w:pPr>
      <w:r>
        <w:rPr>
          <w:lang w:val="es-ES"/>
        </w:rPr>
        <w:t xml:space="preserve">164.  </w:t>
      </w:r>
      <w:r>
        <w:rPr>
          <w:rFonts w:hint="eastAsia"/>
        </w:rPr>
        <w:t>此外</w:t>
      </w:r>
      <w:r>
        <w:rPr>
          <w:rFonts w:hint="eastAsia"/>
          <w:lang w:val="es-ES_tradnl"/>
        </w:rPr>
        <w:t>，</w:t>
      </w:r>
      <w:r>
        <w:rPr>
          <w:rFonts w:hint="eastAsia"/>
        </w:rPr>
        <w:t>还有</w:t>
      </w:r>
      <w:r>
        <w:rPr>
          <w:rFonts w:hint="eastAsia"/>
          <w:lang w:val="es-ES_tradnl"/>
        </w:rPr>
        <w:t>二</w:t>
      </w:r>
      <w:r>
        <w:rPr>
          <w:rFonts w:hint="eastAsia"/>
        </w:rPr>
        <w:t>个日间治疗中心</w:t>
      </w:r>
      <w:r>
        <w:rPr>
          <w:rStyle w:val="FootnoteReference"/>
        </w:rPr>
        <w:footnoteReference w:id="50"/>
      </w:r>
      <w:r>
        <w:rPr>
          <w:rStyle w:val="FootnoteReference"/>
          <w:vertAlign w:val="baseline"/>
        </w:rPr>
        <w:t xml:space="preserve"> </w:t>
      </w:r>
      <w:r>
        <w:rPr>
          <w:rFonts w:hint="eastAsia"/>
        </w:rPr>
        <w:t>负责为患者提供康复服务。一个是为成年患者服务的</w:t>
      </w:r>
      <w:r>
        <w:rPr>
          <w:rFonts w:hint="eastAsia"/>
          <w:lang w:val="es-ES"/>
        </w:rPr>
        <w:t>、</w:t>
      </w:r>
      <w:r>
        <w:rPr>
          <w:rFonts w:hint="eastAsia"/>
        </w:rPr>
        <w:t>名为</w:t>
      </w:r>
      <w:r>
        <w:rPr>
          <w:rFonts w:hint="eastAsia"/>
          <w:lang w:val="es-ES"/>
        </w:rPr>
        <w:t>“</w:t>
      </w:r>
      <w:r>
        <w:rPr>
          <w:rFonts w:hint="eastAsia"/>
        </w:rPr>
        <w:t>桥梁</w:t>
      </w:r>
      <w:r>
        <w:rPr>
          <w:rFonts w:hint="eastAsia"/>
          <w:lang w:val="es-ES"/>
        </w:rPr>
        <w:t>”</w:t>
      </w:r>
      <w:r>
        <w:rPr>
          <w:rFonts w:hint="eastAsia"/>
        </w:rPr>
        <w:t>的治疗中心</w:t>
      </w:r>
      <w:r>
        <w:rPr>
          <w:rFonts w:hint="eastAsia"/>
          <w:lang w:val="es-ES"/>
        </w:rPr>
        <w:t>：</w:t>
      </w:r>
      <w:r>
        <w:rPr>
          <w:rFonts w:hint="eastAsia"/>
        </w:rPr>
        <w:t>该中心于</w:t>
      </w:r>
      <w:r>
        <w:rPr>
          <w:lang w:val="es-ES"/>
        </w:rPr>
        <w:t>20</w:t>
      </w:r>
      <w:r>
        <w:rPr>
          <w:rFonts w:hint="eastAsia"/>
        </w:rPr>
        <w:t>多年前设立</w:t>
      </w:r>
      <w:r>
        <w:rPr>
          <w:rStyle w:val="FootnoteReference"/>
        </w:rPr>
        <w:footnoteReference w:id="51"/>
      </w:r>
      <w:r>
        <w:rPr>
          <w:rStyle w:val="FootnoteReference"/>
          <w:vertAlign w:val="baseline"/>
        </w:rPr>
        <w:t xml:space="preserve"> </w:t>
      </w:r>
      <w:r>
        <w:rPr>
          <w:rFonts w:hint="eastAsia"/>
          <w:lang w:val="es-ES"/>
        </w:rPr>
        <w:t>，</w:t>
      </w:r>
      <w:r>
        <w:rPr>
          <w:rFonts w:hint="eastAsia"/>
        </w:rPr>
        <w:t>目前位于精神病医院大楼内。另一个是为有一般性发育障碍</w:t>
      </w:r>
      <w:r>
        <w:rPr>
          <w:rFonts w:hint="eastAsia"/>
        </w:rPr>
        <w:t>(</w:t>
      </w:r>
      <w:r>
        <w:rPr>
          <w:lang w:val="es-ES"/>
        </w:rPr>
        <w:t>泛自闭症障碍</w:t>
      </w:r>
      <w:r>
        <w:rPr>
          <w:rFonts w:hint="eastAsia"/>
        </w:rPr>
        <w:t>)</w:t>
      </w:r>
      <w:r>
        <w:rPr>
          <w:rFonts w:hint="eastAsia"/>
        </w:rPr>
        <w:t>的儿童服务：该中心可同时接诊</w:t>
      </w:r>
      <w:r>
        <w:rPr>
          <w:lang w:val="es-ES"/>
        </w:rPr>
        <w:t>10</w:t>
      </w:r>
      <w:r>
        <w:rPr>
          <w:rFonts w:hint="eastAsia"/>
          <w:lang w:val="es-ES"/>
        </w:rPr>
        <w:t>名</w:t>
      </w:r>
      <w:r>
        <w:rPr>
          <w:rFonts w:hint="eastAsia"/>
        </w:rPr>
        <w:t>儿童，今年在阿松森第三卫生中心开放。</w:t>
      </w:r>
    </w:p>
    <w:p w:rsidR="00DA7251" w:rsidRDefault="00DA7251">
      <w:pPr>
        <w:pStyle w:val="SingleTxtGC"/>
        <w:rPr>
          <w:lang w:val="es-ES"/>
        </w:rPr>
      </w:pPr>
      <w:r>
        <w:rPr>
          <w:lang w:val="es-ES"/>
        </w:rPr>
        <w:t xml:space="preserve">165.  </w:t>
      </w:r>
      <w:r>
        <w:rPr>
          <w:rFonts w:hint="eastAsia"/>
        </w:rPr>
        <w:t>目前开设了康复方面的大学学位课程</w:t>
      </w:r>
      <w:r>
        <w:rPr>
          <w:rFonts w:hint="eastAsia"/>
          <w:lang w:val="es-ES_tradnl"/>
        </w:rPr>
        <w:t>，</w:t>
      </w:r>
      <w:r>
        <w:rPr>
          <w:rFonts w:hint="eastAsia"/>
        </w:rPr>
        <w:t>全国特殊人士保护研究所为这些专业的学生提供实习机会。此外</w:t>
      </w:r>
      <w:r>
        <w:rPr>
          <w:rFonts w:hint="eastAsia"/>
          <w:lang w:val="es-ES"/>
        </w:rPr>
        <w:t>，</w:t>
      </w:r>
      <w:r>
        <w:rPr>
          <w:rFonts w:hint="eastAsia"/>
        </w:rPr>
        <w:t>全国特殊人士保护研究所获得了针对残疾人的辅助性设备和技术，并将之分发给有需要的残疾人，以确保其自主性。</w:t>
      </w:r>
    </w:p>
    <w:p w:rsidR="00DA7251" w:rsidRDefault="00DA7251">
      <w:pPr>
        <w:pStyle w:val="H1GC"/>
        <w:rPr>
          <w:lang w:val="es-ES_tradnl"/>
        </w:rPr>
      </w:pPr>
      <w:r>
        <w:rPr>
          <w:rFonts w:hint="eastAsia"/>
          <w:lang w:val="es-ES_tradnl"/>
        </w:rPr>
        <w:tab/>
      </w:r>
      <w:r>
        <w:rPr>
          <w:lang w:val="es-ES_tradnl"/>
        </w:rPr>
        <w:t>P.</w:t>
      </w:r>
      <w:r>
        <w:rPr>
          <w:lang w:val="es-ES_tradnl"/>
        </w:rPr>
        <w:tab/>
      </w:r>
      <w:r>
        <w:rPr>
          <w:rFonts w:hint="eastAsia"/>
          <w:lang w:val="es-ES_tradnl"/>
        </w:rPr>
        <w:t>第二十七条：工作和就业</w:t>
      </w:r>
    </w:p>
    <w:p w:rsidR="00DA7251" w:rsidRDefault="00DA7251">
      <w:pPr>
        <w:pStyle w:val="SingleTxtGC"/>
        <w:rPr>
          <w:lang w:val="es-ES"/>
        </w:rPr>
      </w:pPr>
      <w:r>
        <w:rPr>
          <w:lang w:val="es-ES"/>
        </w:rPr>
        <w:t xml:space="preserve">166.  </w:t>
      </w:r>
      <w:r>
        <w:rPr>
          <w:rFonts w:hint="eastAsia"/>
        </w:rPr>
        <w:t>相关的立法措施有关于公共机构有义务聘用残疾人的</w:t>
      </w:r>
      <w:bookmarkStart w:id="13" w:name="OLE_LINK34"/>
      <w:r>
        <w:rPr>
          <w:rFonts w:hint="eastAsia"/>
          <w:lang w:val="es-ES"/>
        </w:rPr>
        <w:t>《</w:t>
      </w:r>
      <w:r>
        <w:rPr>
          <w:rFonts w:hint="eastAsia"/>
        </w:rPr>
        <w:t>第</w:t>
      </w:r>
      <w:r>
        <w:rPr>
          <w:lang w:val="es-ES"/>
        </w:rPr>
        <w:t>2479/04</w:t>
      </w:r>
      <w:r>
        <w:rPr>
          <w:rFonts w:hint="eastAsia"/>
        </w:rPr>
        <w:t>号法案》</w:t>
      </w:r>
      <w:bookmarkEnd w:id="13"/>
      <w:r>
        <w:rPr>
          <w:rFonts w:hint="eastAsia"/>
        </w:rPr>
        <w:t>，以及对</w:t>
      </w:r>
      <w:r>
        <w:rPr>
          <w:rFonts w:hint="eastAsia"/>
          <w:lang w:val="es-ES"/>
        </w:rPr>
        <w:t>《</w:t>
      </w:r>
      <w:r>
        <w:rPr>
          <w:rFonts w:hint="eastAsia"/>
        </w:rPr>
        <w:t>第</w:t>
      </w:r>
      <w:r>
        <w:rPr>
          <w:lang w:val="es-ES"/>
        </w:rPr>
        <w:t>2479/04</w:t>
      </w:r>
      <w:r>
        <w:rPr>
          <w:rFonts w:hint="eastAsia"/>
        </w:rPr>
        <w:t>号法案》</w:t>
      </w:r>
      <w:r>
        <w:t>第</w:t>
      </w:r>
      <w:r>
        <w:rPr>
          <w:lang w:val="es-ES"/>
        </w:rPr>
        <w:t>1</w:t>
      </w:r>
      <w:r>
        <w:t>条、第</w:t>
      </w:r>
      <w:r>
        <w:rPr>
          <w:lang w:val="es-ES"/>
        </w:rPr>
        <w:t>4</w:t>
      </w:r>
      <w:r>
        <w:rPr>
          <w:lang w:val="es-ES"/>
        </w:rPr>
        <w:t>条</w:t>
      </w:r>
      <w:r>
        <w:t>和第</w:t>
      </w:r>
      <w:r>
        <w:rPr>
          <w:lang w:val="es-ES"/>
        </w:rPr>
        <w:t>6</w:t>
      </w:r>
      <w:r>
        <w:t>条进行修正</w:t>
      </w:r>
      <w:r>
        <w:rPr>
          <w:rFonts w:hint="eastAsia"/>
        </w:rPr>
        <w:t>的《第</w:t>
      </w:r>
      <w:r>
        <w:rPr>
          <w:lang w:val="es-ES"/>
        </w:rPr>
        <w:t>3585/08</w:t>
      </w:r>
      <w:r>
        <w:rPr>
          <w:rFonts w:hint="eastAsia"/>
        </w:rPr>
        <w:t>号法案》</w:t>
      </w:r>
      <w:r>
        <w:t>。</w:t>
      </w:r>
      <w:r>
        <w:rPr>
          <w:rFonts w:hint="eastAsia"/>
        </w:rPr>
        <w:t>这两部法律确保</w:t>
      </w:r>
      <w:r>
        <w:rPr>
          <w:rFonts w:hint="eastAsia"/>
          <w:lang w:val="es-ES"/>
        </w:rPr>
        <w:t>各类残疾人应聘到公共职能部门，要求</w:t>
      </w:r>
      <w:r>
        <w:rPr>
          <w:rFonts w:hint="eastAsia"/>
        </w:rPr>
        <w:t>国家确保在公共职能部门工作的残疾人获得晋升、保护并保护其安全。</w:t>
      </w:r>
    </w:p>
    <w:p w:rsidR="00DA7251" w:rsidRDefault="00DA7251">
      <w:pPr>
        <w:pStyle w:val="SingleTxtGC"/>
        <w:rPr>
          <w:lang w:val="es-ES"/>
        </w:rPr>
      </w:pPr>
      <w:r>
        <w:rPr>
          <w:lang w:val="es-ES"/>
        </w:rPr>
        <w:t xml:space="preserve">167.  </w:t>
      </w:r>
      <w:r>
        <w:rPr>
          <w:rFonts w:hint="eastAsia"/>
        </w:rPr>
        <w:t>国家机构和民间社会组织实施了一些项目对中层领导和手工业从业者提供培训。</w:t>
      </w:r>
    </w:p>
    <w:p w:rsidR="00DA7251" w:rsidRDefault="00DA7251">
      <w:pPr>
        <w:pStyle w:val="SingleTxtGC"/>
        <w:rPr>
          <w:lang w:val="es-ES_tradnl"/>
        </w:rPr>
      </w:pPr>
      <w:r>
        <w:rPr>
          <w:lang w:val="es-ES"/>
        </w:rPr>
        <w:t xml:space="preserve">168.  </w:t>
      </w:r>
      <w:r>
        <w:rPr>
          <w:rFonts w:hint="eastAsia"/>
        </w:rPr>
        <w:t>此外</w:t>
      </w:r>
      <w:r>
        <w:rPr>
          <w:rFonts w:hint="eastAsia"/>
          <w:lang w:val="es-ES"/>
        </w:rPr>
        <w:t>，</w:t>
      </w:r>
      <w:r>
        <w:rPr>
          <w:rFonts w:hint="eastAsia"/>
        </w:rPr>
        <w:t>国家职业促进局、全国特殊人士保护研究所和支持青年残疾人就业联盟</w:t>
      </w:r>
      <w:r>
        <w:rPr>
          <w:rStyle w:val="FootnoteReference"/>
        </w:rPr>
        <w:footnoteReference w:id="52"/>
      </w:r>
      <w:r>
        <w:rPr>
          <w:rStyle w:val="FootnoteReference"/>
          <w:vertAlign w:val="baseline"/>
        </w:rPr>
        <w:t xml:space="preserve"> </w:t>
      </w:r>
      <w:r>
        <w:rPr>
          <w:rFonts w:hint="eastAsia"/>
        </w:rPr>
        <w:t>签署了一份跨部门合作协议</w:t>
      </w:r>
      <w:r>
        <w:rPr>
          <w:rFonts w:hint="eastAsia"/>
          <w:lang w:val="es-ES"/>
        </w:rPr>
        <w:t>，</w:t>
      </w:r>
      <w:r>
        <w:rPr>
          <w:rFonts w:hint="eastAsia"/>
        </w:rPr>
        <w:t>共同实施《年轻人就业项目》。</w:t>
      </w:r>
    </w:p>
    <w:p w:rsidR="00DA7251" w:rsidRDefault="00DA7251">
      <w:pPr>
        <w:pStyle w:val="SingleTxtGC"/>
        <w:rPr>
          <w:lang w:val="es-ES"/>
        </w:rPr>
      </w:pPr>
      <w:r>
        <w:rPr>
          <w:lang w:val="es-ES"/>
        </w:rPr>
        <w:t xml:space="preserve">169.  </w:t>
      </w:r>
      <w:r>
        <w:rPr>
          <w:rFonts w:hint="eastAsia"/>
        </w:rPr>
        <w:t>司法和劳动部下属的国家职业促进局和国家职业培训局为身体和感官残疾人提供免费培训课程。全国特殊人士保护研究所也有</w:t>
      </w:r>
      <w:r>
        <w:rPr>
          <w:rFonts w:hint="eastAsia"/>
          <w:lang w:val="es-ES"/>
        </w:rPr>
        <w:t>“</w:t>
      </w:r>
      <w:r>
        <w:rPr>
          <w:rFonts w:hint="eastAsia"/>
        </w:rPr>
        <w:t>就业培训讲习班</w:t>
      </w:r>
      <w:r>
        <w:rPr>
          <w:rFonts w:hint="eastAsia"/>
          <w:lang w:val="es-ES"/>
        </w:rPr>
        <w:t>”</w:t>
      </w:r>
      <w:r>
        <w:rPr>
          <w:rFonts w:hint="eastAsia"/>
        </w:rPr>
        <w:t>。讲习班的学员在接受培训后，可以成为自由职业者。</w:t>
      </w:r>
    </w:p>
    <w:p w:rsidR="00DA7251" w:rsidRDefault="00DA7251">
      <w:pPr>
        <w:pStyle w:val="SingleTxtGC"/>
        <w:rPr>
          <w:lang w:val="es-ES"/>
        </w:rPr>
      </w:pPr>
      <w:r>
        <w:rPr>
          <w:lang w:val="es-ES"/>
        </w:rPr>
        <w:t xml:space="preserve">170.  </w:t>
      </w:r>
      <w:r>
        <w:rPr>
          <w:rFonts w:hint="eastAsia"/>
        </w:rPr>
        <w:t>公共职能部门有选拔和晋升程序。根据《第</w:t>
      </w:r>
      <w:r>
        <w:rPr>
          <w:lang w:val="es-ES"/>
        </w:rPr>
        <w:t>1626/00</w:t>
      </w:r>
      <w:r>
        <w:rPr>
          <w:rFonts w:hint="eastAsia"/>
        </w:rPr>
        <w:t>号法案》关于公务员制度的</w:t>
      </w:r>
      <w:r>
        <w:t>第</w:t>
      </w:r>
      <w:r>
        <w:t>15</w:t>
      </w:r>
      <w:r>
        <w:t>条和第</w:t>
      </w:r>
      <w:r>
        <w:t>35</w:t>
      </w:r>
      <w:r>
        <w:rPr>
          <w:rFonts w:hint="eastAsia"/>
        </w:rPr>
        <w:t>条，公共职能部门的招录或晋升对残疾人而言，其永久和临时职位应公开竞争。采取“公开竞争”意味着遵循一整套技术程序，其依据是权衡和评估胜任能力、推荐信、资质、履历、所参加的培训课程和考试，其目的通过定量和可比较的指标来衡量候选人的知识、经验和对岗位的适应能力。</w:t>
      </w:r>
    </w:p>
    <w:p w:rsidR="00DA7251" w:rsidRDefault="00DA7251">
      <w:pPr>
        <w:pStyle w:val="SingleTxtGC"/>
        <w:rPr>
          <w:lang w:val="es-ES"/>
        </w:rPr>
      </w:pPr>
      <w:r>
        <w:rPr>
          <w:lang w:val="es-ES"/>
        </w:rPr>
        <w:t xml:space="preserve">171.  </w:t>
      </w:r>
      <w:r>
        <w:rPr>
          <w:rFonts w:hint="eastAsia"/>
        </w:rPr>
        <w:t>在</w:t>
      </w:r>
      <w:r>
        <w:rPr>
          <w:rFonts w:hint="eastAsia"/>
          <w:lang w:val="en"/>
        </w:rPr>
        <w:t>采取立法措施，以确保在就业各个阶段和一切形式的就业中残疾人免受歧视，承认残疾人在与其他人平等的基础上享有工作权，特别是同工同酬的权利方面，</w:t>
      </w:r>
      <w:r>
        <w:rPr>
          <w:rFonts w:hint="eastAsia"/>
        </w:rPr>
        <w:t>《劳动法》的多项条款中均对其做了规定，要求公共机构工作人员中残疾人的比例不得低于</w:t>
      </w:r>
      <w:r>
        <w:t>5%</w:t>
      </w:r>
      <w:r>
        <w:rPr>
          <w:rFonts w:hint="eastAsia"/>
        </w:rPr>
        <w:t>。</w:t>
      </w:r>
    </w:p>
    <w:p w:rsidR="00DA7251" w:rsidRDefault="00DA7251">
      <w:pPr>
        <w:pStyle w:val="SingleTxtGC"/>
        <w:rPr>
          <w:lang w:val="es-ES_tradnl"/>
        </w:rPr>
      </w:pPr>
      <w:r>
        <w:rPr>
          <w:lang w:val="es-ES"/>
        </w:rPr>
        <w:t xml:space="preserve">172.  </w:t>
      </w:r>
      <w:r>
        <w:rPr>
          <w:rFonts w:hint="eastAsia"/>
        </w:rPr>
        <w:t>在公共部门就业方面</w:t>
      </w:r>
      <w:r>
        <w:rPr>
          <w:rFonts w:hint="eastAsia"/>
          <w:lang w:val="es-ES"/>
        </w:rPr>
        <w:t>，</w:t>
      </w:r>
      <w:r>
        <w:rPr>
          <w:rFonts w:hint="eastAsia"/>
        </w:rPr>
        <w:t>《劳动法》规定</w:t>
      </w:r>
      <w:r>
        <w:rPr>
          <w:rFonts w:hint="eastAsia"/>
          <w:lang w:val="es-ES"/>
        </w:rPr>
        <w:t>，</w:t>
      </w:r>
      <w:r>
        <w:rPr>
          <w:rFonts w:hint="eastAsia"/>
        </w:rPr>
        <w:t>应在技术和财政上进行一定的援助</w:t>
      </w:r>
      <w:r>
        <w:rPr>
          <w:rFonts w:hint="eastAsia"/>
          <w:lang w:val="es-ES"/>
        </w:rPr>
        <w:t>，</w:t>
      </w:r>
      <w:r>
        <w:rPr>
          <w:rFonts w:hint="eastAsia"/>
        </w:rPr>
        <w:t>以提供任何必要的合理便利。巴拉圭国会正在研究为雇用残疾人的企业提供税收激励的法案，作为</w:t>
      </w:r>
      <w:r>
        <w:rPr>
          <w:rFonts w:hint="eastAsia"/>
          <w:lang w:val="en"/>
        </w:rPr>
        <w:t>促进残疾人在正规劳动力市场中就业而采取的有效扶持行动措施</w:t>
      </w:r>
      <w:r>
        <w:rPr>
          <w:rFonts w:hint="eastAsia"/>
        </w:rPr>
        <w:t>。</w:t>
      </w:r>
    </w:p>
    <w:p w:rsidR="00DA7251" w:rsidRDefault="00DA7251">
      <w:pPr>
        <w:pStyle w:val="SingleTxtGC"/>
        <w:rPr>
          <w:lang w:val="es-ES"/>
        </w:rPr>
      </w:pPr>
      <w:r>
        <w:rPr>
          <w:lang w:val="es-ES"/>
        </w:rPr>
        <w:t xml:space="preserve">173.  </w:t>
      </w:r>
      <w:r>
        <w:rPr>
          <w:rFonts w:hint="eastAsia"/>
        </w:rPr>
        <w:t>根据公共事务秘书处的平等和包容政策</w:t>
      </w:r>
      <w:r>
        <w:rPr>
          <w:rFonts w:hint="eastAsia"/>
          <w:lang w:val="es-ES_tradnl"/>
        </w:rPr>
        <w:t>，</w:t>
      </w:r>
      <w:r>
        <w:rPr>
          <w:rFonts w:hint="eastAsia"/>
        </w:rPr>
        <w:t>巴拉圭呼吁残疾人领域的专家和参与残疾人就业工作的具体人士成立机构间委员会，以起草《第</w:t>
      </w:r>
      <w:r>
        <w:rPr>
          <w:lang w:val="es-ES_tradnl"/>
        </w:rPr>
        <w:t>2479/04</w:t>
      </w:r>
      <w:r>
        <w:rPr>
          <w:rFonts w:hint="eastAsia"/>
        </w:rPr>
        <w:t>号法案》和《第</w:t>
      </w:r>
      <w:r>
        <w:rPr>
          <w:lang w:val="es-ES_tradnl"/>
        </w:rPr>
        <w:t>3585/08</w:t>
      </w:r>
      <w:r>
        <w:rPr>
          <w:rFonts w:hint="eastAsia"/>
        </w:rPr>
        <w:t>号法案》的监管条令。通过这一过程，将明确公共事务秘书处在执行上述两项法案方面的权力和职责。</w:t>
      </w:r>
    </w:p>
    <w:p w:rsidR="00DA7251" w:rsidRDefault="00DA7251">
      <w:pPr>
        <w:pStyle w:val="SingleTxtGC"/>
        <w:rPr>
          <w:lang w:val="es-ES_tradnl"/>
        </w:rPr>
      </w:pPr>
      <w:r>
        <w:rPr>
          <w:lang w:val="es-ES"/>
        </w:rPr>
        <w:t xml:space="preserve">174.  </w:t>
      </w:r>
      <w:r>
        <w:rPr>
          <w:rFonts w:hint="eastAsia"/>
          <w:lang w:val="es-ES"/>
        </w:rPr>
        <w:t>机构间委员会提交巴拉圭共和国总统审议的</w:t>
      </w:r>
      <w:r>
        <w:rPr>
          <w:rFonts w:hint="eastAsia"/>
        </w:rPr>
        <w:t>监管条令草案考虑到《残疾人权利公约》和其他文书等的条款。</w:t>
      </w:r>
      <w:smartTag w:uri="urn:schemas-microsoft-com:office:smarttags" w:element="chsdate">
        <w:smartTagPr>
          <w:attr w:name="Year" w:val="2009"/>
          <w:attr w:name="Month" w:val="9"/>
          <w:attr w:name="Day" w:val="8"/>
          <w:attr w:name="IsLunarDate" w:val="False"/>
          <w:attr w:name="IsROCDate" w:val="False"/>
        </w:smartTagPr>
        <w:r>
          <w:rPr>
            <w:lang w:val="es-ES"/>
          </w:rPr>
          <w:t>2009</w:t>
        </w:r>
        <w:r>
          <w:t>年</w:t>
        </w:r>
        <w:r>
          <w:rPr>
            <w:lang w:val="es-ES"/>
          </w:rPr>
          <w:t>9</w:t>
        </w:r>
        <w:r>
          <w:t>月</w:t>
        </w:r>
        <w:r>
          <w:rPr>
            <w:lang w:val="es-ES"/>
          </w:rPr>
          <w:t>8</w:t>
        </w:r>
        <w:r>
          <w:t>日</w:t>
        </w:r>
      </w:smartTag>
      <w:r>
        <w:rPr>
          <w:rFonts w:hint="eastAsia"/>
        </w:rPr>
        <w:t>在国民议会两院召开的公开听证会上将最终草案提交民间社会审议。</w:t>
      </w:r>
    </w:p>
    <w:p w:rsidR="00DA7251" w:rsidRDefault="00DA7251">
      <w:pPr>
        <w:pStyle w:val="SingleTxtGC"/>
        <w:rPr>
          <w:lang w:val="es-ES"/>
        </w:rPr>
      </w:pPr>
      <w:r>
        <w:rPr>
          <w:lang w:val="es-ES"/>
        </w:rPr>
        <w:t xml:space="preserve">175.  </w:t>
      </w:r>
      <w:r>
        <w:rPr>
          <w:rFonts w:hint="eastAsia"/>
        </w:rPr>
        <w:t>很多从事残疾人工作和为残疾人服务的组织都参加了本次听证会。在听证会上讨论并就此达成共识的项目是，对不遵守《第</w:t>
      </w:r>
      <w:r>
        <w:rPr>
          <w:lang w:val="es-ES"/>
        </w:rPr>
        <w:t>3585/08</w:t>
      </w:r>
      <w:r>
        <w:rPr>
          <w:rFonts w:hint="eastAsia"/>
        </w:rPr>
        <w:t>号法案》</w:t>
      </w:r>
      <w:r>
        <w:rPr>
          <w:rStyle w:val="FootnoteReference"/>
        </w:rPr>
        <w:footnoteReference w:id="53"/>
      </w:r>
      <w:r>
        <w:rPr>
          <w:rStyle w:val="FootnoteReference"/>
          <w:vertAlign w:val="baseline"/>
        </w:rPr>
        <w:t xml:space="preserve"> </w:t>
      </w:r>
      <w:r>
        <w:rPr>
          <w:rFonts w:hint="eastAsia"/>
        </w:rPr>
        <w:t>的公共机构中的负责人处罚。</w:t>
      </w:r>
    </w:p>
    <w:p w:rsidR="00DA7251" w:rsidRDefault="00DA7251">
      <w:pPr>
        <w:pStyle w:val="SingleTxtGC"/>
        <w:rPr>
          <w:lang w:val="es-ES"/>
        </w:rPr>
      </w:pPr>
      <w:r>
        <w:rPr>
          <w:lang w:val="es-ES"/>
        </w:rPr>
        <w:t xml:space="preserve">176.  </w:t>
      </w:r>
      <w:r>
        <w:rPr>
          <w:rFonts w:hint="eastAsia"/>
          <w:lang w:val="es-ES"/>
        </w:rPr>
        <w:t>根据平等和包容政策，</w:t>
      </w:r>
      <w:r>
        <w:rPr>
          <w:rFonts w:hint="eastAsia"/>
        </w:rPr>
        <w:t>公共事务秘书处成立了一个特殊机构，推动残疾人有效融入公共职能部门，并将其作为公共行政和不歧视部门培训方案的一部分，并向</w:t>
      </w:r>
      <w:r>
        <w:rPr>
          <w:lang w:val="es-ES"/>
        </w:rPr>
        <w:t>150</w:t>
      </w:r>
      <w:r>
        <w:t>名</w:t>
      </w:r>
      <w:r>
        <w:rPr>
          <w:rFonts w:hint="eastAsia"/>
        </w:rPr>
        <w:t>公务人员提供手语课程，从而推动残疾人有效融入公共职能部门。</w:t>
      </w:r>
    </w:p>
    <w:p w:rsidR="00DA7251" w:rsidRDefault="00DA7251">
      <w:pPr>
        <w:pStyle w:val="SingleTxtGC"/>
        <w:rPr>
          <w:lang w:val="es-ES_tradnl"/>
        </w:rPr>
      </w:pPr>
      <w:r>
        <w:rPr>
          <w:lang w:val="es-ES"/>
        </w:rPr>
        <w:t xml:space="preserve">177.  </w:t>
      </w:r>
      <w:r>
        <w:rPr>
          <w:rFonts w:hint="eastAsia"/>
        </w:rPr>
        <w:t>目前</w:t>
      </w:r>
      <w:r>
        <w:rPr>
          <w:rFonts w:hint="eastAsia"/>
          <w:lang w:val="es-ES"/>
        </w:rPr>
        <w:t>，</w:t>
      </w:r>
      <w:r>
        <w:rPr>
          <w:rFonts w:hint="eastAsia"/>
        </w:rPr>
        <w:t>在全</w:t>
      </w:r>
      <w:r>
        <w:t>部</w:t>
      </w:r>
      <w:r>
        <w:rPr>
          <w:lang w:val="es-ES"/>
        </w:rPr>
        <w:t>214,316</w:t>
      </w:r>
      <w:r>
        <w:t>名公共机构工作人员中</w:t>
      </w:r>
      <w:r>
        <w:rPr>
          <w:rStyle w:val="FootnoteReference"/>
        </w:rPr>
        <w:footnoteReference w:id="54"/>
      </w:r>
      <w:r>
        <w:rPr>
          <w:rStyle w:val="FootnoteReference"/>
          <w:vertAlign w:val="baseline"/>
        </w:rPr>
        <w:t xml:space="preserve"> </w:t>
      </w:r>
      <w:r>
        <w:rPr>
          <w:lang w:val="es-ES"/>
        </w:rPr>
        <w:t>，</w:t>
      </w:r>
      <w:r>
        <w:t>只有</w:t>
      </w:r>
      <w:r>
        <w:rPr>
          <w:lang w:val="es-ES"/>
        </w:rPr>
        <w:t>30</w:t>
      </w:r>
      <w:r>
        <w:t>家机构报告称录用了</w:t>
      </w:r>
      <w:r>
        <w:rPr>
          <w:lang w:val="es-ES"/>
        </w:rPr>
        <w:t>651</w:t>
      </w:r>
      <w:r>
        <w:t>名残疾</w:t>
      </w:r>
      <w:r>
        <w:rPr>
          <w:rFonts w:hint="eastAsia"/>
        </w:rPr>
        <w:t>人。这就意味着公共机构在执行《第</w:t>
      </w:r>
      <w:r>
        <w:t>2479/04</w:t>
      </w:r>
      <w:r>
        <w:rPr>
          <w:rFonts w:hint="eastAsia"/>
        </w:rPr>
        <w:t>号法》案和《第</w:t>
      </w:r>
      <w:r>
        <w:t>3585/08</w:t>
      </w:r>
      <w:r>
        <w:rPr>
          <w:rFonts w:hint="eastAsia"/>
        </w:rPr>
        <w:t>号法案》方面的力度不够：因为法律规定公共机构工作人员中，残疾人比例应不低于</w:t>
      </w:r>
      <w:r>
        <w:t>5%</w:t>
      </w:r>
      <w:r>
        <w:t>，而实际情况仅为</w:t>
      </w:r>
      <w:r>
        <w:t>3%</w:t>
      </w:r>
      <w:r>
        <w:t>。</w:t>
      </w:r>
    </w:p>
    <w:p w:rsidR="00DA7251" w:rsidRDefault="00DA7251">
      <w:pPr>
        <w:pStyle w:val="SingleTxtGC"/>
        <w:rPr>
          <w:lang w:val="es-ES_tradnl"/>
        </w:rPr>
      </w:pPr>
      <w:r>
        <w:rPr>
          <w:lang w:val="es-ES"/>
        </w:rPr>
        <w:t xml:space="preserve">178.  </w:t>
      </w:r>
      <w:r>
        <w:rPr>
          <w:rFonts w:hint="eastAsia"/>
        </w:rPr>
        <w:t>全国特殊人士保护研究所与“萨拉基”基金会及发展信息和资源中心签署协议</w:t>
      </w:r>
      <w:r>
        <w:rPr>
          <w:rFonts w:hint="eastAsia"/>
          <w:lang w:val="es-ES_tradnl"/>
        </w:rPr>
        <w:t>，</w:t>
      </w:r>
      <w:r>
        <w:rPr>
          <w:rFonts w:hint="eastAsia"/>
        </w:rPr>
        <w:t>在对残疾程度进行认定后</w:t>
      </w:r>
      <w:r>
        <w:rPr>
          <w:rFonts w:hint="eastAsia"/>
          <w:lang w:val="es-ES_tradnl"/>
        </w:rPr>
        <w:t>，</w:t>
      </w:r>
      <w:r>
        <w:rPr>
          <w:rFonts w:hint="eastAsia"/>
        </w:rPr>
        <w:t>将在不同的公共和私人机构聘用残疾人。</w:t>
      </w:r>
    </w:p>
    <w:p w:rsidR="00DA7251" w:rsidRDefault="00DA7251">
      <w:pPr>
        <w:pStyle w:val="SingleTxtGC"/>
        <w:rPr>
          <w:lang w:val="es-ES"/>
        </w:rPr>
      </w:pPr>
      <w:r>
        <w:rPr>
          <w:lang w:val="es-ES"/>
        </w:rPr>
        <w:t xml:space="preserve">179.  </w:t>
      </w:r>
      <w:r>
        <w:rPr>
          <w:rFonts w:hint="eastAsia"/>
        </w:rPr>
        <w:t>最高法院目前在亚松森和首都以外地区分别</w:t>
      </w:r>
      <w:r>
        <w:t>有</w:t>
      </w:r>
      <w:r>
        <w:rPr>
          <w:lang w:val="es-ES_tradnl"/>
        </w:rPr>
        <w:t>47</w:t>
      </w:r>
      <w:r>
        <w:t>名和</w:t>
      </w:r>
      <w:r>
        <w:rPr>
          <w:lang w:val="es-ES_tradnl"/>
        </w:rPr>
        <w:t>5</w:t>
      </w:r>
      <w:r>
        <w:t>名残疾工作人员。进行了相应的调整</w:t>
      </w:r>
      <w:r>
        <w:rPr>
          <w:rFonts w:hint="eastAsia"/>
        </w:rPr>
        <w:t>，以更多聘用残疾人，并安排预算拨款，</w:t>
      </w:r>
      <w:r>
        <w:t>2011</w:t>
      </w:r>
      <w:r>
        <w:t>年亚松森和</w:t>
      </w:r>
      <w:r>
        <w:rPr>
          <w:rFonts w:hint="eastAsia"/>
        </w:rPr>
        <w:t>首都以外地</w:t>
      </w:r>
      <w:r>
        <w:t>区将录用约</w:t>
      </w:r>
      <w:r>
        <w:t>400</w:t>
      </w:r>
      <w:r>
        <w:t>名</w:t>
      </w:r>
      <w:r>
        <w:rPr>
          <w:rFonts w:hint="eastAsia"/>
        </w:rPr>
        <w:t>残疾工作人员担任助理和辅助人员。</w:t>
      </w:r>
    </w:p>
    <w:p w:rsidR="00DA7251" w:rsidRDefault="00DA7251">
      <w:pPr>
        <w:pStyle w:val="H1GC"/>
        <w:rPr>
          <w:lang w:val="es-ES_tradnl"/>
        </w:rPr>
      </w:pPr>
      <w:r>
        <w:rPr>
          <w:rFonts w:hint="eastAsia"/>
          <w:lang w:val="es-ES_tradnl"/>
        </w:rPr>
        <w:tab/>
      </w:r>
      <w:r>
        <w:rPr>
          <w:lang w:val="es-ES_tradnl"/>
        </w:rPr>
        <w:t>Q.</w:t>
      </w:r>
      <w:r>
        <w:rPr>
          <w:lang w:val="es-ES_tradnl"/>
        </w:rPr>
        <w:tab/>
      </w:r>
      <w:r>
        <w:rPr>
          <w:rFonts w:hint="eastAsia"/>
          <w:lang w:val="es-ES_tradnl"/>
        </w:rPr>
        <w:t>第二十八条：适足生活水准和社会保护</w:t>
      </w:r>
    </w:p>
    <w:p w:rsidR="00DA7251" w:rsidRDefault="00DA7251">
      <w:pPr>
        <w:pStyle w:val="SingleTxtGC"/>
        <w:rPr>
          <w:lang w:val="es-ES"/>
        </w:rPr>
      </w:pPr>
      <w:r>
        <w:rPr>
          <w:lang w:val="es-ES"/>
        </w:rPr>
        <w:t xml:space="preserve">180.  </w:t>
      </w:r>
      <w:r>
        <w:rPr>
          <w:rFonts w:hint="eastAsia"/>
        </w:rPr>
        <w:t>作为落实帮助残疾人康复和提高残疾人生活水平的各项公共政策的一部分</w:t>
      </w:r>
      <w:r>
        <w:rPr>
          <w:rFonts w:hint="eastAsia"/>
          <w:lang w:val="es-ES"/>
        </w:rPr>
        <w:t>，</w:t>
      </w:r>
      <w:r>
        <w:rPr>
          <w:rFonts w:hint="eastAsia"/>
        </w:rPr>
        <w:t>全国特殊人士保护研究所与国家住房委员会</w:t>
      </w:r>
      <w:r>
        <w:rPr>
          <w:rStyle w:val="FootnoteReference"/>
        </w:rPr>
        <w:footnoteReference w:id="55"/>
      </w:r>
      <w:r>
        <w:rPr>
          <w:rStyle w:val="FootnoteReference"/>
          <w:vertAlign w:val="baseline"/>
        </w:rPr>
        <w:t xml:space="preserve"> </w:t>
      </w:r>
      <w:r>
        <w:rPr>
          <w:rFonts w:hint="eastAsia"/>
        </w:rPr>
        <w:t>签署了一项协议</w:t>
      </w:r>
      <w:r>
        <w:rPr>
          <w:rFonts w:hint="eastAsia"/>
          <w:lang w:val="es-ES"/>
        </w:rPr>
        <w:t>，这样</w:t>
      </w:r>
      <w:r>
        <w:rPr>
          <w:rFonts w:hint="eastAsia"/>
        </w:rPr>
        <w:t>残疾人能通过国家住房政策获得属于自己的住房。此外</w:t>
      </w:r>
      <w:r>
        <w:rPr>
          <w:rFonts w:hint="eastAsia"/>
          <w:lang w:val="es-ES"/>
        </w:rPr>
        <w:t>，</w:t>
      </w:r>
      <w:r>
        <w:rPr>
          <w:rFonts w:hint="eastAsia"/>
        </w:rPr>
        <w:t>全国特殊人士保护研究所和</w:t>
      </w:r>
      <w:bookmarkStart w:id="14" w:name="OLE_LINK38"/>
      <w:r>
        <w:rPr>
          <w:rFonts w:hint="eastAsia"/>
        </w:rPr>
        <w:t>国家住房和人居秘书处</w:t>
      </w:r>
      <w:bookmarkEnd w:id="14"/>
      <w:r>
        <w:rPr>
          <w:rFonts w:hint="eastAsia"/>
        </w:rPr>
        <w:t>目前有一份协议。根据该协议，由住房和人居部建造的房屋可根据残疾人的需要供其居住。</w:t>
      </w:r>
    </w:p>
    <w:p w:rsidR="00DA7251" w:rsidRDefault="00DA7251">
      <w:pPr>
        <w:pStyle w:val="SingleTxtGC"/>
        <w:rPr>
          <w:lang w:val="es-ES"/>
        </w:rPr>
      </w:pPr>
      <w:r>
        <w:rPr>
          <w:lang w:val="es-ES"/>
        </w:rPr>
        <w:t xml:space="preserve">181.  </w:t>
      </w:r>
      <w:r>
        <w:rPr>
          <w:rFonts w:hint="eastAsia"/>
        </w:rPr>
        <w:t>另一方面</w:t>
      </w:r>
      <w:r>
        <w:rPr>
          <w:rFonts w:hint="eastAsia"/>
          <w:lang w:val="es-ES"/>
        </w:rPr>
        <w:t>，</w:t>
      </w:r>
      <w:r>
        <w:rPr>
          <w:rFonts w:hint="eastAsia"/>
        </w:rPr>
        <w:t>社会行动秘书处实施了一项旨在战胜赤贫的项目</w:t>
      </w:r>
      <w:r>
        <w:rPr>
          <w:rFonts w:hint="eastAsia"/>
          <w:lang w:val="es-ES"/>
        </w:rPr>
        <w:t>：</w:t>
      </w:r>
      <w:r>
        <w:rPr>
          <w:rFonts w:hint="eastAsia"/>
        </w:rPr>
        <w:t>已将该项目作为政府方案纳入</w:t>
      </w:r>
      <w:r>
        <w:t>《</w:t>
      </w:r>
      <w:r>
        <w:rPr>
          <w:lang w:val="es-ES"/>
        </w:rPr>
        <w:t>2010-2020</w:t>
      </w:r>
      <w:r>
        <w:rPr>
          <w:rFonts w:hint="eastAsia"/>
        </w:rPr>
        <w:t>年计划》。在收集数据时</w:t>
      </w:r>
      <w:r>
        <w:rPr>
          <w:rFonts w:hint="eastAsia"/>
          <w:lang w:val="es-ES"/>
        </w:rPr>
        <w:t>，</w:t>
      </w:r>
      <w:r>
        <w:rPr>
          <w:rFonts w:hint="eastAsia"/>
        </w:rPr>
        <w:t>须对有家庭成员具有某种残疾的家庭进行登记</w:t>
      </w:r>
      <w:r>
        <w:rPr>
          <w:rFonts w:hint="eastAsia"/>
          <w:lang w:val="es-ES"/>
        </w:rPr>
        <w:t>：</w:t>
      </w:r>
      <w:r>
        <w:rPr>
          <w:rFonts w:hint="eastAsia"/>
        </w:rPr>
        <w:t>这是获得经济援助的一个条件。</w:t>
      </w:r>
    </w:p>
    <w:p w:rsidR="00DA7251" w:rsidRDefault="00DA7251">
      <w:pPr>
        <w:pStyle w:val="SingleTxtGC"/>
        <w:rPr>
          <w:lang w:val="es-ES_tradnl"/>
        </w:rPr>
      </w:pPr>
      <w:r>
        <w:rPr>
          <w:lang w:val="es-ES"/>
        </w:rPr>
        <w:t xml:space="preserve">182.  </w:t>
      </w:r>
      <w:r>
        <w:rPr>
          <w:rFonts w:hint="eastAsia"/>
        </w:rPr>
        <w:t>就适足生活水准来说</w:t>
      </w:r>
      <w:r>
        <w:rPr>
          <w:rFonts w:hint="eastAsia"/>
          <w:lang w:val="es-ES"/>
        </w:rPr>
        <w:t>，</w:t>
      </w:r>
      <w:r>
        <w:rPr>
          <w:rFonts w:hint="eastAsia"/>
        </w:rPr>
        <w:t>考虑了旨在改善残疾人生活质量的多方面因素。全国特殊人士保护研究所关注为残疾人提供服务和福利</w:t>
      </w:r>
      <w:r>
        <w:rPr>
          <w:rFonts w:hint="eastAsia"/>
          <w:lang w:val="es-ES"/>
        </w:rPr>
        <w:t>，</w:t>
      </w:r>
      <w:r>
        <w:rPr>
          <w:rFonts w:hint="eastAsia"/>
        </w:rPr>
        <w:t>提高受益人的生活水平。</w:t>
      </w:r>
    </w:p>
    <w:p w:rsidR="00DA7251" w:rsidRDefault="00DA7251">
      <w:pPr>
        <w:pStyle w:val="SingleTxtGC"/>
        <w:rPr>
          <w:lang w:val="es-ES"/>
        </w:rPr>
      </w:pPr>
      <w:r>
        <w:rPr>
          <w:lang w:val="es-ES"/>
        </w:rPr>
        <w:t xml:space="preserve">183.  </w:t>
      </w:r>
      <w:r>
        <w:rPr>
          <w:rFonts w:hint="eastAsia"/>
        </w:rPr>
        <w:t>除了跨部门康复服务外，还有一个社会工作机构，负责通过与受益人自己或其直接亲属面谈，收集关于受益人生活水平的资料。受益人的社会经济水平可以被划分为可接受、较低和极低：</w:t>
      </w:r>
    </w:p>
    <w:p w:rsidR="00DA7251" w:rsidRDefault="00DA7251">
      <w:pPr>
        <w:pStyle w:val="SingleTxtGC"/>
        <w:numPr>
          <w:ilvl w:val="0"/>
          <w:numId w:val="13"/>
        </w:numPr>
        <w:rPr>
          <w:lang w:val="es-ES"/>
        </w:rPr>
      </w:pPr>
      <w:r>
        <w:t>可接受</w:t>
      </w:r>
      <w:r>
        <w:rPr>
          <w:lang w:val="es-ES_tradnl"/>
        </w:rPr>
        <w:t>：</w:t>
      </w:r>
      <w:r>
        <w:rPr>
          <w:rFonts w:hint="eastAsia"/>
        </w:rPr>
        <w:t>受益人</w:t>
      </w:r>
      <w:r>
        <w:t>有某种不低于现行最低工资的经济收入</w:t>
      </w:r>
      <w:r>
        <w:rPr>
          <w:lang w:val="es-ES"/>
        </w:rPr>
        <w:t>，</w:t>
      </w:r>
      <w:r>
        <w:t>或有</w:t>
      </w:r>
      <w:r>
        <w:rPr>
          <w:rFonts w:hint="eastAsia"/>
        </w:rPr>
        <w:t>可给予</w:t>
      </w:r>
      <w:r>
        <w:t>其帮助的直系亲属。</w:t>
      </w:r>
      <w:r>
        <w:rPr>
          <w:rFonts w:hint="eastAsia"/>
        </w:rPr>
        <w:t>使其</w:t>
      </w:r>
      <w:r>
        <w:t>经济来源</w:t>
      </w:r>
      <w:r>
        <w:rPr>
          <w:rFonts w:hint="eastAsia"/>
        </w:rPr>
        <w:t>能够满足</w:t>
      </w:r>
      <w:r>
        <w:t>其基本需求，但无法支付康复方面的开支。</w:t>
      </w:r>
    </w:p>
    <w:p w:rsidR="00DA7251" w:rsidRDefault="00DA7251">
      <w:pPr>
        <w:pStyle w:val="SingleTxtGC"/>
        <w:numPr>
          <w:ilvl w:val="0"/>
          <w:numId w:val="13"/>
        </w:numPr>
        <w:rPr>
          <w:lang w:val="es-ES"/>
        </w:rPr>
      </w:pPr>
      <w:r>
        <w:t>较低</w:t>
      </w:r>
      <w:r>
        <w:rPr>
          <w:lang w:val="es-ES"/>
        </w:rPr>
        <w:t>：</w:t>
      </w:r>
      <w:r>
        <w:rPr>
          <w:rFonts w:hint="eastAsia"/>
        </w:rPr>
        <w:t>受益人</w:t>
      </w:r>
      <w:r>
        <w:t>的经济收入无法满足其基本需求</w:t>
      </w:r>
      <w:r>
        <w:rPr>
          <w:lang w:val="es-ES"/>
        </w:rPr>
        <w:t>，</w:t>
      </w:r>
      <w:r>
        <w:t>更不要说康复了。</w:t>
      </w:r>
    </w:p>
    <w:p w:rsidR="00DA7251" w:rsidRDefault="00DA7251">
      <w:pPr>
        <w:pStyle w:val="SingleTxtGC"/>
        <w:numPr>
          <w:ilvl w:val="0"/>
          <w:numId w:val="13"/>
        </w:numPr>
        <w:rPr>
          <w:lang w:val="es-ES"/>
        </w:rPr>
      </w:pPr>
      <w:r>
        <w:t>极低</w:t>
      </w:r>
      <w:r>
        <w:rPr>
          <w:lang w:val="es-ES_tradnl"/>
        </w:rPr>
        <w:t>：</w:t>
      </w:r>
      <w:r>
        <w:rPr>
          <w:rFonts w:hint="eastAsia"/>
          <w:lang w:val="es-ES_tradnl"/>
        </w:rPr>
        <w:t>受益人</w:t>
      </w:r>
      <w:r>
        <w:t>来自内陆地区</w:t>
      </w:r>
      <w:r>
        <w:rPr>
          <w:lang w:val="es-ES"/>
        </w:rPr>
        <w:t>，</w:t>
      </w:r>
      <w:r>
        <w:rPr>
          <w:rFonts w:hint="eastAsia"/>
        </w:rPr>
        <w:t>无法获得</w:t>
      </w:r>
      <w:r>
        <w:t>基本</w:t>
      </w:r>
      <w:r>
        <w:rPr>
          <w:rFonts w:hint="eastAsia"/>
        </w:rPr>
        <w:t>服务</w:t>
      </w:r>
      <w:r>
        <w:rPr>
          <w:rFonts w:hint="eastAsia"/>
          <w:lang w:val="es-ES"/>
        </w:rPr>
        <w:t>，</w:t>
      </w:r>
      <w:r>
        <w:t>如</w:t>
      </w:r>
      <w:r>
        <w:rPr>
          <w:lang w:val="es-ES"/>
        </w:rPr>
        <w:t>：</w:t>
      </w:r>
      <w:r>
        <w:t>饮用水、垃圾处理</w:t>
      </w:r>
      <w:r>
        <w:rPr>
          <w:rFonts w:hint="eastAsia"/>
        </w:rPr>
        <w:t>系统。他们没有任何经济收入，多数时候居住条件很差。</w:t>
      </w:r>
    </w:p>
    <w:p w:rsidR="00DA7251" w:rsidRDefault="00DA7251">
      <w:pPr>
        <w:pStyle w:val="SingleTxtGC"/>
        <w:rPr>
          <w:lang w:val="es-ES"/>
        </w:rPr>
      </w:pPr>
      <w:r>
        <w:rPr>
          <w:lang w:val="es-ES"/>
        </w:rPr>
        <w:t xml:space="preserve">184.  </w:t>
      </w:r>
      <w:r>
        <w:rPr>
          <w:rFonts w:hint="eastAsia"/>
        </w:rPr>
        <w:t>目前</w:t>
      </w:r>
      <w:r>
        <w:rPr>
          <w:rFonts w:hint="eastAsia"/>
          <w:lang w:val="es-ES"/>
        </w:rPr>
        <w:t>，</w:t>
      </w:r>
      <w:r>
        <w:t>全国特殊人士保护研究所共有</w:t>
      </w:r>
      <w:r>
        <w:rPr>
          <w:lang w:val="es-ES"/>
        </w:rPr>
        <w:t>45,767</w:t>
      </w:r>
      <w:r>
        <w:t>人</w:t>
      </w:r>
      <w:r>
        <w:rPr>
          <w:rFonts w:hint="eastAsia"/>
        </w:rPr>
        <w:t>接受本机构提供</w:t>
      </w:r>
      <w:r>
        <w:t>的各种服务</w:t>
      </w:r>
      <w:r>
        <w:rPr>
          <w:lang w:val="es-ES"/>
        </w:rPr>
        <w:t>；</w:t>
      </w:r>
      <w:r>
        <w:t>另有</w:t>
      </w:r>
      <w:r>
        <w:rPr>
          <w:lang w:val="es-ES"/>
        </w:rPr>
        <w:t>16,400</w:t>
      </w:r>
      <w:r>
        <w:rPr>
          <w:rFonts w:hint="eastAsia"/>
        </w:rPr>
        <w:t>福利受益者</w:t>
      </w:r>
      <w:r>
        <w:rPr>
          <w:lang w:val="es-ES"/>
        </w:rPr>
        <w:t>：</w:t>
      </w:r>
      <w:r>
        <w:t>这些人均申请获得外科手术材料、接骨术和其他技术援助。附</w:t>
      </w:r>
      <w:r>
        <w:rPr>
          <w:rFonts w:hint="eastAsia"/>
        </w:rPr>
        <w:t>件</w:t>
      </w:r>
      <w:r>
        <w:t>四</w:t>
      </w:r>
      <w:r>
        <w:rPr>
          <w:rFonts w:hint="eastAsia"/>
        </w:rPr>
        <w:t>载有一张表格，列明</w:t>
      </w:r>
      <w:r>
        <w:rPr>
          <w:lang w:val="es-ES"/>
        </w:rPr>
        <w:t>2009</w:t>
      </w:r>
      <w:r>
        <w:t>年</w:t>
      </w:r>
      <w:r>
        <w:rPr>
          <w:rFonts w:hint="eastAsia"/>
        </w:rPr>
        <w:t>所</w:t>
      </w:r>
      <w:r>
        <w:t>提供的各种技术援助。此外</w:t>
      </w:r>
      <w:r>
        <w:rPr>
          <w:lang w:val="es-ES"/>
        </w:rPr>
        <w:t>，</w:t>
      </w:r>
      <w:r>
        <w:rPr>
          <w:rFonts w:hint="eastAsia"/>
        </w:rPr>
        <w:t>研究所</w:t>
      </w:r>
      <w:r>
        <w:t>还从</w:t>
      </w:r>
      <w:bookmarkStart w:id="15" w:name="OLE_LINK41"/>
      <w:r>
        <w:t>第一夫人办公室</w:t>
      </w:r>
      <w:bookmarkEnd w:id="15"/>
      <w:r>
        <w:t>获</w:t>
      </w:r>
      <w:r>
        <w:rPr>
          <w:rFonts w:hint="eastAsia"/>
        </w:rPr>
        <w:t>赠</w:t>
      </w:r>
      <w:r>
        <w:t>了约</w:t>
      </w:r>
      <w:r>
        <w:rPr>
          <w:lang w:val="es-ES"/>
        </w:rPr>
        <w:t>300</w:t>
      </w:r>
      <w:r>
        <w:t>辆轮椅</w:t>
      </w:r>
      <w:r>
        <w:rPr>
          <w:lang w:val="es-ES"/>
        </w:rPr>
        <w:t>：</w:t>
      </w:r>
      <w:r>
        <w:t>这些轮椅</w:t>
      </w:r>
      <w:r>
        <w:rPr>
          <w:rFonts w:hint="eastAsia"/>
        </w:rPr>
        <w:t>随后交给了本机构的受益人。</w:t>
      </w:r>
    </w:p>
    <w:p w:rsidR="00DA7251" w:rsidRDefault="00DA7251">
      <w:pPr>
        <w:pStyle w:val="SingleTxtGC"/>
        <w:rPr>
          <w:lang w:val="es-ES"/>
        </w:rPr>
      </w:pPr>
      <w:r>
        <w:rPr>
          <w:lang w:val="es-ES"/>
        </w:rPr>
        <w:t xml:space="preserve">185.  </w:t>
      </w:r>
      <w:r>
        <w:rPr>
          <w:rFonts w:hint="eastAsia"/>
        </w:rPr>
        <w:t>希望在公共机构就业的残疾人应持有残疾证。依据《第</w:t>
      </w:r>
      <w:r>
        <w:t>3585/08</w:t>
      </w:r>
      <w:r>
        <w:rPr>
          <w:rFonts w:hint="eastAsia"/>
        </w:rPr>
        <w:t>号法案》，全国特殊人士保护研究所通过残疾状况评定和残疾证签发办公室签发残疾证。</w:t>
      </w:r>
    </w:p>
    <w:p w:rsidR="00DA7251" w:rsidRDefault="00DA7251">
      <w:pPr>
        <w:pStyle w:val="SingleTxtGC"/>
        <w:rPr>
          <w:lang w:val="es-ES"/>
        </w:rPr>
      </w:pPr>
      <w:r>
        <w:rPr>
          <w:lang w:val="es-ES"/>
        </w:rPr>
        <w:t xml:space="preserve">186.  </w:t>
      </w:r>
      <w:r>
        <w:rPr>
          <w:rFonts w:hint="eastAsia"/>
        </w:rPr>
        <w:t>全国特殊人士保护研究所为残疾人提供的各种服务外</w:t>
      </w:r>
      <w:r>
        <w:rPr>
          <w:rFonts w:hint="eastAsia"/>
          <w:lang w:val="es-ES"/>
        </w:rPr>
        <w:t>，还免费为</w:t>
      </w:r>
      <w:r>
        <w:rPr>
          <w:rFonts w:hint="eastAsia"/>
        </w:rPr>
        <w:t>残疾人家属和有兴趣的任何人提供手语培训。</w:t>
      </w:r>
    </w:p>
    <w:p w:rsidR="00DA7251" w:rsidRDefault="00DA7251">
      <w:pPr>
        <w:pStyle w:val="SingleTxtGC"/>
        <w:rPr>
          <w:lang w:val="es-ES"/>
        </w:rPr>
      </w:pPr>
      <w:r>
        <w:rPr>
          <w:lang w:val="es-ES"/>
        </w:rPr>
        <w:t xml:space="preserve">187.  </w:t>
      </w:r>
      <w:r>
        <w:rPr>
          <w:rFonts w:hint="eastAsia"/>
        </w:rPr>
        <w:t>最后</w:t>
      </w:r>
      <w:r>
        <w:rPr>
          <w:rFonts w:hint="eastAsia"/>
          <w:lang w:val="es-ES"/>
        </w:rPr>
        <w:t>，</w:t>
      </w:r>
      <w:r>
        <w:rPr>
          <w:rFonts w:hint="eastAsia"/>
        </w:rPr>
        <w:t>根据《第</w:t>
      </w:r>
      <w:r>
        <w:rPr>
          <w:lang w:val="es-ES"/>
        </w:rPr>
        <w:t>3365/07</w:t>
      </w:r>
      <w:r>
        <w:rPr>
          <w:rFonts w:hint="eastAsia"/>
        </w:rPr>
        <w:t>号法案》</w:t>
      </w:r>
      <w:r>
        <w:rPr>
          <w:rFonts w:hint="eastAsia"/>
          <w:lang w:val="es-ES"/>
        </w:rPr>
        <w:t>，</w:t>
      </w:r>
      <w:r>
        <w:rPr>
          <w:rFonts w:hint="eastAsia"/>
        </w:rPr>
        <w:t>视觉障碍残疾人及其陪同人员可免费乘坐地面交通工具。</w:t>
      </w:r>
    </w:p>
    <w:p w:rsidR="00DA7251" w:rsidRDefault="00DA7251">
      <w:pPr>
        <w:pStyle w:val="H1GC"/>
        <w:rPr>
          <w:lang w:val="es-ES_tradnl"/>
        </w:rPr>
      </w:pPr>
      <w:r>
        <w:rPr>
          <w:rFonts w:hint="eastAsia"/>
          <w:lang w:val="es-ES_tradnl"/>
        </w:rPr>
        <w:tab/>
      </w:r>
      <w:r>
        <w:rPr>
          <w:lang w:val="es-ES_tradnl"/>
        </w:rPr>
        <w:t>R.</w:t>
      </w:r>
      <w:r>
        <w:rPr>
          <w:lang w:val="es-ES_tradnl"/>
        </w:rPr>
        <w:tab/>
      </w:r>
      <w:r>
        <w:rPr>
          <w:rFonts w:hint="eastAsia"/>
          <w:lang w:val="es-ES_tradnl"/>
        </w:rPr>
        <w:t>第二十九条：参与政治和公共生活</w:t>
      </w:r>
    </w:p>
    <w:p w:rsidR="00DA7251" w:rsidRDefault="00DA7251">
      <w:pPr>
        <w:pStyle w:val="SingleTxtGC"/>
        <w:rPr>
          <w:lang w:val="es-ES_tradnl"/>
        </w:rPr>
      </w:pPr>
      <w:r>
        <w:rPr>
          <w:lang w:val="es-ES"/>
        </w:rPr>
        <w:t xml:space="preserve">188.  </w:t>
      </w:r>
      <w:r>
        <w:rPr>
          <w:rFonts w:hint="eastAsia"/>
        </w:rPr>
        <w:t>《选举法》</w:t>
      </w:r>
      <w:r>
        <w:rPr>
          <w:rFonts w:hint="eastAsia"/>
        </w:rPr>
        <w:t>(</w:t>
      </w:r>
      <w:r>
        <w:rPr>
          <w:rFonts w:hint="eastAsia"/>
        </w:rPr>
        <w:t>关于投票权的第一章第</w:t>
      </w:r>
      <w:r>
        <w:rPr>
          <w:rFonts w:hint="eastAsia"/>
        </w:rPr>
        <w:t>2</w:t>
      </w:r>
      <w:r>
        <w:rPr>
          <w:rFonts w:hint="eastAsia"/>
        </w:rPr>
        <w:t>条</w:t>
      </w:r>
      <w:r>
        <w:rPr>
          <w:rFonts w:hint="eastAsia"/>
        </w:rPr>
        <w:t>)</w:t>
      </w:r>
      <w:r>
        <w:t>规定</w:t>
      </w:r>
      <w:r>
        <w:rPr>
          <w:lang w:val="es-ES"/>
        </w:rPr>
        <w:t>：</w:t>
      </w:r>
      <w:r>
        <w:rPr>
          <w:rFonts w:hint="eastAsia"/>
          <w:lang w:val="es-ES"/>
        </w:rPr>
        <w:t>“</w:t>
      </w:r>
      <w:r>
        <w:t>出生于巴拉圭领土上的巴拉圭公民</w:t>
      </w:r>
      <w:r>
        <w:rPr>
          <w:lang w:val="es-ES"/>
        </w:rPr>
        <w:t>，</w:t>
      </w:r>
      <w:r>
        <w:t>只要年满</w:t>
      </w:r>
      <w:r>
        <w:rPr>
          <w:lang w:val="es-ES"/>
        </w:rPr>
        <w:t>18</w:t>
      </w:r>
      <w:r>
        <w:t>周岁</w:t>
      </w:r>
      <w:r>
        <w:rPr>
          <w:lang w:val="es-ES"/>
        </w:rPr>
        <w:t>，</w:t>
      </w:r>
      <w:r>
        <w:t>均</w:t>
      </w:r>
      <w:r>
        <w:rPr>
          <w:rFonts w:hint="eastAsia"/>
        </w:rPr>
        <w:t>有权投票。</w:t>
      </w:r>
      <w:r>
        <w:rPr>
          <w:rFonts w:hint="eastAsia"/>
          <w:lang w:val="es-ES_tradnl"/>
        </w:rPr>
        <w:t>”</w:t>
      </w:r>
      <w:r>
        <w:rPr>
          <w:rFonts w:hint="eastAsia"/>
        </w:rPr>
        <w:t>该条还规定</w:t>
      </w:r>
      <w:r>
        <w:rPr>
          <w:rFonts w:hint="eastAsia"/>
          <w:lang w:val="es-ES"/>
        </w:rPr>
        <w:t>，</w:t>
      </w:r>
      <w:r>
        <w:rPr>
          <w:rFonts w:hint="eastAsia"/>
        </w:rPr>
        <w:t>残疾人不应排队</w:t>
      </w:r>
      <w:r>
        <w:rPr>
          <w:rFonts w:hint="eastAsia"/>
          <w:lang w:val="es-ES"/>
        </w:rPr>
        <w:t>，</w:t>
      </w:r>
      <w:r>
        <w:rPr>
          <w:rFonts w:hint="eastAsia"/>
        </w:rPr>
        <w:t>而应受到照顾。</w:t>
      </w:r>
    </w:p>
    <w:p w:rsidR="00DA7251" w:rsidRDefault="00DA7251">
      <w:pPr>
        <w:pStyle w:val="SingleTxtGC"/>
        <w:rPr>
          <w:lang w:val="es-ES"/>
        </w:rPr>
      </w:pPr>
      <w:r>
        <w:rPr>
          <w:lang w:val="es-ES"/>
        </w:rPr>
        <w:t xml:space="preserve">189.  </w:t>
      </w:r>
      <w:r>
        <w:rPr>
          <w:rFonts w:hint="eastAsia"/>
        </w:rPr>
        <w:t>但是</w:t>
      </w:r>
      <w:r>
        <w:rPr>
          <w:rFonts w:hint="eastAsia"/>
          <w:lang w:val="es-ES_tradnl"/>
        </w:rPr>
        <w:t>，</w:t>
      </w:r>
      <w:r>
        <w:rPr>
          <w:rFonts w:hint="eastAsia"/>
        </w:rPr>
        <w:t>巴拉圭《选举法》</w:t>
      </w:r>
      <w:bookmarkStart w:id="16" w:name="OLE_LINK42"/>
      <w:r>
        <w:rPr>
          <w:rFonts w:hint="eastAsia"/>
        </w:rPr>
        <w:t>第</w:t>
      </w:r>
      <w:r>
        <w:rPr>
          <w:lang w:val="es-ES_tradnl"/>
        </w:rPr>
        <w:t>834</w:t>
      </w:r>
      <w:r>
        <w:t>号法</w:t>
      </w:r>
      <w:r>
        <w:rPr>
          <w:rFonts w:hint="eastAsia"/>
        </w:rPr>
        <w:t>案</w:t>
      </w:r>
      <w:bookmarkEnd w:id="16"/>
      <w:r>
        <w:t>第</w:t>
      </w:r>
      <w:r>
        <w:rPr>
          <w:lang w:val="es-ES_tradnl"/>
        </w:rPr>
        <w:t>91</w:t>
      </w:r>
      <w:r>
        <w:rPr>
          <w:rFonts w:hint="eastAsia"/>
        </w:rPr>
        <w:t>条规定</w:t>
      </w:r>
      <w:r>
        <w:rPr>
          <w:rFonts w:hint="eastAsia"/>
          <w:lang w:val="es-ES_tradnl"/>
        </w:rPr>
        <w:t>：</w:t>
      </w:r>
      <w:r>
        <w:rPr>
          <w:rFonts w:hint="eastAsia"/>
        </w:rPr>
        <w:t>无法通过书面或其他方式让他人理解自己的聋哑人不能成为选举人。</w:t>
      </w:r>
    </w:p>
    <w:p w:rsidR="00DA7251" w:rsidRDefault="00DA7251">
      <w:pPr>
        <w:pStyle w:val="H1GC"/>
        <w:rPr>
          <w:lang w:val="es-ES_tradnl"/>
        </w:rPr>
      </w:pPr>
      <w:r>
        <w:rPr>
          <w:rFonts w:hint="eastAsia"/>
          <w:lang w:val="es-ES_tradnl"/>
        </w:rPr>
        <w:tab/>
      </w:r>
      <w:r>
        <w:rPr>
          <w:lang w:val="es-ES_tradnl"/>
        </w:rPr>
        <w:t>S.</w:t>
      </w:r>
      <w:r>
        <w:rPr>
          <w:lang w:val="es-ES_tradnl"/>
        </w:rPr>
        <w:tab/>
      </w:r>
      <w:r>
        <w:rPr>
          <w:rFonts w:hint="eastAsia"/>
          <w:lang w:val="es-ES_tradnl"/>
        </w:rPr>
        <w:t>第三十条：参与文化生活、娱乐、休闲和体育活动</w:t>
      </w:r>
    </w:p>
    <w:p w:rsidR="00DA7251" w:rsidRDefault="00DA7251">
      <w:pPr>
        <w:pStyle w:val="SingleTxtGC"/>
        <w:rPr>
          <w:lang w:val="es-ES"/>
        </w:rPr>
      </w:pPr>
      <w:r>
        <w:rPr>
          <w:lang w:val="es-ES"/>
        </w:rPr>
        <w:t xml:space="preserve">190.  </w:t>
      </w:r>
      <w:r>
        <w:rPr>
          <w:rFonts w:hint="eastAsia"/>
        </w:rPr>
        <w:t>为推进残疾人参与体育、娱乐、文化和休闲活动</w:t>
      </w:r>
      <w:r>
        <w:rPr>
          <w:rFonts w:hint="eastAsia"/>
          <w:lang w:val="es-ES"/>
        </w:rPr>
        <w:t>，</w:t>
      </w:r>
      <w:r>
        <w:rPr>
          <w:rFonts w:hint="eastAsia"/>
        </w:rPr>
        <w:t>巴拉圭制定了综合全面的政策。但是</w:t>
      </w:r>
      <w:r>
        <w:rPr>
          <w:rFonts w:hint="eastAsia"/>
          <w:lang w:val="es-ES"/>
        </w:rPr>
        <w:t>，</w:t>
      </w:r>
      <w:r>
        <w:rPr>
          <w:rFonts w:hint="eastAsia"/>
        </w:rPr>
        <w:t>政策的落实却因预算紧张而举步维艰。鼓励通过</w:t>
      </w:r>
      <w:r>
        <w:t>特殊奥林匹克委员会</w:t>
      </w:r>
      <w:r>
        <w:rPr>
          <w:rFonts w:hint="eastAsia"/>
        </w:rPr>
        <w:t>在学校和特殊班级组织竞争性体育活动；大量精神残疾人参加了这些活动。</w:t>
      </w:r>
    </w:p>
    <w:p w:rsidR="00DA7251" w:rsidRDefault="00DA7251">
      <w:pPr>
        <w:pStyle w:val="SingleTxtGC"/>
        <w:rPr>
          <w:lang w:val="es-ES"/>
        </w:rPr>
      </w:pPr>
      <w:r>
        <w:rPr>
          <w:lang w:val="es-ES"/>
        </w:rPr>
        <w:t xml:space="preserve">191.  </w:t>
      </w:r>
      <w:r>
        <w:rPr>
          <w:rFonts w:hint="eastAsia"/>
        </w:rPr>
        <w:t>巴拉圭根据《体育法》</w:t>
      </w:r>
      <w:r>
        <w:t>第</w:t>
      </w:r>
      <w:r>
        <w:rPr>
          <w:lang w:val="es-ES"/>
        </w:rPr>
        <w:t>10</w:t>
      </w:r>
      <w:r>
        <w:t>条</w:t>
      </w:r>
      <w:r>
        <w:rPr>
          <w:rFonts w:hint="eastAsia"/>
          <w:lang w:val="es-ES"/>
        </w:rPr>
        <w:t>，</w:t>
      </w:r>
      <w:r>
        <w:rPr>
          <w:rFonts w:hint="eastAsia"/>
        </w:rPr>
        <w:t>以及国家体育秘书处的《国家体育政策》，旨在鼓励、组织和规范不同科目的体育竞赛</w:t>
      </w:r>
      <w:r>
        <w:rPr>
          <w:rFonts w:hint="eastAsia"/>
          <w:lang w:val="es-ES"/>
        </w:rPr>
        <w:t>，</w:t>
      </w:r>
      <w:r>
        <w:rPr>
          <w:rFonts w:hint="eastAsia"/>
        </w:rPr>
        <w:t>尤其是专为学龄儿童和青年、残疾人和老年人设计的比赛。</w:t>
      </w:r>
    </w:p>
    <w:p w:rsidR="00DA7251" w:rsidRDefault="00DA7251">
      <w:pPr>
        <w:pStyle w:val="SingleTxtGC"/>
        <w:rPr>
          <w:lang w:val="es-ES"/>
        </w:rPr>
      </w:pPr>
      <w:r>
        <w:rPr>
          <w:lang w:val="es-ES"/>
        </w:rPr>
        <w:t xml:space="preserve">192.  </w:t>
      </w:r>
      <w:r>
        <w:rPr>
          <w:rFonts w:hint="eastAsia"/>
        </w:rPr>
        <w:t>《</w:t>
      </w:r>
      <w:r>
        <w:rPr>
          <w:lang w:val="es-ES"/>
        </w:rPr>
        <w:t>2010-2020</w:t>
      </w:r>
      <w:r>
        <w:t>年</w:t>
      </w:r>
      <w:r>
        <w:rPr>
          <w:rFonts w:hint="eastAsia"/>
        </w:rPr>
        <w:t>社会发展公共政策建议</w:t>
      </w:r>
      <w:r>
        <w:t>》</w:t>
      </w:r>
      <w:r>
        <w:rPr>
          <w:rFonts w:hint="eastAsia"/>
        </w:rPr>
        <w:t>关于体育和休闲活动的</w:t>
      </w:r>
      <w:r>
        <w:t>第</w:t>
      </w:r>
      <w:r>
        <w:rPr>
          <w:lang w:val="es-ES"/>
        </w:rPr>
        <w:t>1.8</w:t>
      </w:r>
      <w:r>
        <w:rPr>
          <w:rFonts w:hint="eastAsia"/>
        </w:rPr>
        <w:t>条规定</w:t>
      </w:r>
      <w:r>
        <w:rPr>
          <w:rFonts w:hint="eastAsia"/>
          <w:lang w:val="es-ES"/>
        </w:rPr>
        <w:t>：</w:t>
      </w:r>
      <w:r>
        <w:rPr>
          <w:rFonts w:hint="eastAsia"/>
        </w:rPr>
        <w:t>将在《国家体育政策》的框架内协调执行这些方案和项目。针对残疾人的项目是国家体系一部分。</w:t>
      </w:r>
    </w:p>
    <w:p w:rsidR="00DA7251" w:rsidRDefault="00DA7251">
      <w:pPr>
        <w:pStyle w:val="SingleTxtGC"/>
        <w:rPr>
          <w:lang w:val="es-ES"/>
        </w:rPr>
      </w:pPr>
      <w:r>
        <w:rPr>
          <w:lang w:val="es-ES"/>
        </w:rPr>
        <w:t xml:space="preserve">193.  </w:t>
      </w:r>
      <w:r>
        <w:rPr>
          <w:rFonts w:hint="eastAsia"/>
        </w:rPr>
        <w:t>博物馆和艺术画廊目前尚未配备供残疾人分享和接受信息的听力或触觉资料。如果不能对图书馆中的信息进行适当的处理</w:t>
      </w:r>
      <w:r>
        <w:rPr>
          <w:rFonts w:hint="eastAsia"/>
          <w:lang w:val="es-ES"/>
        </w:rPr>
        <w:t>，</w:t>
      </w:r>
      <w:r>
        <w:rPr>
          <w:rFonts w:hint="eastAsia"/>
        </w:rPr>
        <w:t>视觉障碍残疾人就无法阅读</w:t>
      </w:r>
      <w:r>
        <w:rPr>
          <w:rFonts w:hint="eastAsia"/>
          <w:lang w:val="es-ES"/>
        </w:rPr>
        <w:t>，</w:t>
      </w:r>
      <w:r>
        <w:rPr>
          <w:rFonts w:hint="eastAsia"/>
        </w:rPr>
        <w:t>因为图书馆无法提供印刷书籍之外的信息模式。虽然凭借科技，可以对文字进行数字化处理；有了计算机和无障碍软件的帮助，视觉障碍残疾人能够阅读。</w:t>
      </w:r>
    </w:p>
    <w:p w:rsidR="00DA7251" w:rsidRDefault="00DA7251">
      <w:pPr>
        <w:pStyle w:val="SingleTxtGC"/>
        <w:rPr>
          <w:lang w:val="es-ES"/>
        </w:rPr>
      </w:pPr>
      <w:r>
        <w:rPr>
          <w:lang w:val="es-ES"/>
        </w:rPr>
        <w:t xml:space="preserve">194.  </w:t>
      </w:r>
      <w:r>
        <w:rPr>
          <w:rFonts w:hint="eastAsia"/>
        </w:rPr>
        <w:t>不过</w:t>
      </w:r>
      <w:r>
        <w:rPr>
          <w:rFonts w:hint="eastAsia"/>
          <w:lang w:val="es-ES"/>
        </w:rPr>
        <w:t>，</w:t>
      </w:r>
      <w:r>
        <w:rPr>
          <w:rFonts w:hint="eastAsia"/>
        </w:rPr>
        <w:t>国家旅游秘书处有一个旨在融合残疾人的工作计划。这一计划有五条工作主线</w:t>
      </w:r>
      <w:r>
        <w:rPr>
          <w:rFonts w:hint="eastAsia"/>
          <w:lang w:val="es-ES"/>
        </w:rPr>
        <w:t>，</w:t>
      </w:r>
      <w:r>
        <w:rPr>
          <w:rFonts w:hint="eastAsia"/>
        </w:rPr>
        <w:t>并包含</w:t>
      </w:r>
      <w:r>
        <w:rPr>
          <w:rFonts w:hint="eastAsia"/>
          <w:lang w:val="es-ES"/>
        </w:rPr>
        <w:t>“</w:t>
      </w:r>
      <w:r>
        <w:rPr>
          <w:rFonts w:hint="eastAsia"/>
        </w:rPr>
        <w:t>让所有人都来旅游</w:t>
      </w:r>
      <w:r>
        <w:rPr>
          <w:rFonts w:hint="eastAsia"/>
          <w:lang w:val="es-ES"/>
        </w:rPr>
        <w:t>”</w:t>
      </w:r>
      <w:r>
        <w:rPr>
          <w:rFonts w:hint="eastAsia"/>
        </w:rPr>
        <w:t>方案。该方案为旅游业、及针对所有人筹划和组织休闲游创造了有利条件，并重新研究残疾人高质量融合有关的概念和标准。</w:t>
      </w:r>
    </w:p>
    <w:p w:rsidR="00DA7251" w:rsidRDefault="00DA7251">
      <w:pPr>
        <w:pStyle w:val="SingleTxtGC"/>
        <w:rPr>
          <w:lang w:val="es-ES"/>
        </w:rPr>
      </w:pPr>
      <w:r>
        <w:rPr>
          <w:lang w:val="es-ES"/>
        </w:rPr>
        <w:t xml:space="preserve">195.  </w:t>
      </w:r>
      <w:r>
        <w:rPr>
          <w:rFonts w:hint="eastAsia"/>
        </w:rPr>
        <w:t>国家旅游秘书处已经开始采取各种措施</w:t>
      </w:r>
      <w:r>
        <w:rPr>
          <w:rFonts w:hint="eastAsia"/>
          <w:lang w:val="es-ES"/>
        </w:rPr>
        <w:t>，</w:t>
      </w:r>
      <w:r>
        <w:rPr>
          <w:rFonts w:hint="eastAsia"/>
        </w:rPr>
        <w:t>包括有条件地使用政府采购和公共资助</w:t>
      </w:r>
      <w:r>
        <w:rPr>
          <w:rFonts w:hint="eastAsia"/>
          <w:lang w:val="es-ES"/>
        </w:rPr>
        <w:t>，</w:t>
      </w:r>
      <w:r>
        <w:rPr>
          <w:rFonts w:hint="eastAsia"/>
        </w:rPr>
        <w:t>确保残疾人</w:t>
      </w:r>
      <w:r>
        <w:rPr>
          <w:rFonts w:hint="eastAsia"/>
          <w:lang w:val="es-ES"/>
        </w:rPr>
        <w:t>(</w:t>
      </w:r>
      <w:r>
        <w:rPr>
          <w:rFonts w:hint="eastAsia"/>
        </w:rPr>
        <w:t>包括残疾儿童</w:t>
      </w:r>
      <w:r>
        <w:rPr>
          <w:rFonts w:hint="eastAsia"/>
          <w:lang w:val="es-ES"/>
        </w:rPr>
        <w:t>)</w:t>
      </w:r>
      <w:r>
        <w:rPr>
          <w:rFonts w:hint="eastAsia"/>
        </w:rPr>
        <w:t>能使用各种文化、休闲、旅游和体育设施。</w:t>
      </w:r>
    </w:p>
    <w:p w:rsidR="00DA7251" w:rsidRDefault="00DA7251">
      <w:pPr>
        <w:pStyle w:val="HChGC"/>
        <w:rPr>
          <w:lang w:val="es-ES"/>
        </w:rPr>
      </w:pPr>
      <w:r>
        <w:rPr>
          <w:rFonts w:hint="eastAsia"/>
          <w:lang w:val="es-ES"/>
        </w:rPr>
        <w:tab/>
      </w:r>
      <w:r>
        <w:rPr>
          <w:rFonts w:hint="eastAsia"/>
          <w:lang w:val="es-ES"/>
        </w:rPr>
        <w:t>四</w:t>
      </w:r>
      <w:r>
        <w:rPr>
          <w:rFonts w:hint="eastAsia"/>
          <w:lang w:val="es-ES"/>
        </w:rPr>
        <w:t>.</w:t>
      </w:r>
      <w:r>
        <w:rPr>
          <w:rFonts w:hint="eastAsia"/>
          <w:lang w:val="es-ES"/>
        </w:rPr>
        <w:tab/>
      </w:r>
      <w:r>
        <w:rPr>
          <w:rFonts w:hint="eastAsia"/>
          <w:lang w:val="es-ES"/>
        </w:rPr>
        <w:t>残疾儿童和妇女的特殊境况</w:t>
      </w:r>
    </w:p>
    <w:p w:rsidR="00DA7251" w:rsidRDefault="00DA7251">
      <w:pPr>
        <w:pStyle w:val="H1GC"/>
        <w:rPr>
          <w:lang w:val="es-ES_tradnl"/>
        </w:rPr>
      </w:pPr>
      <w:r>
        <w:rPr>
          <w:rFonts w:hint="eastAsia"/>
          <w:lang w:val="es-ES_tradnl"/>
        </w:rPr>
        <w:tab/>
      </w:r>
      <w:r>
        <w:rPr>
          <w:lang w:val="es-ES_tradnl"/>
        </w:rPr>
        <w:t>A.</w:t>
      </w:r>
      <w:r>
        <w:rPr>
          <w:lang w:val="es-ES_tradnl"/>
        </w:rPr>
        <w:tab/>
      </w:r>
      <w:r>
        <w:rPr>
          <w:rFonts w:hint="eastAsia"/>
          <w:lang w:val="es-ES_tradnl"/>
        </w:rPr>
        <w:t>第六条：残疾妇女</w:t>
      </w:r>
    </w:p>
    <w:p w:rsidR="00DA7251" w:rsidRDefault="00DA7251">
      <w:pPr>
        <w:pStyle w:val="SingleTxtGC"/>
        <w:rPr>
          <w:lang w:val="es-ES"/>
        </w:rPr>
      </w:pPr>
      <w:r>
        <w:rPr>
          <w:lang w:val="es-ES"/>
        </w:rPr>
        <w:t xml:space="preserve">196.  </w:t>
      </w:r>
      <w:r>
        <w:rPr>
          <w:rFonts w:hint="eastAsia"/>
        </w:rPr>
        <w:t>残疾女童和残疾妇女与其他无残疾的女童和妇女一样</w:t>
      </w:r>
      <w:r>
        <w:rPr>
          <w:rFonts w:hint="eastAsia"/>
          <w:lang w:val="es-ES"/>
        </w:rPr>
        <w:t>，</w:t>
      </w:r>
      <w:r>
        <w:rPr>
          <w:rFonts w:hint="eastAsia"/>
        </w:rPr>
        <w:t>应在同等条件下享有各种人权和基本自由。但这一点的实际执行却很难。</w:t>
      </w:r>
    </w:p>
    <w:p w:rsidR="00DA7251" w:rsidRDefault="00DA7251">
      <w:pPr>
        <w:pStyle w:val="SingleTxtGC"/>
        <w:rPr>
          <w:rFonts w:hint="eastAsia"/>
          <w:lang w:val="es-ES_tradnl"/>
        </w:rPr>
      </w:pPr>
      <w:r>
        <w:rPr>
          <w:lang w:val="es-ES"/>
        </w:rPr>
        <w:t xml:space="preserve">197.  </w:t>
      </w:r>
      <w:r>
        <w:rPr>
          <w:rFonts w:hint="eastAsia"/>
        </w:rPr>
        <w:t>巴拉圭根据第</w:t>
      </w:r>
      <w:r>
        <w:rPr>
          <w:lang w:val="es-ES"/>
        </w:rPr>
        <w:t>34/92</w:t>
      </w:r>
      <w:r>
        <w:rPr>
          <w:rFonts w:hint="eastAsia"/>
        </w:rPr>
        <w:t>号法案成立了共和国总统府妇女秘书处。妇女秘书处的使命是“通过有效的规范文书，并采取旨在消除一切形式性别歧视，实现机会和结果平等，从而推进社会民主化的措施，在公共政策的制定、协调、执行、监测和评估过程中引入性别平等主流化观点</w:t>
      </w:r>
      <w:r>
        <w:rPr>
          <w:rFonts w:hint="eastAsia"/>
          <w:lang w:val="es-ES_tradnl"/>
        </w:rPr>
        <w:t>”</w:t>
      </w:r>
      <w:r>
        <w:rPr>
          <w:rFonts w:hint="eastAsia"/>
        </w:rPr>
        <w:t>。</w:t>
      </w:r>
      <w:r>
        <w:rPr>
          <w:rStyle w:val="FootnoteReference"/>
        </w:rPr>
        <w:footnoteReference w:id="56"/>
      </w:r>
      <w:r>
        <w:rPr>
          <w:rStyle w:val="FootnoteReference"/>
          <w:vertAlign w:val="baseline"/>
        </w:rPr>
        <w:t xml:space="preserve"> </w:t>
      </w:r>
    </w:p>
    <w:p w:rsidR="00DA7251" w:rsidRDefault="00DA7251">
      <w:pPr>
        <w:pStyle w:val="SingleTxtGC"/>
        <w:rPr>
          <w:lang w:val="es-ES"/>
        </w:rPr>
      </w:pPr>
      <w:r>
        <w:rPr>
          <w:lang w:val="es-ES"/>
        </w:rPr>
        <w:t xml:space="preserve">198.  </w:t>
      </w:r>
      <w:r>
        <w:rPr>
          <w:rFonts w:hint="eastAsia"/>
        </w:rPr>
        <w:t>目前</w:t>
      </w:r>
      <w:r>
        <w:rPr>
          <w:rFonts w:hint="eastAsia"/>
          <w:lang w:val="es-ES_tradnl"/>
        </w:rPr>
        <w:t>，</w:t>
      </w:r>
      <w:r>
        <w:rPr>
          <w:rFonts w:hint="eastAsia"/>
        </w:rPr>
        <w:t>巴拉圭正在执行《第三个男女机会平等国家计划</w:t>
      </w:r>
      <w:r>
        <w:rPr>
          <w:rFonts w:hint="eastAsia"/>
          <w:lang w:val="es-ES_tradnl"/>
        </w:rPr>
        <w:t>(</w:t>
      </w:r>
      <w:r>
        <w:rPr>
          <w:lang w:val="es-ES_tradnl"/>
        </w:rPr>
        <w:t>2008-2017</w:t>
      </w:r>
      <w:r>
        <w:t>年</w:t>
      </w:r>
      <w:r>
        <w:rPr>
          <w:lang w:val="es-ES_tradnl"/>
        </w:rPr>
        <w:t>)</w:t>
      </w:r>
      <w:r>
        <w:t>》。《第三</w:t>
      </w:r>
      <w:r>
        <w:rPr>
          <w:rFonts w:hint="eastAsia"/>
        </w:rPr>
        <w:t>个</w:t>
      </w:r>
      <w:r>
        <w:t>男女机会平等</w:t>
      </w:r>
      <w:r>
        <w:rPr>
          <w:rFonts w:hint="eastAsia"/>
        </w:rPr>
        <w:t>国家</w:t>
      </w:r>
      <w:r>
        <w:t>计划》</w:t>
      </w:r>
      <w:r>
        <w:rPr>
          <w:rFonts w:hint="eastAsia"/>
        </w:rPr>
        <w:t>关键的交叉优先事项包括</w:t>
      </w:r>
      <w:r>
        <w:rPr>
          <w:lang w:val="es-ES"/>
        </w:rPr>
        <w:t>：</w:t>
      </w:r>
      <w:r>
        <w:t>关注</w:t>
      </w:r>
      <w:r>
        <w:rPr>
          <w:rFonts w:hint="eastAsia"/>
        </w:rPr>
        <w:t>权利</w:t>
      </w:r>
      <w:r>
        <w:rPr>
          <w:lang w:val="es-ES"/>
        </w:rPr>
        <w:t>，</w:t>
      </w:r>
      <w:r>
        <w:rPr>
          <w:rFonts w:hint="eastAsia"/>
        </w:rPr>
        <w:t>减贫、</w:t>
      </w:r>
      <w:r>
        <w:t>生活圈子</w:t>
      </w:r>
      <w:r>
        <w:rPr>
          <w:rFonts w:hint="eastAsia"/>
        </w:rPr>
        <w:t>、</w:t>
      </w:r>
      <w:r>
        <w:t>关注农村地区和少数民族地区</w:t>
      </w:r>
      <w:r>
        <w:rPr>
          <w:rFonts w:hint="eastAsia"/>
        </w:rPr>
        <w:t>的独有特点</w:t>
      </w:r>
      <w:r>
        <w:rPr>
          <w:lang w:val="es-ES"/>
        </w:rPr>
        <w:t>，</w:t>
      </w:r>
      <w:r>
        <w:rPr>
          <w:rFonts w:hint="eastAsia"/>
          <w:lang w:val="es-ES"/>
        </w:rPr>
        <w:t>要</w:t>
      </w:r>
      <w:r>
        <w:t>采取特别措施来</w:t>
      </w:r>
      <w:r>
        <w:rPr>
          <w:rFonts w:hint="eastAsia"/>
        </w:rPr>
        <w:t>推进</w:t>
      </w:r>
      <w:r>
        <w:t>真正的平等。这些行动主线在执行过程中需要优先对待。《第三</w:t>
      </w:r>
      <w:r>
        <w:rPr>
          <w:rFonts w:hint="eastAsia"/>
        </w:rPr>
        <w:t>个</w:t>
      </w:r>
      <w:r>
        <w:t>男女机会平等</w:t>
      </w:r>
      <w:r>
        <w:rPr>
          <w:rFonts w:hint="eastAsia"/>
        </w:rPr>
        <w:t>国家</w:t>
      </w:r>
      <w:r>
        <w:t>计划》</w:t>
      </w:r>
      <w:r>
        <w:rPr>
          <w:rFonts w:hint="eastAsia"/>
        </w:rPr>
        <w:t>关于获得经济资源和就业的</w:t>
      </w:r>
      <w:r>
        <w:t>第三部</w:t>
      </w:r>
      <w:r>
        <w:rPr>
          <w:rFonts w:hint="eastAsia"/>
        </w:rPr>
        <w:t>分</w:t>
      </w:r>
      <w:r>
        <w:rPr>
          <w:rFonts w:hint="eastAsia"/>
          <w:lang w:val="es-ES"/>
        </w:rPr>
        <w:t>提议</w:t>
      </w:r>
      <w:r>
        <w:rPr>
          <w:rFonts w:hint="eastAsia"/>
        </w:rPr>
        <w:t>对法规进行修正。提议的目的是</w:t>
      </w:r>
      <w:r>
        <w:rPr>
          <w:rFonts w:hint="eastAsia"/>
          <w:lang w:val="es-ES"/>
        </w:rPr>
        <w:t>“</w:t>
      </w:r>
      <w:r>
        <w:rPr>
          <w:rFonts w:hint="eastAsia"/>
        </w:rPr>
        <w:t>制定、推动和支持旨在消除工作和社会保障领域性别歧视的各种法规，并进行修改</w:t>
      </w:r>
      <w:r>
        <w:rPr>
          <w:lang w:val="es-ES"/>
        </w:rPr>
        <w:t>/</w:t>
      </w:r>
      <w:r>
        <w:rPr>
          <w:rFonts w:hint="eastAsia"/>
        </w:rPr>
        <w:t>或调整</w:t>
      </w:r>
      <w:r>
        <w:rPr>
          <w:rFonts w:hint="eastAsia"/>
          <w:lang w:val="es-ES"/>
        </w:rPr>
        <w:t>”</w:t>
      </w:r>
      <w:r>
        <w:rPr>
          <w:rFonts w:hint="eastAsia"/>
        </w:rPr>
        <w:t>。</w:t>
      </w:r>
      <w:r>
        <w:rPr>
          <w:rFonts w:hint="eastAsia"/>
          <w:lang w:val="es-ES_tradnl"/>
        </w:rPr>
        <w:t>第</w:t>
      </w:r>
      <w:r>
        <w:rPr>
          <w:lang w:val="es-ES_tradnl"/>
        </w:rPr>
        <w:t>4.8</w:t>
      </w:r>
      <w:r>
        <w:rPr>
          <w:rFonts w:hint="eastAsia"/>
          <w:lang w:val="es-ES_tradnl"/>
        </w:rPr>
        <w:t>条</w:t>
      </w:r>
      <w:r>
        <w:rPr>
          <w:rFonts w:hint="eastAsia"/>
        </w:rPr>
        <w:t>呼吁</w:t>
      </w:r>
      <w:r>
        <w:rPr>
          <w:rFonts w:hint="eastAsia"/>
          <w:lang w:val="es-ES"/>
        </w:rPr>
        <w:t>“</w:t>
      </w:r>
      <w:r>
        <w:rPr>
          <w:rFonts w:hint="eastAsia"/>
        </w:rPr>
        <w:t>为使残疾人和土著人融入就业市场拟定提案</w:t>
      </w:r>
      <w:r>
        <w:rPr>
          <w:rFonts w:hint="eastAsia"/>
          <w:lang w:val="es-ES"/>
        </w:rPr>
        <w:t>”</w:t>
      </w:r>
      <w:r>
        <w:rPr>
          <w:rFonts w:hint="eastAsia"/>
        </w:rPr>
        <w:t>。</w:t>
      </w:r>
    </w:p>
    <w:p w:rsidR="00DA7251" w:rsidRDefault="00DA7251">
      <w:pPr>
        <w:pStyle w:val="SingleTxtGC"/>
        <w:rPr>
          <w:lang w:val="es-ES"/>
        </w:rPr>
      </w:pPr>
      <w:r>
        <w:rPr>
          <w:lang w:val="es-ES"/>
        </w:rPr>
        <w:t xml:space="preserve">199.  </w:t>
      </w:r>
      <w:r>
        <w:rPr>
          <w:rFonts w:hint="eastAsia"/>
          <w:lang w:val="es-ES"/>
        </w:rPr>
        <w:t>在这个背景下，</w:t>
      </w:r>
      <w:r>
        <w:rPr>
          <w:rFonts w:hint="eastAsia"/>
        </w:rPr>
        <w:t>与促进残疾人权利国家协调办公室协作成立了一个由残疾人和相关协会代表组成的小组</w:t>
      </w:r>
      <w:r>
        <w:rPr>
          <w:rFonts w:hint="eastAsia"/>
          <w:lang w:val="es-ES"/>
        </w:rPr>
        <w:t>，建立本小组是为了就关于残疾人融入公共职能部门的《</w:t>
      </w:r>
      <w:r>
        <w:rPr>
          <w:rFonts w:hint="eastAsia"/>
        </w:rPr>
        <w:t>第</w:t>
      </w:r>
      <w:r>
        <w:rPr>
          <w:lang w:val="es-ES"/>
        </w:rPr>
        <w:t>1479/04</w:t>
      </w:r>
      <w:r>
        <w:rPr>
          <w:rFonts w:hint="eastAsia"/>
        </w:rPr>
        <w:t>号法案》的修订提供建议。</w:t>
      </w:r>
    </w:p>
    <w:p w:rsidR="00DA7251" w:rsidRDefault="00DA7251">
      <w:pPr>
        <w:pStyle w:val="SingleTxtGC"/>
        <w:rPr>
          <w:lang w:val="es-ES"/>
        </w:rPr>
      </w:pPr>
      <w:r>
        <w:rPr>
          <w:lang w:val="es-ES"/>
        </w:rPr>
        <w:t>200.  2009</w:t>
      </w:r>
      <w:r>
        <w:t>年</w:t>
      </w:r>
      <w:r>
        <w:rPr>
          <w:lang w:val="es-ES"/>
        </w:rPr>
        <w:t>5</w:t>
      </w:r>
      <w:r>
        <w:t>月</w:t>
      </w:r>
      <w:r>
        <w:rPr>
          <w:lang w:val="es-ES"/>
        </w:rPr>
        <w:t>，</w:t>
      </w:r>
      <w:r>
        <w:t>第</w:t>
      </w:r>
      <w:r>
        <w:rPr>
          <w:rFonts w:hint="eastAsia"/>
          <w:lang w:val="es-ES"/>
        </w:rPr>
        <w:t>二十一</w:t>
      </w:r>
      <w:r>
        <w:t>届南方共</w:t>
      </w:r>
      <w:r>
        <w:rPr>
          <w:rFonts w:hint="eastAsia"/>
        </w:rPr>
        <w:t>同市场妇女特别会议召开。在本次会议期间</w:t>
      </w:r>
      <w:r>
        <w:rPr>
          <w:rFonts w:hint="eastAsia"/>
          <w:lang w:val="es-ES"/>
        </w:rPr>
        <w:t>，</w:t>
      </w:r>
      <w:r>
        <w:rPr>
          <w:rFonts w:hint="eastAsia"/>
        </w:rPr>
        <w:t>来自阿根廷、巴西、智利、巴拉圭和乌拉圭的代表参加了暴力侵害妇女行为问题专家委员会技术委员会的会议。代表团提交了关于履诺进展情况的报告。巴拉圭代表团就</w:t>
      </w:r>
      <w:r>
        <w:rPr>
          <w:rFonts w:hint="eastAsia"/>
          <w:lang w:val="es-ES"/>
        </w:rPr>
        <w:t>“</w:t>
      </w:r>
      <w:r>
        <w:rPr>
          <w:rFonts w:hint="eastAsia"/>
        </w:rPr>
        <w:t>关于歧视残疾妇女</w:t>
      </w:r>
      <w:r>
        <w:rPr>
          <w:rFonts w:hint="eastAsia"/>
          <w:lang w:val="es-ES"/>
        </w:rPr>
        <w:t>”</w:t>
      </w:r>
      <w:r>
        <w:rPr>
          <w:rFonts w:hint="eastAsia"/>
        </w:rPr>
        <w:t>的主题做了陈述</w:t>
      </w:r>
      <w:r>
        <w:rPr>
          <w:rFonts w:hint="eastAsia"/>
          <w:lang w:val="es-ES"/>
        </w:rPr>
        <w:t>，促使这些国家的技术小组随后向妇女问题特别会议提交了若干提案。</w:t>
      </w:r>
    </w:p>
    <w:p w:rsidR="00DA7251" w:rsidRDefault="00DA7251">
      <w:pPr>
        <w:pStyle w:val="SingleTxtGC"/>
        <w:rPr>
          <w:lang w:val="es-ES"/>
        </w:rPr>
      </w:pPr>
      <w:r>
        <w:rPr>
          <w:lang w:val="es-ES"/>
        </w:rPr>
        <w:t xml:space="preserve">201.  </w:t>
      </w:r>
      <w:r>
        <w:rPr>
          <w:rFonts w:hint="eastAsia"/>
        </w:rPr>
        <w:t>作为《男女机会平等全国计划》第六部分</w:t>
      </w:r>
      <w:r>
        <w:rPr>
          <w:rFonts w:hint="eastAsia"/>
          <w:lang w:val="es-ES"/>
        </w:rPr>
        <w:t>，</w:t>
      </w:r>
      <w:r>
        <w:rPr>
          <w:rFonts w:hint="eastAsia"/>
        </w:rPr>
        <w:t>即</w:t>
      </w:r>
      <w:r>
        <w:rPr>
          <w:rFonts w:hint="eastAsia"/>
          <w:lang w:val="es-ES"/>
        </w:rPr>
        <w:t>“</w:t>
      </w:r>
      <w:r>
        <w:rPr>
          <w:rFonts w:hint="eastAsia"/>
        </w:rPr>
        <w:t>没有暴力的生活</w:t>
      </w:r>
      <w:r>
        <w:rPr>
          <w:rFonts w:hint="eastAsia"/>
          <w:lang w:val="es-ES"/>
        </w:rPr>
        <w:t>”</w:t>
      </w:r>
      <w:r>
        <w:rPr>
          <w:rFonts w:hint="eastAsia"/>
        </w:rPr>
        <w:t>中最重要的行动措施之一</w:t>
      </w:r>
      <w:r>
        <w:rPr>
          <w:rFonts w:hint="eastAsia"/>
          <w:lang w:val="es-ES"/>
        </w:rPr>
        <w:t>，是</w:t>
      </w:r>
      <w:r>
        <w:rPr>
          <w:rFonts w:hint="eastAsia"/>
        </w:rPr>
        <w:t>为家庭暴力受害者建立了首个庇护所，旨在收容暴力受害者的残疾妇女。庇护所能容纳</w:t>
      </w:r>
      <w:r>
        <w:t>50</w:t>
      </w:r>
      <w:r>
        <w:t>名受</w:t>
      </w:r>
      <w:r>
        <w:rPr>
          <w:rFonts w:hint="eastAsia"/>
        </w:rPr>
        <w:t>害者，将根据每个妇女的具体需要，提供包括妇科、牙科、儿科在内的医疗服务以及心理和法律支持和指导。</w:t>
      </w:r>
    </w:p>
    <w:p w:rsidR="00DA7251" w:rsidRDefault="00DA7251">
      <w:pPr>
        <w:pStyle w:val="SingleTxtGC"/>
        <w:rPr>
          <w:lang w:val="es-ES"/>
        </w:rPr>
      </w:pPr>
      <w:r>
        <w:rPr>
          <w:lang w:val="es-ES"/>
        </w:rPr>
        <w:t xml:space="preserve">202.  </w:t>
      </w:r>
      <w:r>
        <w:rPr>
          <w:rFonts w:hint="eastAsia"/>
        </w:rPr>
        <w:t>在机构方面</w:t>
      </w:r>
      <w:r>
        <w:rPr>
          <w:rFonts w:hint="eastAsia"/>
          <w:lang w:val="es-ES"/>
        </w:rPr>
        <w:t>，</w:t>
      </w:r>
      <w:r>
        <w:rPr>
          <w:rFonts w:hint="eastAsia"/>
        </w:rPr>
        <w:t>共和国总统府妇女秘书处设有妇女援助局，该局的目的是向妇女及其家庭提供适当的信息、指导、咨询和综合护理服务，以协助发展妇女潜能、提升妇女地位、获得平等并提高其生活质量。</w:t>
      </w:r>
      <w:r>
        <w:t>2009</w:t>
      </w:r>
      <w:r>
        <w:rPr>
          <w:rFonts w:hint="eastAsia"/>
        </w:rPr>
        <w:t>年，妇女援助局共处理了</w:t>
      </w:r>
      <w:r>
        <w:t>2,035</w:t>
      </w:r>
      <w:r>
        <w:rPr>
          <w:rFonts w:hint="eastAsia"/>
        </w:rPr>
        <w:t>起暴力侵害妇女案件，但目前尚无请求提供服务的残疾妇女的数据。</w:t>
      </w:r>
    </w:p>
    <w:p w:rsidR="00DA7251" w:rsidRDefault="00DA7251">
      <w:pPr>
        <w:pStyle w:val="H1GC"/>
        <w:rPr>
          <w:lang w:val="es-ES_tradnl"/>
        </w:rPr>
      </w:pPr>
      <w:r>
        <w:rPr>
          <w:rFonts w:hint="eastAsia"/>
          <w:lang w:val="es-ES_tradnl"/>
        </w:rPr>
        <w:tab/>
      </w:r>
      <w:r>
        <w:rPr>
          <w:lang w:val="es-ES_tradnl"/>
        </w:rPr>
        <w:t>B.</w:t>
      </w:r>
      <w:r>
        <w:rPr>
          <w:lang w:val="es-ES_tradnl"/>
        </w:rPr>
        <w:tab/>
      </w:r>
      <w:r>
        <w:rPr>
          <w:rFonts w:hint="eastAsia"/>
          <w:lang w:val="es-ES_tradnl"/>
        </w:rPr>
        <w:t>第七条：残疾儿童</w:t>
      </w:r>
    </w:p>
    <w:p w:rsidR="00DA7251" w:rsidRDefault="00DA7251">
      <w:pPr>
        <w:pStyle w:val="SingleTxtGC"/>
        <w:rPr>
          <w:lang w:val="es-ES"/>
        </w:rPr>
      </w:pPr>
      <w:r>
        <w:rPr>
          <w:lang w:val="es-ES"/>
        </w:rPr>
        <w:t xml:space="preserve">203.  </w:t>
      </w:r>
      <w:r>
        <w:rPr>
          <w:rFonts w:hint="eastAsia"/>
        </w:rPr>
        <w:t>政府已经制定了推进残疾人完全融入社会的政策</w:t>
      </w:r>
      <w:r>
        <w:rPr>
          <w:rFonts w:hint="eastAsia"/>
          <w:lang w:val="es-ES"/>
        </w:rPr>
        <w:t>，</w:t>
      </w:r>
      <w:r>
        <w:rPr>
          <w:rFonts w:hint="eastAsia"/>
        </w:rPr>
        <w:t>但这些政策目前仍在实施过程中。对残疾儿童和未成年人而言，最重要的进步是入学率和利用不同的教学方法。</w:t>
      </w:r>
    </w:p>
    <w:p w:rsidR="00DA7251" w:rsidRDefault="00DA7251">
      <w:pPr>
        <w:pStyle w:val="SingleTxtGC"/>
        <w:rPr>
          <w:lang w:val="es-ES"/>
        </w:rPr>
      </w:pPr>
      <w:r>
        <w:rPr>
          <w:lang w:val="es-ES"/>
        </w:rPr>
        <w:t xml:space="preserve">204.  </w:t>
      </w:r>
      <w:bookmarkStart w:id="17" w:name="OLE_LINK48"/>
      <w:r>
        <w:rPr>
          <w:rFonts w:hint="eastAsia"/>
        </w:rPr>
        <w:t>全国儿童与青少年秘书处</w:t>
      </w:r>
      <w:bookmarkEnd w:id="17"/>
      <w:r>
        <w:rPr>
          <w:rFonts w:hint="eastAsia"/>
        </w:rPr>
        <w:t>协助编制了《残疾儿童和青少年综合照料国家方案》。但由于资源有限，目前方案只局限于若干宣传活动。</w:t>
      </w:r>
    </w:p>
    <w:p w:rsidR="00DA7251" w:rsidRDefault="00DA7251">
      <w:pPr>
        <w:pStyle w:val="SingleTxtGC"/>
        <w:rPr>
          <w:lang w:val="es-ES"/>
        </w:rPr>
      </w:pPr>
      <w:r>
        <w:rPr>
          <w:lang w:val="es-ES"/>
        </w:rPr>
        <w:t xml:space="preserve">205.  </w:t>
      </w:r>
      <w:r>
        <w:rPr>
          <w:rFonts w:hint="eastAsia"/>
        </w:rPr>
        <w:t>卫生和社会福利部和圣卢西亚协会正努力强化早期教育机构，从而在首都和各省预防和治疗幼儿疾病。</w:t>
      </w:r>
    </w:p>
    <w:p w:rsidR="00DA7251" w:rsidRDefault="00DA7251">
      <w:pPr>
        <w:pStyle w:val="HChGC"/>
        <w:spacing w:before="240" w:line="360" w:lineRule="exact"/>
        <w:rPr>
          <w:lang w:val="es-ES"/>
        </w:rPr>
      </w:pPr>
      <w:r>
        <w:rPr>
          <w:rFonts w:hint="eastAsia"/>
          <w:lang w:val="es-ES"/>
        </w:rPr>
        <w:tab/>
      </w:r>
      <w:r>
        <w:rPr>
          <w:rFonts w:hint="eastAsia"/>
          <w:lang w:val="es-ES"/>
        </w:rPr>
        <w:t>五</w:t>
      </w:r>
      <w:r>
        <w:rPr>
          <w:rFonts w:hint="eastAsia"/>
          <w:lang w:val="es-ES"/>
        </w:rPr>
        <w:t>.</w:t>
      </w:r>
      <w:r>
        <w:rPr>
          <w:rFonts w:hint="eastAsia"/>
          <w:lang w:val="es-ES"/>
        </w:rPr>
        <w:tab/>
      </w:r>
      <w:r>
        <w:rPr>
          <w:rFonts w:hint="eastAsia"/>
          <w:lang w:val="es-ES"/>
        </w:rPr>
        <w:t>具体义务</w:t>
      </w:r>
    </w:p>
    <w:p w:rsidR="00DA7251" w:rsidRDefault="00DA7251">
      <w:pPr>
        <w:pStyle w:val="H1GC"/>
        <w:spacing w:before="240" w:line="300" w:lineRule="exact"/>
        <w:rPr>
          <w:lang w:val="es-ES_tradnl"/>
        </w:rPr>
      </w:pPr>
      <w:r>
        <w:rPr>
          <w:rFonts w:hint="eastAsia"/>
          <w:lang w:val="es-ES_tradnl"/>
        </w:rPr>
        <w:tab/>
      </w:r>
      <w:r>
        <w:rPr>
          <w:lang w:val="es-ES_tradnl"/>
        </w:rPr>
        <w:t>A.</w:t>
      </w:r>
      <w:r>
        <w:rPr>
          <w:lang w:val="es-ES_tradnl"/>
        </w:rPr>
        <w:tab/>
      </w:r>
      <w:r>
        <w:rPr>
          <w:rFonts w:hint="eastAsia"/>
          <w:lang w:val="es-ES_tradnl"/>
        </w:rPr>
        <w:t>第三十一条：统计和数据收集</w:t>
      </w:r>
    </w:p>
    <w:p w:rsidR="00DA7251" w:rsidRDefault="00DA7251">
      <w:pPr>
        <w:pStyle w:val="SingleTxtGC"/>
        <w:rPr>
          <w:lang w:val="es-ES"/>
        </w:rPr>
      </w:pPr>
      <w:r>
        <w:rPr>
          <w:lang w:val="es-ES"/>
        </w:rPr>
        <w:t xml:space="preserve">206.  </w:t>
      </w:r>
      <w:r>
        <w:rPr>
          <w:rFonts w:hint="eastAsia"/>
        </w:rPr>
        <w:t>目前残疾人事宜方面的统计数据显示在概念和统计方法上存在很大差异</w:t>
      </w:r>
      <w:r>
        <w:rPr>
          <w:rFonts w:hint="eastAsia"/>
          <w:lang w:val="es-ES"/>
        </w:rPr>
        <w:t>，</w:t>
      </w:r>
      <w:r>
        <w:rPr>
          <w:rFonts w:hint="eastAsia"/>
        </w:rPr>
        <w:t>因此其统计结果各不相同</w:t>
      </w:r>
      <w:r>
        <w:rPr>
          <w:rFonts w:hint="eastAsia"/>
          <w:lang w:val="es-ES"/>
        </w:rPr>
        <w:t>，</w:t>
      </w:r>
      <w:r>
        <w:rPr>
          <w:rFonts w:hint="eastAsia"/>
        </w:rPr>
        <w:t>也没有可比性。</w:t>
      </w:r>
    </w:p>
    <w:p w:rsidR="00DA7251" w:rsidRDefault="00DA7251">
      <w:pPr>
        <w:pStyle w:val="SingleTxtGC"/>
        <w:rPr>
          <w:lang w:val="es-ES_tradnl"/>
        </w:rPr>
      </w:pPr>
      <w:r>
        <w:rPr>
          <w:lang w:val="es-ES"/>
        </w:rPr>
        <w:t xml:space="preserve">207.  </w:t>
      </w:r>
      <w:r>
        <w:rPr>
          <w:rFonts w:hint="eastAsia"/>
        </w:rPr>
        <w:t>国家统计、调查和普查总局已将残疾人主题纳入</w:t>
      </w:r>
      <w:r>
        <w:t>了</w:t>
      </w:r>
      <w:r>
        <w:rPr>
          <w:lang w:val="es-ES"/>
        </w:rPr>
        <w:t>1982</w:t>
      </w:r>
      <w:r>
        <w:t>、</w:t>
      </w:r>
      <w:r>
        <w:rPr>
          <w:lang w:val="es-ES"/>
        </w:rPr>
        <w:t>1992</w:t>
      </w:r>
      <w:r>
        <w:t>和</w:t>
      </w:r>
      <w:r>
        <w:rPr>
          <w:lang w:val="es-ES"/>
        </w:rPr>
        <w:t>2002</w:t>
      </w:r>
      <w:r>
        <w:rPr>
          <w:rFonts w:hint="eastAsia"/>
        </w:rPr>
        <w:t>年的全国人口和住房普查</w:t>
      </w:r>
      <w:r>
        <w:rPr>
          <w:rFonts w:hint="eastAsia"/>
          <w:lang w:val="es-ES"/>
        </w:rPr>
        <w:t>，</w:t>
      </w:r>
      <w:r>
        <w:rPr>
          <w:rFonts w:hint="eastAsia"/>
        </w:rPr>
        <w:t>并主要在</w:t>
      </w:r>
      <w:r>
        <w:rPr>
          <w:rFonts w:hint="eastAsia"/>
          <w:lang w:val="es-ES"/>
        </w:rPr>
        <w:t>“</w:t>
      </w:r>
      <w:r>
        <w:rPr>
          <w:rFonts w:hint="eastAsia"/>
        </w:rPr>
        <w:t>各种障碍</w:t>
      </w:r>
      <w:r>
        <w:rPr>
          <w:rFonts w:hint="eastAsia"/>
          <w:lang w:val="es-ES"/>
        </w:rPr>
        <w:t>”</w:t>
      </w:r>
      <w:r>
        <w:rPr>
          <w:rFonts w:hint="eastAsia"/>
        </w:rPr>
        <w:t>一栏内登记</w:t>
      </w:r>
      <w:r>
        <w:rPr>
          <w:rFonts w:hint="eastAsia"/>
          <w:lang w:val="es-ES"/>
        </w:rPr>
        <w:t>“</w:t>
      </w:r>
      <w:r>
        <w:rPr>
          <w:rFonts w:hint="eastAsia"/>
        </w:rPr>
        <w:t>高度残疾或重度残疾</w:t>
      </w:r>
      <w:r>
        <w:rPr>
          <w:rFonts w:hint="eastAsia"/>
          <w:lang w:val="es-ES"/>
        </w:rPr>
        <w:t>”情况</w:t>
      </w:r>
      <w:r>
        <w:rPr>
          <w:rFonts w:hint="eastAsia"/>
        </w:rPr>
        <w:t>。但是，这些普查对并不能充分衡量残疾情况。</w:t>
      </w:r>
    </w:p>
    <w:p w:rsidR="00DA7251" w:rsidRDefault="00DA7251">
      <w:pPr>
        <w:pStyle w:val="SingleTxtGC"/>
        <w:rPr>
          <w:lang w:val="es-ES"/>
        </w:rPr>
      </w:pPr>
      <w:r>
        <w:rPr>
          <w:lang w:val="es-ES"/>
        </w:rPr>
        <w:t xml:space="preserve">208.  </w:t>
      </w:r>
      <w:r>
        <w:rPr>
          <w:rFonts w:hint="eastAsia"/>
        </w:rPr>
        <w:t>巴拉圭人口可分为城市人口和农村人口这两部分</w:t>
      </w:r>
      <w:r>
        <w:rPr>
          <w:rFonts w:hint="eastAsia"/>
          <w:lang w:val="es-ES_tradnl"/>
        </w:rPr>
        <w:t>，</w:t>
      </w:r>
      <w:r>
        <w:rPr>
          <w:rFonts w:hint="eastAsia"/>
        </w:rPr>
        <w:t>其比例分别为</w:t>
      </w:r>
      <w:r>
        <w:rPr>
          <w:lang w:val="es-ES_tradnl"/>
        </w:rPr>
        <w:t>57%</w:t>
      </w:r>
      <w:r>
        <w:t>和</w:t>
      </w:r>
      <w:r>
        <w:rPr>
          <w:lang w:val="es-ES_tradnl"/>
        </w:rPr>
        <w:t>43%</w:t>
      </w:r>
      <w:r>
        <w:t>。虽然无法知晓目前残疾人的确切人数</w:t>
      </w:r>
      <w:r>
        <w:rPr>
          <w:lang w:val="es-ES"/>
        </w:rPr>
        <w:t>，</w:t>
      </w:r>
      <w:r>
        <w:t>但根据最新的</w:t>
      </w:r>
      <w:r>
        <w:rPr>
          <w:lang w:val="es-ES"/>
        </w:rPr>
        <w:t>(2002</w:t>
      </w:r>
      <w:r>
        <w:t>年</w:t>
      </w:r>
      <w:r>
        <w:rPr>
          <w:lang w:val="es-ES"/>
        </w:rPr>
        <w:t>)</w:t>
      </w:r>
      <w:r>
        <w:t>全国人口和住房普查</w:t>
      </w:r>
      <w:r>
        <w:rPr>
          <w:lang w:val="es-ES"/>
        </w:rPr>
        <w:t>，</w:t>
      </w:r>
      <w:r>
        <w:t>巴拉圭总人口为</w:t>
      </w:r>
      <w:r>
        <w:rPr>
          <w:lang w:val="es-ES"/>
        </w:rPr>
        <w:t>5,163,198</w:t>
      </w:r>
      <w:r>
        <w:t>人</w:t>
      </w:r>
      <w:r>
        <w:rPr>
          <w:lang w:val="es-ES"/>
        </w:rPr>
        <w:t>，</w:t>
      </w:r>
      <w:r>
        <w:t>其中</w:t>
      </w:r>
      <w:r>
        <w:rPr>
          <w:lang w:val="es-ES"/>
        </w:rPr>
        <w:t>0.99%(</w:t>
      </w:r>
      <w:r>
        <w:t>即约</w:t>
      </w:r>
      <w:r>
        <w:rPr>
          <w:lang w:val="es-ES"/>
        </w:rPr>
        <w:t>51,146</w:t>
      </w:r>
      <w:r>
        <w:rPr>
          <w:rFonts w:hint="eastAsia"/>
        </w:rPr>
        <w:t>人</w:t>
      </w:r>
      <w:r>
        <w:rPr>
          <w:rFonts w:hint="eastAsia"/>
          <w:lang w:val="es-ES"/>
        </w:rPr>
        <w:t>)</w:t>
      </w:r>
      <w:r>
        <w:rPr>
          <w:rFonts w:hint="eastAsia"/>
        </w:rPr>
        <w:t>有一种或多种残疾。虽然这一比例并不高</w:t>
      </w:r>
      <w:r>
        <w:rPr>
          <w:rFonts w:hint="eastAsia"/>
          <w:lang w:val="es-ES"/>
        </w:rPr>
        <w:t>，</w:t>
      </w:r>
      <w:r>
        <w:rPr>
          <w:rFonts w:hint="eastAsia"/>
        </w:rPr>
        <w:t>但可划定重度残疾人士的基准。</w:t>
      </w:r>
    </w:p>
    <w:p w:rsidR="00DA7251" w:rsidRDefault="00DA7251">
      <w:pPr>
        <w:pStyle w:val="SingleTxtGC"/>
        <w:rPr>
          <w:lang w:val="es-ES"/>
        </w:rPr>
      </w:pPr>
      <w:r>
        <w:rPr>
          <w:lang w:val="es-ES"/>
        </w:rPr>
        <w:t xml:space="preserve">209.  </w:t>
      </w:r>
      <w:r>
        <w:rPr>
          <w:rFonts w:hint="eastAsia"/>
        </w:rPr>
        <w:t>由于普查工作人员缺乏适当的组织和培训</w:t>
      </w:r>
      <w:r>
        <w:rPr>
          <w:rFonts w:hint="eastAsia"/>
          <w:lang w:val="es-ES"/>
        </w:rPr>
        <w:t>，</w:t>
      </w:r>
      <w:r>
        <w:rPr>
          <w:rFonts w:hint="eastAsia"/>
        </w:rPr>
        <w:t>也缺乏一定的知识</w:t>
      </w:r>
      <w:r>
        <w:rPr>
          <w:rFonts w:hint="eastAsia"/>
          <w:lang w:val="es-ES"/>
        </w:rPr>
        <w:t>，</w:t>
      </w:r>
      <w:r>
        <w:rPr>
          <w:rFonts w:hint="eastAsia"/>
        </w:rPr>
        <w:t>所以在面谈时</w:t>
      </w:r>
      <w:r>
        <w:rPr>
          <w:rFonts w:hint="eastAsia"/>
          <w:lang w:val="es-ES"/>
        </w:rPr>
        <w:t>，</w:t>
      </w:r>
      <w:r>
        <w:rPr>
          <w:rFonts w:hint="eastAsia"/>
        </w:rPr>
        <w:t>他们会在不知不觉间忽略某些数据。因此</w:t>
      </w:r>
      <w:r>
        <w:rPr>
          <w:rFonts w:hint="eastAsia"/>
          <w:lang w:val="es-ES"/>
        </w:rPr>
        <w:t>，</w:t>
      </w:r>
      <w:r>
        <w:rPr>
          <w:rFonts w:hint="eastAsia"/>
        </w:rPr>
        <w:t>可能无法确认上述残疾人的比例。依据由残疾人建立或服务残疾人的合法组织以及各省市根据其直接掌握的情况估计有多少残疾人所提供的数据</w:t>
      </w:r>
      <w:r>
        <w:rPr>
          <w:rFonts w:hint="eastAsia"/>
          <w:lang w:val="es-ES"/>
        </w:rPr>
        <w:t>：</w:t>
      </w:r>
      <w:r>
        <w:rPr>
          <w:rFonts w:hint="eastAsia"/>
        </w:rPr>
        <w:t>巴拉圭的残疾人约</w:t>
      </w:r>
      <w:r>
        <w:t>为</w:t>
      </w:r>
      <w:r>
        <w:rPr>
          <w:lang w:val="es-ES"/>
        </w:rPr>
        <w:t>600,000</w:t>
      </w:r>
      <w:r>
        <w:t>人</w:t>
      </w:r>
      <w:r>
        <w:rPr>
          <w:lang w:val="es-ES"/>
        </w:rPr>
        <w:t>，</w:t>
      </w:r>
      <w:r>
        <w:t>占</w:t>
      </w:r>
      <w:r>
        <w:rPr>
          <w:lang w:val="es-ES"/>
        </w:rPr>
        <w:t>2008</w:t>
      </w:r>
      <w:r>
        <w:t>年巴拉圭</w:t>
      </w:r>
      <w:r>
        <w:rPr>
          <w:rFonts w:hint="eastAsia"/>
        </w:rPr>
        <w:t>总</w:t>
      </w:r>
      <w:r>
        <w:t>人口的</w:t>
      </w:r>
      <w:r>
        <w:rPr>
          <w:lang w:val="es-ES"/>
        </w:rPr>
        <w:t>10%</w:t>
      </w:r>
      <w:r>
        <w:t>。</w:t>
      </w:r>
    </w:p>
    <w:p w:rsidR="00DA7251" w:rsidRDefault="00DA7251">
      <w:pPr>
        <w:pStyle w:val="SingleTxtGC"/>
        <w:rPr>
          <w:lang w:val="es-ES"/>
        </w:rPr>
      </w:pPr>
      <w:r>
        <w:rPr>
          <w:lang w:val="es-ES"/>
        </w:rPr>
        <w:t xml:space="preserve">210.  </w:t>
      </w:r>
      <w:r>
        <w:rPr>
          <w:rFonts w:hint="eastAsia"/>
        </w:rPr>
        <w:t>在巴拉圭</w:t>
      </w:r>
      <w:r>
        <w:rPr>
          <w:rFonts w:hint="eastAsia"/>
          <w:lang w:val="es-ES"/>
        </w:rPr>
        <w:t>，</w:t>
      </w:r>
      <w:r>
        <w:rPr>
          <w:rFonts w:hint="eastAsia"/>
        </w:rPr>
        <w:t>残疾率为每千人中</w:t>
      </w:r>
      <w:r>
        <w:t>有</w:t>
      </w:r>
      <w:r>
        <w:rPr>
          <w:lang w:val="es-ES"/>
        </w:rPr>
        <w:t>9.9</w:t>
      </w:r>
      <w:r>
        <w:t>名残疾人。男性的残疾率</w:t>
      </w:r>
      <w:r>
        <w:rPr>
          <w:lang w:val="es-ES"/>
        </w:rPr>
        <w:t>(</w:t>
      </w:r>
      <w:r>
        <w:t>每千人中有</w:t>
      </w:r>
      <w:r>
        <w:rPr>
          <w:lang w:val="es-ES"/>
        </w:rPr>
        <w:t>10.8</w:t>
      </w:r>
      <w:r>
        <w:t>人</w:t>
      </w:r>
      <w:r>
        <w:rPr>
          <w:lang w:val="es-ES"/>
        </w:rPr>
        <w:t>)</w:t>
      </w:r>
      <w:r>
        <w:t>要高于女性</w:t>
      </w:r>
      <w:r>
        <w:rPr>
          <w:lang w:val="es-ES"/>
        </w:rPr>
        <w:t>(</w:t>
      </w:r>
      <w:r>
        <w:t>每千人中有</w:t>
      </w:r>
      <w:r>
        <w:rPr>
          <w:lang w:val="es-ES"/>
        </w:rPr>
        <w:t>8.9</w:t>
      </w:r>
      <w:r>
        <w:t>人</w:t>
      </w:r>
      <w:r>
        <w:rPr>
          <w:lang w:val="es-ES"/>
        </w:rPr>
        <w:t>)</w:t>
      </w:r>
      <w:r>
        <w:rPr>
          <w:rFonts w:hint="eastAsia"/>
          <w:lang w:val="es-ES"/>
        </w:rPr>
        <w:t>。在残疾人口总数中，</w:t>
      </w:r>
      <w:r>
        <w:rPr>
          <w:lang w:val="es-ES"/>
        </w:rPr>
        <w:t>55%</w:t>
      </w:r>
      <w:r>
        <w:t>的残疾人为男性</w:t>
      </w:r>
      <w:r>
        <w:rPr>
          <w:lang w:val="es-ES"/>
        </w:rPr>
        <w:t>，</w:t>
      </w:r>
      <w:r>
        <w:rPr>
          <w:lang w:val="es-ES"/>
        </w:rPr>
        <w:t>45%</w:t>
      </w:r>
      <w:r>
        <w:t>的残疾人为女性。残疾人中，</w:t>
      </w:r>
      <w:r>
        <w:t>55%</w:t>
      </w:r>
      <w:r>
        <w:t>居住在城市地区，</w:t>
      </w:r>
      <w:r>
        <w:t>45%</w:t>
      </w:r>
      <w:r>
        <w:t>居住在农村地区。但是，农村地区的残疾率略高于城市地区。</w:t>
      </w:r>
    </w:p>
    <w:p w:rsidR="00DA7251" w:rsidRDefault="00DA7251">
      <w:pPr>
        <w:pStyle w:val="SingleTxtGC"/>
        <w:rPr>
          <w:lang w:val="es-ES"/>
        </w:rPr>
      </w:pPr>
      <w:r>
        <w:rPr>
          <w:lang w:val="es-ES"/>
        </w:rPr>
        <w:t xml:space="preserve">211.  </w:t>
      </w:r>
      <w:r>
        <w:rPr>
          <w:rFonts w:hint="eastAsia"/>
        </w:rPr>
        <w:t>如果按年龄来分析</w:t>
      </w:r>
      <w:r>
        <w:rPr>
          <w:rFonts w:hint="eastAsia"/>
          <w:lang w:val="es-ES"/>
        </w:rPr>
        <w:t>，</w:t>
      </w:r>
      <w:r>
        <w:rPr>
          <w:rFonts w:hint="eastAsia"/>
        </w:rPr>
        <w:t>残疾率最高的</w:t>
      </w:r>
      <w:r>
        <w:t>是</w:t>
      </w:r>
      <w:r>
        <w:rPr>
          <w:lang w:val="es-ES"/>
        </w:rPr>
        <w:t>80</w:t>
      </w:r>
      <w:r>
        <w:t>岁以上人群</w:t>
      </w:r>
      <w:r>
        <w:rPr>
          <w:lang w:val="es-ES"/>
        </w:rPr>
        <w:t>，</w:t>
      </w:r>
      <w:r>
        <w:t>其次为</w:t>
      </w:r>
      <w:r>
        <w:rPr>
          <w:lang w:val="es-ES"/>
        </w:rPr>
        <w:t>65</w:t>
      </w:r>
      <w:r>
        <w:t>至</w:t>
      </w:r>
      <w:r>
        <w:rPr>
          <w:lang w:val="es-ES"/>
        </w:rPr>
        <w:t>79</w:t>
      </w:r>
      <w:r>
        <w:t>岁人群。但总体来说，残疾人问题更多地体现在学龄儿童和就业青年中。</w:t>
      </w:r>
      <w:r>
        <w:t>55%</w:t>
      </w:r>
      <w:r>
        <w:t>的残疾人年龄介于</w:t>
      </w:r>
      <w:r>
        <w:t>15</w:t>
      </w:r>
      <w:r>
        <w:t>至</w:t>
      </w:r>
      <w:r>
        <w:t>64</w:t>
      </w:r>
      <w:r>
        <w:t>岁之间。</w:t>
      </w:r>
    </w:p>
    <w:p w:rsidR="00DA7251" w:rsidRDefault="00DA7251">
      <w:pPr>
        <w:pStyle w:val="SingleTxtGC"/>
        <w:rPr>
          <w:lang w:val="es-ES"/>
        </w:rPr>
      </w:pPr>
      <w:r>
        <w:rPr>
          <w:lang w:val="es-ES"/>
        </w:rPr>
        <w:t xml:space="preserve">212.  </w:t>
      </w:r>
      <w:r>
        <w:rPr>
          <w:rFonts w:hint="eastAsia"/>
          <w:lang w:val="es-ES"/>
        </w:rPr>
        <w:t>利用并公布</w:t>
      </w:r>
      <w:r>
        <w:rPr>
          <w:rFonts w:hint="eastAsia"/>
        </w:rPr>
        <w:t>《</w:t>
      </w:r>
      <w:r>
        <w:rPr>
          <w:lang w:val="es-ES"/>
        </w:rPr>
        <w:t>2002</w:t>
      </w:r>
      <w:r>
        <w:t>年全</w:t>
      </w:r>
      <w:r>
        <w:rPr>
          <w:rFonts w:hint="eastAsia"/>
        </w:rPr>
        <w:t>国人口和住房普查》期间所获的数据</w:t>
      </w:r>
      <w:r>
        <w:rPr>
          <w:rFonts w:hint="eastAsia"/>
          <w:lang w:val="es-ES"/>
        </w:rPr>
        <w:t>，作为此方案的一部分，</w:t>
      </w:r>
      <w:r>
        <w:rPr>
          <w:rFonts w:hint="eastAsia"/>
        </w:rPr>
        <w:t>统计、调查和普查总局编写了一份名为“残疾人的社会人口状况”的文件</w:t>
      </w:r>
      <w:r>
        <w:rPr>
          <w:rFonts w:hint="eastAsia"/>
          <w:lang w:val="es-ES"/>
        </w:rPr>
        <w:t>：</w:t>
      </w:r>
      <w:r>
        <w:rPr>
          <w:rFonts w:hint="eastAsia"/>
        </w:rPr>
        <w:t>该文件是《巴拉圭的生活条件</w:t>
      </w:r>
      <w:r>
        <w:rPr>
          <w:rFonts w:hint="eastAsia"/>
          <w:lang w:val="es-ES"/>
        </w:rPr>
        <w:t>》</w:t>
      </w:r>
      <w:r>
        <w:rPr>
          <w:rFonts w:hint="eastAsia"/>
        </w:rPr>
        <w:t>系列研究的一部分。</w:t>
      </w:r>
    </w:p>
    <w:p w:rsidR="00DA7251" w:rsidRDefault="00DA7251">
      <w:pPr>
        <w:pStyle w:val="SingleTxtGC"/>
        <w:rPr>
          <w:lang w:val="es-ES"/>
        </w:rPr>
      </w:pPr>
      <w:r>
        <w:rPr>
          <w:lang w:val="es-ES"/>
        </w:rPr>
        <w:t xml:space="preserve">213.  </w:t>
      </w:r>
      <w:r>
        <w:rPr>
          <w:rFonts w:hint="eastAsia"/>
        </w:rPr>
        <w:t>该文件对残疾人的社会人口条件进行了分析</w:t>
      </w:r>
      <w:r>
        <w:rPr>
          <w:rFonts w:hint="eastAsia"/>
          <w:lang w:val="es-ES"/>
        </w:rPr>
        <w:t>，</w:t>
      </w:r>
      <w:r>
        <w:rPr>
          <w:rFonts w:hint="eastAsia"/>
        </w:rPr>
        <w:t>包括</w:t>
      </w:r>
      <w:r>
        <w:rPr>
          <w:rFonts w:hint="eastAsia"/>
          <w:lang w:val="es-ES"/>
        </w:rPr>
        <w:t>：</w:t>
      </w:r>
      <w:r>
        <w:rPr>
          <w:rFonts w:hint="eastAsia"/>
        </w:rPr>
        <w:t>教育、就业情况、通过住房指标反映出的生活条件、未满足的基本需求</w:t>
      </w:r>
      <w:r>
        <w:rPr>
          <w:rFonts w:hint="eastAsia"/>
          <w:lang w:val="es-ES"/>
        </w:rPr>
        <w:t>；</w:t>
      </w:r>
      <w:r>
        <w:rPr>
          <w:rFonts w:hint="eastAsia"/>
        </w:rPr>
        <w:t>同时</w:t>
      </w:r>
      <w:r>
        <w:rPr>
          <w:rFonts w:hint="eastAsia"/>
          <w:lang w:val="es-ES"/>
        </w:rPr>
        <w:t>，</w:t>
      </w:r>
      <w:r>
        <w:rPr>
          <w:rFonts w:hint="eastAsia"/>
        </w:rPr>
        <w:t>还对土著残疾人进行了分析。此外</w:t>
      </w:r>
      <w:r>
        <w:rPr>
          <w:rFonts w:hint="eastAsia"/>
          <w:lang w:val="es-ES"/>
        </w:rPr>
        <w:t>，</w:t>
      </w:r>
      <w:r>
        <w:rPr>
          <w:rFonts w:hint="eastAsia"/>
        </w:rPr>
        <w:t>还举办了讲习班、讨论和其他活动，以向受益人和国民议会等机构提交残疾情况的结果。</w:t>
      </w:r>
    </w:p>
    <w:p w:rsidR="00DA7251" w:rsidRDefault="00DA7251">
      <w:pPr>
        <w:pStyle w:val="SingleTxtGC"/>
        <w:rPr>
          <w:lang w:val="es-ES_tradnl"/>
        </w:rPr>
      </w:pPr>
      <w:r>
        <w:rPr>
          <w:lang w:val="es-ES"/>
        </w:rPr>
        <w:t>214.  2002</w:t>
      </w:r>
      <w:r>
        <w:t>年</w:t>
      </w:r>
      <w:r>
        <w:rPr>
          <w:rFonts w:hint="eastAsia"/>
          <w:lang w:val="es-ES"/>
        </w:rPr>
        <w:t>，</w:t>
      </w:r>
      <w:r>
        <w:rPr>
          <w:rFonts w:hint="eastAsia"/>
        </w:rPr>
        <w:t>巴拉圭开展了</w:t>
      </w:r>
      <w:r>
        <w:rPr>
          <w:rFonts w:hint="eastAsia"/>
          <w:lang w:val="es-ES"/>
        </w:rPr>
        <w:t>“</w:t>
      </w:r>
      <w:r>
        <w:rPr>
          <w:rFonts w:hint="eastAsia"/>
        </w:rPr>
        <w:t>残疾人士调查</w:t>
      </w:r>
      <w:r>
        <w:rPr>
          <w:rFonts w:hint="eastAsia"/>
          <w:lang w:val="es-ES"/>
        </w:rPr>
        <w:t>”，</w:t>
      </w:r>
      <w:r>
        <w:rPr>
          <w:rFonts w:hint="eastAsia"/>
        </w:rPr>
        <w:t>其目的是确定中央省的残疾人数量和残疾类型</w:t>
      </w:r>
      <w:r>
        <w:rPr>
          <w:rFonts w:hint="eastAsia"/>
          <w:lang w:val="es-ES"/>
        </w:rPr>
        <w:t>，</w:t>
      </w:r>
      <w:r>
        <w:rPr>
          <w:rFonts w:hint="eastAsia"/>
        </w:rPr>
        <w:t>并对残疾人的具体生活条件进行研究。调查表明</w:t>
      </w:r>
      <w:r>
        <w:rPr>
          <w:rFonts w:hint="eastAsia"/>
          <w:lang w:val="es-ES"/>
        </w:rPr>
        <w:t>，</w:t>
      </w:r>
      <w:r>
        <w:rPr>
          <w:rFonts w:hint="eastAsia"/>
        </w:rPr>
        <w:t>残疾率为</w:t>
      </w:r>
      <w:r>
        <w:rPr>
          <w:lang w:val="es-ES"/>
        </w:rPr>
        <w:t>3.2%</w:t>
      </w:r>
      <w:r>
        <w:rPr>
          <w:lang w:val="es-ES"/>
        </w:rPr>
        <w:t>，</w:t>
      </w:r>
      <w:r>
        <w:rPr>
          <w:rStyle w:val="FootnoteReference"/>
        </w:rPr>
        <w:footnoteReference w:id="57"/>
      </w:r>
      <w:r>
        <w:rPr>
          <w:rStyle w:val="FootnoteReference"/>
          <w:vertAlign w:val="baseline"/>
        </w:rPr>
        <w:t xml:space="preserve"> </w:t>
      </w:r>
      <w:r>
        <w:t>残疾人最集中的年龄段为</w:t>
      </w:r>
      <w:r>
        <w:rPr>
          <w:lang w:val="es-ES"/>
        </w:rPr>
        <w:t>0</w:t>
      </w:r>
      <w:r>
        <w:t>至</w:t>
      </w:r>
      <w:r>
        <w:rPr>
          <w:lang w:val="es-ES"/>
        </w:rPr>
        <w:t>19</w:t>
      </w:r>
      <w:r>
        <w:t>岁。统计、调查和普查总局</w:t>
      </w:r>
      <w:r>
        <w:rPr>
          <w:rFonts w:hint="eastAsia"/>
          <w:lang w:val="es-ES"/>
        </w:rPr>
        <w:t>，</w:t>
      </w:r>
      <w:r>
        <w:rPr>
          <w:rFonts w:hint="eastAsia"/>
        </w:rPr>
        <w:t>中央省省政府</w:t>
      </w:r>
      <w:r>
        <w:rPr>
          <w:rStyle w:val="FootnoteReference"/>
        </w:rPr>
        <w:footnoteReference w:id="58"/>
      </w:r>
      <w:r>
        <w:rPr>
          <w:rStyle w:val="FootnoteReference"/>
          <w:vertAlign w:val="baseline"/>
        </w:rPr>
        <w:t xml:space="preserve"> </w:t>
      </w:r>
      <w:r>
        <w:rPr>
          <w:rFonts w:hint="eastAsia"/>
        </w:rPr>
        <w:t>和残疾人士全面关怀网共同努力完成了该调查。在调查过程中，还得到了一个国际合作机构的帮助。</w:t>
      </w:r>
    </w:p>
    <w:p w:rsidR="00DA7251" w:rsidRDefault="00DA7251">
      <w:pPr>
        <w:pStyle w:val="SingleTxtGC"/>
        <w:rPr>
          <w:lang w:val="es-ES_tradnl"/>
        </w:rPr>
      </w:pPr>
      <w:r>
        <w:rPr>
          <w:lang w:val="es-ES"/>
        </w:rPr>
        <w:t xml:space="preserve">215.  </w:t>
      </w:r>
      <w:r>
        <w:rPr>
          <w:rFonts w:hint="eastAsia"/>
        </w:rPr>
        <w:t>本次调查的结果被制作成</w:t>
      </w:r>
      <w:r>
        <w:t>一份</w:t>
      </w:r>
      <w:r>
        <w:rPr>
          <w:lang w:val="es-ES_tradnl"/>
        </w:rPr>
        <w:t>26</w:t>
      </w:r>
      <w:r>
        <w:t>页的</w:t>
      </w:r>
      <w:r>
        <w:rPr>
          <w:rFonts w:hint="eastAsia"/>
        </w:rPr>
        <w:t>文件。文件被分发给参与数据收集的所有机构，特别是残疾人协会。</w:t>
      </w:r>
    </w:p>
    <w:p w:rsidR="00DA7251" w:rsidRDefault="00DA7251">
      <w:pPr>
        <w:pStyle w:val="SingleTxtGC"/>
        <w:rPr>
          <w:lang w:val="es-ES"/>
        </w:rPr>
      </w:pPr>
      <w:r>
        <w:rPr>
          <w:lang w:val="es-ES"/>
        </w:rPr>
        <w:t xml:space="preserve">216.  </w:t>
      </w:r>
      <w:r>
        <w:rPr>
          <w:lang w:val="es-ES_tradnl"/>
        </w:rPr>
        <w:t>2006</w:t>
      </w:r>
      <w:r>
        <w:t>年</w:t>
      </w:r>
      <w:r>
        <w:rPr>
          <w:lang w:val="es-ES_tradnl"/>
        </w:rPr>
        <w:t>11</w:t>
      </w:r>
      <w:r>
        <w:t>月</w:t>
      </w:r>
      <w:r>
        <w:rPr>
          <w:lang w:val="es-ES_tradnl"/>
        </w:rPr>
        <w:t>，</w:t>
      </w:r>
      <w:r>
        <w:rPr>
          <w:rFonts w:hint="eastAsia"/>
        </w:rPr>
        <w:t>统计、调查和普查总局与</w:t>
      </w:r>
      <w:bookmarkStart w:id="18" w:name="OLE_LINK49"/>
      <w:r>
        <w:rPr>
          <w:rFonts w:hint="eastAsia"/>
        </w:rPr>
        <w:t>阿根廷国家统计和普查局</w:t>
      </w:r>
      <w:bookmarkEnd w:id="18"/>
      <w:r>
        <w:rPr>
          <w:rFonts w:hint="eastAsia"/>
        </w:rPr>
        <w:t>、</w:t>
      </w:r>
      <w:bookmarkStart w:id="19" w:name="OLE_LINK50"/>
      <w:bookmarkStart w:id="20" w:name="OLE_LINK51"/>
      <w:r>
        <w:rPr>
          <w:rFonts w:hint="eastAsia"/>
        </w:rPr>
        <w:t>巴西地理统计局</w:t>
      </w:r>
      <w:bookmarkEnd w:id="19"/>
      <w:bookmarkEnd w:id="20"/>
      <w:r>
        <w:rPr>
          <w:rFonts w:hint="eastAsia"/>
        </w:rPr>
        <w:t>同时进行了题为</w:t>
      </w:r>
      <w:r>
        <w:rPr>
          <w:rFonts w:hint="eastAsia"/>
          <w:lang w:val="es-ES_tradnl"/>
        </w:rPr>
        <w:t>“</w:t>
      </w:r>
      <w:r>
        <w:rPr>
          <w:rFonts w:hint="eastAsia"/>
        </w:rPr>
        <w:t>残疾状况评估联合试点调查</w:t>
      </w:r>
      <w:r>
        <w:rPr>
          <w:rFonts w:hint="eastAsia"/>
          <w:lang w:val="es-ES_tradnl"/>
        </w:rPr>
        <w:t>”</w:t>
      </w:r>
      <w:r>
        <w:rPr>
          <w:rFonts w:hint="eastAsia"/>
        </w:rPr>
        <w:t>的调查。为了具体地考察残疾人问题，调查中采用了将在</w:t>
      </w:r>
      <w:r>
        <w:rPr>
          <w:lang w:val="es-ES"/>
        </w:rPr>
        <w:t>2010</w:t>
      </w:r>
      <w:r>
        <w:rPr>
          <w:rFonts w:hint="eastAsia"/>
          <w:lang w:val="es-ES"/>
        </w:rPr>
        <w:t>年</w:t>
      </w:r>
      <w:r>
        <w:rPr>
          <w:rFonts w:hint="eastAsia"/>
        </w:rPr>
        <w:t>人口普查中使用的一系列问题。</w:t>
      </w:r>
    </w:p>
    <w:p w:rsidR="00DA7251" w:rsidRDefault="00DA7251">
      <w:pPr>
        <w:pStyle w:val="SingleTxtGC"/>
        <w:rPr>
          <w:lang w:val="es-ES"/>
        </w:rPr>
      </w:pPr>
      <w:r>
        <w:rPr>
          <w:lang w:val="es-ES"/>
        </w:rPr>
        <w:t xml:space="preserve">217.  </w:t>
      </w:r>
      <w:r>
        <w:rPr>
          <w:rFonts w:hint="eastAsia"/>
        </w:rPr>
        <w:t>该调查在阿根廷、巴西和巴拉圭以类似的方法同时展开。在巴拉圭</w:t>
      </w:r>
      <w:r>
        <w:rPr>
          <w:rFonts w:hint="eastAsia"/>
          <w:lang w:val="es-ES"/>
        </w:rPr>
        <w:t>，</w:t>
      </w:r>
      <w:r>
        <w:rPr>
          <w:rFonts w:hint="eastAsia"/>
        </w:rPr>
        <w:t>该调查以东方市</w:t>
      </w:r>
      <w:r>
        <w:rPr>
          <w:lang w:val="es-ES"/>
        </w:rPr>
        <w:t>Ciudad Nueva</w:t>
      </w:r>
      <w:r>
        <w:rPr>
          <w:rFonts w:hint="eastAsia"/>
        </w:rPr>
        <w:t>城区作为样本</w:t>
      </w:r>
      <w:r>
        <w:rPr>
          <w:rFonts w:hint="eastAsia"/>
          <w:lang w:val="es-ES"/>
        </w:rPr>
        <w:t>，</w:t>
      </w:r>
      <w:r>
        <w:rPr>
          <w:rFonts w:hint="eastAsia"/>
        </w:rPr>
        <w:t>对共</w:t>
      </w:r>
      <w:r>
        <w:t>计</w:t>
      </w:r>
      <w:r>
        <w:rPr>
          <w:lang w:val="es-ES"/>
        </w:rPr>
        <w:t>430</w:t>
      </w:r>
      <w:r>
        <w:t>户家庭进行了试点调查。根据</w:t>
      </w:r>
      <w:r>
        <w:t>2002</w:t>
      </w:r>
      <w:r>
        <w:t>年人口普查的结果，其中的</w:t>
      </w:r>
      <w:r>
        <w:t>230</w:t>
      </w:r>
      <w:r>
        <w:t>户家庭中有残疾人，另外</w:t>
      </w:r>
      <w:r>
        <w:t>200</w:t>
      </w:r>
      <w:r>
        <w:t>户则没有残疾人。试点调查发现，如果采用新的评定方法，原先被认定为没有残疾人的</w:t>
      </w:r>
      <w:r>
        <w:t>200</w:t>
      </w:r>
      <w:r>
        <w:t>户家庭中有</w:t>
      </w:r>
      <w:r>
        <w:t>70%</w:t>
      </w:r>
      <w:r>
        <w:t>应被判定为有残</w:t>
      </w:r>
      <w:r>
        <w:rPr>
          <w:rFonts w:hint="eastAsia"/>
        </w:rPr>
        <w:t>疾人。</w:t>
      </w:r>
    </w:p>
    <w:p w:rsidR="00DA7251" w:rsidRDefault="00DA7251">
      <w:pPr>
        <w:pStyle w:val="SingleTxtGC"/>
        <w:rPr>
          <w:lang w:val="es-ES"/>
        </w:rPr>
      </w:pPr>
      <w:r>
        <w:rPr>
          <w:lang w:val="es-ES"/>
        </w:rPr>
        <w:t>218.  2008</w:t>
      </w:r>
      <w:r>
        <w:t>年</w:t>
      </w:r>
      <w:r>
        <w:rPr>
          <w:rFonts w:hint="eastAsia"/>
          <w:lang w:val="es-ES"/>
        </w:rPr>
        <w:t>，</w:t>
      </w:r>
      <w:r>
        <w:rPr>
          <w:rFonts w:hint="eastAsia"/>
        </w:rPr>
        <w:t>巴拉圭进行了最新一次</w:t>
      </w:r>
      <w:r>
        <w:rPr>
          <w:rFonts w:hint="eastAsia"/>
          <w:lang w:val="es-ES"/>
        </w:rPr>
        <w:t>“</w:t>
      </w:r>
      <w:r>
        <w:rPr>
          <w:rFonts w:hint="eastAsia"/>
        </w:rPr>
        <w:t>巴拉圭残疾人调查</w:t>
      </w:r>
      <w:r>
        <w:rPr>
          <w:rFonts w:hint="eastAsia"/>
          <w:lang w:val="es-ES"/>
        </w:rPr>
        <w:t>”</w:t>
      </w:r>
      <w:r>
        <w:rPr>
          <w:rFonts w:hint="eastAsia"/>
        </w:rPr>
        <w:t>。此次调查是一次在全国和各省进行的具有代表性的调查，可以提供残疾率、残疾种类及其严重程度、残疾人的一般和具体特征等信息。国家残疾人研究会实施了本次调查。在调研过程中，还考虑了统计、调查和普查总局、公共卫生和社会福利部生物统计局和教育和文化部提供的资料。</w:t>
      </w:r>
    </w:p>
    <w:p w:rsidR="00DA7251" w:rsidRDefault="00DA7251">
      <w:pPr>
        <w:pStyle w:val="SingleTxtGC"/>
        <w:rPr>
          <w:lang w:val="es-ES"/>
        </w:rPr>
      </w:pPr>
      <w:r>
        <w:rPr>
          <w:lang w:val="es-ES"/>
        </w:rPr>
        <w:t xml:space="preserve">219.  </w:t>
      </w:r>
      <w:r>
        <w:rPr>
          <w:rFonts w:hint="eastAsia"/>
        </w:rPr>
        <w:t>在</w:t>
      </w:r>
      <w:r>
        <w:rPr>
          <w:lang w:val="es-ES"/>
        </w:rPr>
        <w:t>2010</w:t>
      </w:r>
      <w:r>
        <w:t>年全国人</w:t>
      </w:r>
      <w:r>
        <w:rPr>
          <w:rFonts w:hint="eastAsia"/>
        </w:rPr>
        <w:t>口和住房普查的准备工作期间</w:t>
      </w:r>
      <w:r>
        <w:rPr>
          <w:rFonts w:hint="eastAsia"/>
          <w:lang w:val="es-ES"/>
        </w:rPr>
        <w:t>，</w:t>
      </w:r>
      <w:r>
        <w:rPr>
          <w:rFonts w:hint="eastAsia"/>
        </w:rPr>
        <w:t>统计、调查和普查总局组织了讲习班</w:t>
      </w:r>
      <w:r>
        <w:rPr>
          <w:rFonts w:hint="eastAsia"/>
          <w:lang w:val="es-ES"/>
        </w:rPr>
        <w:t>，与受益人讨论</w:t>
      </w:r>
      <w:r>
        <w:rPr>
          <w:rFonts w:hint="eastAsia"/>
        </w:rPr>
        <w:t>普查中将要使用的问卷调查。其中之一是残疾人问题讲习班，参加此次活动的有与残疾人事务相关的国家机构和协会。</w:t>
      </w:r>
    </w:p>
    <w:p w:rsidR="00DA7251" w:rsidRDefault="00DA7251">
      <w:pPr>
        <w:pStyle w:val="SingleTxtGC"/>
        <w:rPr>
          <w:lang w:val="es-ES"/>
        </w:rPr>
      </w:pPr>
      <w:r>
        <w:rPr>
          <w:lang w:val="es-ES"/>
        </w:rPr>
        <w:t xml:space="preserve">220.  </w:t>
      </w:r>
      <w:r>
        <w:rPr>
          <w:rFonts w:hint="eastAsia"/>
          <w:lang w:val="es-ES"/>
        </w:rPr>
        <w:t>巴拉圭目前衡量</w:t>
      </w:r>
      <w:r>
        <w:rPr>
          <w:rFonts w:hint="eastAsia"/>
        </w:rPr>
        <w:t>残疾人情况的方法远不能反映残疾人的真实情况，不过，统计、调查和普查总局现在正努力该机其数据收集系统，以期获得真实数据，因为该局对问及两类目标群体</w:t>
      </w:r>
      <w:r>
        <w:rPr>
          <w:rFonts w:hint="eastAsia"/>
          <w:spacing w:val="-50"/>
        </w:rPr>
        <w:t>―</w:t>
      </w:r>
      <w:r>
        <w:rPr>
          <w:rFonts w:hint="eastAsia"/>
          <w:spacing w:val="10"/>
        </w:rPr>
        <w:t>―</w:t>
      </w:r>
      <w:r>
        <w:rPr>
          <w:rFonts w:hint="eastAsia"/>
        </w:rPr>
        <w:t>家庭和个人</w:t>
      </w:r>
      <w:r>
        <w:rPr>
          <w:rFonts w:hint="eastAsia"/>
          <w:spacing w:val="-50"/>
        </w:rPr>
        <w:t>―</w:t>
      </w:r>
      <w:r>
        <w:rPr>
          <w:rFonts w:hint="eastAsia"/>
          <w:spacing w:val="10"/>
        </w:rPr>
        <w:t>―</w:t>
      </w:r>
      <w:r>
        <w:rPr>
          <w:rFonts w:hint="eastAsia"/>
        </w:rPr>
        <w:t>有关残疾的问题时表示不够满意。</w:t>
      </w:r>
    </w:p>
    <w:p w:rsidR="00DA7251" w:rsidRDefault="00DA7251">
      <w:pPr>
        <w:pStyle w:val="SingleTxtGC"/>
        <w:rPr>
          <w:lang w:val="es-ES"/>
        </w:rPr>
      </w:pPr>
      <w:r>
        <w:rPr>
          <w:lang w:val="es-ES"/>
        </w:rPr>
        <w:t>221.</w:t>
      </w:r>
      <w:r>
        <w:rPr>
          <w:rFonts w:hint="eastAsia"/>
          <w:lang w:val="es-ES"/>
        </w:rPr>
        <w:t xml:space="preserve"> </w:t>
      </w:r>
      <w:r>
        <w:rPr>
          <w:lang w:val="es-ES"/>
        </w:rPr>
        <w:t xml:space="preserve"> </w:t>
      </w:r>
      <w:r>
        <w:rPr>
          <w:rFonts w:hint="eastAsia"/>
          <w:lang w:val="es-ES"/>
        </w:rPr>
        <w:t>需要核实许多数据，从而真正可能获得关于巴拉圭</w:t>
      </w:r>
      <w:r>
        <w:rPr>
          <w:rFonts w:hint="eastAsia"/>
        </w:rPr>
        <w:t>残疾情况的精确数据。</w:t>
      </w:r>
    </w:p>
    <w:p w:rsidR="00DA7251" w:rsidRDefault="00DA7251">
      <w:pPr>
        <w:pStyle w:val="SingleTxtGC"/>
        <w:rPr>
          <w:lang w:val="es-ES_tradnl"/>
        </w:rPr>
      </w:pPr>
      <w:r>
        <w:rPr>
          <w:lang w:val="es-ES"/>
        </w:rPr>
        <w:t xml:space="preserve">222.  </w:t>
      </w:r>
      <w:r>
        <w:rPr>
          <w:rFonts w:hint="eastAsia"/>
        </w:rPr>
        <w:t>残疾人的参与。已提交行动建议并与一些从事残疾人事务的机构和合作。这些机构有：全国特殊人士保护研究所、肢体伤残康复协会、教育和文化部的就业培训学校、促进残疾人权利国家协调委员会，残疾人士全面关怀网。</w:t>
      </w:r>
    </w:p>
    <w:p w:rsidR="00DA7251" w:rsidRDefault="00DA7251">
      <w:pPr>
        <w:pStyle w:val="SingleTxtGC"/>
        <w:rPr>
          <w:lang w:val="es-ES"/>
        </w:rPr>
      </w:pPr>
      <w:r>
        <w:rPr>
          <w:lang w:val="es-ES"/>
        </w:rPr>
        <w:t xml:space="preserve">223.  </w:t>
      </w:r>
      <w:r>
        <w:rPr>
          <w:rFonts w:hint="eastAsia"/>
        </w:rPr>
        <w:t>以印刷材料提供普查数据和其他与残疾主题有关的出版物并在统计、调查和普查总局网站刊登。普查数据通过印刷材料大量派发。</w:t>
      </w:r>
    </w:p>
    <w:p w:rsidR="00DA7251" w:rsidRDefault="00DA7251">
      <w:pPr>
        <w:pStyle w:val="H1GC"/>
        <w:rPr>
          <w:lang w:val="es-ES_tradnl"/>
        </w:rPr>
      </w:pPr>
      <w:r>
        <w:rPr>
          <w:rFonts w:hint="eastAsia"/>
          <w:lang w:val="es-ES_tradnl"/>
        </w:rPr>
        <w:tab/>
      </w:r>
      <w:r>
        <w:rPr>
          <w:lang w:val="es-ES_tradnl"/>
        </w:rPr>
        <w:t>B.</w:t>
      </w:r>
      <w:r>
        <w:rPr>
          <w:lang w:val="es-ES_tradnl"/>
        </w:rPr>
        <w:tab/>
      </w:r>
      <w:r>
        <w:rPr>
          <w:rFonts w:hint="eastAsia"/>
          <w:lang w:val="es-ES_tradnl"/>
        </w:rPr>
        <w:t>第三十二条：国际合作</w:t>
      </w:r>
    </w:p>
    <w:p w:rsidR="00DA7251" w:rsidRDefault="00DA7251">
      <w:pPr>
        <w:pStyle w:val="SingleTxtGC"/>
        <w:rPr>
          <w:lang w:val="es-ES"/>
        </w:rPr>
      </w:pPr>
      <w:r>
        <w:rPr>
          <w:lang w:val="es-ES"/>
        </w:rPr>
        <w:t xml:space="preserve">224.  </w:t>
      </w:r>
      <w:r>
        <w:rPr>
          <w:rFonts w:hint="eastAsia"/>
        </w:rPr>
        <w:t>巴拉圭接受的国际技术合作主要集中在下列领域</w:t>
      </w:r>
      <w:r>
        <w:rPr>
          <w:rFonts w:hint="eastAsia"/>
          <w:lang w:val="es-ES"/>
        </w:rPr>
        <w:t>：</w:t>
      </w:r>
      <w:r>
        <w:rPr>
          <w:rFonts w:hint="eastAsia"/>
        </w:rPr>
        <w:t>生产力发展</w:t>
      </w:r>
      <w:r>
        <w:rPr>
          <w:rFonts w:hint="eastAsia"/>
          <w:lang w:val="es-ES"/>
        </w:rPr>
        <w:t>；</w:t>
      </w:r>
      <w:r>
        <w:rPr>
          <w:rFonts w:hint="eastAsia"/>
        </w:rPr>
        <w:t>社会</w:t>
      </w:r>
      <w:r>
        <w:rPr>
          <w:rFonts w:hint="eastAsia"/>
          <w:lang w:val="es-ES"/>
        </w:rPr>
        <w:t>；</w:t>
      </w:r>
      <w:r>
        <w:rPr>
          <w:rFonts w:hint="eastAsia"/>
        </w:rPr>
        <w:t>职业培训</w:t>
      </w:r>
      <w:r>
        <w:rPr>
          <w:rFonts w:hint="eastAsia"/>
          <w:lang w:val="es-ES"/>
        </w:rPr>
        <w:t>；</w:t>
      </w:r>
      <w:r>
        <w:rPr>
          <w:rFonts w:hint="eastAsia"/>
        </w:rPr>
        <w:t>国家的现代化</w:t>
      </w:r>
      <w:r>
        <w:rPr>
          <w:rFonts w:hint="eastAsia"/>
          <w:lang w:val="es-ES"/>
        </w:rPr>
        <w:t>；</w:t>
      </w:r>
      <w:r>
        <w:rPr>
          <w:rFonts w:hint="eastAsia"/>
        </w:rPr>
        <w:t>政府和民间社会</w:t>
      </w:r>
      <w:r>
        <w:rPr>
          <w:rFonts w:hint="eastAsia"/>
          <w:lang w:val="es-ES"/>
        </w:rPr>
        <w:t>；</w:t>
      </w:r>
      <w:r>
        <w:rPr>
          <w:rFonts w:hint="eastAsia"/>
        </w:rPr>
        <w:t>文化</w:t>
      </w:r>
      <w:r>
        <w:rPr>
          <w:rFonts w:hint="eastAsia"/>
          <w:lang w:val="es-ES"/>
        </w:rPr>
        <w:t>；</w:t>
      </w:r>
      <w:r>
        <w:rPr>
          <w:rFonts w:hint="eastAsia"/>
        </w:rPr>
        <w:t>环境</w:t>
      </w:r>
      <w:r>
        <w:rPr>
          <w:rFonts w:hint="eastAsia"/>
          <w:lang w:val="es-ES"/>
        </w:rPr>
        <w:t>；</w:t>
      </w:r>
      <w:r>
        <w:rPr>
          <w:rFonts w:hint="eastAsia"/>
        </w:rPr>
        <w:t>性别问题</w:t>
      </w:r>
      <w:r>
        <w:rPr>
          <w:rFonts w:hint="eastAsia"/>
          <w:lang w:val="es-ES"/>
        </w:rPr>
        <w:t>；</w:t>
      </w:r>
      <w:r>
        <w:rPr>
          <w:rFonts w:hint="eastAsia"/>
        </w:rPr>
        <w:t>人道主义援助</w:t>
      </w:r>
      <w:r>
        <w:rPr>
          <w:rFonts w:hint="eastAsia"/>
          <w:lang w:val="es-ES"/>
        </w:rPr>
        <w:t>；</w:t>
      </w:r>
      <w:r>
        <w:rPr>
          <w:rFonts w:hint="eastAsia"/>
        </w:rPr>
        <w:t>防灾</w:t>
      </w:r>
      <w:r>
        <w:rPr>
          <w:rFonts w:hint="eastAsia"/>
          <w:lang w:val="es-ES"/>
        </w:rPr>
        <w:t>；</w:t>
      </w:r>
      <w:r>
        <w:rPr>
          <w:rFonts w:hint="eastAsia"/>
        </w:rPr>
        <w:t>能源</w:t>
      </w:r>
      <w:r>
        <w:rPr>
          <w:rFonts w:hint="eastAsia"/>
          <w:lang w:val="es-ES"/>
        </w:rPr>
        <w:t>；</w:t>
      </w:r>
      <w:r>
        <w:rPr>
          <w:rFonts w:hint="eastAsia"/>
        </w:rPr>
        <w:t>交通运输</w:t>
      </w:r>
      <w:r>
        <w:rPr>
          <w:rFonts w:hint="eastAsia"/>
          <w:lang w:val="es-ES"/>
        </w:rPr>
        <w:t>；</w:t>
      </w:r>
      <w:r>
        <w:rPr>
          <w:rFonts w:hint="eastAsia"/>
        </w:rPr>
        <w:t>通信</w:t>
      </w:r>
      <w:r>
        <w:rPr>
          <w:rFonts w:hint="eastAsia"/>
          <w:lang w:val="es-ES"/>
        </w:rPr>
        <w:t>；</w:t>
      </w:r>
      <w:r>
        <w:rPr>
          <w:rFonts w:hint="eastAsia"/>
        </w:rPr>
        <w:t>科技</w:t>
      </w:r>
      <w:r>
        <w:rPr>
          <w:rFonts w:hint="eastAsia"/>
          <w:lang w:val="es-ES"/>
        </w:rPr>
        <w:t>；</w:t>
      </w:r>
      <w:r>
        <w:rPr>
          <w:rFonts w:hint="eastAsia"/>
        </w:rPr>
        <w:t>就业</w:t>
      </w:r>
      <w:r>
        <w:rPr>
          <w:rFonts w:hint="eastAsia"/>
          <w:lang w:val="es-ES"/>
        </w:rPr>
        <w:t>；</w:t>
      </w:r>
      <w:r>
        <w:rPr>
          <w:rFonts w:hint="eastAsia"/>
        </w:rPr>
        <w:t>农业</w:t>
      </w:r>
      <w:r>
        <w:rPr>
          <w:rFonts w:hint="eastAsia"/>
          <w:lang w:val="es-ES"/>
        </w:rPr>
        <w:t>；</w:t>
      </w:r>
      <w:r>
        <w:rPr>
          <w:rFonts w:hint="eastAsia"/>
        </w:rPr>
        <w:t>渔业</w:t>
      </w:r>
      <w:r>
        <w:rPr>
          <w:rFonts w:hint="eastAsia"/>
          <w:lang w:val="es-ES"/>
        </w:rPr>
        <w:t>；</w:t>
      </w:r>
      <w:r>
        <w:rPr>
          <w:rFonts w:hint="eastAsia"/>
        </w:rPr>
        <w:t>工业</w:t>
      </w:r>
      <w:r>
        <w:rPr>
          <w:rFonts w:hint="eastAsia"/>
          <w:lang w:val="es-ES"/>
        </w:rPr>
        <w:t>；</w:t>
      </w:r>
      <w:r>
        <w:rPr>
          <w:rFonts w:hint="eastAsia"/>
        </w:rPr>
        <w:t>旅游业</w:t>
      </w:r>
      <w:r>
        <w:rPr>
          <w:rFonts w:hint="eastAsia"/>
          <w:lang w:val="es-ES"/>
        </w:rPr>
        <w:t>；</w:t>
      </w:r>
      <w:r>
        <w:rPr>
          <w:rFonts w:hint="eastAsia"/>
        </w:rPr>
        <w:t>商贸</w:t>
      </w:r>
      <w:r>
        <w:rPr>
          <w:rFonts w:hint="eastAsia"/>
          <w:lang w:val="es-ES"/>
        </w:rPr>
        <w:t>；</w:t>
      </w:r>
      <w:r>
        <w:rPr>
          <w:rFonts w:hint="eastAsia"/>
        </w:rPr>
        <w:t>教育</w:t>
      </w:r>
      <w:r>
        <w:rPr>
          <w:rFonts w:hint="eastAsia"/>
          <w:lang w:val="es-ES"/>
        </w:rPr>
        <w:t>；</w:t>
      </w:r>
      <w:r>
        <w:rPr>
          <w:rFonts w:hint="eastAsia"/>
        </w:rPr>
        <w:t>保健</w:t>
      </w:r>
      <w:r>
        <w:rPr>
          <w:rFonts w:hint="eastAsia"/>
          <w:lang w:val="es-ES"/>
        </w:rPr>
        <w:t>；</w:t>
      </w:r>
      <w:r>
        <w:rPr>
          <w:rFonts w:hint="eastAsia"/>
        </w:rPr>
        <w:t>人口</w:t>
      </w:r>
      <w:r>
        <w:rPr>
          <w:rFonts w:hint="eastAsia"/>
          <w:lang w:val="es-ES"/>
        </w:rPr>
        <w:t>；</w:t>
      </w:r>
      <w:r>
        <w:rPr>
          <w:rFonts w:hint="eastAsia"/>
        </w:rPr>
        <w:t>生殖健康</w:t>
      </w:r>
      <w:r>
        <w:rPr>
          <w:rFonts w:hint="eastAsia"/>
          <w:lang w:val="es-ES"/>
        </w:rPr>
        <w:t>；</w:t>
      </w:r>
      <w:r>
        <w:rPr>
          <w:rFonts w:hint="eastAsia"/>
        </w:rPr>
        <w:t>供水和卫生。</w:t>
      </w:r>
    </w:p>
    <w:p w:rsidR="00DA7251" w:rsidRDefault="00DA7251">
      <w:pPr>
        <w:pStyle w:val="SingleTxtGC"/>
        <w:rPr>
          <w:lang w:val="es-ES"/>
        </w:rPr>
      </w:pPr>
      <w:r>
        <w:rPr>
          <w:lang w:val="es-ES"/>
        </w:rPr>
        <w:t xml:space="preserve">225.  </w:t>
      </w:r>
      <w:r>
        <w:rPr>
          <w:rFonts w:hint="eastAsia"/>
        </w:rPr>
        <w:t>目前</w:t>
      </w:r>
      <w:r>
        <w:rPr>
          <w:rFonts w:hint="eastAsia"/>
          <w:lang w:val="es-ES"/>
        </w:rPr>
        <w:t>，</w:t>
      </w:r>
      <w:r>
        <w:rPr>
          <w:rFonts w:hint="eastAsia"/>
        </w:rPr>
        <w:t>通过各种模式</w:t>
      </w:r>
      <w:r>
        <w:rPr>
          <w:rFonts w:hint="eastAsia"/>
          <w:lang w:val="es-ES"/>
        </w:rPr>
        <w:t>(</w:t>
      </w:r>
      <w:r>
        <w:rPr>
          <w:rFonts w:hint="eastAsia"/>
        </w:rPr>
        <w:t>包括</w:t>
      </w:r>
      <w:r>
        <w:rPr>
          <w:rFonts w:hint="eastAsia"/>
          <w:lang w:val="es-ES"/>
        </w:rPr>
        <w:t>：</w:t>
      </w:r>
      <w:r>
        <w:rPr>
          <w:rFonts w:hint="eastAsia"/>
        </w:rPr>
        <w:t>无偿金融合作、有偿金融合作和技术合作</w:t>
      </w:r>
      <w:r>
        <w:rPr>
          <w:rFonts w:hint="eastAsia"/>
          <w:lang w:val="es-ES"/>
        </w:rPr>
        <w:t>)</w:t>
      </w:r>
      <w:r>
        <w:rPr>
          <w:rFonts w:hint="eastAsia"/>
        </w:rPr>
        <w:t>与巴拉圭开展合作的国家和地区有</w:t>
      </w:r>
      <w:r>
        <w:rPr>
          <w:rFonts w:hint="eastAsia"/>
          <w:lang w:val="es-ES"/>
        </w:rPr>
        <w:t>：</w:t>
      </w:r>
      <w:r>
        <w:rPr>
          <w:rFonts w:hint="eastAsia"/>
        </w:rPr>
        <w:t>阿根廷、巴西、智利、哥伦比亚、哥斯达黎加、古巴、法国、德国、伊朗伊斯兰共和国、以色列、意大利、日本、韩国、墨西哥、摩洛哥、秘鲁、西班牙、土耳其、委内瑞拉玻利瓦尔共和国，以及西班牙安达卢西亚自治区和穆尔西亚自治区和中国台湾省。</w:t>
      </w:r>
    </w:p>
    <w:p w:rsidR="00DA7251" w:rsidRDefault="00DA7251">
      <w:pPr>
        <w:pStyle w:val="SingleTxtGC"/>
        <w:rPr>
          <w:lang w:val="es-ES_tradnl"/>
        </w:rPr>
      </w:pPr>
      <w:r>
        <w:rPr>
          <w:lang w:val="es-ES"/>
        </w:rPr>
        <w:t xml:space="preserve">226.  </w:t>
      </w:r>
      <w:r>
        <w:rPr>
          <w:rFonts w:hint="eastAsia"/>
        </w:rPr>
        <w:t>与巴拉圭开展多边合作的组织有</w:t>
      </w:r>
      <w:r>
        <w:rPr>
          <w:rFonts w:hint="eastAsia"/>
          <w:lang w:val="es-ES"/>
        </w:rPr>
        <w:t>：</w:t>
      </w:r>
      <w:r>
        <w:rPr>
          <w:rFonts w:hint="eastAsia"/>
        </w:rPr>
        <w:t>欧洲联盟、粮食及农业组织</w:t>
      </w:r>
      <w:r>
        <w:rPr>
          <w:rFonts w:hint="eastAsia"/>
        </w:rPr>
        <w:t>(</w:t>
      </w:r>
      <w:r>
        <w:rPr>
          <w:rFonts w:hint="eastAsia"/>
        </w:rPr>
        <w:t>粮农组织</w:t>
      </w:r>
      <w:r>
        <w:rPr>
          <w:rFonts w:hint="eastAsia"/>
        </w:rPr>
        <w:t>)</w:t>
      </w:r>
      <w:r>
        <w:rPr>
          <w:rFonts w:hint="eastAsia"/>
        </w:rPr>
        <w:t>、联合国开发计划署</w:t>
      </w:r>
      <w:r>
        <w:rPr>
          <w:rFonts w:hint="eastAsia"/>
        </w:rPr>
        <w:t>(</w:t>
      </w:r>
      <w:r>
        <w:rPr>
          <w:rFonts w:hint="eastAsia"/>
        </w:rPr>
        <w:t>开发署</w:t>
      </w:r>
      <w:r>
        <w:rPr>
          <w:rFonts w:hint="eastAsia"/>
        </w:rPr>
        <w:t>)</w:t>
      </w:r>
      <w:r>
        <w:rPr>
          <w:rFonts w:hint="eastAsia"/>
        </w:rPr>
        <w:t>、伊美秘书处、美洲国家组织、南方共同市场技术合作委员会。</w:t>
      </w:r>
    </w:p>
    <w:p w:rsidR="00DA7251" w:rsidRDefault="00DA7251">
      <w:pPr>
        <w:pStyle w:val="SingleTxtGC"/>
        <w:rPr>
          <w:lang w:val="es-ES"/>
        </w:rPr>
      </w:pPr>
      <w:r>
        <w:rPr>
          <w:lang w:val="es-ES"/>
        </w:rPr>
        <w:t xml:space="preserve">227.  </w:t>
      </w:r>
      <w:r>
        <w:rPr>
          <w:rFonts w:hint="eastAsia"/>
        </w:rPr>
        <w:t>在巴拉圭接受的与残疾人事务有关的国际合作项目中</w:t>
      </w:r>
      <w:r>
        <w:rPr>
          <w:rFonts w:hint="eastAsia"/>
          <w:lang w:val="es-ES_tradnl"/>
        </w:rPr>
        <w:t>，</w:t>
      </w:r>
      <w:r>
        <w:rPr>
          <w:rFonts w:hint="eastAsia"/>
        </w:rPr>
        <w:t>目前正在开展的是</w:t>
      </w:r>
      <w:r>
        <w:rPr>
          <w:lang w:val="es-ES"/>
        </w:rPr>
        <w:t>AGORA</w:t>
      </w:r>
      <w:r>
        <w:rPr>
          <w:rFonts w:hint="eastAsia"/>
        </w:rPr>
        <w:t>拉丁美洲地区就业培训项目。该项目主要由</w:t>
      </w:r>
      <w:r>
        <w:t>西班牙国际发展合作署</w:t>
      </w:r>
      <w:r>
        <w:rPr>
          <w:rFonts w:hint="eastAsia"/>
        </w:rPr>
        <w:t>和拉丁美洲昂斯基金会以及以下地方伙伴供资，这些伙伴包括：司法和劳动部下属的国家职业促进局及文化和教育部下属的盲人康复中心。</w:t>
      </w:r>
      <w:r>
        <w:rPr>
          <w:lang w:val="es-ES"/>
        </w:rPr>
        <w:t>AGORA</w:t>
      </w:r>
      <w:r>
        <w:rPr>
          <w:rFonts w:hint="eastAsia"/>
          <w:lang w:val="es-ES"/>
        </w:rPr>
        <w:t>项目</w:t>
      </w:r>
      <w:r>
        <w:rPr>
          <w:rFonts w:hint="eastAsia"/>
        </w:rPr>
        <w:t>是一个区域性项目，目前正在阿根廷、智利、哥伦比亚、多米尼加共和国、厄瓜多尔、萨尔瓦多、危地马拉、墨西哥、尼加拉瓜、巴拉圭、秘鲁和乌拉圭开展。</w:t>
      </w:r>
    </w:p>
    <w:p w:rsidR="00DA7251" w:rsidRDefault="00DA7251">
      <w:pPr>
        <w:pStyle w:val="SingleTxtGC"/>
        <w:rPr>
          <w:lang w:val="es-ES_tradnl"/>
        </w:rPr>
      </w:pPr>
      <w:r>
        <w:rPr>
          <w:lang w:val="es-ES"/>
        </w:rPr>
        <w:t xml:space="preserve">228.  </w:t>
      </w:r>
      <w:r>
        <w:rPr>
          <w:rFonts w:hint="eastAsia"/>
        </w:rPr>
        <w:t>在巴拉圭</w:t>
      </w:r>
      <w:r>
        <w:rPr>
          <w:rFonts w:hint="eastAsia"/>
          <w:lang w:val="es-ES"/>
        </w:rPr>
        <w:t>，</w:t>
      </w:r>
      <w:r>
        <w:rPr>
          <w:lang w:val="es-ES"/>
        </w:rPr>
        <w:t>AGORA</w:t>
      </w:r>
      <w:r>
        <w:rPr>
          <w:rFonts w:hint="eastAsia"/>
          <w:lang w:val="es-ES"/>
        </w:rPr>
        <w:t>项目</w:t>
      </w:r>
      <w:r>
        <w:rPr>
          <w:rFonts w:hint="eastAsia"/>
        </w:rPr>
        <w:t>的目的是通过职业引导、就业培训和干预行动</w:t>
      </w:r>
      <w:r>
        <w:rPr>
          <w:rFonts w:hint="eastAsia"/>
          <w:lang w:val="es-ES"/>
        </w:rPr>
        <w:t>，</w:t>
      </w:r>
      <w:r>
        <w:rPr>
          <w:rFonts w:hint="eastAsia"/>
        </w:rPr>
        <w:t>提供合理便利以确保视觉障碍残疾人适应工作岗位</w:t>
      </w:r>
      <w:r>
        <w:rPr>
          <w:rFonts w:hint="eastAsia"/>
          <w:lang w:val="es-ES"/>
        </w:rPr>
        <w:t>，</w:t>
      </w:r>
      <w:r>
        <w:rPr>
          <w:rFonts w:hint="eastAsia"/>
        </w:rPr>
        <w:t>从而提高他们的雇用资格。其主要目标是根据各自的能力为视觉障碍残疾人安排工作岗位</w:t>
      </w:r>
      <w:r>
        <w:rPr>
          <w:rFonts w:hint="eastAsia"/>
          <w:lang w:val="es-ES"/>
        </w:rPr>
        <w:t>，</w:t>
      </w:r>
      <w:r>
        <w:rPr>
          <w:rFonts w:hint="eastAsia"/>
        </w:rPr>
        <w:t>从而使他们有用武之地。巴拉圭根据市场需求制定了相应的培训课程</w:t>
      </w:r>
      <w:r>
        <w:rPr>
          <w:rFonts w:hint="eastAsia"/>
          <w:lang w:val="es-ES"/>
        </w:rPr>
        <w:t>，</w:t>
      </w:r>
      <w:r>
        <w:rPr>
          <w:rFonts w:hint="eastAsia"/>
        </w:rPr>
        <w:t>从而提升了残疾人就业的机会。该项目提供当前职位安排服务，方式包括与公共机构和私营企业签订合同，并向这些机构和企业介绍残疾人的技能、能力和资质，使用人单位更有效地安排工作岗位，还帮助适应岗位，对就业残疾人进行后续跟踪。通过业务管理方面的援助和专门的培训，</w:t>
      </w:r>
      <w:r>
        <w:rPr>
          <w:rStyle w:val="FootnoteReference"/>
        </w:rPr>
        <w:footnoteReference w:id="59"/>
      </w:r>
      <w:r>
        <w:rPr>
          <w:rStyle w:val="FootnoteReference"/>
          <w:vertAlign w:val="baseline"/>
        </w:rPr>
        <w:t xml:space="preserve"> </w:t>
      </w:r>
      <w:r>
        <w:rPr>
          <w:rFonts w:hint="eastAsia"/>
        </w:rPr>
        <w:t>就业培训项目为那些想开设微型企业的视觉障碍残疾人提供支助。</w:t>
      </w:r>
    </w:p>
    <w:p w:rsidR="00DA7251" w:rsidRDefault="00DA7251">
      <w:pPr>
        <w:pStyle w:val="SingleTxtGC"/>
        <w:rPr>
          <w:lang w:val="es-ES"/>
        </w:rPr>
      </w:pPr>
      <w:r>
        <w:rPr>
          <w:lang w:val="es-ES"/>
        </w:rPr>
        <w:t xml:space="preserve">229.  </w:t>
      </w:r>
      <w:r>
        <w:rPr>
          <w:rFonts w:hint="eastAsia"/>
        </w:rPr>
        <w:t>巴拉圭还与日本国际协力事业团开展了国际合作</w:t>
      </w:r>
      <w:r>
        <w:rPr>
          <w:rFonts w:hint="eastAsia"/>
          <w:lang w:val="es-ES_tradnl"/>
        </w:rPr>
        <w:t>，</w:t>
      </w:r>
      <w:r>
        <w:rPr>
          <w:rFonts w:hint="eastAsia"/>
        </w:rPr>
        <w:t>详情见下表。</w:t>
      </w:r>
    </w:p>
    <w:p w:rsidR="00DA7251" w:rsidRDefault="00DA7251">
      <w:pPr>
        <w:pStyle w:val="SingleTxtGC"/>
        <w:rPr>
          <w:rFonts w:eastAsia="SimHei" w:hint="eastAsia"/>
          <w:lang w:val="es-ES"/>
        </w:rPr>
      </w:pPr>
      <w:r>
        <w:t>表</w:t>
      </w:r>
      <w:r>
        <w:rPr>
          <w:lang w:val="es-ES_tradnl"/>
        </w:rPr>
        <w:t>1</w:t>
      </w:r>
      <w:r>
        <w:rPr>
          <w:rFonts w:hint="eastAsia"/>
          <w:lang w:val="es-ES_tradnl"/>
        </w:rPr>
        <w:br/>
      </w:r>
      <w:r>
        <w:rPr>
          <w:rFonts w:eastAsia="SimHei" w:hint="eastAsia"/>
        </w:rPr>
        <w:t>在残疾人事务领域与日本国际协力事业团开展的合作</w:t>
      </w:r>
    </w:p>
    <w:tbl>
      <w:tblPr>
        <w:tblW w:w="7370" w:type="dxa"/>
        <w:tblInd w:w="1134" w:type="dxa"/>
        <w:tblLayout w:type="fixed"/>
        <w:tblCellMar>
          <w:left w:w="0" w:type="dxa"/>
          <w:right w:w="0" w:type="dxa"/>
        </w:tblCellMar>
        <w:tblLook w:val="0000" w:firstRow="0" w:lastRow="0" w:firstColumn="0" w:lastColumn="0" w:noHBand="0" w:noVBand="0"/>
      </w:tblPr>
      <w:tblGrid>
        <w:gridCol w:w="914"/>
        <w:gridCol w:w="1710"/>
        <w:gridCol w:w="1708"/>
        <w:gridCol w:w="1424"/>
        <w:gridCol w:w="1614"/>
      </w:tblGrid>
      <w:tr w:rsidR="00DA7251">
        <w:trPr>
          <w:trHeight w:val="240"/>
        </w:trPr>
        <w:tc>
          <w:tcPr>
            <w:tcW w:w="914" w:type="dxa"/>
            <w:tcBorders>
              <w:top w:val="single" w:sz="4" w:space="0" w:color="auto"/>
              <w:bottom w:val="single" w:sz="12" w:space="0" w:color="auto"/>
            </w:tcBorders>
            <w:shd w:val="clear" w:color="auto" w:fill="auto"/>
            <w:noWrap/>
            <w:vAlign w:val="bottom"/>
          </w:tcPr>
          <w:p w:rsidR="00DA7251" w:rsidRDefault="00DA7251">
            <w:pPr>
              <w:pStyle w:val="a0"/>
              <w:rPr>
                <w:lang w:val="es-ES"/>
              </w:rPr>
            </w:pPr>
            <w:r>
              <w:t>领域</w:t>
            </w:r>
          </w:p>
        </w:tc>
        <w:tc>
          <w:tcPr>
            <w:tcW w:w="1710" w:type="dxa"/>
            <w:tcBorders>
              <w:top w:val="single" w:sz="4" w:space="0" w:color="auto"/>
              <w:bottom w:val="single" w:sz="12" w:space="0" w:color="auto"/>
            </w:tcBorders>
            <w:shd w:val="clear" w:color="auto" w:fill="auto"/>
            <w:noWrap/>
            <w:vAlign w:val="bottom"/>
          </w:tcPr>
          <w:p w:rsidR="00DA7251" w:rsidRDefault="00DA7251">
            <w:pPr>
              <w:pStyle w:val="a0"/>
              <w:rPr>
                <w:lang w:val="es-ES"/>
              </w:rPr>
            </w:pPr>
            <w:r>
              <w:t>主题</w:t>
            </w:r>
          </w:p>
        </w:tc>
        <w:tc>
          <w:tcPr>
            <w:tcW w:w="1708" w:type="dxa"/>
            <w:tcBorders>
              <w:top w:val="single" w:sz="4" w:space="0" w:color="auto"/>
              <w:bottom w:val="single" w:sz="12" w:space="0" w:color="auto"/>
            </w:tcBorders>
            <w:shd w:val="clear" w:color="auto" w:fill="auto"/>
            <w:noWrap/>
            <w:vAlign w:val="bottom"/>
          </w:tcPr>
          <w:p w:rsidR="00DA7251" w:rsidRDefault="00DA7251">
            <w:pPr>
              <w:pStyle w:val="a0"/>
              <w:rPr>
                <w:rFonts w:hint="eastAsia"/>
                <w:lang w:val="es-ES"/>
              </w:rPr>
            </w:pPr>
            <w:r>
              <w:rPr>
                <w:rFonts w:hint="eastAsia"/>
              </w:rPr>
              <w:t>目标</w:t>
            </w:r>
          </w:p>
        </w:tc>
        <w:tc>
          <w:tcPr>
            <w:tcW w:w="1424" w:type="dxa"/>
            <w:tcBorders>
              <w:top w:val="single" w:sz="4" w:space="0" w:color="auto"/>
              <w:bottom w:val="single" w:sz="12" w:space="0" w:color="auto"/>
            </w:tcBorders>
            <w:shd w:val="clear" w:color="auto" w:fill="auto"/>
            <w:vAlign w:val="bottom"/>
          </w:tcPr>
          <w:p w:rsidR="00DA7251" w:rsidRDefault="00DA7251">
            <w:pPr>
              <w:pStyle w:val="a0"/>
              <w:rPr>
                <w:rFonts w:hint="eastAsia"/>
                <w:lang w:val="es-ES"/>
              </w:rPr>
            </w:pPr>
            <w:r>
              <w:rPr>
                <w:rFonts w:hint="eastAsia"/>
              </w:rPr>
              <w:t>方式</w:t>
            </w:r>
          </w:p>
        </w:tc>
        <w:tc>
          <w:tcPr>
            <w:tcW w:w="1614" w:type="dxa"/>
            <w:tcBorders>
              <w:top w:val="single" w:sz="4" w:space="0" w:color="auto"/>
              <w:bottom w:val="single" w:sz="12" w:space="0" w:color="auto"/>
            </w:tcBorders>
            <w:shd w:val="clear" w:color="auto" w:fill="auto"/>
            <w:vAlign w:val="bottom"/>
          </w:tcPr>
          <w:p w:rsidR="00DA7251" w:rsidRDefault="00DA7251">
            <w:pPr>
              <w:pStyle w:val="a0"/>
              <w:rPr>
                <w:lang w:val="es-ES"/>
              </w:rPr>
            </w:pPr>
            <w:r>
              <w:t>对应机构</w:t>
            </w:r>
          </w:p>
        </w:tc>
      </w:tr>
      <w:tr w:rsidR="00DA7251">
        <w:trPr>
          <w:trHeight w:val="603"/>
        </w:trPr>
        <w:tc>
          <w:tcPr>
            <w:tcW w:w="914" w:type="dxa"/>
            <w:vMerge w:val="restart"/>
            <w:tcBorders>
              <w:top w:val="single" w:sz="12" w:space="0" w:color="auto"/>
            </w:tcBorders>
            <w:shd w:val="clear" w:color="auto" w:fill="auto"/>
          </w:tcPr>
          <w:p w:rsidR="00DA7251" w:rsidRDefault="00DA7251">
            <w:pPr>
              <w:pStyle w:val="a4"/>
              <w:rPr>
                <w:lang w:val="es-ES"/>
              </w:rPr>
            </w:pPr>
            <w:r>
              <w:t>预防</w:t>
            </w:r>
          </w:p>
        </w:tc>
        <w:tc>
          <w:tcPr>
            <w:tcW w:w="1710" w:type="dxa"/>
            <w:vMerge w:val="restart"/>
            <w:tcBorders>
              <w:top w:val="single" w:sz="12" w:space="0" w:color="auto"/>
            </w:tcBorders>
            <w:shd w:val="clear" w:color="auto" w:fill="auto"/>
          </w:tcPr>
          <w:p w:rsidR="00DA7251" w:rsidRDefault="00DA7251">
            <w:pPr>
              <w:pStyle w:val="a4"/>
              <w:rPr>
                <w:lang w:val="es-ES"/>
              </w:rPr>
            </w:pPr>
            <w:r>
              <w:t>考虑到早产是</w:t>
            </w:r>
            <w:r>
              <w:rPr>
                <w:rFonts w:hint="eastAsia"/>
              </w:rPr>
              <w:t>先天残疾</w:t>
            </w:r>
            <w:r>
              <w:t>的主要原因之一</w:t>
            </w:r>
            <w:r>
              <w:rPr>
                <w:lang w:val="es-ES"/>
              </w:rPr>
              <w:t>，</w:t>
            </w:r>
            <w:r>
              <w:t>应降低早产率。</w:t>
            </w:r>
          </w:p>
        </w:tc>
        <w:tc>
          <w:tcPr>
            <w:tcW w:w="1708" w:type="dxa"/>
            <w:vMerge w:val="restart"/>
            <w:tcBorders>
              <w:top w:val="single" w:sz="12" w:space="0" w:color="auto"/>
            </w:tcBorders>
            <w:shd w:val="clear" w:color="auto" w:fill="auto"/>
          </w:tcPr>
          <w:p w:rsidR="00DA7251" w:rsidRDefault="00DA7251">
            <w:pPr>
              <w:pStyle w:val="a4"/>
              <w:rPr>
                <w:lang w:val="es-ES"/>
              </w:rPr>
            </w:pPr>
            <w:r>
              <w:t>通过</w:t>
            </w:r>
            <w:r>
              <w:rPr>
                <w:rFonts w:hint="eastAsia"/>
              </w:rPr>
              <w:t>得自</w:t>
            </w:r>
            <w:r>
              <w:t>护士和助</w:t>
            </w:r>
            <w:r>
              <w:rPr>
                <w:rFonts w:hint="eastAsia"/>
              </w:rPr>
              <w:t>产科医师的信息，提高对</w:t>
            </w:r>
            <w:r>
              <w:rPr>
                <w:rFonts w:hint="eastAsia"/>
                <w:lang w:val="es-ES"/>
              </w:rPr>
              <w:t>“</w:t>
            </w:r>
            <w:r>
              <w:t>生殖健康</w:t>
            </w:r>
            <w:r>
              <w:rPr>
                <w:rFonts w:hint="eastAsia"/>
                <w:lang w:val="es-ES"/>
              </w:rPr>
              <w:t>”</w:t>
            </w:r>
            <w:r>
              <w:t>的概念</w:t>
            </w:r>
            <w:r>
              <w:rPr>
                <w:rFonts w:hint="eastAsia"/>
              </w:rPr>
              <w:t>性了解</w:t>
            </w:r>
            <w:r>
              <w:t>。通过医学</w:t>
            </w:r>
            <w:r>
              <w:rPr>
                <w:rFonts w:hint="eastAsia"/>
              </w:rPr>
              <w:t>检查</w:t>
            </w:r>
            <w:r>
              <w:t>手段</w:t>
            </w:r>
            <w:r>
              <w:rPr>
                <w:lang w:val="es-ES"/>
              </w:rPr>
              <w:t>，</w:t>
            </w:r>
            <w:r>
              <w:t>降低孕妇的发病率</w:t>
            </w:r>
            <w:r>
              <w:rPr>
                <w:lang w:val="es-ES"/>
              </w:rPr>
              <w:t>；</w:t>
            </w:r>
            <w:r>
              <w:t>降低在孕妇身上出现的、可能</w:t>
            </w:r>
            <w:r>
              <w:rPr>
                <w:rFonts w:hint="eastAsia"/>
              </w:rPr>
              <w:t>导致先天残疾</w:t>
            </w:r>
            <w:r>
              <w:t>的疾病患病率</w:t>
            </w:r>
            <w:r>
              <w:rPr>
                <w:lang w:val="es-ES"/>
              </w:rPr>
              <w:t>；</w:t>
            </w:r>
            <w:r>
              <w:t>降低早产风险</w:t>
            </w:r>
            <w:r>
              <w:rPr>
                <w:lang w:val="es-ES"/>
              </w:rPr>
              <w:t>；</w:t>
            </w:r>
            <w:r>
              <w:rPr>
                <w:rFonts w:hint="eastAsia"/>
              </w:rPr>
              <w:t>提高住院</w:t>
            </w:r>
            <w:r>
              <w:t>分娩</w:t>
            </w:r>
            <w:r>
              <w:rPr>
                <w:rFonts w:hint="eastAsia"/>
              </w:rPr>
              <w:t>率</w:t>
            </w:r>
            <w:r>
              <w:rPr>
                <w:lang w:val="es-ES"/>
              </w:rPr>
              <w:t>；</w:t>
            </w:r>
            <w:r>
              <w:rPr>
                <w:rFonts w:hint="eastAsia"/>
              </w:rPr>
              <w:t>降低</w:t>
            </w:r>
            <w:r>
              <w:t>年轻妇女分娩</w:t>
            </w:r>
            <w:r>
              <w:rPr>
                <w:rFonts w:hint="eastAsia"/>
              </w:rPr>
              <w:t>率</w:t>
            </w:r>
            <w:r>
              <w:t>等。</w:t>
            </w:r>
          </w:p>
        </w:tc>
        <w:tc>
          <w:tcPr>
            <w:tcW w:w="1424" w:type="dxa"/>
            <w:tcBorders>
              <w:top w:val="single" w:sz="12" w:space="0" w:color="auto"/>
            </w:tcBorders>
            <w:shd w:val="clear" w:color="auto" w:fill="auto"/>
          </w:tcPr>
          <w:p w:rsidR="00DA7251" w:rsidRDefault="00DA7251">
            <w:pPr>
              <w:pStyle w:val="a4"/>
              <w:rPr>
                <w:lang w:val="es-ES_tradnl"/>
              </w:rPr>
            </w:pPr>
            <w:r>
              <w:t>派出志愿者</w:t>
            </w:r>
          </w:p>
        </w:tc>
        <w:tc>
          <w:tcPr>
            <w:tcW w:w="1614" w:type="dxa"/>
            <w:tcBorders>
              <w:top w:val="single" w:sz="12" w:space="0" w:color="auto"/>
            </w:tcBorders>
            <w:shd w:val="clear" w:color="auto" w:fill="auto"/>
          </w:tcPr>
          <w:p w:rsidR="00DA7251" w:rsidRDefault="00DA7251">
            <w:pPr>
              <w:pStyle w:val="a4"/>
              <w:rPr>
                <w:rFonts w:hint="eastAsia"/>
                <w:lang w:val="es-ES"/>
              </w:rPr>
            </w:pPr>
            <w:r>
              <w:t>地区级医院，</w:t>
            </w:r>
            <w:r>
              <w:rPr>
                <w:rFonts w:hint="eastAsia"/>
              </w:rPr>
              <w:t>保健中心</w:t>
            </w:r>
          </w:p>
        </w:tc>
      </w:tr>
      <w:tr w:rsidR="00DA7251">
        <w:trPr>
          <w:trHeight w:val="240"/>
        </w:trPr>
        <w:tc>
          <w:tcPr>
            <w:tcW w:w="914" w:type="dxa"/>
            <w:vMerge/>
            <w:shd w:val="clear" w:color="auto" w:fill="auto"/>
          </w:tcPr>
          <w:p w:rsidR="00DA7251" w:rsidRDefault="00DA7251">
            <w:pPr>
              <w:pStyle w:val="a4"/>
              <w:rPr>
                <w:lang w:val="es-ES"/>
              </w:rPr>
            </w:pPr>
          </w:p>
        </w:tc>
        <w:tc>
          <w:tcPr>
            <w:tcW w:w="1710" w:type="dxa"/>
            <w:vMerge/>
            <w:shd w:val="clear" w:color="auto" w:fill="auto"/>
          </w:tcPr>
          <w:p w:rsidR="00DA7251" w:rsidRDefault="00DA7251">
            <w:pPr>
              <w:pStyle w:val="a4"/>
              <w:rPr>
                <w:lang w:val="es-ES"/>
              </w:rPr>
            </w:pPr>
          </w:p>
        </w:tc>
        <w:tc>
          <w:tcPr>
            <w:tcW w:w="1708" w:type="dxa"/>
            <w:vMerge/>
            <w:shd w:val="clear" w:color="auto" w:fill="auto"/>
          </w:tcPr>
          <w:p w:rsidR="00DA7251" w:rsidRDefault="00DA7251">
            <w:pPr>
              <w:pStyle w:val="a4"/>
              <w:rPr>
                <w:lang w:val="es-ES"/>
              </w:rPr>
            </w:pPr>
          </w:p>
        </w:tc>
        <w:tc>
          <w:tcPr>
            <w:tcW w:w="1424" w:type="dxa"/>
            <w:shd w:val="clear" w:color="auto" w:fill="auto"/>
          </w:tcPr>
          <w:p w:rsidR="00DA7251" w:rsidRDefault="00DA7251">
            <w:pPr>
              <w:pStyle w:val="a4"/>
              <w:rPr>
                <w:lang w:val="es-ES"/>
              </w:rPr>
            </w:pPr>
            <w:r>
              <w:t>技术合作</w:t>
            </w:r>
          </w:p>
        </w:tc>
        <w:tc>
          <w:tcPr>
            <w:tcW w:w="1614" w:type="dxa"/>
            <w:shd w:val="clear" w:color="auto" w:fill="auto"/>
          </w:tcPr>
          <w:p w:rsidR="00DA7251" w:rsidRDefault="00DA7251">
            <w:pPr>
              <w:pStyle w:val="a4"/>
              <w:rPr>
                <w:rFonts w:hint="eastAsia"/>
                <w:lang w:val="es-ES"/>
              </w:rPr>
            </w:pPr>
            <w:r>
              <w:t>全国产科和护理继续教育学院，当地的</w:t>
            </w:r>
            <w:r>
              <w:rPr>
                <w:rFonts w:hint="eastAsia"/>
              </w:rPr>
              <w:t>保健站</w:t>
            </w:r>
          </w:p>
        </w:tc>
      </w:tr>
      <w:tr w:rsidR="00DA7251">
        <w:trPr>
          <w:trHeight w:val="240"/>
        </w:trPr>
        <w:tc>
          <w:tcPr>
            <w:tcW w:w="914" w:type="dxa"/>
            <w:vMerge w:val="restart"/>
            <w:shd w:val="clear" w:color="auto" w:fill="auto"/>
          </w:tcPr>
          <w:p w:rsidR="00DA7251" w:rsidRDefault="00DA7251">
            <w:pPr>
              <w:pStyle w:val="a4"/>
              <w:rPr>
                <w:lang w:val="es-ES"/>
              </w:rPr>
            </w:pPr>
            <w:r>
              <w:t>发现和治疗残疾</w:t>
            </w:r>
          </w:p>
        </w:tc>
        <w:tc>
          <w:tcPr>
            <w:tcW w:w="1710" w:type="dxa"/>
            <w:vMerge w:val="restart"/>
            <w:shd w:val="clear" w:color="auto" w:fill="auto"/>
          </w:tcPr>
          <w:p w:rsidR="00DA7251" w:rsidRDefault="00DA7251">
            <w:pPr>
              <w:pStyle w:val="a4"/>
              <w:rPr>
                <w:lang w:val="es-ES"/>
              </w:rPr>
            </w:pPr>
            <w:r>
              <w:t>可以通过新生儿</w:t>
            </w:r>
            <w:r>
              <w:rPr>
                <w:rFonts w:hint="eastAsia"/>
              </w:rPr>
              <w:t>筛查</w:t>
            </w:r>
            <w:r>
              <w:t>来发现和治疗造成智力</w:t>
            </w:r>
            <w:r>
              <w:rPr>
                <w:rFonts w:hint="eastAsia"/>
              </w:rPr>
              <w:t>迟钝</w:t>
            </w:r>
            <w:r>
              <w:t>的疾病</w:t>
            </w:r>
            <w:r>
              <w:rPr>
                <w:lang w:val="es-ES"/>
              </w:rPr>
              <w:t>(</w:t>
            </w:r>
            <w:r>
              <w:t>先天性甲状腺</w:t>
            </w:r>
            <w:r>
              <w:rPr>
                <w:rFonts w:hint="eastAsia"/>
              </w:rPr>
              <w:t>机</w:t>
            </w:r>
            <w:r>
              <w:t>能减退、囊性纤维</w:t>
            </w:r>
            <w:r>
              <w:rPr>
                <w:rFonts w:hint="eastAsia"/>
              </w:rPr>
              <w:t>化</w:t>
            </w:r>
            <w:r>
              <w:t>和苯丙酮尿症</w:t>
            </w:r>
            <w:r>
              <w:rPr>
                <w:lang w:val="es-ES"/>
              </w:rPr>
              <w:t>)</w:t>
            </w:r>
            <w:r>
              <w:t>。如发现某种疾病</w:t>
            </w:r>
            <w:r>
              <w:rPr>
                <w:lang w:val="es-ES"/>
              </w:rPr>
              <w:t>，</w:t>
            </w:r>
            <w:r>
              <w:t>会为患儿提供免费医疗</w:t>
            </w:r>
            <w:r>
              <w:rPr>
                <w:lang w:val="es-ES"/>
              </w:rPr>
              <w:t>，</w:t>
            </w:r>
            <w:r>
              <w:t>直至</w:t>
            </w:r>
            <w:r>
              <w:rPr>
                <w:lang w:val="es-ES"/>
              </w:rPr>
              <w:t>18</w:t>
            </w:r>
            <w:r>
              <w:t>周岁。</w:t>
            </w:r>
          </w:p>
        </w:tc>
        <w:tc>
          <w:tcPr>
            <w:tcW w:w="1708" w:type="dxa"/>
            <w:vMerge w:val="restart"/>
            <w:shd w:val="clear" w:color="auto" w:fill="auto"/>
          </w:tcPr>
          <w:p w:rsidR="00DA7251" w:rsidRDefault="00DA7251">
            <w:pPr>
              <w:pStyle w:val="a4"/>
              <w:rPr>
                <w:lang w:val="es-ES"/>
              </w:rPr>
            </w:pPr>
            <w:r>
              <w:t>通过地区级培训来提高人力资源能力</w:t>
            </w:r>
            <w:r>
              <w:rPr>
                <w:lang w:val="es-ES"/>
              </w:rPr>
              <w:t>；</w:t>
            </w:r>
            <w:r>
              <w:t>通过</w:t>
            </w:r>
            <w:r>
              <w:rPr>
                <w:lang w:val="es-ES"/>
              </w:rPr>
              <w:t>Follow Up</w:t>
            </w:r>
            <w:r>
              <w:t>软件来维护各种基础设施</w:t>
            </w:r>
            <w:r>
              <w:rPr>
                <w:lang w:val="es-ES"/>
              </w:rPr>
              <w:t>；</w:t>
            </w:r>
            <w:r>
              <w:t>通过志愿者服务和技术合作</w:t>
            </w:r>
            <w:r>
              <w:rPr>
                <w:rFonts w:hint="eastAsia"/>
              </w:rPr>
              <w:t>扩大</w:t>
            </w:r>
            <w:r>
              <w:t>援助。</w:t>
            </w:r>
          </w:p>
        </w:tc>
        <w:tc>
          <w:tcPr>
            <w:tcW w:w="1424" w:type="dxa"/>
            <w:shd w:val="clear" w:color="auto" w:fill="auto"/>
          </w:tcPr>
          <w:p w:rsidR="00DA7251" w:rsidRDefault="00DA7251">
            <w:pPr>
              <w:pStyle w:val="a4"/>
              <w:rPr>
                <w:lang w:val="es-ES"/>
              </w:rPr>
            </w:pPr>
            <w:r>
              <w:t>地区级培训；</w:t>
            </w:r>
            <w:r>
              <w:t>Follow Up</w:t>
            </w:r>
            <w:r>
              <w:t>软件</w:t>
            </w:r>
            <w:r>
              <w:t>(</w:t>
            </w:r>
            <w:r>
              <w:t>于</w:t>
            </w:r>
            <w:r>
              <w:t>2008</w:t>
            </w:r>
            <w:r>
              <w:t>年完成</w:t>
            </w:r>
            <w:r>
              <w:t>)</w:t>
            </w:r>
          </w:p>
        </w:tc>
        <w:tc>
          <w:tcPr>
            <w:tcW w:w="1614" w:type="dxa"/>
            <w:shd w:val="clear" w:color="auto" w:fill="auto"/>
          </w:tcPr>
          <w:p w:rsidR="00DA7251" w:rsidRDefault="00DA7251">
            <w:pPr>
              <w:pStyle w:val="a4"/>
              <w:rPr>
                <w:lang w:val="es-ES"/>
              </w:rPr>
            </w:pPr>
            <w:r>
              <w:t>札幌公共卫生研究所</w:t>
            </w:r>
          </w:p>
        </w:tc>
      </w:tr>
      <w:tr w:rsidR="00DA7251">
        <w:trPr>
          <w:trHeight w:val="240"/>
        </w:trPr>
        <w:tc>
          <w:tcPr>
            <w:tcW w:w="914" w:type="dxa"/>
            <w:vMerge/>
            <w:shd w:val="clear" w:color="auto" w:fill="auto"/>
          </w:tcPr>
          <w:p w:rsidR="00DA7251" w:rsidRDefault="00DA7251">
            <w:pPr>
              <w:pStyle w:val="a4"/>
              <w:rPr>
                <w:lang w:val="es-ES"/>
              </w:rPr>
            </w:pPr>
          </w:p>
        </w:tc>
        <w:tc>
          <w:tcPr>
            <w:tcW w:w="1710" w:type="dxa"/>
            <w:vMerge/>
            <w:shd w:val="clear" w:color="auto" w:fill="auto"/>
          </w:tcPr>
          <w:p w:rsidR="00DA7251" w:rsidRDefault="00DA7251">
            <w:pPr>
              <w:pStyle w:val="a4"/>
              <w:rPr>
                <w:lang w:val="es-ES"/>
              </w:rPr>
            </w:pPr>
          </w:p>
        </w:tc>
        <w:tc>
          <w:tcPr>
            <w:tcW w:w="1708" w:type="dxa"/>
            <w:vMerge/>
            <w:shd w:val="clear" w:color="auto" w:fill="auto"/>
          </w:tcPr>
          <w:p w:rsidR="00DA7251" w:rsidRDefault="00DA7251">
            <w:pPr>
              <w:pStyle w:val="a4"/>
              <w:rPr>
                <w:lang w:val="es-ES"/>
              </w:rPr>
            </w:pPr>
          </w:p>
        </w:tc>
        <w:tc>
          <w:tcPr>
            <w:tcW w:w="1424" w:type="dxa"/>
            <w:shd w:val="clear" w:color="auto" w:fill="auto"/>
          </w:tcPr>
          <w:p w:rsidR="00DA7251" w:rsidRDefault="00DA7251">
            <w:pPr>
              <w:pStyle w:val="a4"/>
              <w:rPr>
                <w:lang w:val="es-ES"/>
              </w:rPr>
            </w:pPr>
            <w:r>
              <w:t>技术合作</w:t>
            </w:r>
          </w:p>
        </w:tc>
        <w:tc>
          <w:tcPr>
            <w:tcW w:w="1614" w:type="dxa"/>
            <w:shd w:val="clear" w:color="auto" w:fill="auto"/>
          </w:tcPr>
          <w:p w:rsidR="00DA7251" w:rsidRDefault="00DA7251">
            <w:pPr>
              <w:pStyle w:val="a4"/>
              <w:rPr>
                <w:rFonts w:hint="eastAsia"/>
                <w:lang w:val="es-ES"/>
              </w:rPr>
            </w:pPr>
            <w:r>
              <w:t>公共卫生和社会福利部</w:t>
            </w:r>
            <w:r>
              <w:rPr>
                <w:rFonts w:hint="eastAsia"/>
              </w:rPr>
              <w:t>下属</w:t>
            </w:r>
            <w:r>
              <w:t>的</w:t>
            </w:r>
            <w:r>
              <w:rPr>
                <w:rFonts w:hint="eastAsia"/>
                <w:lang w:val="es-ES"/>
              </w:rPr>
              <w:t>“</w:t>
            </w:r>
            <w:r>
              <w:t>预防囊性纤维</w:t>
            </w:r>
            <w:r>
              <w:rPr>
                <w:rFonts w:hint="eastAsia"/>
              </w:rPr>
              <w:t>化</w:t>
            </w:r>
            <w:r>
              <w:t>和智力</w:t>
            </w:r>
            <w:r>
              <w:rPr>
                <w:rFonts w:hint="eastAsia"/>
              </w:rPr>
              <w:t>迟钝</w:t>
            </w:r>
            <w:r>
              <w:rPr>
                <w:rFonts w:hint="eastAsia"/>
                <w:lang w:val="es-ES"/>
              </w:rPr>
              <w:t>”</w:t>
            </w:r>
            <w:r>
              <w:rPr>
                <w:rFonts w:hint="eastAsia"/>
              </w:rPr>
              <w:t>机构</w:t>
            </w:r>
          </w:p>
        </w:tc>
      </w:tr>
      <w:tr w:rsidR="00DA7251">
        <w:trPr>
          <w:trHeight w:val="240"/>
        </w:trPr>
        <w:tc>
          <w:tcPr>
            <w:tcW w:w="914" w:type="dxa"/>
            <w:vMerge w:val="restart"/>
            <w:shd w:val="clear" w:color="auto" w:fill="auto"/>
          </w:tcPr>
          <w:p w:rsidR="00DA7251" w:rsidRDefault="00DA7251">
            <w:pPr>
              <w:pStyle w:val="a4"/>
              <w:rPr>
                <w:rFonts w:hint="eastAsia"/>
                <w:lang w:val="es-ES"/>
              </w:rPr>
            </w:pPr>
            <w:r>
              <w:t>康复，早期</w:t>
            </w:r>
            <w:r>
              <w:rPr>
                <w:rFonts w:hint="eastAsia"/>
              </w:rPr>
              <w:t>干预</w:t>
            </w:r>
          </w:p>
        </w:tc>
        <w:tc>
          <w:tcPr>
            <w:tcW w:w="1710" w:type="dxa"/>
            <w:vMerge w:val="restart"/>
            <w:shd w:val="clear" w:color="auto" w:fill="auto"/>
          </w:tcPr>
          <w:p w:rsidR="00DA7251" w:rsidRDefault="00DA7251">
            <w:pPr>
              <w:pStyle w:val="a4"/>
              <w:rPr>
                <w:lang w:val="es-ES"/>
              </w:rPr>
            </w:pPr>
            <w:r>
              <w:t>早期</w:t>
            </w:r>
            <w:r>
              <w:rPr>
                <w:rFonts w:hint="eastAsia"/>
              </w:rPr>
              <w:t>干预</w:t>
            </w:r>
            <w:r>
              <w:t>。</w:t>
            </w:r>
            <w:r>
              <w:rPr>
                <w:rFonts w:hint="eastAsia"/>
              </w:rPr>
              <w:t>重视</w:t>
            </w:r>
            <w:r>
              <w:t>对</w:t>
            </w:r>
            <w:r>
              <w:rPr>
                <w:lang w:val="es-ES"/>
              </w:rPr>
              <w:t>4</w:t>
            </w:r>
            <w:r>
              <w:t>岁以下儿童</w:t>
            </w:r>
            <w:r>
              <w:rPr>
                <w:rFonts w:hint="eastAsia"/>
              </w:rPr>
              <w:t>进行</w:t>
            </w:r>
            <w:r>
              <w:t>早期</w:t>
            </w:r>
            <w:r>
              <w:rPr>
                <w:rFonts w:hint="eastAsia"/>
              </w:rPr>
              <w:t>干预，以此减少</w:t>
            </w:r>
            <w:r>
              <w:t>生理和精神残疾的</w:t>
            </w:r>
            <w:r>
              <w:rPr>
                <w:rFonts w:hint="eastAsia"/>
              </w:rPr>
              <w:t>方案</w:t>
            </w:r>
            <w:r>
              <w:t>。</w:t>
            </w:r>
          </w:p>
        </w:tc>
        <w:tc>
          <w:tcPr>
            <w:tcW w:w="1708" w:type="dxa"/>
            <w:vMerge w:val="restart"/>
            <w:shd w:val="clear" w:color="auto" w:fill="auto"/>
          </w:tcPr>
          <w:p w:rsidR="00DA7251" w:rsidRDefault="00DA7251">
            <w:pPr>
              <w:pStyle w:val="a4"/>
              <w:rPr>
                <w:lang w:val="es-ES"/>
              </w:rPr>
            </w:pPr>
            <w:r>
              <w:t>横向合作</w:t>
            </w:r>
            <w:r>
              <w:rPr>
                <w:lang w:val="es-ES"/>
              </w:rPr>
              <w:t>：</w:t>
            </w:r>
            <w:r>
              <w:t>在第三国进行培训</w:t>
            </w:r>
            <w:r>
              <w:rPr>
                <w:lang w:val="es-ES"/>
              </w:rPr>
              <w:t>；</w:t>
            </w:r>
            <w:r>
              <w:t>拟定早期</w:t>
            </w:r>
            <w:r>
              <w:rPr>
                <w:rFonts w:hint="eastAsia"/>
              </w:rPr>
              <w:t>干预</w:t>
            </w:r>
            <w:r>
              <w:t>模式</w:t>
            </w:r>
            <w:r>
              <w:rPr>
                <w:lang w:val="es-ES"/>
              </w:rPr>
              <w:t>；</w:t>
            </w:r>
            <w:r>
              <w:t>通过后续合作</w:t>
            </w:r>
            <w:r>
              <w:rPr>
                <w:rFonts w:hint="eastAsia"/>
              </w:rPr>
              <w:t>对工作人员进行</w:t>
            </w:r>
            <w:r>
              <w:t>培训。</w:t>
            </w:r>
          </w:p>
        </w:tc>
        <w:tc>
          <w:tcPr>
            <w:tcW w:w="1424" w:type="dxa"/>
            <w:shd w:val="clear" w:color="auto" w:fill="auto"/>
          </w:tcPr>
          <w:p w:rsidR="00DA7251" w:rsidRDefault="00DA7251">
            <w:pPr>
              <w:pStyle w:val="a4"/>
              <w:rPr>
                <w:lang w:val="es-ES"/>
              </w:rPr>
            </w:pPr>
            <w:r>
              <w:t>对残疾率进行研究</w:t>
            </w:r>
          </w:p>
        </w:tc>
        <w:tc>
          <w:tcPr>
            <w:tcW w:w="1614" w:type="dxa"/>
            <w:shd w:val="clear" w:color="auto" w:fill="auto"/>
          </w:tcPr>
          <w:p w:rsidR="00DA7251" w:rsidRDefault="00DA7251">
            <w:pPr>
              <w:pStyle w:val="a4"/>
              <w:rPr>
                <w:lang w:val="es-ES"/>
              </w:rPr>
            </w:pPr>
            <w:r>
              <w:t>教育和文化部特殊教育局</w:t>
            </w:r>
          </w:p>
        </w:tc>
      </w:tr>
      <w:tr w:rsidR="00DA7251">
        <w:trPr>
          <w:trHeight w:val="240"/>
        </w:trPr>
        <w:tc>
          <w:tcPr>
            <w:tcW w:w="914" w:type="dxa"/>
            <w:vMerge/>
            <w:shd w:val="clear" w:color="auto" w:fill="auto"/>
          </w:tcPr>
          <w:p w:rsidR="00DA7251" w:rsidRDefault="00DA7251">
            <w:pPr>
              <w:pStyle w:val="a4"/>
              <w:rPr>
                <w:lang w:val="es-ES"/>
              </w:rPr>
            </w:pPr>
          </w:p>
        </w:tc>
        <w:tc>
          <w:tcPr>
            <w:tcW w:w="1710" w:type="dxa"/>
            <w:vMerge/>
            <w:shd w:val="clear" w:color="auto" w:fill="auto"/>
          </w:tcPr>
          <w:p w:rsidR="00DA7251" w:rsidRDefault="00DA7251">
            <w:pPr>
              <w:pStyle w:val="a4"/>
              <w:rPr>
                <w:lang w:val="es-ES"/>
              </w:rPr>
            </w:pPr>
          </w:p>
        </w:tc>
        <w:tc>
          <w:tcPr>
            <w:tcW w:w="1708" w:type="dxa"/>
            <w:vMerge/>
            <w:shd w:val="clear" w:color="auto" w:fill="auto"/>
          </w:tcPr>
          <w:p w:rsidR="00DA7251" w:rsidRDefault="00DA7251">
            <w:pPr>
              <w:pStyle w:val="a4"/>
              <w:rPr>
                <w:lang w:val="es-ES"/>
              </w:rPr>
            </w:pPr>
          </w:p>
        </w:tc>
        <w:tc>
          <w:tcPr>
            <w:tcW w:w="1424" w:type="dxa"/>
            <w:shd w:val="clear" w:color="auto" w:fill="auto"/>
          </w:tcPr>
          <w:p w:rsidR="00DA7251" w:rsidRDefault="00DA7251">
            <w:pPr>
              <w:pStyle w:val="a4"/>
              <w:rPr>
                <w:lang w:val="es-ES"/>
              </w:rPr>
            </w:pPr>
            <w:r>
              <w:t>横向合作</w:t>
            </w:r>
          </w:p>
        </w:tc>
        <w:tc>
          <w:tcPr>
            <w:tcW w:w="1614" w:type="dxa"/>
            <w:shd w:val="clear" w:color="auto" w:fill="auto"/>
          </w:tcPr>
          <w:p w:rsidR="00DA7251" w:rsidRDefault="00DA7251">
            <w:pPr>
              <w:pStyle w:val="a4"/>
              <w:rPr>
                <w:rFonts w:hint="eastAsia"/>
                <w:lang w:val="es-ES"/>
              </w:rPr>
            </w:pPr>
            <w:r>
              <w:t>特殊教育局和全国特殊人士保护研究所</w:t>
            </w:r>
            <w:r>
              <w:rPr>
                <w:rFonts w:hint="eastAsia"/>
              </w:rPr>
              <w:t>(</w:t>
            </w:r>
            <w:r>
              <w:t>教育和文化部</w:t>
            </w:r>
            <w:r>
              <w:rPr>
                <w:rFonts w:hint="eastAsia"/>
              </w:rPr>
              <w:t>和</w:t>
            </w:r>
            <w:r>
              <w:t>公共卫生和社会福利部</w:t>
            </w:r>
            <w:r>
              <w:rPr>
                <w:rFonts w:hint="eastAsia"/>
              </w:rPr>
              <w:t>)</w:t>
            </w:r>
          </w:p>
        </w:tc>
      </w:tr>
      <w:tr w:rsidR="00DA7251">
        <w:trPr>
          <w:trHeight w:val="240"/>
        </w:trPr>
        <w:tc>
          <w:tcPr>
            <w:tcW w:w="914" w:type="dxa"/>
            <w:vMerge w:val="restart"/>
            <w:shd w:val="clear" w:color="auto" w:fill="auto"/>
            <w:noWrap/>
          </w:tcPr>
          <w:p w:rsidR="00DA7251" w:rsidRDefault="00DA7251">
            <w:pPr>
              <w:pStyle w:val="a4"/>
              <w:rPr>
                <w:lang w:val="es-ES"/>
              </w:rPr>
            </w:pPr>
            <w:r>
              <w:t>康复</w:t>
            </w:r>
            <w:r>
              <w:rPr>
                <w:lang w:val="es-ES"/>
              </w:rPr>
              <w:t xml:space="preserve"> </w:t>
            </w:r>
          </w:p>
        </w:tc>
        <w:tc>
          <w:tcPr>
            <w:tcW w:w="1710" w:type="dxa"/>
            <w:shd w:val="clear" w:color="auto" w:fill="auto"/>
          </w:tcPr>
          <w:p w:rsidR="00DA7251" w:rsidRDefault="00DA7251">
            <w:pPr>
              <w:pStyle w:val="a4"/>
              <w:rPr>
                <w:lang w:val="es-ES"/>
              </w:rPr>
            </w:pPr>
            <w:r>
              <w:t>康复政策和社会融合战略</w:t>
            </w:r>
            <w:r>
              <w:rPr>
                <w:lang w:val="es-ES"/>
              </w:rPr>
              <w:t>：</w:t>
            </w:r>
            <w:r>
              <w:t>纵观全局。</w:t>
            </w:r>
          </w:p>
        </w:tc>
        <w:tc>
          <w:tcPr>
            <w:tcW w:w="1708" w:type="dxa"/>
            <w:shd w:val="clear" w:color="auto" w:fill="auto"/>
            <w:noWrap/>
          </w:tcPr>
          <w:p w:rsidR="00DA7251" w:rsidRDefault="00DA7251">
            <w:pPr>
              <w:pStyle w:val="a4"/>
              <w:rPr>
                <w:lang w:val="es-ES"/>
              </w:rPr>
            </w:pPr>
          </w:p>
        </w:tc>
        <w:tc>
          <w:tcPr>
            <w:tcW w:w="1424" w:type="dxa"/>
            <w:shd w:val="clear" w:color="auto" w:fill="auto"/>
          </w:tcPr>
          <w:p w:rsidR="00DA7251" w:rsidRDefault="00DA7251">
            <w:pPr>
              <w:pStyle w:val="a4"/>
              <w:rPr>
                <w:lang w:val="es-ES"/>
              </w:rPr>
            </w:pPr>
            <w:r>
              <w:t>在第三国</w:t>
            </w:r>
            <w:r>
              <w:t>(</w:t>
            </w:r>
            <w:r>
              <w:t>智利</w:t>
            </w:r>
            <w:r>
              <w:t>)</w:t>
            </w:r>
            <w:r>
              <w:t>进行的培训</w:t>
            </w:r>
          </w:p>
        </w:tc>
        <w:tc>
          <w:tcPr>
            <w:tcW w:w="1614" w:type="dxa"/>
            <w:shd w:val="clear" w:color="auto" w:fill="auto"/>
          </w:tcPr>
          <w:p w:rsidR="00DA7251" w:rsidRDefault="00DA7251">
            <w:pPr>
              <w:pStyle w:val="a4"/>
              <w:rPr>
                <w:rFonts w:hint="eastAsia"/>
                <w:lang w:val="es-ES"/>
              </w:rPr>
            </w:pPr>
            <w:r>
              <w:t>全国特殊人士保护研究所、有特殊教育需求人士教育局</w:t>
            </w:r>
            <w:r>
              <w:rPr>
                <w:rFonts w:hint="eastAsia"/>
              </w:rPr>
              <w:t>(</w:t>
            </w:r>
            <w:r>
              <w:t>公共卫生和社会福利部</w:t>
            </w:r>
            <w:r>
              <w:rPr>
                <w:rFonts w:hint="eastAsia"/>
              </w:rPr>
              <w:t>)</w:t>
            </w:r>
          </w:p>
        </w:tc>
      </w:tr>
      <w:tr w:rsidR="00DA7251">
        <w:trPr>
          <w:trHeight w:val="240"/>
        </w:trPr>
        <w:tc>
          <w:tcPr>
            <w:tcW w:w="914" w:type="dxa"/>
            <w:vMerge/>
            <w:tcBorders>
              <w:bottom w:val="single" w:sz="12" w:space="0" w:color="auto"/>
            </w:tcBorders>
            <w:shd w:val="clear" w:color="auto" w:fill="auto"/>
          </w:tcPr>
          <w:p w:rsidR="00DA7251" w:rsidRDefault="00DA7251">
            <w:pPr>
              <w:pStyle w:val="a4"/>
              <w:rPr>
                <w:lang w:val="es-ES"/>
              </w:rPr>
            </w:pPr>
          </w:p>
        </w:tc>
        <w:tc>
          <w:tcPr>
            <w:tcW w:w="1710" w:type="dxa"/>
            <w:tcBorders>
              <w:bottom w:val="single" w:sz="12" w:space="0" w:color="auto"/>
            </w:tcBorders>
            <w:shd w:val="clear" w:color="auto" w:fill="auto"/>
          </w:tcPr>
          <w:p w:rsidR="00DA7251" w:rsidRDefault="00DA7251">
            <w:pPr>
              <w:pStyle w:val="a4"/>
              <w:rPr>
                <w:rFonts w:hint="eastAsia"/>
                <w:lang w:val="es-ES"/>
              </w:rPr>
            </w:pPr>
            <w:r>
              <w:t>残疾人</w:t>
            </w:r>
            <w:r>
              <w:rPr>
                <w:lang w:val="es-ES"/>
              </w:rPr>
              <w:t>(</w:t>
            </w:r>
            <w:r>
              <w:t>如脑瘫和类似残疾人</w:t>
            </w:r>
            <w:r>
              <w:rPr>
                <w:lang w:val="es-ES"/>
              </w:rPr>
              <w:t>)</w:t>
            </w:r>
            <w:r>
              <w:t>的康复</w:t>
            </w:r>
            <w:r>
              <w:rPr>
                <w:rFonts w:hint="eastAsia"/>
                <w:lang w:val="es-ES"/>
              </w:rPr>
              <w:t>治疗</w:t>
            </w:r>
          </w:p>
        </w:tc>
        <w:tc>
          <w:tcPr>
            <w:tcW w:w="1708" w:type="dxa"/>
            <w:tcBorders>
              <w:bottom w:val="single" w:sz="12" w:space="0" w:color="auto"/>
            </w:tcBorders>
            <w:shd w:val="clear" w:color="auto" w:fill="auto"/>
          </w:tcPr>
          <w:p w:rsidR="00DA7251" w:rsidRDefault="00DA7251">
            <w:pPr>
              <w:pStyle w:val="a4"/>
              <w:rPr>
                <w:lang w:val="es-ES"/>
              </w:rPr>
            </w:pPr>
            <w:r>
              <w:t>引入替代疗法</w:t>
            </w:r>
            <w:r>
              <w:rPr>
                <w:lang w:val="es-ES"/>
              </w:rPr>
              <w:t>，</w:t>
            </w:r>
            <w:r>
              <w:t>如</w:t>
            </w:r>
            <w:r>
              <w:rPr>
                <w:lang w:val="es-ES"/>
              </w:rPr>
              <w:t>：</w:t>
            </w:r>
            <w:r>
              <w:rPr>
                <w:rFonts w:hint="eastAsia"/>
                <w:lang w:val="es-ES"/>
              </w:rPr>
              <w:t>物理疗法</w:t>
            </w:r>
            <w:r>
              <w:t>、职业病疗法、音乐疗法、体育活动等。</w:t>
            </w:r>
          </w:p>
        </w:tc>
        <w:tc>
          <w:tcPr>
            <w:tcW w:w="1424" w:type="dxa"/>
            <w:tcBorders>
              <w:bottom w:val="single" w:sz="12" w:space="0" w:color="auto"/>
            </w:tcBorders>
            <w:shd w:val="clear" w:color="auto" w:fill="auto"/>
          </w:tcPr>
          <w:p w:rsidR="00DA7251" w:rsidRDefault="00DA7251">
            <w:pPr>
              <w:pStyle w:val="a4"/>
              <w:rPr>
                <w:lang w:val="es-ES"/>
              </w:rPr>
            </w:pPr>
            <w:r>
              <w:t>青年志愿者</w:t>
            </w:r>
          </w:p>
        </w:tc>
        <w:tc>
          <w:tcPr>
            <w:tcW w:w="1614" w:type="dxa"/>
            <w:tcBorders>
              <w:bottom w:val="single" w:sz="12" w:space="0" w:color="auto"/>
            </w:tcBorders>
            <w:shd w:val="clear" w:color="auto" w:fill="auto"/>
          </w:tcPr>
          <w:p w:rsidR="00DA7251" w:rsidRDefault="00DA7251">
            <w:pPr>
              <w:pStyle w:val="a4"/>
              <w:rPr>
                <w:lang w:val="es-ES"/>
              </w:rPr>
            </w:pPr>
            <w:r>
              <w:rPr>
                <w:rFonts w:hint="eastAsia"/>
              </w:rPr>
              <w:t>医院和</w:t>
            </w:r>
            <w:r>
              <w:t>当地</w:t>
            </w:r>
            <w:r>
              <w:rPr>
                <w:rFonts w:hint="eastAsia"/>
              </w:rPr>
              <w:t>保健</w:t>
            </w:r>
            <w:r>
              <w:t>中心，</w:t>
            </w:r>
            <w:r>
              <w:rPr>
                <w:rFonts w:hint="eastAsia"/>
              </w:rPr>
              <w:t>早期干预机构</w:t>
            </w:r>
          </w:p>
        </w:tc>
      </w:tr>
    </w:tbl>
    <w:p w:rsidR="00DA7251" w:rsidRDefault="00DA7251">
      <w:pPr>
        <w:pStyle w:val="SingleTxtGC"/>
        <w:spacing w:before="120"/>
        <w:rPr>
          <w:rFonts w:hint="eastAsia"/>
        </w:rPr>
      </w:pPr>
      <w:r>
        <w:rPr>
          <w:rFonts w:eastAsia="KaiTi_GB2312" w:hint="eastAsia"/>
          <w:sz w:val="19"/>
          <w:szCs w:val="19"/>
        </w:rPr>
        <w:t>资料来源：</w:t>
      </w:r>
      <w:r>
        <w:rPr>
          <w:rFonts w:hint="eastAsia"/>
          <w:sz w:val="19"/>
          <w:szCs w:val="19"/>
        </w:rPr>
        <w:t>全国特殊人士保护研究</w:t>
      </w:r>
      <w:r>
        <w:rPr>
          <w:sz w:val="19"/>
          <w:szCs w:val="19"/>
        </w:rPr>
        <w:t>所</w:t>
      </w:r>
      <w:r>
        <w:rPr>
          <w:sz w:val="19"/>
          <w:szCs w:val="19"/>
        </w:rPr>
        <w:t>(2010</w:t>
      </w:r>
      <w:r>
        <w:rPr>
          <w:sz w:val="19"/>
          <w:szCs w:val="19"/>
        </w:rPr>
        <w:t>年</w:t>
      </w:r>
      <w:r>
        <w:rPr>
          <w:rFonts w:hint="eastAsia"/>
          <w:sz w:val="19"/>
          <w:szCs w:val="19"/>
        </w:rPr>
        <w:t>)</w:t>
      </w:r>
      <w:r>
        <w:rPr>
          <w:rFonts w:hint="eastAsia"/>
          <w:sz w:val="19"/>
          <w:szCs w:val="19"/>
        </w:rPr>
        <w:t>。</w:t>
      </w:r>
    </w:p>
    <w:p w:rsidR="00DA7251" w:rsidRDefault="00DA7251">
      <w:pPr>
        <w:pStyle w:val="H1GC"/>
        <w:rPr>
          <w:lang w:val="es-ES_tradnl"/>
        </w:rPr>
      </w:pPr>
      <w:r>
        <w:rPr>
          <w:rFonts w:hint="eastAsia"/>
          <w:lang w:val="es-ES_tradnl"/>
        </w:rPr>
        <w:tab/>
      </w:r>
      <w:r>
        <w:rPr>
          <w:lang w:val="es-ES_tradnl"/>
        </w:rPr>
        <w:t>C.</w:t>
      </w:r>
      <w:r>
        <w:rPr>
          <w:lang w:val="es-ES_tradnl"/>
        </w:rPr>
        <w:tab/>
      </w:r>
      <w:r>
        <w:rPr>
          <w:rFonts w:hint="eastAsia"/>
          <w:lang w:val="es-ES_tradnl"/>
        </w:rPr>
        <w:t>第三十三条：国家实施和监测</w:t>
      </w:r>
    </w:p>
    <w:p w:rsidR="00DA7251" w:rsidRDefault="00DA7251">
      <w:pPr>
        <w:pStyle w:val="SingleTxtGC"/>
        <w:rPr>
          <w:lang w:val="es-ES"/>
        </w:rPr>
      </w:pPr>
      <w:r>
        <w:rPr>
          <w:lang w:val="es-ES"/>
        </w:rPr>
        <w:t xml:space="preserve">230.  </w:t>
      </w:r>
      <w:r>
        <w:rPr>
          <w:rFonts w:hint="eastAsia"/>
          <w:lang w:val="es-ES"/>
        </w:rPr>
        <w:t>议会众议院目前正审议</w:t>
      </w:r>
      <w:r>
        <w:rPr>
          <w:rFonts w:hint="eastAsia"/>
        </w:rPr>
        <w:t>全国特殊人士保护研究所提交的关于成立残疾人人权国家秘书处的法案，该机构将是巴拉圭残疾事务方面的主要机构；然而政府中还没有专门负责在残疾事务领域采取措施和拟定公共政策的协调机构。</w:t>
      </w:r>
    </w:p>
    <w:p w:rsidR="00DA7251" w:rsidRDefault="00DA7251">
      <w:pPr>
        <w:pStyle w:val="SingleTxtGC"/>
        <w:rPr>
          <w:lang w:val="es-ES"/>
        </w:rPr>
      </w:pPr>
      <w:r>
        <w:rPr>
          <w:lang w:val="es-ES"/>
        </w:rPr>
        <w:t xml:space="preserve">231.  </w:t>
      </w:r>
      <w:r>
        <w:rPr>
          <w:rFonts w:hint="eastAsia"/>
        </w:rPr>
        <w:t>全国特殊人士保护研究所的行动范围很广</w:t>
      </w:r>
      <w:r>
        <w:rPr>
          <w:rFonts w:hint="eastAsia"/>
          <w:lang w:val="es-ES"/>
        </w:rPr>
        <w:t>，</w:t>
      </w:r>
      <w:r>
        <w:rPr>
          <w:rFonts w:hint="eastAsia"/>
        </w:rPr>
        <w:t>但其仍属于教育和文化部</w:t>
      </w:r>
      <w:r>
        <w:rPr>
          <w:rFonts w:hint="eastAsia"/>
          <w:lang w:val="es-ES"/>
        </w:rPr>
        <w:t>：</w:t>
      </w:r>
      <w:r>
        <w:rPr>
          <w:rFonts w:hint="eastAsia"/>
        </w:rPr>
        <w:t>这一隶属关系限制了该研究所的行动</w:t>
      </w:r>
      <w:r>
        <w:rPr>
          <w:rFonts w:hint="eastAsia"/>
          <w:lang w:val="es-ES"/>
        </w:rPr>
        <w:t>，是该机构</w:t>
      </w:r>
      <w:r>
        <w:rPr>
          <w:rFonts w:hint="eastAsia"/>
        </w:rPr>
        <w:t>工作集中在为残疾人提供诊断和康复服务的原因。</w:t>
      </w:r>
    </w:p>
    <w:p w:rsidR="00DA7251" w:rsidRDefault="00DA7251">
      <w:pPr>
        <w:pStyle w:val="SingleTxtGC"/>
        <w:rPr>
          <w:lang w:val="es-ES"/>
        </w:rPr>
      </w:pPr>
      <w:r>
        <w:rPr>
          <w:lang w:val="es-ES"/>
        </w:rPr>
        <w:t xml:space="preserve">232.  </w:t>
      </w:r>
      <w:r>
        <w:rPr>
          <w:rFonts w:hint="eastAsia"/>
        </w:rPr>
        <w:t>按照《残疾人权利公约》第</w:t>
      </w:r>
      <w:r>
        <w:rPr>
          <w:rFonts w:hint="eastAsia"/>
          <w:lang w:val="es-ES"/>
        </w:rPr>
        <w:t>三十三</w:t>
      </w:r>
      <w:r>
        <w:rPr>
          <w:rFonts w:hint="eastAsia"/>
        </w:rPr>
        <w:t>条在政府中建立协调中心</w:t>
      </w:r>
      <w:r>
        <w:rPr>
          <w:rFonts w:hint="eastAsia"/>
          <w:lang w:val="es-ES"/>
        </w:rPr>
        <w:t>，</w:t>
      </w:r>
      <w:r>
        <w:rPr>
          <w:rFonts w:hint="eastAsia"/>
        </w:rPr>
        <w:t>并建立国家协调机构非常重要。协调机制的工作是确保实施和监督该公约，客观地衡量取得的进步，并与国家合作共同制定全国性的残疾政策。</w:t>
      </w:r>
    </w:p>
    <w:p w:rsidR="00DA7251" w:rsidRDefault="00DA7251">
      <w:pPr>
        <w:pStyle w:val="HChGC"/>
        <w:rPr>
          <w:lang w:val="es-ES"/>
        </w:rPr>
      </w:pPr>
      <w:r>
        <w:rPr>
          <w:rFonts w:hint="eastAsia"/>
          <w:lang w:val="es-ES"/>
        </w:rPr>
        <w:tab/>
      </w:r>
      <w:r>
        <w:rPr>
          <w:rFonts w:hint="eastAsia"/>
          <w:lang w:val="es-ES"/>
        </w:rPr>
        <w:t>六</w:t>
      </w:r>
      <w:r>
        <w:rPr>
          <w:rFonts w:hint="eastAsia"/>
          <w:lang w:val="es-ES"/>
        </w:rPr>
        <w:t>.</w:t>
      </w:r>
      <w:r>
        <w:rPr>
          <w:rFonts w:hint="eastAsia"/>
          <w:lang w:val="es-ES"/>
        </w:rPr>
        <w:tab/>
      </w:r>
      <w:r>
        <w:rPr>
          <w:rFonts w:hint="eastAsia"/>
          <w:lang w:val="es-ES"/>
        </w:rPr>
        <w:t>任择议定书</w:t>
      </w:r>
    </w:p>
    <w:p w:rsidR="00DA7251" w:rsidRDefault="00DA7251">
      <w:pPr>
        <w:pStyle w:val="SingleTxtGC"/>
        <w:rPr>
          <w:lang w:val="es-ES"/>
        </w:rPr>
      </w:pPr>
      <w:r>
        <w:rPr>
          <w:lang w:val="es-ES"/>
        </w:rPr>
        <w:t xml:space="preserve">233.  </w:t>
      </w:r>
      <w:r>
        <w:rPr>
          <w:rFonts w:hint="eastAsia"/>
        </w:rPr>
        <w:t>巴拉圭《民法典》第</w:t>
      </w:r>
      <w:r>
        <w:rPr>
          <w:lang w:val="es-ES"/>
        </w:rPr>
        <w:t>36</w:t>
      </w:r>
      <w:r>
        <w:t>条</w:t>
      </w:r>
      <w:r>
        <w:rPr>
          <w:rFonts w:hint="eastAsia"/>
        </w:rPr>
        <w:t>规定：</w:t>
      </w:r>
      <w:r>
        <w:rPr>
          <w:rFonts w:hint="eastAsia"/>
          <w:lang w:val="es-ES"/>
        </w:rPr>
        <w:t>“</w:t>
      </w:r>
      <w:r>
        <w:rPr>
          <w:rFonts w:hint="eastAsia"/>
        </w:rPr>
        <w:t>事实能力由行为主体行使自身权利的法律行为能力</w:t>
      </w:r>
      <w:r>
        <w:rPr>
          <w:rFonts w:hint="eastAsia"/>
          <w:lang w:val="es-ES"/>
        </w:rPr>
        <w:t>”</w:t>
      </w:r>
      <w:r>
        <w:rPr>
          <w:rFonts w:hint="eastAsia"/>
        </w:rPr>
        <w:t>。因此，根据《民法典》的下列条</w:t>
      </w:r>
      <w:r>
        <w:rPr>
          <w:rFonts w:hint="eastAsia"/>
          <w:lang w:val="es-ES"/>
        </w:rPr>
        <w:t>款，</w:t>
      </w:r>
      <w:r>
        <w:rPr>
          <w:rFonts w:hint="eastAsia"/>
        </w:rPr>
        <w:t>可宣布患有某种残疾者为无法律行为能力</w:t>
      </w:r>
      <w:r>
        <w:rPr>
          <w:rFonts w:hint="eastAsia"/>
          <w:lang w:val="es-ES"/>
        </w:rPr>
        <w:t>：</w:t>
      </w:r>
    </w:p>
    <w:p w:rsidR="00DA7251" w:rsidRDefault="00DA7251">
      <w:pPr>
        <w:pStyle w:val="SingleTxtGC"/>
        <w:numPr>
          <w:ilvl w:val="0"/>
          <w:numId w:val="14"/>
        </w:numPr>
        <w:rPr>
          <w:lang w:val="es-ES"/>
        </w:rPr>
      </w:pPr>
      <w:r>
        <w:rPr>
          <w:rFonts w:hint="eastAsia"/>
          <w:lang w:val="es-ES"/>
        </w:rPr>
        <w:t>第</w:t>
      </w:r>
      <w:r>
        <w:rPr>
          <w:lang w:val="es-ES"/>
        </w:rPr>
        <w:t>37</w:t>
      </w:r>
      <w:r>
        <w:rPr>
          <w:rFonts w:hint="eastAsia"/>
        </w:rPr>
        <w:t>条</w:t>
      </w:r>
      <w:r>
        <w:rPr>
          <w:rFonts w:hint="eastAsia"/>
          <w:lang w:val="es-ES"/>
        </w:rPr>
        <w:t>：“</w:t>
      </w:r>
      <w:r>
        <w:rPr>
          <w:rFonts w:hint="eastAsia"/>
        </w:rPr>
        <w:t>精神病患者</w:t>
      </w:r>
      <w:r>
        <w:rPr>
          <w:rFonts w:hint="eastAsia"/>
          <w:lang w:val="es-ES"/>
        </w:rPr>
        <w:t>”</w:t>
      </w:r>
      <w:r>
        <w:rPr>
          <w:rFonts w:hint="eastAsia"/>
        </w:rPr>
        <w:t>和</w:t>
      </w:r>
      <w:r>
        <w:rPr>
          <w:rFonts w:hint="eastAsia"/>
          <w:lang w:val="es-ES"/>
        </w:rPr>
        <w:t>“</w:t>
      </w:r>
      <w:r>
        <w:rPr>
          <w:rFonts w:hint="eastAsia"/>
        </w:rPr>
        <w:t>无法通过书面或其他方式让他人理解自己的聋哑人</w:t>
      </w:r>
      <w:r>
        <w:rPr>
          <w:rFonts w:hint="eastAsia"/>
          <w:lang w:val="es-ES"/>
        </w:rPr>
        <w:t>”</w:t>
      </w:r>
      <w:r>
        <w:rPr>
          <w:rFonts w:hint="eastAsia"/>
        </w:rPr>
        <w:t>；</w:t>
      </w:r>
    </w:p>
    <w:p w:rsidR="00DA7251" w:rsidRDefault="00DA7251">
      <w:pPr>
        <w:pStyle w:val="SingleTxtGC"/>
        <w:numPr>
          <w:ilvl w:val="0"/>
          <w:numId w:val="14"/>
        </w:numPr>
        <w:rPr>
          <w:lang w:val="es-ES"/>
        </w:rPr>
      </w:pPr>
      <w:r>
        <w:rPr>
          <w:rFonts w:hint="eastAsia"/>
          <w:lang w:val="es-ES"/>
        </w:rPr>
        <w:t>第</w:t>
      </w:r>
      <w:r>
        <w:rPr>
          <w:lang w:val="es-ES"/>
        </w:rPr>
        <w:t>73</w:t>
      </w:r>
      <w:r>
        <w:rPr>
          <w:rFonts w:hint="eastAsia"/>
          <w:lang w:val="es-ES"/>
        </w:rPr>
        <w:t>条：</w:t>
      </w:r>
      <w:r>
        <w:rPr>
          <w:rFonts w:hint="eastAsia"/>
        </w:rPr>
        <w:t>缺乏照顾自己或管理自己财产能力的精神疾病患者</w:t>
      </w:r>
      <w:r>
        <w:rPr>
          <w:rFonts w:hint="eastAsia"/>
          <w:lang w:val="es-ES"/>
        </w:rPr>
        <w:t>，</w:t>
      </w:r>
      <w:r>
        <w:rPr>
          <w:rFonts w:hint="eastAsia"/>
        </w:rPr>
        <w:t>或无法通过书面或其他方式让他人理解自己</w:t>
      </w:r>
      <w:r>
        <w:rPr>
          <w:rFonts w:hint="eastAsia"/>
          <w:lang w:val="es-ES"/>
        </w:rPr>
        <w:t>，</w:t>
      </w:r>
      <w:r>
        <w:rPr>
          <w:rFonts w:hint="eastAsia"/>
        </w:rPr>
        <w:t>也无法照顾自己或管理自己财产的聋哑人</w:t>
      </w:r>
      <w:r>
        <w:rPr>
          <w:rFonts w:hint="eastAsia"/>
          <w:lang w:val="es-ES"/>
        </w:rPr>
        <w:t>，</w:t>
      </w:r>
      <w:r>
        <w:rPr>
          <w:rFonts w:hint="eastAsia"/>
        </w:rPr>
        <w:t>可以宣布他们没有法律行为能力；</w:t>
      </w:r>
    </w:p>
    <w:p w:rsidR="00DA7251" w:rsidRDefault="00DA7251">
      <w:pPr>
        <w:pStyle w:val="SingleTxtGC"/>
        <w:numPr>
          <w:ilvl w:val="0"/>
          <w:numId w:val="14"/>
        </w:numPr>
        <w:rPr>
          <w:lang w:val="es-ES"/>
        </w:rPr>
      </w:pPr>
      <w:r>
        <w:rPr>
          <w:rFonts w:hint="eastAsia"/>
          <w:lang w:val="es-ES"/>
        </w:rPr>
        <w:t>第</w:t>
      </w:r>
      <w:r>
        <w:rPr>
          <w:lang w:val="es-ES"/>
        </w:rPr>
        <w:t>89</w:t>
      </w:r>
      <w:r>
        <w:rPr>
          <w:rFonts w:hint="eastAsia"/>
          <w:lang w:val="es-ES"/>
        </w:rPr>
        <w:t>条：</w:t>
      </w:r>
      <w:r>
        <w:rPr>
          <w:rFonts w:hint="eastAsia"/>
        </w:rPr>
        <w:t>因心智能力低下、失明、年迈、长期滥用酒精饮料</w:t>
      </w:r>
      <w:r>
        <w:rPr>
          <w:rFonts w:hint="eastAsia"/>
          <w:lang w:val="es-ES"/>
        </w:rPr>
        <w:t>(</w:t>
      </w:r>
      <w:r>
        <w:rPr>
          <w:rFonts w:hint="eastAsia"/>
        </w:rPr>
        <w:t>酗酒</w:t>
      </w:r>
      <w:r>
        <w:rPr>
          <w:rFonts w:hint="eastAsia"/>
          <w:lang w:val="es-ES"/>
        </w:rPr>
        <w:t>)</w:t>
      </w:r>
      <w:r>
        <w:rPr>
          <w:rFonts w:hint="eastAsia"/>
        </w:rPr>
        <w:t>或麻醉品</w:t>
      </w:r>
      <w:r>
        <w:rPr>
          <w:rFonts w:hint="eastAsia"/>
          <w:lang w:val="es-ES"/>
        </w:rPr>
        <w:t>，</w:t>
      </w:r>
      <w:r>
        <w:rPr>
          <w:rFonts w:hint="eastAsia"/>
        </w:rPr>
        <w:t>或有其他心理或身体缺陷者</w:t>
      </w:r>
      <w:r>
        <w:rPr>
          <w:rFonts w:hint="eastAsia"/>
          <w:lang w:val="es-ES"/>
        </w:rPr>
        <w:t>，</w:t>
      </w:r>
      <w:r>
        <w:rPr>
          <w:rFonts w:hint="eastAsia"/>
        </w:rPr>
        <w:t>即可被认定为无法律行为能力者。</w:t>
      </w:r>
    </w:p>
    <w:p w:rsidR="00DA7251" w:rsidRDefault="00DA7251">
      <w:pPr>
        <w:pStyle w:val="SingleTxtGC"/>
        <w:rPr>
          <w:lang w:val="es-ES"/>
        </w:rPr>
      </w:pPr>
      <w:r>
        <w:rPr>
          <w:lang w:val="es-ES"/>
        </w:rPr>
        <w:t xml:space="preserve">234.  </w:t>
      </w:r>
      <w:r>
        <w:rPr>
          <w:rFonts w:hint="eastAsia"/>
          <w:lang w:val="es-ES"/>
        </w:rPr>
        <w:t>《</w:t>
      </w:r>
      <w:r>
        <w:rPr>
          <w:rFonts w:hint="eastAsia"/>
        </w:rPr>
        <w:t>第</w:t>
      </w:r>
      <w:r>
        <w:rPr>
          <w:lang w:val="es-ES"/>
        </w:rPr>
        <w:t>1626/00</w:t>
      </w:r>
      <w:r>
        <w:rPr>
          <w:rFonts w:hint="eastAsia"/>
        </w:rPr>
        <w:t>号法案》关于公共职能部门的</w:t>
      </w:r>
      <w:r>
        <w:t>第</w:t>
      </w:r>
      <w:r>
        <w:t>40</w:t>
      </w:r>
      <w:r>
        <w:t>条</w:t>
      </w:r>
      <w:r>
        <w:rPr>
          <w:rFonts w:hint="eastAsia"/>
        </w:rPr>
        <w:t>(</w:t>
      </w:r>
      <w:r>
        <w:t>f</w:t>
      </w:r>
      <w:r>
        <w:rPr>
          <w:rFonts w:hint="eastAsia"/>
        </w:rPr>
        <w:t>)</w:t>
      </w:r>
      <w:r>
        <w:t>款</w:t>
      </w:r>
      <w:r>
        <w:rPr>
          <w:rFonts w:hint="eastAsia"/>
        </w:rPr>
        <w:t>规定，“国家机构或单位与其工作人员之间的劳动关系，如果充分证明劳动者身体伤残或患有精神残疾，则可终止劳动关系。</w:t>
      </w:r>
      <w:r>
        <w:rPr>
          <w:rFonts w:hint="eastAsia"/>
          <w:lang w:val="es-ES_tradnl"/>
        </w:rPr>
        <w:t>”</w:t>
      </w:r>
    </w:p>
    <w:p w:rsidR="00DA7251" w:rsidRDefault="00DA7251">
      <w:pPr>
        <w:pStyle w:val="SingleTxtGC"/>
        <w:rPr>
          <w:lang w:val="es-ES"/>
        </w:rPr>
      </w:pPr>
      <w:r>
        <w:rPr>
          <w:lang w:val="es-ES"/>
        </w:rPr>
        <w:t xml:space="preserve">235.  </w:t>
      </w:r>
      <w:r>
        <w:rPr>
          <w:rFonts w:hint="eastAsia"/>
          <w:lang w:val="es-ES"/>
        </w:rPr>
        <w:t>《</w:t>
      </w:r>
      <w:r>
        <w:rPr>
          <w:rFonts w:hint="eastAsia"/>
        </w:rPr>
        <w:t>第</w:t>
      </w:r>
      <w:r>
        <w:rPr>
          <w:lang w:val="es-ES"/>
        </w:rPr>
        <w:t>1261/97</w:t>
      </w:r>
      <w:r>
        <w:rPr>
          <w:rFonts w:hint="eastAsia"/>
        </w:rPr>
        <w:t>号法案》关于义务兵役的</w:t>
      </w:r>
      <w:r>
        <w:t>第</w:t>
      </w:r>
      <w:r>
        <w:rPr>
          <w:lang w:val="es-ES"/>
        </w:rPr>
        <w:t>44</w:t>
      </w:r>
      <w:r>
        <w:t>条</w:t>
      </w:r>
      <w:r>
        <w:rPr>
          <w:rFonts w:hint="eastAsia"/>
        </w:rPr>
        <w:t>规定</w:t>
      </w:r>
      <w:r>
        <w:rPr>
          <w:rFonts w:hint="eastAsia"/>
          <w:lang w:val="es-ES"/>
        </w:rPr>
        <w:t>：“因事故导致</w:t>
      </w:r>
      <w:r>
        <w:rPr>
          <w:rFonts w:hint="eastAsia"/>
        </w:rPr>
        <w:t>残疾者可以免服兵役。</w:t>
      </w:r>
      <w:r>
        <w:rPr>
          <w:rFonts w:hint="eastAsia"/>
          <w:lang w:val="es-ES_tradnl"/>
        </w:rPr>
        <w:t>”</w:t>
      </w:r>
    </w:p>
    <w:p w:rsidR="00DA7251" w:rsidRDefault="00DA7251">
      <w:pPr>
        <w:pStyle w:val="SingleTxtGC"/>
      </w:pPr>
      <w:r>
        <w:rPr>
          <w:lang w:val="es-ES"/>
        </w:rPr>
        <w:t xml:space="preserve">236.  </w:t>
      </w:r>
      <w:r>
        <w:rPr>
          <w:rFonts w:hint="eastAsia"/>
        </w:rPr>
        <w:t>建立巴拉圭《选举法》的《第</w:t>
      </w:r>
      <w:r>
        <w:rPr>
          <w:lang w:val="es-ES"/>
        </w:rPr>
        <w:t>834</w:t>
      </w:r>
      <w:r>
        <w:t>号法</w:t>
      </w:r>
      <w:r>
        <w:rPr>
          <w:rFonts w:hint="eastAsia"/>
        </w:rPr>
        <w:t>案》</w:t>
      </w:r>
      <w:r>
        <w:t>第</w:t>
      </w:r>
      <w:r>
        <w:t>91</w:t>
      </w:r>
      <w:r>
        <w:rPr>
          <w:rFonts w:hint="eastAsia"/>
        </w:rPr>
        <w:t>条规定，在司法程序中被宣布为无法律行为能力者，</w:t>
      </w:r>
      <w:bookmarkStart w:id="21" w:name="A1"/>
      <w:bookmarkEnd w:id="21"/>
      <w:r>
        <w:rPr>
          <w:rFonts w:hint="eastAsia"/>
        </w:rPr>
        <w:t>以及无法通过书面或其他方式让他人理解自己的聋哑人不得成为选举人。</w:t>
      </w:r>
    </w:p>
    <w:p w:rsidR="00E45BF1" w:rsidRDefault="00E45BF1">
      <w:pPr>
        <w:pStyle w:val="SingleTxtGC"/>
        <w:rPr>
          <w:lang w:val="es-ES"/>
        </w:rPr>
      </w:pPr>
    </w:p>
    <w:p w:rsidR="00DA7251" w:rsidRDefault="00DA725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A7251" w:rsidRDefault="00DA7251">
      <w:pPr>
        <w:pStyle w:val="SingleTxtGC"/>
        <w:rPr>
          <w:rFonts w:hint="eastAsia"/>
          <w:lang w:val="es-ES"/>
        </w:rPr>
      </w:pPr>
    </w:p>
    <w:sectPr w:rsidR="00DA725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251" w:rsidRDefault="00DA7251">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A7251" w:rsidRDefault="00DA725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rsidP="00B83EC3">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Fonts w:eastAsia="SimSun" w:hint="eastAsia"/>
        <w:lang w:eastAsia="zh-CN"/>
      </w:rPr>
      <w:tab/>
    </w:r>
    <w:r>
      <w:rPr>
        <w:rFonts w:eastAsia="SimSun"/>
        <w:lang w:eastAsia="zh-CN"/>
      </w:rPr>
      <w:t>GE.11-43800</w:t>
    </w:r>
    <w:r w:rsidRPr="00B83EC3">
      <w:rPr>
        <w:rFonts w:eastAsia="SimSun" w:hint="eastAsia"/>
        <w:lang w:val="en-US" w:eastAsia="zh-CN"/>
      </w:rPr>
      <w:t xml:space="preserve"> </w:t>
    </w:r>
    <w:r w:rsidRPr="00B83EC3">
      <w:rPr>
        <w:rFonts w:eastAsia="SimSun"/>
        <w:lang w:val="en-US" w:eastAsia="zh-CN"/>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pPr>
      <w:pStyle w:val="Footer"/>
      <w:tabs>
        <w:tab w:val="right" w:pos="9639"/>
      </w:tabs>
    </w:pPr>
    <w:r>
      <w:rPr>
        <w:rFonts w:eastAsia="SimSun"/>
        <w:lang w:eastAsia="zh-CN"/>
      </w:rPr>
      <w:t>GE.11-43800</w:t>
    </w:r>
    <w:r w:rsidRPr="00B83EC3">
      <w:rPr>
        <w:rFonts w:eastAsia="SimSun" w:hint="eastAsia"/>
        <w:lang w:val="en-US" w:eastAsia="zh-CN"/>
      </w:rPr>
      <w:t xml:space="preserve"> </w:t>
    </w:r>
    <w:r w:rsidRPr="00B83EC3">
      <w:rPr>
        <w:rFonts w:eastAsia="SimSun"/>
        <w:lang w:val="en-US" w:eastAsia="zh-CN"/>
      </w:rPr>
      <w:t>(EXT)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4380</w:t>
    </w:r>
    <w:r>
      <w:rPr>
        <w:rFonts w:eastAsia="SimSun"/>
        <w:sz w:val="20"/>
        <w:lang w:eastAsia="zh-CN"/>
      </w:rPr>
      <w:t>0</w:t>
    </w:r>
    <w:r>
      <w:rPr>
        <w:rFonts w:eastAsia="SimSun" w:hint="eastAsia"/>
        <w:sz w:val="20"/>
        <w:lang w:eastAsia="zh-CN"/>
      </w:rPr>
      <w:t xml:space="preserve"> </w:t>
    </w:r>
    <w:r>
      <w:rPr>
        <w:sz w:val="20"/>
      </w:rPr>
      <w:t>(EXT)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251" w:rsidRDefault="00DA725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A7251" w:rsidRDefault="00DA725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45BF1" w:rsidRDefault="00E45BF1">
      <w:pPr>
        <w:pStyle w:val="FootnoteText"/>
      </w:pPr>
      <w:r>
        <w:rPr>
          <w:rFonts w:hint="eastAsia"/>
        </w:rPr>
        <w:tab/>
      </w:r>
      <w:r>
        <w:rPr>
          <w:rStyle w:val="FootnoteReference"/>
          <w:vertAlign w:val="baseline"/>
        </w:rPr>
        <w:t>*</w:t>
      </w:r>
      <w:r>
        <w:rPr>
          <w:rStyle w:val="FootnoteReference"/>
          <w:vertAlign w:val="baseline"/>
        </w:rPr>
        <w:tab/>
      </w:r>
      <w:r>
        <w:rPr>
          <w:szCs w:val="18"/>
          <w:lang w:val="ru-RU"/>
        </w:rPr>
        <w:t>按照已通知各</w:t>
      </w:r>
      <w:r>
        <w:t>缔约国</w:t>
      </w:r>
      <w:r>
        <w:rPr>
          <w:szCs w:val="18"/>
          <w:lang w:val="ru-RU"/>
        </w:rPr>
        <w:t>的报告处理方法</w:t>
      </w:r>
      <w:r>
        <w:rPr>
          <w:szCs w:val="18"/>
        </w:rPr>
        <w:t>，</w:t>
      </w:r>
      <w:r>
        <w:rPr>
          <w:szCs w:val="18"/>
          <w:lang w:val="ru-RU"/>
        </w:rPr>
        <w:t>本文件在送交联合国翻译部门前未经正式编辑。</w:t>
      </w:r>
    </w:p>
  </w:footnote>
  <w:footnote w:id="2">
    <w:p w:rsidR="00E45BF1" w:rsidRDefault="00E45BF1">
      <w:pPr>
        <w:pStyle w:val="FootnoteText"/>
        <w:rPr>
          <w:szCs w:val="18"/>
        </w:rPr>
      </w:pPr>
      <w:r>
        <w:rPr>
          <w:rFonts w:hint="eastAsia"/>
        </w:rPr>
        <w:tab/>
      </w:r>
      <w:r>
        <w:rPr>
          <w:rStyle w:val="FootnoteReference"/>
          <w:vertAlign w:val="baseline"/>
        </w:rPr>
        <w:t>**</w:t>
      </w:r>
      <w:r>
        <w:rPr>
          <w:rStyle w:val="FootnoteReference"/>
          <w:vertAlign w:val="baseline"/>
        </w:rPr>
        <w:tab/>
      </w:r>
      <w:r>
        <w:rPr>
          <w:szCs w:val="18"/>
          <w:lang w:val="ru-RU"/>
        </w:rPr>
        <w:t>附件部分可参考秘书处的相关档案。</w:t>
      </w:r>
    </w:p>
  </w:footnote>
  <w:footnote w:id="3">
    <w:p w:rsidR="00E45BF1" w:rsidRDefault="00E45BF1">
      <w:pPr>
        <w:pStyle w:val="FootnoteText"/>
        <w:tabs>
          <w:tab w:val="clear" w:pos="1021"/>
          <w:tab w:val="right" w:pos="0"/>
        </w:tabs>
        <w:ind w:left="1241" w:right="1264" w:hanging="215"/>
      </w:pPr>
      <w:r>
        <w:rPr>
          <w:rStyle w:val="FootnoteReference"/>
          <w:szCs w:val="18"/>
        </w:rPr>
        <w:footnoteRef/>
      </w:r>
      <w:r>
        <w:rPr>
          <w:szCs w:val="18"/>
        </w:rPr>
        <w:t xml:space="preserve"> </w:t>
      </w:r>
      <w:r>
        <w:rPr>
          <w:szCs w:val="18"/>
        </w:rPr>
        <w:tab/>
      </w:r>
      <w:r>
        <w:rPr>
          <w:rFonts w:hint="eastAsia"/>
          <w:szCs w:val="18"/>
        </w:rPr>
        <w:t>《</w:t>
      </w:r>
      <w:bookmarkStart w:id="1" w:name="OLE_LINK14"/>
      <w:r>
        <w:rPr>
          <w:szCs w:val="18"/>
          <w:lang w:val="zh-CN"/>
        </w:rPr>
        <w:t>第</w:t>
      </w:r>
      <w:r>
        <w:rPr>
          <w:szCs w:val="18"/>
          <w:lang w:val="zh-CN"/>
        </w:rPr>
        <w:t>780/79</w:t>
      </w:r>
      <w:r>
        <w:rPr>
          <w:szCs w:val="18"/>
          <w:lang w:val="zh-CN"/>
        </w:rPr>
        <w:t>号</w:t>
      </w:r>
      <w:r>
        <w:rPr>
          <w:rFonts w:hint="eastAsia"/>
          <w:szCs w:val="18"/>
          <w:lang w:val="zh-CN"/>
        </w:rPr>
        <w:t>法案</w:t>
      </w:r>
      <w:bookmarkEnd w:id="1"/>
      <w:r>
        <w:rPr>
          <w:rFonts w:hint="eastAsia"/>
          <w:szCs w:val="18"/>
          <w:lang w:val="zh-CN"/>
        </w:rPr>
        <w:t>》</w:t>
      </w:r>
      <w:r>
        <w:rPr>
          <w:szCs w:val="18"/>
          <w:lang w:val="zh-CN"/>
        </w:rPr>
        <w:t>。</w:t>
      </w:r>
    </w:p>
  </w:footnote>
  <w:footnote w:id="4">
    <w:p w:rsidR="00E45BF1" w:rsidRDefault="00E45BF1">
      <w:pPr>
        <w:pStyle w:val="FootnoteText"/>
        <w:tabs>
          <w:tab w:val="clear" w:pos="1021"/>
          <w:tab w:val="right" w:pos="0"/>
        </w:tabs>
        <w:ind w:left="1241" w:right="1264" w:hanging="215"/>
      </w:pPr>
      <w:r>
        <w:rPr>
          <w:rStyle w:val="FootnoteReference"/>
          <w:szCs w:val="18"/>
        </w:rPr>
        <w:footnoteRef/>
      </w:r>
      <w:r>
        <w:rPr>
          <w:szCs w:val="18"/>
        </w:rPr>
        <w:t xml:space="preserve"> </w:t>
      </w:r>
      <w:r>
        <w:rPr>
          <w:szCs w:val="18"/>
          <w:lang w:val="zh-CN"/>
        </w:rPr>
        <w:tab/>
      </w:r>
      <w:r>
        <w:rPr>
          <w:szCs w:val="18"/>
          <w:lang w:val="zh-CN"/>
        </w:rPr>
        <w:t>该调查由中央省政府</w:t>
      </w:r>
      <w:r>
        <w:rPr>
          <w:rFonts w:hint="eastAsia"/>
          <w:szCs w:val="18"/>
          <w:lang w:val="zh-CN"/>
        </w:rPr>
        <w:t>办公室</w:t>
      </w:r>
      <w:r>
        <w:rPr>
          <w:szCs w:val="18"/>
        </w:rPr>
        <w:t>，</w:t>
      </w:r>
      <w:r>
        <w:rPr>
          <w:szCs w:val="18"/>
          <w:lang w:val="zh-CN"/>
        </w:rPr>
        <w:t>中央省残疾人</w:t>
      </w:r>
      <w:r>
        <w:rPr>
          <w:rFonts w:hint="eastAsia"/>
          <w:szCs w:val="18"/>
          <w:lang w:val="zh-CN"/>
        </w:rPr>
        <w:t>协会网和中央省残疾人</w:t>
      </w:r>
      <w:r>
        <w:rPr>
          <w:szCs w:val="18"/>
          <w:lang w:val="zh-CN"/>
        </w:rPr>
        <w:t>网</w:t>
      </w:r>
      <w:r>
        <w:rPr>
          <w:szCs w:val="18"/>
        </w:rPr>
        <w:t>，</w:t>
      </w:r>
      <w:r>
        <w:rPr>
          <w:szCs w:val="18"/>
          <w:lang w:val="zh-CN"/>
        </w:rPr>
        <w:t>全国特殊人士保护研究所和统计、调查和普查总局实施。</w:t>
      </w:r>
    </w:p>
  </w:footnote>
  <w:footnote w:id="5">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w:t>
      </w:r>
      <w:r>
        <w:rPr>
          <w:szCs w:val="18"/>
          <w:lang w:val="zh-CN"/>
        </w:rPr>
        <w:t>第</w:t>
      </w:r>
      <w:r>
        <w:rPr>
          <w:szCs w:val="18"/>
        </w:rPr>
        <w:t>3585/08</w:t>
      </w:r>
      <w:r>
        <w:rPr>
          <w:szCs w:val="18"/>
          <w:lang w:val="zh-CN"/>
        </w:rPr>
        <w:t>号</w:t>
      </w:r>
      <w:r>
        <w:rPr>
          <w:rFonts w:hint="eastAsia"/>
          <w:szCs w:val="18"/>
          <w:lang w:val="zh-CN"/>
        </w:rPr>
        <w:t>法案》</w:t>
      </w:r>
      <w:r>
        <w:rPr>
          <w:szCs w:val="18"/>
          <w:lang w:val="zh-CN"/>
        </w:rPr>
        <w:t>第</w:t>
      </w:r>
      <w:r>
        <w:rPr>
          <w:szCs w:val="18"/>
        </w:rPr>
        <w:t>1</w:t>
      </w:r>
      <w:r>
        <w:rPr>
          <w:szCs w:val="18"/>
          <w:lang w:val="zh-CN"/>
        </w:rPr>
        <w:t>条</w:t>
      </w:r>
      <w:r>
        <w:rPr>
          <w:szCs w:val="18"/>
        </w:rPr>
        <w:t>：</w:t>
      </w:r>
      <w:r>
        <w:rPr>
          <w:rFonts w:ascii="SimSun" w:hAnsi="SimSun" w:hint="eastAsia"/>
          <w:szCs w:val="18"/>
        </w:rPr>
        <w:t>“</w:t>
      </w:r>
      <w:r>
        <w:rPr>
          <w:szCs w:val="18"/>
          <w:lang w:val="zh-CN"/>
        </w:rPr>
        <w:t>所有国家机构和</w:t>
      </w:r>
      <w:r>
        <w:rPr>
          <w:rFonts w:hint="eastAsia"/>
          <w:szCs w:val="18"/>
          <w:lang w:val="zh-CN"/>
        </w:rPr>
        <w:t>实体</w:t>
      </w:r>
      <w:r>
        <w:rPr>
          <w:szCs w:val="18"/>
          <w:lang w:val="zh-CN"/>
        </w:rPr>
        <w:t>、各省市政府</w:t>
      </w:r>
      <w:r>
        <w:rPr>
          <w:szCs w:val="18"/>
        </w:rPr>
        <w:t>，</w:t>
      </w:r>
      <w:r>
        <w:rPr>
          <w:szCs w:val="18"/>
          <w:lang w:val="zh-CN"/>
        </w:rPr>
        <w:t>以及</w:t>
      </w:r>
      <w:r>
        <w:rPr>
          <w:rFonts w:hint="eastAsia"/>
          <w:szCs w:val="18"/>
          <w:lang w:val="zh-CN"/>
        </w:rPr>
        <w:t>主要</w:t>
      </w:r>
      <w:r>
        <w:rPr>
          <w:szCs w:val="18"/>
          <w:lang w:val="zh-CN"/>
        </w:rPr>
        <w:t>由国家控股的</w:t>
      </w:r>
      <w:r>
        <w:rPr>
          <w:rFonts w:hint="eastAsia"/>
          <w:szCs w:val="18"/>
          <w:lang w:val="zh-CN"/>
        </w:rPr>
        <w:t>私法</w:t>
      </w:r>
      <w:r>
        <w:rPr>
          <w:szCs w:val="18"/>
          <w:lang w:val="zh-CN"/>
        </w:rPr>
        <w:t>法人</w:t>
      </w:r>
      <w:r>
        <w:rPr>
          <w:rFonts w:hint="eastAsia"/>
        </w:rPr>
        <w:t>团体</w:t>
      </w:r>
      <w:r>
        <w:rPr>
          <w:szCs w:val="18"/>
        </w:rPr>
        <w:t>，</w:t>
      </w:r>
      <w:r>
        <w:rPr>
          <w:szCs w:val="18"/>
          <w:lang w:val="zh-CN"/>
        </w:rPr>
        <w:t>残疾人</w:t>
      </w:r>
      <w:r>
        <w:rPr>
          <w:rFonts w:hint="eastAsia"/>
          <w:szCs w:val="18"/>
          <w:lang w:val="zh-CN"/>
        </w:rPr>
        <w:t>在</w:t>
      </w:r>
      <w:r>
        <w:rPr>
          <w:szCs w:val="18"/>
          <w:lang w:val="zh-CN"/>
        </w:rPr>
        <w:t>其工作人员</w:t>
      </w:r>
      <w:r>
        <w:rPr>
          <w:rFonts w:hint="eastAsia"/>
          <w:szCs w:val="18"/>
          <w:lang w:val="zh-CN"/>
        </w:rPr>
        <w:t>总数</w:t>
      </w:r>
      <w:r>
        <w:rPr>
          <w:szCs w:val="18"/>
          <w:lang w:val="zh-CN"/>
        </w:rPr>
        <w:t>中</w:t>
      </w:r>
      <w:r>
        <w:rPr>
          <w:rFonts w:hint="eastAsia"/>
          <w:szCs w:val="18"/>
          <w:lang w:val="zh-CN"/>
        </w:rPr>
        <w:t>所占</w:t>
      </w:r>
      <w:r>
        <w:rPr>
          <w:szCs w:val="18"/>
          <w:lang w:val="zh-CN"/>
        </w:rPr>
        <w:t>比例</w:t>
      </w:r>
      <w:r>
        <w:rPr>
          <w:rFonts w:hint="eastAsia"/>
          <w:szCs w:val="18"/>
          <w:lang w:val="zh-CN"/>
        </w:rPr>
        <w:t>应</w:t>
      </w:r>
      <w:r>
        <w:rPr>
          <w:szCs w:val="18"/>
          <w:lang w:val="zh-CN"/>
        </w:rPr>
        <w:t>不得低于百分之五</w:t>
      </w:r>
      <w:r>
        <w:rPr>
          <w:szCs w:val="18"/>
        </w:rPr>
        <w:t>(5%)</w:t>
      </w:r>
      <w:r>
        <w:rPr>
          <w:szCs w:val="18"/>
          <w:lang w:val="zh-CN"/>
        </w:rPr>
        <w:t>。</w:t>
      </w:r>
      <w:r>
        <w:rPr>
          <w:rFonts w:ascii="SimSun" w:hAnsi="SimSun" w:hint="eastAsia"/>
          <w:szCs w:val="18"/>
        </w:rPr>
        <w:t>”</w:t>
      </w:r>
    </w:p>
  </w:footnote>
  <w:footnote w:id="6">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《宪法》，第</w:t>
      </w:r>
      <w:r>
        <w:rPr>
          <w:szCs w:val="18"/>
          <w:lang w:val="zh-CN"/>
        </w:rPr>
        <w:t>46</w:t>
      </w:r>
      <w:r>
        <w:rPr>
          <w:szCs w:val="18"/>
          <w:lang w:val="zh-CN"/>
        </w:rPr>
        <w:t>条。</w:t>
      </w:r>
    </w:p>
  </w:footnote>
  <w:footnote w:id="7">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t>《公民权利和政治权利国际公约》</w:t>
      </w:r>
      <w:r>
        <w:rPr>
          <w:szCs w:val="18"/>
          <w:lang w:val="zh-CN"/>
        </w:rPr>
        <w:t>，第</w:t>
      </w:r>
      <w:r>
        <w:rPr>
          <w:rFonts w:hint="eastAsia"/>
          <w:szCs w:val="18"/>
          <w:lang w:val="zh-CN"/>
        </w:rPr>
        <w:t>二</w:t>
      </w:r>
      <w:r>
        <w:rPr>
          <w:szCs w:val="18"/>
          <w:lang w:val="zh-CN"/>
        </w:rPr>
        <w:t>条</w:t>
      </w:r>
      <w:r>
        <w:rPr>
          <w:rFonts w:hint="eastAsia"/>
          <w:szCs w:val="18"/>
          <w:lang w:val="zh-CN"/>
        </w:rPr>
        <w:t>第</w:t>
      </w:r>
      <w:r>
        <w:rPr>
          <w:rFonts w:hint="eastAsia"/>
          <w:szCs w:val="18"/>
          <w:lang w:val="zh-CN"/>
        </w:rPr>
        <w:t>1</w:t>
      </w:r>
      <w:r>
        <w:rPr>
          <w:rFonts w:hint="eastAsia"/>
          <w:szCs w:val="18"/>
          <w:lang w:val="zh-CN"/>
        </w:rPr>
        <w:t>款</w:t>
      </w:r>
      <w:r>
        <w:rPr>
          <w:szCs w:val="18"/>
          <w:lang w:val="zh-CN"/>
        </w:rPr>
        <w:t>。</w:t>
      </w:r>
    </w:p>
  </w:footnote>
  <w:footnote w:id="8">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sidRPr="0051428B">
        <w:rPr>
          <w:rFonts w:ascii="KaiTi_GB2312" w:eastAsia="KaiTi_GB2312" w:hint="eastAsia"/>
          <w:szCs w:val="18"/>
          <w:lang w:val="zh-CN"/>
        </w:rPr>
        <w:t>同上</w:t>
      </w:r>
      <w:r>
        <w:rPr>
          <w:szCs w:val="18"/>
          <w:lang w:val="zh-CN"/>
        </w:rPr>
        <w:t>，第</w:t>
      </w:r>
      <w:r>
        <w:rPr>
          <w:rFonts w:hint="eastAsia"/>
          <w:szCs w:val="18"/>
          <w:lang w:val="zh-CN"/>
        </w:rPr>
        <w:t>三</w:t>
      </w:r>
      <w:r>
        <w:rPr>
          <w:szCs w:val="18"/>
          <w:lang w:val="zh-CN"/>
        </w:rPr>
        <w:t>条。</w:t>
      </w:r>
    </w:p>
  </w:footnote>
  <w:footnote w:id="9">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sidRPr="0051428B">
        <w:rPr>
          <w:rFonts w:ascii="KaiTi_GB2312" w:eastAsia="KaiTi_GB2312" w:hint="eastAsia"/>
          <w:szCs w:val="18"/>
          <w:lang w:val="zh-CN"/>
        </w:rPr>
        <w:t>同上</w:t>
      </w:r>
      <w:r>
        <w:rPr>
          <w:szCs w:val="18"/>
          <w:lang w:val="zh-CN"/>
        </w:rPr>
        <w:t>，第</w:t>
      </w:r>
      <w:r>
        <w:rPr>
          <w:rFonts w:hint="eastAsia"/>
          <w:szCs w:val="18"/>
          <w:lang w:val="zh-CN"/>
        </w:rPr>
        <w:t>二十四</w:t>
      </w:r>
      <w:r>
        <w:rPr>
          <w:szCs w:val="18"/>
          <w:lang w:val="zh-CN"/>
        </w:rPr>
        <w:t>条</w:t>
      </w:r>
      <w:r>
        <w:rPr>
          <w:rFonts w:hint="eastAsia"/>
          <w:szCs w:val="18"/>
          <w:lang w:val="zh-CN"/>
        </w:rPr>
        <w:t>第</w:t>
      </w:r>
      <w:r>
        <w:rPr>
          <w:rFonts w:hint="eastAsia"/>
          <w:szCs w:val="18"/>
          <w:lang w:val="zh-CN"/>
        </w:rPr>
        <w:t>1</w:t>
      </w:r>
      <w:r>
        <w:rPr>
          <w:rFonts w:hint="eastAsia"/>
          <w:szCs w:val="18"/>
          <w:lang w:val="zh-CN"/>
        </w:rPr>
        <w:t>款</w:t>
      </w:r>
      <w:r>
        <w:rPr>
          <w:szCs w:val="18"/>
          <w:lang w:val="zh-CN"/>
        </w:rPr>
        <w:t>。</w:t>
      </w:r>
    </w:p>
  </w:footnote>
  <w:footnote w:id="10">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sidRPr="0051428B">
        <w:rPr>
          <w:rFonts w:ascii="KaiTi_GB2312" w:eastAsia="KaiTi_GB2312" w:hint="eastAsia"/>
          <w:szCs w:val="18"/>
          <w:lang w:val="zh-CN"/>
        </w:rPr>
        <w:t>同上</w:t>
      </w:r>
      <w:r>
        <w:rPr>
          <w:szCs w:val="18"/>
          <w:lang w:val="zh-CN"/>
        </w:rPr>
        <w:t>，第</w:t>
      </w:r>
      <w:r>
        <w:rPr>
          <w:rFonts w:hint="eastAsia"/>
          <w:szCs w:val="18"/>
          <w:lang w:val="zh-CN"/>
        </w:rPr>
        <w:t>二十六</w:t>
      </w:r>
      <w:r>
        <w:rPr>
          <w:szCs w:val="18"/>
          <w:lang w:val="zh-CN"/>
        </w:rPr>
        <w:t>条。</w:t>
      </w:r>
    </w:p>
  </w:footnote>
  <w:footnote w:id="11">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sidRPr="0051428B">
        <w:rPr>
          <w:rFonts w:ascii="KaiTi_GB2312" w:eastAsia="KaiTi_GB2312" w:hint="eastAsia"/>
          <w:szCs w:val="18"/>
          <w:lang w:val="zh-CN"/>
        </w:rPr>
        <w:t>同上</w:t>
      </w:r>
      <w:r>
        <w:rPr>
          <w:szCs w:val="18"/>
          <w:lang w:val="zh-CN"/>
        </w:rPr>
        <w:t>，第</w:t>
      </w:r>
      <w:r>
        <w:rPr>
          <w:rFonts w:hint="eastAsia"/>
          <w:szCs w:val="18"/>
          <w:lang w:val="zh-CN"/>
        </w:rPr>
        <w:t>二十七</w:t>
      </w:r>
      <w:r>
        <w:rPr>
          <w:szCs w:val="18"/>
          <w:lang w:val="zh-CN"/>
        </w:rPr>
        <w:t>条。</w:t>
      </w:r>
    </w:p>
  </w:footnote>
  <w:footnote w:id="12">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《宪法》，</w:t>
      </w:r>
      <w:r>
        <w:t>第</w:t>
      </w:r>
      <w:r>
        <w:t>137</w:t>
      </w:r>
      <w:r>
        <w:rPr>
          <w:szCs w:val="18"/>
          <w:lang w:val="zh-CN"/>
        </w:rPr>
        <w:t>和</w:t>
      </w:r>
      <w:r>
        <w:rPr>
          <w:szCs w:val="18"/>
          <w:lang w:val="zh-CN"/>
        </w:rPr>
        <w:t>141</w:t>
      </w:r>
      <w:r>
        <w:rPr>
          <w:szCs w:val="18"/>
          <w:lang w:val="zh-CN"/>
        </w:rPr>
        <w:t>条。</w:t>
      </w:r>
    </w:p>
  </w:footnote>
  <w:footnote w:id="13">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同上，第</w:t>
      </w:r>
      <w:r>
        <w:rPr>
          <w:szCs w:val="18"/>
          <w:lang w:val="zh-CN"/>
        </w:rPr>
        <w:t>142</w:t>
      </w:r>
      <w:r>
        <w:rPr>
          <w:szCs w:val="18"/>
          <w:lang w:val="zh-CN"/>
        </w:rPr>
        <w:t>条。</w:t>
      </w:r>
    </w:p>
  </w:footnote>
  <w:footnote w:id="14">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rPr>
        <w:t>《</w:t>
      </w:r>
      <w:r>
        <w:t>第</w:t>
      </w:r>
      <w:r>
        <w:t>3540/08</w:t>
      </w:r>
      <w:r>
        <w:t>号法</w:t>
      </w:r>
      <w:r>
        <w:rPr>
          <w:rFonts w:hint="eastAsia"/>
        </w:rPr>
        <w:t>案》</w:t>
      </w:r>
      <w:r>
        <w:rPr>
          <w:szCs w:val="18"/>
          <w:lang w:val="zh-CN"/>
        </w:rPr>
        <w:t>。</w:t>
      </w:r>
    </w:p>
  </w:footnote>
  <w:footnote w:id="15">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rPr>
        <w:t>《</w:t>
      </w:r>
      <w:r>
        <w:t>第</w:t>
      </w:r>
      <w:r>
        <w:t>1925/02</w:t>
      </w:r>
      <w:r>
        <w:t>号法</w:t>
      </w:r>
      <w:r>
        <w:rPr>
          <w:rFonts w:hint="eastAsia"/>
        </w:rPr>
        <w:t>案》</w:t>
      </w:r>
      <w:r>
        <w:rPr>
          <w:szCs w:val="18"/>
          <w:lang w:val="zh-CN"/>
        </w:rPr>
        <w:t>。</w:t>
      </w:r>
    </w:p>
  </w:footnote>
  <w:footnote w:id="16">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t>《</w:t>
      </w:r>
      <w:r>
        <w:t>2009-2010</w:t>
      </w:r>
      <w:r>
        <w:t>双年总指令》</w:t>
      </w:r>
      <w:r>
        <w:rPr>
          <w:rFonts w:hint="eastAsia"/>
          <w:szCs w:val="18"/>
          <w:lang w:val="zh-CN"/>
        </w:rPr>
        <w:t>(</w:t>
      </w:r>
      <w:r>
        <w:rPr>
          <w:szCs w:val="18"/>
          <w:lang w:val="zh-CN"/>
        </w:rPr>
        <w:t>f</w:t>
      </w:r>
      <w:r>
        <w:rPr>
          <w:rFonts w:hint="eastAsia"/>
          <w:szCs w:val="18"/>
          <w:lang w:val="zh-CN"/>
        </w:rPr>
        <w:t>)</w:t>
      </w:r>
      <w:r>
        <w:rPr>
          <w:szCs w:val="18"/>
          <w:lang w:val="zh-CN"/>
        </w:rPr>
        <w:t>和</w:t>
      </w:r>
      <w:r>
        <w:rPr>
          <w:rFonts w:hint="eastAsia"/>
          <w:szCs w:val="18"/>
          <w:lang w:val="zh-CN"/>
        </w:rPr>
        <w:t>(</w:t>
      </w:r>
      <w:r>
        <w:rPr>
          <w:szCs w:val="18"/>
          <w:lang w:val="zh-CN"/>
        </w:rPr>
        <w:t>g</w:t>
      </w:r>
      <w:r>
        <w:rPr>
          <w:rFonts w:hint="eastAsia"/>
          <w:szCs w:val="18"/>
          <w:lang w:val="zh-CN"/>
        </w:rPr>
        <w:t>)</w:t>
      </w:r>
      <w:r>
        <w:rPr>
          <w:szCs w:val="18"/>
          <w:lang w:val="zh-CN"/>
        </w:rPr>
        <w:t>款。</w:t>
      </w:r>
    </w:p>
  </w:footnote>
  <w:footnote w:id="17">
    <w:p w:rsidR="00E45BF1" w:rsidRDefault="00E45BF1">
      <w:pPr>
        <w:pStyle w:val="FootnoteText"/>
        <w:rPr>
          <w:szCs w:val="18"/>
          <w:lang w:val="zh-CN"/>
        </w:rPr>
      </w:pPr>
      <w:r>
        <w:rPr>
          <w:rStyle w:val="FootnoteReference"/>
          <w:vertAlign w:val="baseline"/>
        </w:rPr>
        <w:tab/>
      </w:r>
      <w:r>
        <w:rPr>
          <w:rStyle w:val="FootnoteReference"/>
        </w:rPr>
        <w:footnoteRef/>
      </w:r>
      <w:r>
        <w:rPr>
          <w:rStyle w:val="FootnoteReference"/>
          <w:vertAlign w:val="baseline"/>
        </w:rPr>
        <w:tab/>
      </w:r>
      <w:r>
        <w:rPr>
          <w:szCs w:val="18"/>
          <w:lang w:val="zh-CN"/>
        </w:rPr>
        <w:t>《民事诉讼法》第</w:t>
      </w:r>
      <w:r>
        <w:rPr>
          <w:szCs w:val="18"/>
        </w:rPr>
        <w:t>89</w:t>
      </w:r>
      <w:r>
        <w:rPr>
          <w:szCs w:val="18"/>
          <w:lang w:val="zh-CN"/>
        </w:rPr>
        <w:t>条</w:t>
      </w:r>
      <w:r>
        <w:rPr>
          <w:szCs w:val="18"/>
        </w:rPr>
        <w:t>：</w:t>
      </w:r>
      <w:r>
        <w:rPr>
          <w:rFonts w:ascii="SimSun" w:hAnsi="SimSun" w:hint="eastAsia"/>
          <w:szCs w:val="18"/>
        </w:rPr>
        <w:t>“</w:t>
      </w:r>
      <w:r>
        <w:rPr>
          <w:szCs w:val="18"/>
          <w:lang w:val="zh-CN"/>
        </w:rPr>
        <w:t>因心智能力低下、失明、年迈、长期滥用酒精饮料或</w:t>
      </w:r>
      <w:r>
        <w:rPr>
          <w:rFonts w:hint="eastAsia"/>
          <w:szCs w:val="18"/>
          <w:lang w:val="zh-CN"/>
        </w:rPr>
        <w:t>麻醉品</w:t>
      </w:r>
      <w:r>
        <w:rPr>
          <w:szCs w:val="18"/>
        </w:rPr>
        <w:t>，</w:t>
      </w:r>
      <w:r>
        <w:rPr>
          <w:szCs w:val="18"/>
          <w:lang w:val="zh-CN"/>
        </w:rPr>
        <w:t>或有其他心理</w:t>
      </w:r>
      <w:r>
        <w:rPr>
          <w:rFonts w:hint="eastAsia"/>
          <w:szCs w:val="18"/>
          <w:lang w:val="zh-CN"/>
        </w:rPr>
        <w:t>或身体</w:t>
      </w:r>
      <w:r>
        <w:rPr>
          <w:szCs w:val="18"/>
          <w:lang w:val="zh-CN"/>
        </w:rPr>
        <w:t>障碍</w:t>
      </w:r>
      <w:r>
        <w:rPr>
          <w:szCs w:val="18"/>
        </w:rPr>
        <w:t>，</w:t>
      </w:r>
      <w:r>
        <w:rPr>
          <w:szCs w:val="18"/>
          <w:lang w:val="zh-CN"/>
        </w:rPr>
        <w:t>不具备照顾自己和维护自身利益的能力</w:t>
      </w:r>
      <w:r>
        <w:rPr>
          <w:rFonts w:hint="eastAsia"/>
          <w:szCs w:val="18"/>
          <w:lang w:val="zh-CN"/>
        </w:rPr>
        <w:t>者，法院应宣布</w:t>
      </w:r>
      <w:r>
        <w:rPr>
          <w:szCs w:val="18"/>
          <w:lang w:val="zh-CN"/>
        </w:rPr>
        <w:t>为无法律行为能力者。如果在</w:t>
      </w:r>
      <w:r>
        <w:rPr>
          <w:rFonts w:hint="eastAsia"/>
          <w:szCs w:val="18"/>
          <w:lang w:val="zh-CN"/>
        </w:rPr>
        <w:t>这些诉讼程序期间</w:t>
      </w:r>
      <w:r>
        <w:rPr>
          <w:szCs w:val="18"/>
          <w:lang w:val="zh-CN"/>
        </w:rPr>
        <w:t>确认有《民事诉讼法》第</w:t>
      </w:r>
      <w:r>
        <w:rPr>
          <w:szCs w:val="18"/>
          <w:lang w:val="zh-CN"/>
        </w:rPr>
        <w:t>73</w:t>
      </w:r>
      <w:r>
        <w:rPr>
          <w:szCs w:val="18"/>
          <w:lang w:val="zh-CN"/>
        </w:rPr>
        <w:t>条规定的事实，则应判定被告人为无法律行为能力者。</w:t>
      </w:r>
      <w:r>
        <w:rPr>
          <w:rFonts w:ascii="SimSun" w:hAnsi="SimSun" w:hint="eastAsia"/>
          <w:szCs w:val="18"/>
        </w:rPr>
        <w:t>”</w:t>
      </w:r>
      <w:r>
        <w:rPr>
          <w:szCs w:val="18"/>
          <w:lang w:val="zh-CN"/>
        </w:rPr>
        <w:t>《民事诉讼法》第</w:t>
      </w:r>
      <w:r>
        <w:rPr>
          <w:szCs w:val="18"/>
        </w:rPr>
        <w:t>73</w:t>
      </w:r>
      <w:r>
        <w:rPr>
          <w:szCs w:val="18"/>
          <w:lang w:val="zh-CN"/>
        </w:rPr>
        <w:t>条规定</w:t>
      </w:r>
      <w:r>
        <w:rPr>
          <w:szCs w:val="18"/>
        </w:rPr>
        <w:t>：</w:t>
      </w:r>
      <w:r>
        <w:rPr>
          <w:rFonts w:ascii="SimSun" w:hAnsi="SimSun" w:hint="eastAsia"/>
          <w:szCs w:val="18"/>
        </w:rPr>
        <w:t>“</w:t>
      </w:r>
      <w:r>
        <w:rPr>
          <w:szCs w:val="18"/>
          <w:lang w:val="zh-CN"/>
        </w:rPr>
        <w:t>因患有精神疾病而无法照顾自己或管理自己的财产的</w:t>
      </w:r>
      <w:r>
        <w:rPr>
          <w:rFonts w:hint="eastAsia"/>
          <w:szCs w:val="18"/>
          <w:lang w:val="zh-CN"/>
        </w:rPr>
        <w:t>成</w:t>
      </w:r>
      <w:r>
        <w:rPr>
          <w:szCs w:val="18"/>
          <w:lang w:val="zh-CN"/>
        </w:rPr>
        <w:t>人和</w:t>
      </w:r>
      <w:r>
        <w:rPr>
          <w:rFonts w:hint="eastAsia"/>
          <w:szCs w:val="18"/>
          <w:lang w:val="zh-CN"/>
        </w:rPr>
        <w:t>自立的</w:t>
      </w:r>
      <w:r>
        <w:rPr>
          <w:szCs w:val="18"/>
          <w:lang w:val="zh-CN"/>
        </w:rPr>
        <w:t>未成年人</w:t>
      </w:r>
      <w:r>
        <w:rPr>
          <w:szCs w:val="18"/>
        </w:rPr>
        <w:t>，</w:t>
      </w:r>
      <w:r>
        <w:rPr>
          <w:szCs w:val="18"/>
          <w:lang w:val="zh-CN"/>
        </w:rPr>
        <w:t>以及无法通过书面或其他方式让他人理解自己的聋哑人</w:t>
      </w:r>
      <w:r>
        <w:rPr>
          <w:rFonts w:hint="eastAsia"/>
          <w:szCs w:val="18"/>
          <w:lang w:val="zh-CN"/>
        </w:rPr>
        <w:t>以及处于同样情况者</w:t>
      </w:r>
      <w:r>
        <w:rPr>
          <w:szCs w:val="18"/>
        </w:rPr>
        <w:t>，</w:t>
      </w:r>
      <w:r>
        <w:rPr>
          <w:szCs w:val="18"/>
          <w:lang w:val="zh-CN"/>
        </w:rPr>
        <w:t>均被认定为无法律行为能力</w:t>
      </w:r>
      <w:r>
        <w:rPr>
          <w:szCs w:val="18"/>
        </w:rPr>
        <w:t>，</w:t>
      </w:r>
      <w:r>
        <w:rPr>
          <w:szCs w:val="18"/>
          <w:lang w:val="zh-CN"/>
        </w:rPr>
        <w:t>并须接受他人的监护。</w:t>
      </w:r>
      <w:r>
        <w:rPr>
          <w:rFonts w:ascii="SimSun" w:hAnsi="SimSun" w:hint="eastAsia"/>
          <w:szCs w:val="18"/>
        </w:rPr>
        <w:t>”</w:t>
      </w:r>
    </w:p>
  </w:footnote>
  <w:footnote w:id="18">
    <w:p w:rsidR="00E45BF1" w:rsidRDefault="00E45BF1">
      <w:pPr>
        <w:pStyle w:val="FootnoteText"/>
        <w:rPr>
          <w:rFonts w:ascii="SimSun" w:hAnsi="SimSun"/>
          <w:szCs w:val="18"/>
        </w:rPr>
      </w:pPr>
      <w:r>
        <w:rPr>
          <w:rStyle w:val="FootnoteReference"/>
          <w:vertAlign w:val="baseline"/>
        </w:rPr>
        <w:tab/>
      </w:r>
      <w:r>
        <w:rPr>
          <w:rStyle w:val="FootnoteReference"/>
        </w:rPr>
        <w:footnoteRef/>
      </w:r>
      <w:r>
        <w:rPr>
          <w:rStyle w:val="FootnoteReference"/>
          <w:vertAlign w:val="baseline"/>
        </w:rPr>
        <w:tab/>
      </w:r>
      <w:r>
        <w:rPr>
          <w:szCs w:val="18"/>
          <w:lang w:val="zh-CN"/>
        </w:rPr>
        <w:t>《民事诉讼法》第</w:t>
      </w:r>
      <w:r>
        <w:rPr>
          <w:szCs w:val="18"/>
        </w:rPr>
        <w:t>90</w:t>
      </w:r>
      <w:r>
        <w:rPr>
          <w:szCs w:val="18"/>
          <w:lang w:val="zh-CN"/>
        </w:rPr>
        <w:t>条</w:t>
      </w:r>
      <w:r>
        <w:rPr>
          <w:szCs w:val="18"/>
        </w:rPr>
        <w:t>：</w:t>
      </w:r>
      <w:r>
        <w:rPr>
          <w:rFonts w:ascii="SimSun" w:hAnsi="SimSun" w:hint="eastAsia"/>
          <w:szCs w:val="18"/>
        </w:rPr>
        <w:t>“</w:t>
      </w:r>
      <w:r>
        <w:rPr>
          <w:rFonts w:hint="eastAsia"/>
          <w:szCs w:val="18"/>
          <w:lang w:val="zh-CN"/>
        </w:rPr>
        <w:t>无法律行为能力者在没有得到法院指定监护人允许的情况下，不得拥有或负担财产所涉义务，不得诉诸法律，不得进行交易，不得接受付款，不得出借款或借款，或者进行并非单纯行政性质的行为</w:t>
      </w:r>
      <w:r>
        <w:rPr>
          <w:szCs w:val="18"/>
          <w:lang w:val="zh-CN"/>
        </w:rPr>
        <w:t>。在相关案件中，应按照剥夺权利的相关规定宣布当事人无法律行为能力；如须取消该判决，也应遵循相应法规。</w:t>
      </w:r>
      <w:r>
        <w:rPr>
          <w:rFonts w:hint="eastAsia"/>
          <w:szCs w:val="18"/>
          <w:lang w:val="zh-CN"/>
        </w:rPr>
        <w:t>此外</w:t>
      </w:r>
      <w:r>
        <w:rPr>
          <w:szCs w:val="18"/>
          <w:lang w:val="zh-CN"/>
        </w:rPr>
        <w:t>，应对当事人被宣布为无法律行为能力者进行登记。</w:t>
      </w:r>
      <w:r>
        <w:rPr>
          <w:rFonts w:ascii="SimSun" w:hAnsi="SimSun" w:hint="eastAsia"/>
          <w:szCs w:val="18"/>
        </w:rPr>
        <w:t>”</w:t>
      </w:r>
    </w:p>
  </w:footnote>
  <w:footnote w:id="19">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第</w:t>
      </w:r>
      <w:r>
        <w:rPr>
          <w:rFonts w:hint="eastAsia"/>
          <w:szCs w:val="18"/>
          <w:lang w:val="zh-CN"/>
        </w:rPr>
        <w:t>二章标题一</w:t>
      </w:r>
      <w:r>
        <w:rPr>
          <w:szCs w:val="18"/>
          <w:lang w:val="zh-CN"/>
        </w:rPr>
        <w:t>(</w:t>
      </w:r>
      <w:r>
        <w:rPr>
          <w:szCs w:val="18"/>
          <w:lang w:val="zh-CN"/>
        </w:rPr>
        <w:t>整章</w:t>
      </w:r>
      <w:r>
        <w:rPr>
          <w:szCs w:val="18"/>
          <w:lang w:val="zh-CN"/>
        </w:rPr>
        <w:t>)</w:t>
      </w:r>
      <w:r>
        <w:rPr>
          <w:szCs w:val="18"/>
          <w:lang w:val="zh-CN"/>
        </w:rPr>
        <w:t>。</w:t>
      </w:r>
    </w:p>
  </w:footnote>
  <w:footnote w:id="20">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w:t>
      </w:r>
      <w:r>
        <w:rPr>
          <w:szCs w:val="18"/>
          <w:lang w:val="zh-CN"/>
        </w:rPr>
        <w:t>第</w:t>
      </w:r>
      <w:r>
        <w:rPr>
          <w:szCs w:val="18"/>
          <w:lang w:val="zh-CN"/>
        </w:rPr>
        <w:t>834</w:t>
      </w:r>
      <w:r>
        <w:rPr>
          <w:szCs w:val="18"/>
          <w:lang w:val="zh-CN"/>
        </w:rPr>
        <w:t>号</w:t>
      </w:r>
      <w:r>
        <w:rPr>
          <w:rFonts w:hint="eastAsia"/>
          <w:szCs w:val="18"/>
          <w:lang w:val="zh-CN"/>
        </w:rPr>
        <w:t>法案》</w:t>
      </w:r>
      <w:r>
        <w:rPr>
          <w:szCs w:val="18"/>
          <w:lang w:val="zh-CN"/>
        </w:rPr>
        <w:t>。</w:t>
      </w:r>
    </w:p>
  </w:footnote>
  <w:footnote w:id="21">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rFonts w:hint="eastAsia"/>
        </w:rPr>
        <w:t>《公民权利和政治权利国际公约》，第</w:t>
      </w:r>
      <w:r>
        <w:rPr>
          <w:rFonts w:hint="eastAsia"/>
        </w:rPr>
        <w:t>2.1</w:t>
      </w:r>
      <w:r>
        <w:rPr>
          <w:rFonts w:hint="eastAsia"/>
        </w:rPr>
        <w:t>条。</w:t>
      </w:r>
    </w:p>
  </w:footnote>
  <w:footnote w:id="22">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w:t>
      </w:r>
      <w:r>
        <w:rPr>
          <w:szCs w:val="18"/>
          <w:lang w:val="zh-CN"/>
        </w:rPr>
        <w:t>第</w:t>
      </w:r>
      <w:r>
        <w:rPr>
          <w:szCs w:val="18"/>
        </w:rPr>
        <w:t>1227/97</w:t>
      </w:r>
      <w:r>
        <w:rPr>
          <w:szCs w:val="18"/>
          <w:lang w:val="zh-CN"/>
        </w:rPr>
        <w:t>号法</w:t>
      </w:r>
      <w:r>
        <w:rPr>
          <w:rFonts w:hint="eastAsia"/>
          <w:szCs w:val="18"/>
          <w:lang w:val="zh-CN"/>
        </w:rPr>
        <w:t>案》制定了</w:t>
      </w:r>
      <w:r>
        <w:rPr>
          <w:szCs w:val="18"/>
          <w:lang w:val="zh-CN"/>
        </w:rPr>
        <w:t>《</w:t>
      </w:r>
      <w:r>
        <w:rPr>
          <w:szCs w:val="18"/>
        </w:rPr>
        <w:t>1998</w:t>
      </w:r>
      <w:r>
        <w:rPr>
          <w:rFonts w:hint="eastAsia"/>
          <w:szCs w:val="18"/>
        </w:rPr>
        <w:t>年</w:t>
      </w:r>
      <w:r>
        <w:rPr>
          <w:szCs w:val="18"/>
          <w:lang w:val="zh-CN"/>
        </w:rPr>
        <w:t>财年度</w:t>
      </w:r>
      <w:r>
        <w:rPr>
          <w:rFonts w:hint="eastAsia"/>
          <w:szCs w:val="18"/>
          <w:lang w:val="zh-CN"/>
        </w:rPr>
        <w:t>方案</w:t>
      </w:r>
      <w:r>
        <w:rPr>
          <w:szCs w:val="18"/>
          <w:lang w:val="zh-CN"/>
        </w:rPr>
        <w:t>》</w:t>
      </w:r>
      <w:r>
        <w:rPr>
          <w:szCs w:val="18"/>
        </w:rPr>
        <w:t>，</w:t>
      </w:r>
      <w:r>
        <w:rPr>
          <w:szCs w:val="18"/>
          <w:lang w:val="zh-CN"/>
        </w:rPr>
        <w:t>并设立了</w:t>
      </w:r>
      <w:r>
        <w:rPr>
          <w:rFonts w:hint="eastAsia"/>
          <w:szCs w:val="18"/>
          <w:lang w:val="zh-CN"/>
        </w:rPr>
        <w:t>首席公设</w:t>
      </w:r>
      <w:r>
        <w:rPr>
          <w:szCs w:val="18"/>
          <w:lang w:val="zh-CN"/>
        </w:rPr>
        <w:t>辩护人和助理辩护人的职位。</w:t>
      </w:r>
    </w:p>
  </w:footnote>
  <w:footnote w:id="23">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为了在美洲范围内有效地保护人权</w:t>
      </w:r>
      <w:r>
        <w:rPr>
          <w:szCs w:val="18"/>
        </w:rPr>
        <w:t>，</w:t>
      </w:r>
      <w:r>
        <w:rPr>
          <w:szCs w:val="18"/>
          <w:lang w:val="zh-CN"/>
        </w:rPr>
        <w:t>美洲人权法院与美洲公设辩护人协会签订了一份协议</w:t>
      </w:r>
      <w:r>
        <w:rPr>
          <w:rFonts w:hint="eastAsia"/>
          <w:szCs w:val="18"/>
          <w:lang w:val="zh-CN"/>
        </w:rPr>
        <w:t>，无论什么时候，</w:t>
      </w:r>
      <w:r>
        <w:rPr>
          <w:szCs w:val="18"/>
          <w:lang w:val="zh-CN"/>
        </w:rPr>
        <w:t>在美洲人权法院发现</w:t>
      </w:r>
      <w:r>
        <w:rPr>
          <w:rFonts w:hint="eastAsia"/>
          <w:szCs w:val="18"/>
          <w:lang w:val="zh-CN"/>
        </w:rPr>
        <w:t>指控的侵犯人权行为受害者在诉讼过程中因</w:t>
      </w:r>
      <w:r>
        <w:rPr>
          <w:szCs w:val="18"/>
          <w:lang w:val="zh-CN"/>
        </w:rPr>
        <w:t>经济拮据</w:t>
      </w:r>
      <w:r>
        <w:rPr>
          <w:rFonts w:hint="eastAsia"/>
          <w:szCs w:val="18"/>
          <w:lang w:val="zh-CN"/>
        </w:rPr>
        <w:t>无法获得</w:t>
      </w:r>
      <w:r>
        <w:rPr>
          <w:szCs w:val="18"/>
          <w:lang w:val="zh-CN"/>
        </w:rPr>
        <w:t>或无法律代表时，</w:t>
      </w:r>
      <w:r>
        <w:rPr>
          <w:rFonts w:hint="eastAsia"/>
          <w:szCs w:val="18"/>
          <w:lang w:val="zh-CN"/>
        </w:rPr>
        <w:t>法院可要求请</w:t>
      </w:r>
      <w:r>
        <w:rPr>
          <w:szCs w:val="18"/>
          <w:lang w:val="zh-CN"/>
        </w:rPr>
        <w:t>美洲公设辩护人协会指派一名辩护律师</w:t>
      </w:r>
      <w:r>
        <w:rPr>
          <w:rFonts w:hint="eastAsia"/>
          <w:szCs w:val="18"/>
          <w:lang w:val="zh-CN"/>
        </w:rPr>
        <w:t>在诉讼过程中</w:t>
      </w:r>
      <w:r>
        <w:rPr>
          <w:rFonts w:hint="eastAsia"/>
          <w:szCs w:val="18"/>
          <w:lang w:val="zh-CN"/>
        </w:rPr>
        <w:t xml:space="preserve"> </w:t>
      </w:r>
      <w:r>
        <w:rPr>
          <w:rFonts w:hint="eastAsia"/>
          <w:szCs w:val="18"/>
          <w:lang w:val="zh-CN"/>
        </w:rPr>
        <w:t>提供法律顾问和</w:t>
      </w:r>
      <w:r>
        <w:rPr>
          <w:szCs w:val="18"/>
          <w:lang w:val="zh-CN"/>
        </w:rPr>
        <w:t>辩护服务。</w:t>
      </w:r>
    </w:p>
  </w:footnote>
  <w:footnote w:id="24">
    <w:p w:rsidR="00E45BF1" w:rsidRDefault="00E45BF1">
      <w:pPr>
        <w:pStyle w:val="FootnoteText"/>
        <w:rPr>
          <w:szCs w:val="18"/>
        </w:rPr>
      </w:pPr>
      <w:r>
        <w:rPr>
          <w:rStyle w:val="FootnoteReference"/>
          <w:vertAlign w:val="baseline"/>
        </w:rPr>
        <w:tab/>
      </w:r>
      <w:r>
        <w:rPr>
          <w:rStyle w:val="FootnoteReference"/>
        </w:rPr>
        <w:footnoteRef/>
      </w:r>
      <w:r>
        <w:rPr>
          <w:rStyle w:val="FootnoteReference"/>
          <w:vertAlign w:val="baseline"/>
        </w:rPr>
        <w:tab/>
      </w:r>
      <w:r>
        <w:rPr>
          <w:szCs w:val="18"/>
          <w:lang w:val="zh-CN"/>
        </w:rPr>
        <w:t>《</w:t>
      </w:r>
      <w:r>
        <w:rPr>
          <w:szCs w:val="18"/>
        </w:rPr>
        <w:t>1992</w:t>
      </w:r>
      <w:r>
        <w:rPr>
          <w:szCs w:val="18"/>
          <w:lang w:val="zh-CN"/>
        </w:rPr>
        <w:t>年宪法》第</w:t>
      </w:r>
      <w:r>
        <w:rPr>
          <w:szCs w:val="18"/>
        </w:rPr>
        <w:t>1</w:t>
      </w:r>
      <w:r>
        <w:rPr>
          <w:szCs w:val="18"/>
          <w:lang w:val="zh-CN"/>
        </w:rPr>
        <w:t>条、第</w:t>
      </w:r>
      <w:r>
        <w:rPr>
          <w:szCs w:val="18"/>
        </w:rPr>
        <w:t>11</w:t>
      </w:r>
      <w:r>
        <w:rPr>
          <w:szCs w:val="18"/>
        </w:rPr>
        <w:t>条</w:t>
      </w:r>
      <w:r>
        <w:rPr>
          <w:szCs w:val="18"/>
          <w:lang w:val="zh-CN"/>
        </w:rPr>
        <w:t>、第</w:t>
      </w:r>
      <w:r>
        <w:rPr>
          <w:szCs w:val="18"/>
        </w:rPr>
        <w:t>12</w:t>
      </w:r>
      <w:r>
        <w:rPr>
          <w:szCs w:val="18"/>
        </w:rPr>
        <w:t>条</w:t>
      </w:r>
      <w:r>
        <w:rPr>
          <w:szCs w:val="18"/>
          <w:lang w:val="zh-CN"/>
        </w:rPr>
        <w:t>、第</w:t>
      </w:r>
      <w:r>
        <w:rPr>
          <w:szCs w:val="18"/>
        </w:rPr>
        <w:t>14</w:t>
      </w:r>
      <w:r>
        <w:rPr>
          <w:szCs w:val="18"/>
        </w:rPr>
        <w:t>条</w:t>
      </w:r>
      <w:r>
        <w:rPr>
          <w:szCs w:val="18"/>
          <w:lang w:val="zh-CN"/>
        </w:rPr>
        <w:t>、第</w:t>
      </w:r>
      <w:r>
        <w:rPr>
          <w:szCs w:val="18"/>
        </w:rPr>
        <w:t>16</w:t>
      </w:r>
      <w:r>
        <w:rPr>
          <w:szCs w:val="18"/>
          <w:lang w:val="zh-CN"/>
        </w:rPr>
        <w:t>至</w:t>
      </w:r>
      <w:r>
        <w:rPr>
          <w:szCs w:val="18"/>
        </w:rPr>
        <w:t>19</w:t>
      </w:r>
      <w:r>
        <w:rPr>
          <w:szCs w:val="18"/>
        </w:rPr>
        <w:t>条</w:t>
      </w:r>
      <w:r>
        <w:rPr>
          <w:szCs w:val="18"/>
          <w:lang w:val="zh-CN"/>
        </w:rPr>
        <w:t>、第</w:t>
      </w:r>
      <w:r>
        <w:rPr>
          <w:szCs w:val="18"/>
        </w:rPr>
        <w:t>46</w:t>
      </w:r>
      <w:r>
        <w:rPr>
          <w:szCs w:val="18"/>
        </w:rPr>
        <w:t>条</w:t>
      </w:r>
      <w:r>
        <w:rPr>
          <w:szCs w:val="18"/>
          <w:lang w:val="zh-CN"/>
        </w:rPr>
        <w:t>、第</w:t>
      </w:r>
      <w:r>
        <w:rPr>
          <w:szCs w:val="18"/>
        </w:rPr>
        <w:t>47</w:t>
      </w:r>
      <w:r>
        <w:rPr>
          <w:szCs w:val="18"/>
        </w:rPr>
        <w:t>条</w:t>
      </w:r>
      <w:r>
        <w:rPr>
          <w:szCs w:val="18"/>
          <w:lang w:val="zh-CN"/>
        </w:rPr>
        <w:t>和第</w:t>
      </w:r>
      <w:r>
        <w:rPr>
          <w:szCs w:val="18"/>
        </w:rPr>
        <w:t>54</w:t>
      </w:r>
      <w:r>
        <w:rPr>
          <w:szCs w:val="18"/>
          <w:lang w:val="zh-CN"/>
        </w:rPr>
        <w:t>条。</w:t>
      </w:r>
    </w:p>
  </w:footnote>
  <w:footnote w:id="25">
    <w:p w:rsidR="00E45BF1" w:rsidRDefault="00E45BF1">
      <w:pPr>
        <w:pStyle w:val="FootnoteText"/>
        <w:rPr>
          <w:szCs w:val="18"/>
        </w:rPr>
      </w:pPr>
      <w:r>
        <w:rPr>
          <w:rStyle w:val="FootnoteReference"/>
          <w:vertAlign w:val="baseline"/>
        </w:rPr>
        <w:tab/>
      </w:r>
      <w:r>
        <w:rPr>
          <w:rStyle w:val="FootnoteReference"/>
        </w:rPr>
        <w:footnoteRef/>
      </w:r>
      <w:r>
        <w:rPr>
          <w:rStyle w:val="FootnoteReference"/>
          <w:vertAlign w:val="baseline"/>
        </w:rPr>
        <w:tab/>
      </w:r>
      <w:r>
        <w:rPr>
          <w:szCs w:val="18"/>
          <w:lang w:val="zh-CN"/>
        </w:rPr>
        <w:t>《美洲人权公约》</w:t>
      </w:r>
      <w:r>
        <w:rPr>
          <w:szCs w:val="18"/>
          <w:lang w:val="zh-CN"/>
        </w:rPr>
        <w:t>(</w:t>
      </w:r>
      <w:r>
        <w:rPr>
          <w:szCs w:val="18"/>
          <w:lang w:val="zh-CN"/>
        </w:rPr>
        <w:t>哥斯达黎加</w:t>
      </w:r>
      <w:r>
        <w:rPr>
          <w:rFonts w:hint="eastAsia"/>
          <w:szCs w:val="18"/>
          <w:lang w:val="zh-CN"/>
        </w:rPr>
        <w:t>《</w:t>
      </w:r>
      <w:r>
        <w:rPr>
          <w:szCs w:val="18"/>
          <w:lang w:val="zh-CN"/>
        </w:rPr>
        <w:t>圣何塞公约</w:t>
      </w:r>
      <w:r>
        <w:rPr>
          <w:rFonts w:hint="eastAsia"/>
          <w:szCs w:val="18"/>
          <w:lang w:val="zh-CN"/>
        </w:rPr>
        <w:t>》</w:t>
      </w:r>
      <w:r>
        <w:rPr>
          <w:szCs w:val="18"/>
          <w:lang w:val="zh-CN"/>
        </w:rPr>
        <w:t>)</w:t>
      </w:r>
      <w:r>
        <w:rPr>
          <w:szCs w:val="18"/>
          <w:lang w:val="zh-CN"/>
        </w:rPr>
        <w:t>第</w:t>
      </w:r>
      <w:r>
        <w:rPr>
          <w:szCs w:val="18"/>
          <w:lang w:val="zh-CN"/>
        </w:rPr>
        <w:t>8</w:t>
      </w:r>
      <w:r>
        <w:rPr>
          <w:szCs w:val="18"/>
          <w:lang w:val="zh-CN"/>
        </w:rPr>
        <w:t>条</w:t>
      </w:r>
      <w:r>
        <w:rPr>
          <w:szCs w:val="18"/>
          <w:lang w:val="zh-CN"/>
        </w:rPr>
        <w:t>(</w:t>
      </w:r>
      <w:r>
        <w:rPr>
          <w:szCs w:val="18"/>
          <w:lang w:val="zh-CN"/>
        </w:rPr>
        <w:t>巴拉圭已经通过</w:t>
      </w:r>
      <w:r>
        <w:rPr>
          <w:rFonts w:hint="eastAsia"/>
          <w:szCs w:val="18"/>
          <w:lang w:val="zh-CN"/>
        </w:rPr>
        <w:t>《</w:t>
      </w:r>
      <w:r>
        <w:rPr>
          <w:szCs w:val="18"/>
          <w:lang w:val="zh-CN"/>
        </w:rPr>
        <w:t>第</w:t>
      </w:r>
      <w:r>
        <w:rPr>
          <w:szCs w:val="18"/>
          <w:lang w:val="zh-CN"/>
        </w:rPr>
        <w:t>1/89</w:t>
      </w:r>
      <w:r>
        <w:rPr>
          <w:szCs w:val="18"/>
          <w:lang w:val="zh-CN"/>
        </w:rPr>
        <w:t>号法</w:t>
      </w:r>
      <w:r>
        <w:rPr>
          <w:rFonts w:hint="eastAsia"/>
          <w:szCs w:val="18"/>
          <w:lang w:val="zh-CN"/>
        </w:rPr>
        <w:t>案》</w:t>
      </w:r>
      <w:r>
        <w:rPr>
          <w:szCs w:val="18"/>
          <w:lang w:val="zh-CN"/>
        </w:rPr>
        <w:t>批准这一公约</w:t>
      </w:r>
      <w:r>
        <w:rPr>
          <w:szCs w:val="18"/>
          <w:lang w:val="zh-CN"/>
        </w:rPr>
        <w:t>)</w:t>
      </w:r>
      <w:r>
        <w:rPr>
          <w:szCs w:val="18"/>
          <w:lang w:val="zh-CN"/>
        </w:rPr>
        <w:t>；《公民权利和政治权利国际公约》第</w:t>
      </w:r>
      <w:r>
        <w:rPr>
          <w:szCs w:val="18"/>
          <w:lang w:val="zh-CN"/>
        </w:rPr>
        <w:t>14</w:t>
      </w:r>
      <w:r>
        <w:rPr>
          <w:szCs w:val="18"/>
          <w:lang w:val="zh-CN"/>
        </w:rPr>
        <w:t>条</w:t>
      </w:r>
      <w:r>
        <w:rPr>
          <w:szCs w:val="18"/>
          <w:lang w:val="zh-CN"/>
        </w:rPr>
        <w:t>(</w:t>
      </w:r>
      <w:r>
        <w:rPr>
          <w:szCs w:val="18"/>
          <w:lang w:val="zh-CN"/>
        </w:rPr>
        <w:t>巴拉圭已经通过</w:t>
      </w:r>
      <w:r>
        <w:rPr>
          <w:rFonts w:hint="eastAsia"/>
          <w:szCs w:val="18"/>
          <w:lang w:val="zh-CN"/>
        </w:rPr>
        <w:t>《</w:t>
      </w:r>
      <w:r>
        <w:rPr>
          <w:szCs w:val="18"/>
          <w:lang w:val="zh-CN"/>
        </w:rPr>
        <w:t>第</w:t>
      </w:r>
      <w:r>
        <w:rPr>
          <w:szCs w:val="18"/>
          <w:lang w:val="zh-CN"/>
        </w:rPr>
        <w:t>4/92</w:t>
      </w:r>
      <w:r>
        <w:rPr>
          <w:szCs w:val="18"/>
          <w:lang w:val="zh-CN"/>
        </w:rPr>
        <w:t>号法</w:t>
      </w:r>
      <w:r>
        <w:rPr>
          <w:rFonts w:hint="eastAsia"/>
          <w:szCs w:val="18"/>
          <w:lang w:val="zh-CN"/>
        </w:rPr>
        <w:t>案》</w:t>
      </w:r>
      <w:r>
        <w:rPr>
          <w:szCs w:val="18"/>
          <w:lang w:val="zh-CN"/>
        </w:rPr>
        <w:t>批准该公约</w:t>
      </w:r>
      <w:r>
        <w:rPr>
          <w:szCs w:val="18"/>
          <w:lang w:val="zh-CN"/>
        </w:rPr>
        <w:t>)</w:t>
      </w:r>
      <w:r>
        <w:rPr>
          <w:szCs w:val="18"/>
          <w:lang w:val="zh-CN"/>
        </w:rPr>
        <w:t>；《世界人权宣言》第</w:t>
      </w:r>
      <w:r>
        <w:rPr>
          <w:szCs w:val="18"/>
          <w:lang w:val="zh-CN"/>
        </w:rPr>
        <w:t>11</w:t>
      </w:r>
      <w:r>
        <w:rPr>
          <w:szCs w:val="18"/>
          <w:lang w:val="zh-CN"/>
        </w:rPr>
        <w:t>条</w:t>
      </w:r>
      <w:r>
        <w:rPr>
          <w:rFonts w:hint="eastAsia"/>
          <w:szCs w:val="18"/>
          <w:lang w:val="zh-CN"/>
        </w:rPr>
        <w:t>第</w:t>
      </w:r>
      <w:r>
        <w:rPr>
          <w:rFonts w:hint="eastAsia"/>
          <w:szCs w:val="18"/>
          <w:lang w:val="zh-CN"/>
        </w:rPr>
        <w:t>1</w:t>
      </w:r>
      <w:r>
        <w:rPr>
          <w:rFonts w:hint="eastAsia"/>
          <w:szCs w:val="18"/>
          <w:lang w:val="zh-CN"/>
        </w:rPr>
        <w:t>款</w:t>
      </w:r>
      <w:r>
        <w:rPr>
          <w:szCs w:val="18"/>
          <w:lang w:val="zh-CN"/>
        </w:rPr>
        <w:t>；《</w:t>
      </w:r>
      <w:bookmarkStart w:id="3" w:name="OLE_LINK24"/>
      <w:r>
        <w:rPr>
          <w:szCs w:val="18"/>
          <w:lang w:val="zh-CN"/>
        </w:rPr>
        <w:t>美洲关于人的权利和义务宣言</w:t>
      </w:r>
      <w:bookmarkEnd w:id="3"/>
      <w:r>
        <w:rPr>
          <w:szCs w:val="18"/>
          <w:lang w:val="zh-CN"/>
        </w:rPr>
        <w:t>》第二十六</w:t>
      </w:r>
      <w:r>
        <w:rPr>
          <w:rFonts w:hint="eastAsia"/>
          <w:szCs w:val="18"/>
          <w:lang w:val="zh-CN"/>
        </w:rPr>
        <w:t>节</w:t>
      </w:r>
      <w:r>
        <w:rPr>
          <w:szCs w:val="18"/>
          <w:lang w:val="zh-CN"/>
        </w:rPr>
        <w:t>。美洲人权法院</w:t>
      </w:r>
      <w:r>
        <w:rPr>
          <w:szCs w:val="18"/>
          <w:lang w:val="zh-CN"/>
        </w:rPr>
        <w:t>1990</w:t>
      </w:r>
      <w:r>
        <w:rPr>
          <w:szCs w:val="18"/>
          <w:lang w:val="zh-CN"/>
        </w:rPr>
        <w:t>年第</w:t>
      </w:r>
      <w:r>
        <w:rPr>
          <w:szCs w:val="18"/>
          <w:lang w:val="zh-CN"/>
        </w:rPr>
        <w:t>11</w:t>
      </w:r>
      <w:r>
        <w:rPr>
          <w:szCs w:val="18"/>
          <w:lang w:val="zh-CN"/>
        </w:rPr>
        <w:t>号咨询意见</w:t>
      </w:r>
      <w:r>
        <w:rPr>
          <w:szCs w:val="18"/>
          <w:lang w:val="zh-CN"/>
        </w:rPr>
        <w:t>(</w:t>
      </w:r>
      <w:r>
        <w:rPr>
          <w:szCs w:val="18"/>
          <w:lang w:val="zh-CN"/>
        </w:rPr>
        <w:t>美洲人权委员会</w:t>
      </w:r>
      <w:r>
        <w:rPr>
          <w:rFonts w:hint="eastAsia"/>
          <w:szCs w:val="18"/>
          <w:lang w:val="zh-CN"/>
        </w:rPr>
        <w:t>所请求</w:t>
      </w:r>
      <w:r>
        <w:rPr>
          <w:szCs w:val="18"/>
          <w:lang w:val="zh-CN"/>
        </w:rPr>
        <w:t>)</w:t>
      </w:r>
      <w:r>
        <w:rPr>
          <w:rFonts w:hint="eastAsia"/>
          <w:szCs w:val="18"/>
          <w:lang w:val="zh-CN"/>
        </w:rPr>
        <w:t>涉及</w:t>
      </w:r>
      <w:r>
        <w:rPr>
          <w:szCs w:val="18"/>
          <w:lang w:val="zh-CN"/>
        </w:rPr>
        <w:t>如何真正获得司法保护的问题。法院</w:t>
      </w:r>
      <w:r>
        <w:rPr>
          <w:rFonts w:hint="eastAsia"/>
          <w:szCs w:val="18"/>
          <w:lang w:val="zh-CN"/>
        </w:rPr>
        <w:t>裁定</w:t>
      </w:r>
      <w:r>
        <w:rPr>
          <w:szCs w:val="18"/>
          <w:lang w:val="zh-CN"/>
        </w:rPr>
        <w:t>，</w:t>
      </w:r>
      <w:r>
        <w:rPr>
          <w:rFonts w:hint="eastAsia"/>
          <w:szCs w:val="18"/>
          <w:lang w:val="zh-CN"/>
        </w:rPr>
        <w:t>两种情况将《美洲公约》要求的平等获得司法保护排除在外，经济无保障导致的歧视违反了该公约</w:t>
      </w:r>
      <w:r>
        <w:rPr>
          <w:szCs w:val="18"/>
          <w:lang w:val="zh-CN"/>
        </w:rPr>
        <w:t>(</w:t>
      </w:r>
      <w:r>
        <w:rPr>
          <w:rFonts w:hint="eastAsia"/>
          <w:szCs w:val="18"/>
          <w:lang w:val="zh-CN"/>
        </w:rPr>
        <w:t>获得公平审判机会的《巴西利亚规则》</w:t>
      </w:r>
      <w:r>
        <w:rPr>
          <w:szCs w:val="18"/>
          <w:lang w:val="zh-CN"/>
        </w:rPr>
        <w:t>第二章第二部分</w:t>
      </w:r>
      <w:r>
        <w:rPr>
          <w:szCs w:val="18"/>
          <w:lang w:val="zh-CN"/>
        </w:rPr>
        <w:t>)</w:t>
      </w:r>
      <w:r>
        <w:rPr>
          <w:szCs w:val="18"/>
          <w:lang w:val="zh-CN"/>
        </w:rPr>
        <w:t>。</w:t>
      </w:r>
    </w:p>
  </w:footnote>
  <w:footnote w:id="26">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《刑事诉讼法》</w:t>
      </w:r>
      <w:r>
        <w:rPr>
          <w:szCs w:val="18"/>
          <w:lang w:val="es-ES_tradnl"/>
        </w:rPr>
        <w:t>(</w:t>
      </w:r>
      <w:r>
        <w:rPr>
          <w:rFonts w:hint="eastAsia"/>
          <w:szCs w:val="18"/>
          <w:lang w:val="es-ES_tradnl"/>
        </w:rPr>
        <w:t>《</w:t>
      </w:r>
      <w:r>
        <w:rPr>
          <w:szCs w:val="18"/>
          <w:lang w:val="zh-CN"/>
        </w:rPr>
        <w:t>第</w:t>
      </w:r>
      <w:r>
        <w:rPr>
          <w:szCs w:val="18"/>
          <w:lang w:val="es-ES_tradnl"/>
        </w:rPr>
        <w:t>1286/98</w:t>
      </w:r>
      <w:r>
        <w:rPr>
          <w:szCs w:val="18"/>
          <w:lang w:val="zh-CN"/>
        </w:rPr>
        <w:t>号</w:t>
      </w:r>
      <w:r>
        <w:rPr>
          <w:rFonts w:hint="eastAsia"/>
          <w:szCs w:val="18"/>
          <w:lang w:val="zh-CN"/>
        </w:rPr>
        <w:t>法案》</w:t>
      </w:r>
      <w:r>
        <w:rPr>
          <w:szCs w:val="18"/>
          <w:lang w:val="zh-CN"/>
        </w:rPr>
        <w:t>第</w:t>
      </w:r>
      <w:r>
        <w:rPr>
          <w:szCs w:val="18"/>
          <w:lang w:val="es-ES_tradnl"/>
        </w:rPr>
        <w:t>6</w:t>
      </w:r>
      <w:r>
        <w:rPr>
          <w:szCs w:val="18"/>
          <w:lang w:val="zh-CN"/>
        </w:rPr>
        <w:t>条、第</w:t>
      </w:r>
      <w:r>
        <w:rPr>
          <w:szCs w:val="18"/>
          <w:lang w:val="es-ES_tradnl"/>
        </w:rPr>
        <w:t>7</w:t>
      </w:r>
      <w:r>
        <w:rPr>
          <w:szCs w:val="18"/>
          <w:lang w:val="es-ES_tradnl"/>
        </w:rPr>
        <w:t>条</w:t>
      </w:r>
      <w:r>
        <w:rPr>
          <w:szCs w:val="18"/>
          <w:lang w:val="zh-CN"/>
        </w:rPr>
        <w:t>、</w:t>
      </w:r>
      <w:r>
        <w:rPr>
          <w:szCs w:val="18"/>
          <w:lang w:val="es-ES_tradnl"/>
        </w:rPr>
        <w:t>第</w:t>
      </w:r>
      <w:r>
        <w:rPr>
          <w:szCs w:val="18"/>
          <w:lang w:val="es-ES_tradnl"/>
        </w:rPr>
        <w:t>30</w:t>
      </w:r>
      <w:r>
        <w:rPr>
          <w:szCs w:val="18"/>
          <w:lang w:val="es-ES_tradnl"/>
        </w:rPr>
        <w:t>条</w:t>
      </w:r>
      <w:r>
        <w:rPr>
          <w:szCs w:val="18"/>
          <w:lang w:val="zh-CN"/>
        </w:rPr>
        <w:t>、第</w:t>
      </w:r>
      <w:r>
        <w:rPr>
          <w:szCs w:val="18"/>
          <w:lang w:val="es-ES_tradnl"/>
        </w:rPr>
        <w:t>75</w:t>
      </w:r>
      <w:r>
        <w:rPr>
          <w:szCs w:val="18"/>
          <w:lang w:val="es-ES_tradnl"/>
        </w:rPr>
        <w:t>条</w:t>
      </w:r>
      <w:r>
        <w:rPr>
          <w:szCs w:val="18"/>
          <w:lang w:val="zh-CN"/>
        </w:rPr>
        <w:t>、第</w:t>
      </w:r>
      <w:r>
        <w:rPr>
          <w:szCs w:val="18"/>
          <w:lang w:val="es-ES_tradnl"/>
        </w:rPr>
        <w:t>97</w:t>
      </w:r>
      <w:r>
        <w:rPr>
          <w:szCs w:val="18"/>
          <w:lang w:val="es-ES_tradnl"/>
        </w:rPr>
        <w:t>条</w:t>
      </w:r>
      <w:r>
        <w:rPr>
          <w:szCs w:val="18"/>
          <w:lang w:val="zh-CN"/>
        </w:rPr>
        <w:t>、</w:t>
      </w:r>
      <w:r>
        <w:rPr>
          <w:szCs w:val="18"/>
          <w:lang w:val="es-ES_tradnl"/>
        </w:rPr>
        <w:t>第</w:t>
      </w:r>
      <w:r>
        <w:rPr>
          <w:szCs w:val="18"/>
          <w:lang w:val="es-ES_tradnl"/>
        </w:rPr>
        <w:t>100</w:t>
      </w:r>
      <w:r>
        <w:rPr>
          <w:szCs w:val="18"/>
          <w:lang w:val="es-ES_tradnl"/>
        </w:rPr>
        <w:t>条</w:t>
      </w:r>
      <w:r>
        <w:rPr>
          <w:szCs w:val="18"/>
          <w:lang w:val="zh-CN"/>
        </w:rPr>
        <w:t>、第</w:t>
      </w:r>
      <w:r>
        <w:rPr>
          <w:szCs w:val="18"/>
          <w:lang w:val="es-ES_tradnl"/>
        </w:rPr>
        <w:t>103</w:t>
      </w:r>
      <w:r>
        <w:rPr>
          <w:szCs w:val="18"/>
          <w:lang w:val="es-ES_tradnl"/>
        </w:rPr>
        <w:t>条</w:t>
      </w:r>
      <w:r>
        <w:rPr>
          <w:szCs w:val="18"/>
          <w:lang w:val="zh-CN"/>
        </w:rPr>
        <w:t>、</w:t>
      </w:r>
      <w:r>
        <w:rPr>
          <w:szCs w:val="18"/>
          <w:lang w:val="es-ES_tradnl"/>
        </w:rPr>
        <w:t>第</w:t>
      </w:r>
      <w:r>
        <w:rPr>
          <w:szCs w:val="18"/>
          <w:lang w:val="es-ES_tradnl"/>
        </w:rPr>
        <w:t>106</w:t>
      </w:r>
      <w:r>
        <w:rPr>
          <w:szCs w:val="18"/>
          <w:lang w:val="zh-CN"/>
        </w:rPr>
        <w:t>至</w:t>
      </w:r>
      <w:r>
        <w:rPr>
          <w:szCs w:val="18"/>
          <w:lang w:val="es-ES_tradnl"/>
        </w:rPr>
        <w:t>109</w:t>
      </w:r>
      <w:r>
        <w:rPr>
          <w:szCs w:val="18"/>
          <w:lang w:val="zh-CN"/>
        </w:rPr>
        <w:t>条、</w:t>
      </w:r>
      <w:r>
        <w:rPr>
          <w:szCs w:val="18"/>
          <w:lang w:val="es-ES_tradnl"/>
        </w:rPr>
        <w:t>第</w:t>
      </w:r>
      <w:r>
        <w:rPr>
          <w:szCs w:val="18"/>
          <w:lang w:val="es-ES_tradnl"/>
        </w:rPr>
        <w:t>366</w:t>
      </w:r>
      <w:r>
        <w:rPr>
          <w:szCs w:val="18"/>
          <w:lang w:val="es-ES_tradnl"/>
        </w:rPr>
        <w:t>条</w:t>
      </w:r>
      <w:r>
        <w:rPr>
          <w:szCs w:val="18"/>
          <w:lang w:val="zh-CN"/>
        </w:rPr>
        <w:t>和第</w:t>
      </w:r>
      <w:r>
        <w:rPr>
          <w:szCs w:val="18"/>
          <w:lang w:val="es-ES_tradnl"/>
        </w:rPr>
        <w:t>491</w:t>
      </w:r>
      <w:r>
        <w:rPr>
          <w:szCs w:val="18"/>
          <w:lang w:val="zh-CN"/>
        </w:rPr>
        <w:t>条</w:t>
      </w:r>
      <w:r>
        <w:rPr>
          <w:szCs w:val="18"/>
          <w:lang w:val="es-ES_tradnl"/>
        </w:rPr>
        <w:t>)</w:t>
      </w:r>
      <w:r>
        <w:rPr>
          <w:szCs w:val="18"/>
          <w:lang w:val="es-ES_tradnl"/>
        </w:rPr>
        <w:t>；</w:t>
      </w:r>
      <w:r>
        <w:rPr>
          <w:szCs w:val="18"/>
          <w:lang w:val="zh-CN"/>
        </w:rPr>
        <w:t>《儿童和未成年人法》</w:t>
      </w:r>
      <w:r>
        <w:rPr>
          <w:szCs w:val="18"/>
          <w:lang w:val="es-ES_tradnl"/>
        </w:rPr>
        <w:t>(</w:t>
      </w:r>
      <w:r>
        <w:rPr>
          <w:rFonts w:hint="eastAsia"/>
          <w:szCs w:val="18"/>
          <w:lang w:val="es-ES_tradnl"/>
        </w:rPr>
        <w:t>《</w:t>
      </w:r>
      <w:r>
        <w:rPr>
          <w:szCs w:val="18"/>
          <w:lang w:val="zh-CN"/>
        </w:rPr>
        <w:t>第</w:t>
      </w:r>
      <w:r>
        <w:rPr>
          <w:szCs w:val="18"/>
          <w:lang w:val="es-ES_tradnl"/>
        </w:rPr>
        <w:t>1680/01</w:t>
      </w:r>
      <w:r>
        <w:rPr>
          <w:szCs w:val="18"/>
          <w:lang w:val="zh-CN"/>
        </w:rPr>
        <w:t>号法</w:t>
      </w:r>
      <w:r>
        <w:rPr>
          <w:rFonts w:hint="eastAsia"/>
          <w:szCs w:val="18"/>
          <w:lang w:val="zh-CN"/>
        </w:rPr>
        <w:t>案》</w:t>
      </w:r>
      <w:r>
        <w:rPr>
          <w:szCs w:val="18"/>
          <w:lang w:val="zh-CN"/>
        </w:rPr>
        <w:t>第</w:t>
      </w:r>
      <w:r>
        <w:rPr>
          <w:szCs w:val="18"/>
          <w:lang w:val="es-ES_tradnl"/>
        </w:rPr>
        <w:t>42</w:t>
      </w:r>
      <w:r>
        <w:rPr>
          <w:szCs w:val="18"/>
          <w:lang w:val="zh-CN"/>
        </w:rPr>
        <w:t>条、第</w:t>
      </w:r>
      <w:r>
        <w:rPr>
          <w:szCs w:val="18"/>
          <w:lang w:val="es-ES_tradnl"/>
        </w:rPr>
        <w:t>162</w:t>
      </w:r>
      <w:r>
        <w:rPr>
          <w:szCs w:val="18"/>
          <w:lang w:val="es-ES_tradnl"/>
        </w:rPr>
        <w:t>条</w:t>
      </w:r>
      <w:r>
        <w:rPr>
          <w:szCs w:val="18"/>
          <w:lang w:val="zh-CN"/>
        </w:rPr>
        <w:t>和第</w:t>
      </w:r>
      <w:r>
        <w:rPr>
          <w:szCs w:val="18"/>
          <w:lang w:val="es-ES_tradnl"/>
        </w:rPr>
        <w:t>163</w:t>
      </w:r>
      <w:r>
        <w:rPr>
          <w:szCs w:val="18"/>
          <w:lang w:val="zh-CN"/>
        </w:rPr>
        <w:t>条</w:t>
      </w:r>
      <w:r>
        <w:rPr>
          <w:szCs w:val="18"/>
          <w:lang w:val="es-ES_tradnl"/>
        </w:rPr>
        <w:t>)</w:t>
      </w:r>
      <w:r>
        <w:rPr>
          <w:szCs w:val="18"/>
          <w:lang w:val="es-ES_tradnl"/>
        </w:rPr>
        <w:t>；</w:t>
      </w:r>
      <w:r>
        <w:rPr>
          <w:szCs w:val="18"/>
          <w:lang w:val="zh-CN"/>
        </w:rPr>
        <w:t>《刑法典》</w:t>
      </w:r>
      <w:r>
        <w:rPr>
          <w:szCs w:val="18"/>
          <w:lang w:val="es-ES_tradnl"/>
        </w:rPr>
        <w:t>(</w:t>
      </w:r>
      <w:r>
        <w:rPr>
          <w:rFonts w:hint="eastAsia"/>
          <w:szCs w:val="18"/>
          <w:lang w:val="es-ES_tradnl"/>
        </w:rPr>
        <w:t>《</w:t>
      </w:r>
      <w:r>
        <w:rPr>
          <w:szCs w:val="18"/>
          <w:lang w:val="zh-CN"/>
        </w:rPr>
        <w:t>第</w:t>
      </w:r>
      <w:r>
        <w:rPr>
          <w:szCs w:val="18"/>
          <w:lang w:val="es-ES_tradnl"/>
        </w:rPr>
        <w:t>1160/97</w:t>
      </w:r>
      <w:r>
        <w:rPr>
          <w:szCs w:val="18"/>
          <w:lang w:val="zh-CN"/>
        </w:rPr>
        <w:t>号法</w:t>
      </w:r>
      <w:r>
        <w:rPr>
          <w:rFonts w:hint="eastAsia"/>
          <w:szCs w:val="18"/>
          <w:lang w:val="zh-CN"/>
        </w:rPr>
        <w:t>案》</w:t>
      </w:r>
      <w:r>
        <w:rPr>
          <w:szCs w:val="18"/>
          <w:lang w:val="es-ES_tradnl"/>
        </w:rPr>
        <w:t>)</w:t>
      </w:r>
      <w:r>
        <w:rPr>
          <w:rFonts w:hint="eastAsia"/>
          <w:szCs w:val="18"/>
          <w:lang w:val="es-ES_tradnl"/>
        </w:rPr>
        <w:t>，列出了应加惩罚的罪行及相应的惩罚</w:t>
      </w:r>
      <w:r>
        <w:rPr>
          <w:rFonts w:hint="eastAsia"/>
          <w:szCs w:val="18"/>
          <w:lang w:val="zh-CN"/>
        </w:rPr>
        <w:t>，适用于需要辩护者</w:t>
      </w:r>
      <w:r>
        <w:rPr>
          <w:szCs w:val="18"/>
          <w:lang w:val="es-ES_tradnl"/>
        </w:rPr>
        <w:t>；</w:t>
      </w:r>
      <w:r>
        <w:rPr>
          <w:szCs w:val="18"/>
          <w:lang w:val="zh-CN"/>
        </w:rPr>
        <w:t>《民法典》</w:t>
      </w:r>
      <w:r>
        <w:rPr>
          <w:rFonts w:hint="eastAsia"/>
          <w:szCs w:val="18"/>
          <w:lang w:val="zh-CN"/>
        </w:rPr>
        <w:t>可适用于</w:t>
      </w:r>
      <w:r>
        <w:rPr>
          <w:szCs w:val="18"/>
          <w:lang w:val="zh-CN"/>
        </w:rPr>
        <w:t>需要</w:t>
      </w:r>
      <w:r>
        <w:rPr>
          <w:rFonts w:hint="eastAsia"/>
          <w:szCs w:val="18"/>
          <w:lang w:val="zh-CN"/>
        </w:rPr>
        <w:t>公社辩护人帮助的原告</w:t>
      </w:r>
      <w:r>
        <w:rPr>
          <w:szCs w:val="18"/>
          <w:lang w:val="zh-CN"/>
        </w:rPr>
        <w:t>。</w:t>
      </w:r>
    </w:p>
  </w:footnote>
  <w:footnote w:id="27">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最高法院第</w:t>
      </w:r>
      <w:r>
        <w:rPr>
          <w:szCs w:val="18"/>
          <w:lang w:val="zh-CN"/>
        </w:rPr>
        <w:t>85/98</w:t>
      </w:r>
      <w:r>
        <w:rPr>
          <w:szCs w:val="18"/>
          <w:lang w:val="zh-CN"/>
        </w:rPr>
        <w:t>号</w:t>
      </w:r>
      <w:r>
        <w:rPr>
          <w:rFonts w:hint="eastAsia"/>
          <w:szCs w:val="18"/>
          <w:lang w:val="zh-CN"/>
        </w:rPr>
        <w:t>决定</w:t>
      </w:r>
      <w:r>
        <w:rPr>
          <w:szCs w:val="18"/>
          <w:lang w:val="zh-CN"/>
        </w:rPr>
        <w:t>对</w:t>
      </w:r>
      <w:r>
        <w:rPr>
          <w:rFonts w:hint="eastAsia"/>
          <w:szCs w:val="18"/>
          <w:lang w:val="zh-CN"/>
        </w:rPr>
        <w:t>根据《</w:t>
      </w:r>
      <w:r>
        <w:rPr>
          <w:szCs w:val="18"/>
          <w:lang w:val="zh-CN"/>
        </w:rPr>
        <w:t>第</w:t>
      </w:r>
      <w:r>
        <w:rPr>
          <w:szCs w:val="18"/>
          <w:lang w:val="zh-CN"/>
        </w:rPr>
        <w:t>1227/97</w:t>
      </w:r>
      <w:r>
        <w:rPr>
          <w:szCs w:val="18"/>
          <w:lang w:val="zh-CN"/>
        </w:rPr>
        <w:t>号法</w:t>
      </w:r>
      <w:r>
        <w:rPr>
          <w:rFonts w:hint="eastAsia"/>
          <w:szCs w:val="18"/>
          <w:lang w:val="zh-CN"/>
        </w:rPr>
        <w:t>案》设立的职位做了规定</w:t>
      </w:r>
      <w:r>
        <w:rPr>
          <w:szCs w:val="18"/>
          <w:lang w:val="zh-CN"/>
        </w:rPr>
        <w:t>。</w:t>
      </w:r>
    </w:p>
  </w:footnote>
  <w:footnote w:id="28">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附上已交付议会的法案。</w:t>
      </w:r>
    </w:p>
  </w:footnote>
  <w:footnote w:id="29">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巴拉圭共和国的官方语言为西班牙语和瓜拉尼语。</w:t>
      </w:r>
    </w:p>
  </w:footnote>
  <w:footnote w:id="30">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巴拉圭法院发出的决议中援引了《公约》。</w:t>
      </w:r>
      <w:r>
        <w:rPr>
          <w:rFonts w:hint="eastAsia"/>
          <w:szCs w:val="18"/>
          <w:lang w:val="zh-CN"/>
        </w:rPr>
        <w:t>亚松森</w:t>
      </w:r>
      <w:r>
        <w:rPr>
          <w:szCs w:val="18"/>
          <w:lang w:val="zh-CN"/>
        </w:rPr>
        <w:t>民事和商业上诉法院</w:t>
      </w:r>
      <w:r>
        <w:rPr>
          <w:rFonts w:hint="eastAsia"/>
          <w:szCs w:val="18"/>
          <w:lang w:val="zh-CN"/>
        </w:rPr>
        <w:t>第三分庭</w:t>
      </w:r>
      <w:r>
        <w:rPr>
          <w:szCs w:val="18"/>
          <w:lang w:val="zh-CN"/>
        </w:rPr>
        <w:t>于</w:t>
      </w:r>
      <w:r>
        <w:rPr>
          <w:szCs w:val="18"/>
          <w:lang w:val="zh-CN"/>
        </w:rPr>
        <w:t>2008</w:t>
      </w:r>
      <w:r>
        <w:rPr>
          <w:szCs w:val="18"/>
          <w:lang w:val="zh-CN"/>
        </w:rPr>
        <w:t>年</w:t>
      </w:r>
      <w:r>
        <w:rPr>
          <w:szCs w:val="18"/>
          <w:lang w:val="zh-CN"/>
        </w:rPr>
        <w:t>8</w:t>
      </w:r>
      <w:r>
        <w:rPr>
          <w:szCs w:val="18"/>
          <w:lang w:val="zh-CN"/>
        </w:rPr>
        <w:t>月发布的</w:t>
      </w:r>
      <w:r>
        <w:rPr>
          <w:szCs w:val="18"/>
          <w:lang w:val="zh-CN"/>
        </w:rPr>
        <w:t>A.I.</w:t>
      </w:r>
      <w:r>
        <w:rPr>
          <w:szCs w:val="18"/>
          <w:lang w:val="zh-CN"/>
        </w:rPr>
        <w:t>第</w:t>
      </w:r>
      <w:r>
        <w:rPr>
          <w:szCs w:val="18"/>
          <w:lang w:val="zh-CN"/>
        </w:rPr>
        <w:t>731</w:t>
      </w:r>
      <w:r>
        <w:rPr>
          <w:szCs w:val="18"/>
          <w:lang w:val="zh-CN"/>
        </w:rPr>
        <w:t>号文。亚松森</w:t>
      </w:r>
      <w:r>
        <w:rPr>
          <w:rFonts w:hint="eastAsia"/>
          <w:szCs w:val="18"/>
          <w:lang w:val="zh-CN"/>
        </w:rPr>
        <w:t>审计法院</w:t>
      </w:r>
      <w:r>
        <w:rPr>
          <w:szCs w:val="18"/>
          <w:lang w:val="zh-CN"/>
        </w:rPr>
        <w:t>第二</w:t>
      </w:r>
      <w:r>
        <w:rPr>
          <w:rFonts w:hint="eastAsia"/>
          <w:szCs w:val="18"/>
          <w:lang w:val="zh-CN"/>
        </w:rPr>
        <w:t>分庭</w:t>
      </w:r>
      <w:r>
        <w:rPr>
          <w:szCs w:val="18"/>
          <w:lang w:val="zh-CN"/>
        </w:rPr>
        <w:t>于</w:t>
      </w:r>
      <w:smartTag w:uri="urn:schemas-microsoft-com:office:smarttags" w:element="chsdate">
        <w:smartTagPr>
          <w:attr w:name="IsROCDate" w:val="False"/>
          <w:attr w:name="IsLunarDate" w:val="False"/>
          <w:attr w:name="Day" w:val="28"/>
          <w:attr w:name="Month" w:val="7"/>
          <w:attr w:name="Year" w:val="2010"/>
        </w:smartTagPr>
        <w:r>
          <w:rPr>
            <w:szCs w:val="18"/>
            <w:lang w:val="zh-CN"/>
          </w:rPr>
          <w:t>2010</w:t>
        </w:r>
        <w:r>
          <w:rPr>
            <w:szCs w:val="18"/>
            <w:lang w:val="zh-CN"/>
          </w:rPr>
          <w:t>年</w:t>
        </w:r>
        <w:r>
          <w:rPr>
            <w:szCs w:val="18"/>
            <w:lang w:val="zh-CN"/>
          </w:rPr>
          <w:t>7</w:t>
        </w:r>
        <w:r>
          <w:rPr>
            <w:szCs w:val="18"/>
            <w:lang w:val="zh-CN"/>
          </w:rPr>
          <w:t>月</w:t>
        </w:r>
        <w:r>
          <w:rPr>
            <w:szCs w:val="18"/>
            <w:lang w:val="zh-CN"/>
          </w:rPr>
          <w:t>28</w:t>
        </w:r>
        <w:r>
          <w:rPr>
            <w:szCs w:val="18"/>
            <w:lang w:val="zh-CN"/>
          </w:rPr>
          <w:t>日</w:t>
        </w:r>
      </w:smartTag>
      <w:r>
        <w:rPr>
          <w:szCs w:val="18"/>
          <w:lang w:val="zh-CN"/>
        </w:rPr>
        <w:t>发布的</w:t>
      </w:r>
      <w:r>
        <w:rPr>
          <w:szCs w:val="18"/>
          <w:lang w:val="zh-CN"/>
        </w:rPr>
        <w:t>A.I.</w:t>
      </w:r>
      <w:r>
        <w:rPr>
          <w:szCs w:val="18"/>
          <w:lang w:val="zh-CN"/>
        </w:rPr>
        <w:t>第</w:t>
      </w:r>
      <w:r>
        <w:rPr>
          <w:szCs w:val="18"/>
          <w:lang w:val="zh-CN"/>
        </w:rPr>
        <w:t>108</w:t>
      </w:r>
      <w:r>
        <w:rPr>
          <w:szCs w:val="18"/>
          <w:lang w:val="zh-CN"/>
        </w:rPr>
        <w:t>号文。</w:t>
      </w:r>
    </w:p>
  </w:footnote>
  <w:footnote w:id="31">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《司法道德守则》，第</w:t>
      </w:r>
      <w:r>
        <w:rPr>
          <w:szCs w:val="18"/>
          <w:lang w:val="zh-CN"/>
        </w:rPr>
        <w:t>28</w:t>
      </w:r>
      <w:r>
        <w:rPr>
          <w:szCs w:val="18"/>
          <w:lang w:val="zh-CN"/>
        </w:rPr>
        <w:t>至</w:t>
      </w:r>
      <w:r>
        <w:rPr>
          <w:szCs w:val="18"/>
          <w:lang w:val="zh-CN"/>
        </w:rPr>
        <w:t>34</w:t>
      </w:r>
      <w:r>
        <w:rPr>
          <w:szCs w:val="18"/>
          <w:lang w:val="zh-CN"/>
        </w:rPr>
        <w:t>条。</w:t>
      </w:r>
    </w:p>
  </w:footnote>
  <w:footnote w:id="32">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认为三年来</w:t>
      </w:r>
      <w:r>
        <w:rPr>
          <w:szCs w:val="18"/>
          <w:lang w:val="pt-PT"/>
        </w:rPr>
        <w:t>，</w:t>
      </w:r>
      <w:r>
        <w:rPr>
          <w:szCs w:val="18"/>
          <w:lang w:val="zh-CN"/>
        </w:rPr>
        <w:t>每天平均</w:t>
      </w:r>
      <w:r>
        <w:rPr>
          <w:rFonts w:hint="eastAsia"/>
          <w:szCs w:val="18"/>
          <w:lang w:val="zh-CN"/>
        </w:rPr>
        <w:t>有</w:t>
      </w:r>
      <w:r>
        <w:rPr>
          <w:szCs w:val="18"/>
          <w:lang w:val="pt-PT"/>
        </w:rPr>
        <w:t>100</w:t>
      </w:r>
      <w:r>
        <w:rPr>
          <w:rFonts w:hint="eastAsia"/>
          <w:szCs w:val="18"/>
          <w:lang w:val="pt-PT"/>
        </w:rPr>
        <w:t>名参与者</w:t>
      </w:r>
      <w:r>
        <w:rPr>
          <w:szCs w:val="18"/>
          <w:lang w:val="zh-CN"/>
        </w:rPr>
        <w:t>。</w:t>
      </w:r>
    </w:p>
  </w:footnote>
  <w:footnote w:id="33">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《残疾人权利公约》、《巴西利亚规则》等。</w:t>
      </w:r>
    </w:p>
  </w:footnote>
  <w:footnote w:id="34">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附上最高法院院长提交的表明最高法院</w:t>
      </w:r>
      <w:r>
        <w:rPr>
          <w:rFonts w:hint="eastAsia"/>
          <w:szCs w:val="18"/>
          <w:lang w:val="zh-CN"/>
        </w:rPr>
        <w:t>支持</w:t>
      </w:r>
      <w:r>
        <w:rPr>
          <w:szCs w:val="18"/>
          <w:lang w:val="zh-CN"/>
        </w:rPr>
        <w:t>该</w:t>
      </w:r>
      <w:r>
        <w:rPr>
          <w:rFonts w:hint="eastAsia"/>
          <w:szCs w:val="18"/>
          <w:lang w:val="zh-CN"/>
        </w:rPr>
        <w:t>法案</w:t>
      </w:r>
      <w:r>
        <w:rPr>
          <w:szCs w:val="18"/>
          <w:lang w:val="zh-CN"/>
        </w:rPr>
        <w:t>的说明</w:t>
      </w:r>
      <w:r>
        <w:rPr>
          <w:rFonts w:hint="eastAsia"/>
          <w:szCs w:val="18"/>
          <w:lang w:val="zh-CN"/>
        </w:rPr>
        <w:t>的</w:t>
      </w:r>
      <w:r>
        <w:rPr>
          <w:szCs w:val="18"/>
          <w:lang w:val="zh-CN"/>
        </w:rPr>
        <w:t>副本</w:t>
      </w:r>
      <w:r>
        <w:rPr>
          <w:rFonts w:hint="eastAsia"/>
          <w:szCs w:val="18"/>
          <w:lang w:val="zh-CN"/>
        </w:rPr>
        <w:t>。</w:t>
      </w:r>
    </w:p>
  </w:footnote>
  <w:footnote w:id="35">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附上《语言法》草案</w:t>
      </w:r>
      <w:r>
        <w:rPr>
          <w:rFonts w:hint="eastAsia"/>
          <w:szCs w:val="18"/>
          <w:lang w:val="zh-CN"/>
        </w:rPr>
        <w:t>副本</w:t>
      </w:r>
      <w:r>
        <w:rPr>
          <w:szCs w:val="18"/>
          <w:lang w:val="zh-CN"/>
        </w:rPr>
        <w:t>。该草案目前</w:t>
      </w:r>
      <w:r>
        <w:rPr>
          <w:rFonts w:hint="eastAsia"/>
          <w:szCs w:val="18"/>
          <w:lang w:val="zh-CN"/>
        </w:rPr>
        <w:t>正国会</w:t>
      </w:r>
      <w:r>
        <w:rPr>
          <w:szCs w:val="18"/>
          <w:lang w:val="zh-CN"/>
        </w:rPr>
        <w:t>审议。</w:t>
      </w:r>
    </w:p>
  </w:footnote>
  <w:footnote w:id="36">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这些新建的建筑包括</w:t>
      </w:r>
      <w:r>
        <w:rPr>
          <w:szCs w:val="18"/>
        </w:rPr>
        <w:t>：</w:t>
      </w:r>
      <w:r>
        <w:rPr>
          <w:szCs w:val="18"/>
          <w:lang w:val="zh-CN"/>
        </w:rPr>
        <w:t>圣胡</w:t>
      </w:r>
      <w:r>
        <w:rPr>
          <w:rFonts w:ascii="SimSun" w:hAnsi="SimSun"/>
          <w:szCs w:val="18"/>
          <w:lang w:val="zh-CN"/>
        </w:rPr>
        <w:t>安</w:t>
      </w:r>
      <w:r>
        <w:rPr>
          <w:rFonts w:ascii="SimSun" w:hAnsi="SimSun"/>
          <w:szCs w:val="18"/>
        </w:rPr>
        <w:t>·</w:t>
      </w:r>
      <w:r>
        <w:rPr>
          <w:rFonts w:ascii="SimSun" w:hAnsi="SimSun"/>
          <w:szCs w:val="18"/>
          <w:lang w:val="zh-CN"/>
        </w:rPr>
        <w:t>巴乌蒂斯塔</w:t>
      </w:r>
      <w:r>
        <w:rPr>
          <w:rFonts w:ascii="SimSun" w:hAnsi="SimSun"/>
          <w:szCs w:val="18"/>
        </w:rPr>
        <w:t>·</w:t>
      </w:r>
      <w:r>
        <w:rPr>
          <w:rFonts w:ascii="SimSun" w:hAnsi="SimSun"/>
          <w:szCs w:val="18"/>
          <w:lang w:val="zh-CN"/>
        </w:rPr>
        <w:t>米</w:t>
      </w:r>
      <w:r>
        <w:rPr>
          <w:szCs w:val="18"/>
          <w:lang w:val="zh-CN"/>
        </w:rPr>
        <w:t>西奥内斯大楼</w:t>
      </w:r>
      <w:r>
        <w:rPr>
          <w:szCs w:val="18"/>
        </w:rPr>
        <w:t>、</w:t>
      </w:r>
      <w:r>
        <w:rPr>
          <w:szCs w:val="18"/>
          <w:lang w:val="zh-CN"/>
        </w:rPr>
        <w:t>比利亚里卡大楼</w:t>
      </w:r>
      <w:r>
        <w:rPr>
          <w:szCs w:val="18"/>
        </w:rPr>
        <w:t>、</w:t>
      </w:r>
      <w:r>
        <w:rPr>
          <w:szCs w:val="18"/>
          <w:lang w:val="zh-CN"/>
        </w:rPr>
        <w:t>奥维多上校大楼</w:t>
      </w:r>
      <w:r>
        <w:rPr>
          <w:szCs w:val="18"/>
        </w:rPr>
        <w:t>、</w:t>
      </w:r>
      <w:r>
        <w:rPr>
          <w:szCs w:val="18"/>
          <w:lang w:val="zh-CN"/>
        </w:rPr>
        <w:t>卡阿萨帕大楼</w:t>
      </w:r>
      <w:r>
        <w:rPr>
          <w:szCs w:val="18"/>
        </w:rPr>
        <w:t>、</w:t>
      </w:r>
      <w:r>
        <w:rPr>
          <w:szCs w:val="18"/>
          <w:lang w:val="zh-CN"/>
        </w:rPr>
        <w:t>佩德</w:t>
      </w:r>
      <w:r>
        <w:rPr>
          <w:rFonts w:ascii="SimSun" w:hAnsi="SimSun"/>
          <w:szCs w:val="18"/>
          <w:lang w:val="zh-CN"/>
        </w:rPr>
        <w:t>罗·胡安·卡瓦列</w:t>
      </w:r>
      <w:r>
        <w:rPr>
          <w:szCs w:val="18"/>
          <w:lang w:val="zh-CN"/>
        </w:rPr>
        <w:t>罗大楼</w:t>
      </w:r>
      <w:r>
        <w:rPr>
          <w:szCs w:val="18"/>
        </w:rPr>
        <w:t>、</w:t>
      </w:r>
      <w:r>
        <w:rPr>
          <w:szCs w:val="18"/>
          <w:lang w:val="zh-CN"/>
        </w:rPr>
        <w:t>巴拉瓜大楼</w:t>
      </w:r>
      <w:r>
        <w:rPr>
          <w:szCs w:val="18"/>
        </w:rPr>
        <w:t>、</w:t>
      </w:r>
      <w:r>
        <w:rPr>
          <w:szCs w:val="18"/>
          <w:lang w:val="zh-CN"/>
        </w:rPr>
        <w:t>康塞普西翁大楼</w:t>
      </w:r>
      <w:r>
        <w:rPr>
          <w:szCs w:val="18"/>
        </w:rPr>
        <w:t>、</w:t>
      </w:r>
      <w:r>
        <w:rPr>
          <w:szCs w:val="18"/>
          <w:lang w:val="zh-CN"/>
        </w:rPr>
        <w:t>亚松森北塔和里程碑大楼。</w:t>
      </w:r>
    </w:p>
  </w:footnote>
  <w:footnote w:id="37">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附上《巴西利亚规则》和</w:t>
      </w:r>
      <w:smartTag w:uri="urn:schemas-microsoft-com:office:smarttags" w:element="chsdate">
        <w:smartTagPr>
          <w:attr w:name="IsROCDate" w:val="False"/>
          <w:attr w:name="IsLunarDate" w:val="False"/>
          <w:attr w:name="Day" w:val="1"/>
          <w:attr w:name="Month" w:val="6"/>
          <w:attr w:name="Year" w:val="2010"/>
        </w:smartTagPr>
        <w:r>
          <w:rPr>
            <w:szCs w:val="18"/>
          </w:rPr>
          <w:t>2010</w:t>
        </w:r>
        <w:r>
          <w:rPr>
            <w:szCs w:val="18"/>
            <w:lang w:val="zh-CN"/>
          </w:rPr>
          <w:t>年</w:t>
        </w:r>
        <w:r>
          <w:rPr>
            <w:szCs w:val="18"/>
          </w:rPr>
          <w:t>6</w:t>
        </w:r>
        <w:r>
          <w:rPr>
            <w:szCs w:val="18"/>
            <w:lang w:val="zh-CN"/>
          </w:rPr>
          <w:t>月</w:t>
        </w:r>
        <w:r>
          <w:rPr>
            <w:szCs w:val="18"/>
          </w:rPr>
          <w:t>1</w:t>
        </w:r>
        <w:r>
          <w:rPr>
            <w:szCs w:val="18"/>
            <w:lang w:val="zh-CN"/>
          </w:rPr>
          <w:t>日</w:t>
        </w:r>
      </w:smartTag>
      <w:r>
        <w:rPr>
          <w:szCs w:val="18"/>
          <w:lang w:val="zh-CN"/>
        </w:rPr>
        <w:t>的第</w:t>
      </w:r>
      <w:r>
        <w:rPr>
          <w:szCs w:val="18"/>
        </w:rPr>
        <w:t>633</w:t>
      </w:r>
      <w:r>
        <w:rPr>
          <w:szCs w:val="18"/>
          <w:lang w:val="zh-CN"/>
        </w:rPr>
        <w:t>号</w:t>
      </w:r>
      <w:r>
        <w:rPr>
          <w:rFonts w:hint="eastAsia"/>
          <w:szCs w:val="18"/>
          <w:lang w:val="zh-CN"/>
        </w:rPr>
        <w:t>决议</w:t>
      </w:r>
      <w:r>
        <w:rPr>
          <w:szCs w:val="18"/>
          <w:lang w:val="zh-CN"/>
        </w:rPr>
        <w:t>。</w:t>
      </w:r>
    </w:p>
  </w:footnote>
  <w:footnote w:id="38">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这类人群包括儿童、</w:t>
      </w:r>
      <w:r>
        <w:rPr>
          <w:rFonts w:hint="eastAsia"/>
          <w:szCs w:val="18"/>
          <w:lang w:val="zh-CN"/>
        </w:rPr>
        <w:t>青少年</w:t>
      </w:r>
      <w:r>
        <w:rPr>
          <w:szCs w:val="18"/>
          <w:lang w:val="zh-CN"/>
        </w:rPr>
        <w:t>和老人。</w:t>
      </w:r>
    </w:p>
  </w:footnote>
  <w:footnote w:id="39">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该讲习班于</w:t>
      </w:r>
      <w:smartTag w:uri="urn:schemas-microsoft-com:office:smarttags" w:element="chsdate">
        <w:smartTagPr>
          <w:attr w:name="IsROCDate" w:val="False"/>
          <w:attr w:name="IsLunarDate" w:val="False"/>
          <w:attr w:name="Day" w:val="11"/>
          <w:attr w:name="Month" w:val="7"/>
          <w:attr w:name="Year" w:val="2007"/>
        </w:smartTagPr>
        <w:r>
          <w:rPr>
            <w:szCs w:val="18"/>
            <w:lang w:val="zh-CN"/>
          </w:rPr>
          <w:t>2007</w:t>
        </w:r>
        <w:r>
          <w:rPr>
            <w:szCs w:val="18"/>
            <w:lang w:val="zh-CN"/>
          </w:rPr>
          <w:t>年</w:t>
        </w:r>
        <w:r>
          <w:rPr>
            <w:szCs w:val="18"/>
            <w:lang w:val="zh-CN"/>
          </w:rPr>
          <w:t>7</w:t>
        </w:r>
        <w:r>
          <w:rPr>
            <w:szCs w:val="18"/>
            <w:lang w:val="zh-CN"/>
          </w:rPr>
          <w:t>月</w:t>
        </w:r>
        <w:r>
          <w:rPr>
            <w:szCs w:val="18"/>
            <w:lang w:val="zh-CN"/>
          </w:rPr>
          <w:t>11</w:t>
        </w:r>
        <w:r>
          <w:rPr>
            <w:szCs w:val="18"/>
            <w:lang w:val="zh-CN"/>
          </w:rPr>
          <w:t>日</w:t>
        </w:r>
      </w:smartTag>
      <w:r>
        <w:rPr>
          <w:szCs w:val="18"/>
          <w:lang w:val="zh-CN"/>
        </w:rPr>
        <w:t>至</w:t>
      </w:r>
      <w:r>
        <w:rPr>
          <w:szCs w:val="18"/>
          <w:lang w:val="zh-CN"/>
        </w:rPr>
        <w:t>12</w:t>
      </w:r>
      <w:r>
        <w:rPr>
          <w:szCs w:val="18"/>
          <w:lang w:val="zh-CN"/>
        </w:rPr>
        <w:t>日授课。</w:t>
      </w:r>
    </w:p>
  </w:footnote>
  <w:footnote w:id="40">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运动</w:t>
      </w:r>
      <w:r>
        <w:rPr>
          <w:szCs w:val="18"/>
          <w:lang w:val="zh-CN"/>
        </w:rPr>
        <w:t>对象包括残疾妇女和女童。</w:t>
      </w:r>
    </w:p>
  </w:footnote>
  <w:footnote w:id="41">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第</w:t>
      </w:r>
      <w:r>
        <w:rPr>
          <w:szCs w:val="18"/>
          <w:lang w:val="zh-CN"/>
        </w:rPr>
        <w:t>60/97</w:t>
      </w:r>
      <w:r>
        <w:rPr>
          <w:szCs w:val="18"/>
          <w:lang w:val="zh-CN"/>
        </w:rPr>
        <w:t>号和第</w:t>
      </w:r>
      <w:r>
        <w:rPr>
          <w:szCs w:val="18"/>
          <w:lang w:val="zh-CN"/>
        </w:rPr>
        <w:t>182/00</w:t>
      </w:r>
      <w:r>
        <w:rPr>
          <w:szCs w:val="18"/>
          <w:lang w:val="zh-CN"/>
        </w:rPr>
        <w:t>号</w:t>
      </w:r>
      <w:r>
        <w:rPr>
          <w:rFonts w:hint="eastAsia"/>
          <w:szCs w:val="18"/>
          <w:lang w:val="zh-CN"/>
        </w:rPr>
        <w:t>裁决</w:t>
      </w:r>
      <w:r>
        <w:rPr>
          <w:szCs w:val="18"/>
          <w:lang w:val="zh-CN"/>
        </w:rPr>
        <w:t>请见附</w:t>
      </w:r>
      <w:r>
        <w:rPr>
          <w:rFonts w:hint="eastAsia"/>
          <w:szCs w:val="18"/>
          <w:lang w:val="zh-CN"/>
        </w:rPr>
        <w:t>件</w:t>
      </w:r>
      <w:r>
        <w:rPr>
          <w:szCs w:val="18"/>
          <w:lang w:val="zh-CN"/>
        </w:rPr>
        <w:t>。</w:t>
      </w:r>
    </w:p>
  </w:footnote>
  <w:footnote w:id="42">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精神障碍残疾人应理解为有心理健康问题的人。</w:t>
      </w:r>
    </w:p>
  </w:footnote>
  <w:footnote w:id="43">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虽然已</w:t>
      </w:r>
      <w:r>
        <w:rPr>
          <w:rFonts w:hint="eastAsia"/>
          <w:szCs w:val="18"/>
          <w:lang w:val="zh-CN"/>
        </w:rPr>
        <w:t>起草</w:t>
      </w:r>
      <w:r>
        <w:rPr>
          <w:szCs w:val="18"/>
          <w:lang w:val="zh-CN"/>
        </w:rPr>
        <w:t>消除一切形式歧视法草案</w:t>
      </w:r>
      <w:r>
        <w:rPr>
          <w:szCs w:val="18"/>
        </w:rPr>
        <w:t>，</w:t>
      </w:r>
      <w:r>
        <w:rPr>
          <w:szCs w:val="18"/>
          <w:lang w:val="zh-CN"/>
        </w:rPr>
        <w:t>但该草案目前还在等待参议院各委员会的</w:t>
      </w:r>
      <w:r>
        <w:rPr>
          <w:rFonts w:hint="eastAsia"/>
          <w:szCs w:val="18"/>
          <w:lang w:val="zh-CN"/>
        </w:rPr>
        <w:t>核准</w:t>
      </w:r>
      <w:r>
        <w:rPr>
          <w:szCs w:val="18"/>
          <w:lang w:val="zh-CN"/>
        </w:rPr>
        <w:t>。</w:t>
      </w:r>
    </w:p>
  </w:footnote>
  <w:footnote w:id="44">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rFonts w:hint="eastAsia"/>
          <w:szCs w:val="18"/>
          <w:lang w:val="zh-CN"/>
        </w:rPr>
        <w:t>应指出</w:t>
      </w:r>
      <w:r>
        <w:rPr>
          <w:szCs w:val="18"/>
          <w:lang w:val="zh-CN"/>
        </w:rPr>
        <w:t>，全国特殊人士保护研究所隶属于教育和文化部。</w:t>
      </w:r>
    </w:p>
  </w:footnote>
  <w:footnote w:id="45">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通过全纳教育总局和全国特殊人士保护研究所实施。</w:t>
      </w:r>
    </w:p>
  </w:footnote>
  <w:footnote w:id="46">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这些课程通过全国特殊人士保护研究所和国家职业促进局的双向合作协议具体实施。</w:t>
      </w:r>
    </w:p>
  </w:footnote>
  <w:footnote w:id="47">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按</w:t>
      </w:r>
      <w:r>
        <w:rPr>
          <w:szCs w:val="18"/>
        </w:rPr>
        <w:t>1</w:t>
      </w:r>
      <w:r>
        <w:rPr>
          <w:szCs w:val="18"/>
          <w:lang w:val="zh-CN"/>
        </w:rPr>
        <w:t>美元兑换</w:t>
      </w:r>
      <w:r>
        <w:rPr>
          <w:szCs w:val="18"/>
        </w:rPr>
        <w:t>4,785</w:t>
      </w:r>
      <w:r>
        <w:rPr>
          <w:szCs w:val="18"/>
          <w:lang w:val="zh-CN"/>
        </w:rPr>
        <w:t>瓜拉尼计算</w:t>
      </w:r>
      <w:r>
        <w:rPr>
          <w:szCs w:val="18"/>
        </w:rPr>
        <w:t>，</w:t>
      </w:r>
      <w:r>
        <w:rPr>
          <w:szCs w:val="18"/>
          <w:lang w:val="zh-CN"/>
        </w:rPr>
        <w:t>相当于</w:t>
      </w:r>
      <w:r>
        <w:rPr>
          <w:szCs w:val="18"/>
        </w:rPr>
        <w:t>1</w:t>
      </w:r>
      <w:r>
        <w:rPr>
          <w:szCs w:val="18"/>
          <w:lang w:val="zh-CN"/>
        </w:rPr>
        <w:t>亿至</w:t>
      </w:r>
      <w:r>
        <w:rPr>
          <w:szCs w:val="18"/>
        </w:rPr>
        <w:t>4</w:t>
      </w:r>
      <w:r>
        <w:rPr>
          <w:szCs w:val="18"/>
          <w:lang w:val="zh-CN"/>
        </w:rPr>
        <w:t>亿瓜拉尼。</w:t>
      </w:r>
    </w:p>
  </w:footnote>
  <w:footnote w:id="48">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卡瓜苏省</w:t>
      </w:r>
      <w:r>
        <w:rPr>
          <w:szCs w:val="18"/>
        </w:rPr>
        <w:t>：</w:t>
      </w:r>
      <w:r>
        <w:rPr>
          <w:szCs w:val="18"/>
          <w:lang w:val="zh-CN"/>
        </w:rPr>
        <w:t>雷帕特丽亚西翁市</w:t>
      </w:r>
      <w:r>
        <w:rPr>
          <w:szCs w:val="18"/>
        </w:rPr>
        <w:t>；</w:t>
      </w:r>
      <w:r>
        <w:rPr>
          <w:szCs w:val="18"/>
          <w:lang w:val="zh-CN"/>
        </w:rPr>
        <w:t>卡萨帕省</w:t>
      </w:r>
      <w:r>
        <w:rPr>
          <w:szCs w:val="18"/>
        </w:rPr>
        <w:t>：</w:t>
      </w:r>
      <w:r>
        <w:rPr>
          <w:szCs w:val="18"/>
          <w:lang w:val="zh-CN"/>
        </w:rPr>
        <w:t>莫里尼格将军市</w:t>
      </w:r>
      <w:r>
        <w:rPr>
          <w:szCs w:val="18"/>
        </w:rPr>
        <w:t>；</w:t>
      </w:r>
      <w:r>
        <w:rPr>
          <w:szCs w:val="18"/>
          <w:lang w:val="zh-CN"/>
        </w:rPr>
        <w:t>米西奥内斯省：阿约拉斯市</w:t>
      </w:r>
      <w:r>
        <w:rPr>
          <w:szCs w:val="18"/>
        </w:rPr>
        <w:t>；</w:t>
      </w:r>
      <w:r>
        <w:rPr>
          <w:szCs w:val="18"/>
          <w:lang w:val="zh-CN"/>
        </w:rPr>
        <w:t>圣佩德罗省</w:t>
      </w:r>
      <w:r>
        <w:rPr>
          <w:szCs w:val="18"/>
        </w:rPr>
        <w:t>：</w:t>
      </w:r>
      <w:r>
        <w:rPr>
          <w:szCs w:val="18"/>
          <w:lang w:val="zh-CN"/>
        </w:rPr>
        <w:t>乔雷市。</w:t>
      </w:r>
    </w:p>
  </w:footnote>
  <w:footnote w:id="49">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这五处家庭式精神卫生院分别设在米西奥内斯省的林比奥、卢克和圣伊格纳西奥</w:t>
      </w:r>
      <w:r>
        <w:rPr>
          <w:szCs w:val="18"/>
        </w:rPr>
        <w:t>，</w:t>
      </w:r>
      <w:r>
        <w:rPr>
          <w:szCs w:val="18"/>
          <w:lang w:val="zh-CN"/>
        </w:rPr>
        <w:t>及亚松森市的哈拉区</w:t>
      </w:r>
      <w:r>
        <w:rPr>
          <w:szCs w:val="18"/>
        </w:rPr>
        <w:t>(2</w:t>
      </w:r>
      <w:r>
        <w:rPr>
          <w:szCs w:val="18"/>
          <w:lang w:val="zh-CN"/>
        </w:rPr>
        <w:t>处</w:t>
      </w:r>
      <w:r>
        <w:rPr>
          <w:szCs w:val="18"/>
        </w:rPr>
        <w:t>)</w:t>
      </w:r>
      <w:r>
        <w:rPr>
          <w:szCs w:val="18"/>
          <w:lang w:val="zh-CN"/>
        </w:rPr>
        <w:t>。</w:t>
      </w:r>
    </w:p>
  </w:footnote>
  <w:footnote w:id="50">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中心只提供精神卫生方面的治疗，其工作时间为</w:t>
      </w:r>
      <w:r>
        <w:rPr>
          <w:rFonts w:hint="eastAsia"/>
          <w:szCs w:val="18"/>
          <w:lang w:val="zh-CN"/>
        </w:rPr>
        <w:t>上午</w:t>
      </w:r>
      <w:r>
        <w:rPr>
          <w:szCs w:val="18"/>
          <w:lang w:val="zh-CN"/>
        </w:rPr>
        <w:t>8</w:t>
      </w:r>
      <w:r>
        <w:rPr>
          <w:rFonts w:hint="eastAsia"/>
          <w:szCs w:val="18"/>
          <w:lang w:val="zh-CN"/>
        </w:rPr>
        <w:t>点</w:t>
      </w:r>
      <w:r>
        <w:rPr>
          <w:szCs w:val="18"/>
          <w:lang w:val="zh-CN"/>
        </w:rPr>
        <w:t>至</w:t>
      </w:r>
      <w:r>
        <w:rPr>
          <w:rFonts w:hint="eastAsia"/>
          <w:szCs w:val="18"/>
          <w:lang w:val="zh-CN"/>
        </w:rPr>
        <w:t>下午</w:t>
      </w:r>
      <w:r>
        <w:rPr>
          <w:rFonts w:hint="eastAsia"/>
          <w:szCs w:val="18"/>
          <w:lang w:val="zh-CN"/>
        </w:rPr>
        <w:t>5</w:t>
      </w:r>
      <w:r>
        <w:rPr>
          <w:rFonts w:hint="eastAsia"/>
          <w:szCs w:val="18"/>
          <w:lang w:val="zh-CN"/>
        </w:rPr>
        <w:t>点</w:t>
      </w:r>
      <w:r>
        <w:rPr>
          <w:szCs w:val="18"/>
          <w:lang w:val="zh-CN"/>
        </w:rPr>
        <w:t>。</w:t>
      </w:r>
    </w:p>
  </w:footnote>
  <w:footnote w:id="51">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该中心得到了</w:t>
      </w:r>
      <w:r>
        <w:rPr>
          <w:rFonts w:hint="eastAsia"/>
          <w:szCs w:val="18"/>
          <w:lang w:val="zh-CN"/>
        </w:rPr>
        <w:t>“</w:t>
      </w:r>
      <w:r>
        <w:rPr>
          <w:rFonts w:ascii="SimSun" w:hAnsi="SimSun"/>
          <w:szCs w:val="18"/>
          <w:lang w:val="zh-CN"/>
        </w:rPr>
        <w:t>门诺</w:t>
      </w:r>
      <w:r>
        <w:rPr>
          <w:rFonts w:ascii="SimSun" w:hAnsi="SimSun" w:hint="eastAsia"/>
          <w:szCs w:val="18"/>
          <w:lang w:val="zh-CN"/>
        </w:rPr>
        <w:t>派</w:t>
      </w:r>
      <w:r>
        <w:rPr>
          <w:rFonts w:ascii="SimSun" w:hAnsi="SimSun"/>
          <w:szCs w:val="18"/>
          <w:lang w:val="zh-CN"/>
        </w:rPr>
        <w:t>志愿者服务</w:t>
      </w:r>
      <w:r>
        <w:rPr>
          <w:rFonts w:ascii="SimSun" w:hAnsi="SimSun" w:hint="eastAsia"/>
          <w:szCs w:val="18"/>
          <w:lang w:val="zh-CN"/>
        </w:rPr>
        <w:t>社</w:t>
      </w:r>
      <w:r>
        <w:rPr>
          <w:rFonts w:hint="eastAsia"/>
          <w:szCs w:val="18"/>
          <w:lang w:val="zh-CN"/>
        </w:rPr>
        <w:t>”</w:t>
      </w:r>
      <w:r>
        <w:rPr>
          <w:rFonts w:ascii="SimSun" w:hAnsi="SimSun"/>
          <w:szCs w:val="18"/>
          <w:lang w:val="zh-CN"/>
        </w:rPr>
        <w:t>的</w:t>
      </w:r>
      <w:r>
        <w:rPr>
          <w:szCs w:val="18"/>
          <w:lang w:val="zh-CN"/>
        </w:rPr>
        <w:t>支持。</w:t>
      </w:r>
    </w:p>
  </w:footnote>
  <w:footnote w:id="52">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rPr>
        <w:t>APS</w:t>
      </w:r>
      <w:r>
        <w:rPr>
          <w:szCs w:val="18"/>
          <w:lang w:val="zh-CN"/>
        </w:rPr>
        <w:t>、</w:t>
      </w:r>
      <w:r>
        <w:rPr>
          <w:rFonts w:hint="eastAsia"/>
          <w:szCs w:val="18"/>
          <w:lang w:val="zh-CN"/>
        </w:rPr>
        <w:t>“</w:t>
      </w:r>
      <w:r>
        <w:rPr>
          <w:rFonts w:ascii="SimSun" w:hAnsi="SimSun"/>
          <w:szCs w:val="18"/>
          <w:lang w:val="zh-CN"/>
        </w:rPr>
        <w:t>萨拉基</w:t>
      </w:r>
      <w:r>
        <w:rPr>
          <w:rFonts w:hint="eastAsia"/>
          <w:szCs w:val="18"/>
          <w:lang w:val="zh-CN"/>
        </w:rPr>
        <w:t>”</w:t>
      </w:r>
      <w:r>
        <w:rPr>
          <w:szCs w:val="18"/>
          <w:lang w:val="zh-CN"/>
        </w:rPr>
        <w:t>基金会、</w:t>
      </w:r>
      <w:r>
        <w:rPr>
          <w:szCs w:val="18"/>
        </w:rPr>
        <w:t>APAPAP</w:t>
      </w:r>
      <w:r>
        <w:rPr>
          <w:szCs w:val="18"/>
          <w:lang w:val="zh-CN"/>
        </w:rPr>
        <w:t>、互助基金、发展信息和资源中心、巴拉圭盲人组织等。</w:t>
      </w:r>
    </w:p>
  </w:footnote>
  <w:footnote w:id="53">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关于公共职能部门的</w:t>
      </w:r>
      <w:r>
        <w:rPr>
          <w:rFonts w:hint="eastAsia"/>
          <w:szCs w:val="18"/>
          <w:lang w:val="zh-CN"/>
        </w:rPr>
        <w:t>《</w:t>
      </w:r>
      <w:r>
        <w:rPr>
          <w:szCs w:val="18"/>
          <w:lang w:val="zh-CN"/>
        </w:rPr>
        <w:t>第</w:t>
      </w:r>
      <w:r>
        <w:rPr>
          <w:szCs w:val="18"/>
        </w:rPr>
        <w:t>1626/00</w:t>
      </w:r>
      <w:r>
        <w:rPr>
          <w:szCs w:val="18"/>
          <w:lang w:val="zh-CN"/>
        </w:rPr>
        <w:t>号法</w:t>
      </w:r>
      <w:r>
        <w:rPr>
          <w:rFonts w:hint="eastAsia"/>
          <w:szCs w:val="18"/>
          <w:lang w:val="zh-CN"/>
        </w:rPr>
        <w:t>案》豁免</w:t>
      </w:r>
      <w:r>
        <w:rPr>
          <w:szCs w:val="18"/>
          <w:lang w:val="zh-CN"/>
        </w:rPr>
        <w:t>公共职能部门</w:t>
      </w:r>
      <w:r>
        <w:rPr>
          <w:rFonts w:hint="eastAsia"/>
          <w:szCs w:val="18"/>
          <w:lang w:val="zh-CN"/>
        </w:rPr>
        <w:t>负责人</w:t>
      </w:r>
      <w:r>
        <w:rPr>
          <w:szCs w:val="18"/>
          <w:lang w:val="zh-CN"/>
        </w:rPr>
        <w:t>的处罚</w:t>
      </w:r>
      <w:r>
        <w:rPr>
          <w:szCs w:val="18"/>
        </w:rPr>
        <w:t>，</w:t>
      </w:r>
      <w:r>
        <w:rPr>
          <w:rFonts w:hint="eastAsia"/>
          <w:szCs w:val="18"/>
          <w:lang w:val="zh-CN"/>
        </w:rPr>
        <w:t>使得《</w:t>
      </w:r>
      <w:r>
        <w:rPr>
          <w:szCs w:val="18"/>
          <w:lang w:val="zh-CN"/>
        </w:rPr>
        <w:t>第</w:t>
      </w:r>
      <w:r>
        <w:rPr>
          <w:szCs w:val="18"/>
        </w:rPr>
        <w:t>2479/04</w:t>
      </w:r>
      <w:r>
        <w:rPr>
          <w:szCs w:val="18"/>
          <w:lang w:val="zh-CN"/>
        </w:rPr>
        <w:t>号法</w:t>
      </w:r>
      <w:r>
        <w:rPr>
          <w:rFonts w:hint="eastAsia"/>
          <w:szCs w:val="18"/>
          <w:lang w:val="zh-CN"/>
        </w:rPr>
        <w:t>案》</w:t>
      </w:r>
      <w:r>
        <w:rPr>
          <w:szCs w:val="18"/>
          <w:lang w:val="zh-CN"/>
        </w:rPr>
        <w:t>第</w:t>
      </w:r>
      <w:r>
        <w:rPr>
          <w:szCs w:val="18"/>
        </w:rPr>
        <w:t>4</w:t>
      </w:r>
      <w:r>
        <w:rPr>
          <w:szCs w:val="18"/>
          <w:lang w:val="zh-CN"/>
        </w:rPr>
        <w:t>条的修</w:t>
      </w:r>
      <w:r>
        <w:rPr>
          <w:rFonts w:hint="eastAsia"/>
          <w:szCs w:val="18"/>
          <w:lang w:val="zh-CN"/>
        </w:rPr>
        <w:t>定所</w:t>
      </w:r>
      <w:r>
        <w:rPr>
          <w:szCs w:val="18"/>
          <w:lang w:val="zh-CN"/>
        </w:rPr>
        <w:t>规定的处罚措施无法执行。</w:t>
      </w:r>
    </w:p>
  </w:footnote>
  <w:footnote w:id="54">
    <w:p w:rsidR="00E45BF1" w:rsidRDefault="00E45BF1">
      <w:pPr>
        <w:pStyle w:val="FootnoteText"/>
      </w:pPr>
      <w:r>
        <w:rPr>
          <w:rStyle w:val="FootnoteReference"/>
          <w:vertAlign w:val="baseline"/>
        </w:rPr>
        <w:tab/>
      </w:r>
      <w:r>
        <w:rPr>
          <w:rStyle w:val="FootnoteReference"/>
        </w:rPr>
        <w:footnoteRef/>
      </w:r>
      <w:r>
        <w:rPr>
          <w:rStyle w:val="FootnoteReference"/>
          <w:vertAlign w:val="baseline"/>
        </w:rPr>
        <w:tab/>
      </w:r>
      <w:r>
        <w:rPr>
          <w:szCs w:val="18"/>
          <w:lang w:val="zh-CN"/>
        </w:rPr>
        <w:t>包括</w:t>
      </w:r>
      <w:r>
        <w:rPr>
          <w:szCs w:val="18"/>
          <w:lang w:val="zh-CN"/>
        </w:rPr>
        <w:t>176</w:t>
      </w:r>
      <w:r>
        <w:rPr>
          <w:szCs w:val="18"/>
        </w:rPr>
        <w:t>,</w:t>
      </w:r>
      <w:r>
        <w:rPr>
          <w:szCs w:val="18"/>
          <w:lang w:val="zh-CN"/>
        </w:rPr>
        <w:t>404</w:t>
      </w:r>
      <w:r>
        <w:rPr>
          <w:szCs w:val="18"/>
          <w:lang w:val="zh-CN"/>
        </w:rPr>
        <w:t>名永久岗位和</w:t>
      </w:r>
      <w:r>
        <w:rPr>
          <w:szCs w:val="18"/>
          <w:lang w:val="zh-CN"/>
        </w:rPr>
        <w:t>36</w:t>
      </w:r>
      <w:r>
        <w:rPr>
          <w:szCs w:val="18"/>
        </w:rPr>
        <w:t>,</w:t>
      </w:r>
      <w:r>
        <w:rPr>
          <w:szCs w:val="18"/>
          <w:lang w:val="zh-CN"/>
        </w:rPr>
        <w:t>834</w:t>
      </w:r>
      <w:r>
        <w:rPr>
          <w:szCs w:val="18"/>
          <w:lang w:val="zh-CN"/>
        </w:rPr>
        <w:t>名签约岗位员工。</w:t>
      </w:r>
    </w:p>
  </w:footnote>
  <w:footnote w:id="55">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即现在的国家住房和人居</w:t>
      </w:r>
      <w:r>
        <w:rPr>
          <w:rFonts w:hint="eastAsia"/>
          <w:szCs w:val="18"/>
          <w:lang w:val="zh-CN"/>
        </w:rPr>
        <w:t>秘书处</w:t>
      </w:r>
      <w:r>
        <w:rPr>
          <w:szCs w:val="18"/>
          <w:lang w:val="zh-CN"/>
        </w:rPr>
        <w:t>。</w:t>
      </w:r>
    </w:p>
  </w:footnote>
  <w:footnote w:id="56">
    <w:p w:rsidR="00E45BF1" w:rsidRDefault="00E45BF1">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rFonts w:hint="eastAsia"/>
          <w:szCs w:val="18"/>
        </w:rPr>
        <w:t>《</w:t>
      </w:r>
      <w:r>
        <w:rPr>
          <w:szCs w:val="18"/>
          <w:lang w:val="zh-CN"/>
        </w:rPr>
        <w:t>第</w:t>
      </w:r>
      <w:r>
        <w:rPr>
          <w:szCs w:val="18"/>
          <w:lang w:val="zh-CN"/>
        </w:rPr>
        <w:t>34/92</w:t>
      </w:r>
      <w:r>
        <w:rPr>
          <w:szCs w:val="18"/>
          <w:lang w:val="zh-CN"/>
        </w:rPr>
        <w:t>号法</w:t>
      </w:r>
      <w:r>
        <w:rPr>
          <w:rFonts w:hint="eastAsia"/>
          <w:szCs w:val="18"/>
          <w:lang w:val="zh-CN"/>
        </w:rPr>
        <w:t>案》</w:t>
      </w:r>
      <w:r>
        <w:rPr>
          <w:szCs w:val="18"/>
          <w:lang w:val="zh-CN"/>
        </w:rPr>
        <w:t>，第</w:t>
      </w:r>
      <w:r>
        <w:rPr>
          <w:szCs w:val="18"/>
          <w:lang w:val="zh-CN"/>
        </w:rPr>
        <w:t>2</w:t>
      </w:r>
      <w:r>
        <w:rPr>
          <w:szCs w:val="18"/>
          <w:lang w:val="zh-CN"/>
        </w:rPr>
        <w:t>条。</w:t>
      </w:r>
    </w:p>
  </w:footnote>
  <w:footnote w:id="57">
    <w:p w:rsidR="00E45BF1" w:rsidRDefault="00E45BF1">
      <w:pPr>
        <w:pStyle w:val="FootnoteText"/>
        <w:spacing w:line="220" w:lineRule="exac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共有</w:t>
      </w:r>
      <w:r>
        <w:rPr>
          <w:szCs w:val="18"/>
          <w:lang w:val="zh-CN"/>
        </w:rPr>
        <w:t>22</w:t>
      </w:r>
      <w:r>
        <w:rPr>
          <w:szCs w:val="18"/>
        </w:rPr>
        <w:t>,</w:t>
      </w:r>
      <w:r>
        <w:rPr>
          <w:szCs w:val="18"/>
          <w:lang w:val="zh-CN"/>
        </w:rPr>
        <w:t>542</w:t>
      </w:r>
      <w:r>
        <w:rPr>
          <w:szCs w:val="18"/>
          <w:lang w:val="zh-CN"/>
        </w:rPr>
        <w:t>名男性残疾人和</w:t>
      </w:r>
      <w:r>
        <w:rPr>
          <w:szCs w:val="18"/>
          <w:lang w:val="zh-CN"/>
        </w:rPr>
        <w:t>22</w:t>
      </w:r>
      <w:r>
        <w:rPr>
          <w:szCs w:val="18"/>
        </w:rPr>
        <w:t>,</w:t>
      </w:r>
      <w:r>
        <w:rPr>
          <w:szCs w:val="18"/>
          <w:lang w:val="zh-CN"/>
        </w:rPr>
        <w:t>131</w:t>
      </w:r>
      <w:r>
        <w:rPr>
          <w:szCs w:val="18"/>
          <w:lang w:val="zh-CN"/>
        </w:rPr>
        <w:t>名女性残疾人。</w:t>
      </w:r>
    </w:p>
  </w:footnote>
  <w:footnote w:id="58">
    <w:p w:rsidR="00E45BF1" w:rsidRDefault="00E45BF1">
      <w:pPr>
        <w:pStyle w:val="FootnoteText"/>
        <w:spacing w:line="220" w:lineRule="exact"/>
        <w:rPr>
          <w:rFonts w:hint="eastAsia"/>
        </w:rPr>
      </w:pPr>
      <w:r>
        <w:rPr>
          <w:rStyle w:val="FootnoteReference"/>
          <w:vertAlign w:val="baseline"/>
        </w:rPr>
        <w:tab/>
      </w:r>
      <w:r>
        <w:rPr>
          <w:rStyle w:val="FootnoteReference"/>
        </w:rPr>
        <w:footnoteRef/>
      </w:r>
      <w:r>
        <w:rPr>
          <w:rStyle w:val="FootnoteReference"/>
          <w:vertAlign w:val="baseline"/>
        </w:rPr>
        <w:tab/>
      </w:r>
      <w:r>
        <w:rPr>
          <w:szCs w:val="18"/>
          <w:lang w:val="zh-CN"/>
        </w:rPr>
        <w:t>中央省</w:t>
      </w:r>
      <w:r>
        <w:rPr>
          <w:rFonts w:hint="eastAsia"/>
          <w:szCs w:val="18"/>
          <w:lang w:val="zh-CN"/>
        </w:rPr>
        <w:t>省</w:t>
      </w:r>
      <w:r>
        <w:rPr>
          <w:szCs w:val="18"/>
          <w:lang w:val="zh-CN"/>
        </w:rPr>
        <w:t>政府通过该省卫生部参与调查。</w:t>
      </w:r>
    </w:p>
  </w:footnote>
  <w:footnote w:id="59">
    <w:p w:rsidR="00E45BF1" w:rsidRPr="006545E6" w:rsidRDefault="00E45BF1">
      <w:pPr>
        <w:pStyle w:val="FootnoteText"/>
        <w:spacing w:line="220" w:lineRule="exact"/>
        <w:rPr>
          <w:rFonts w:hint="eastAsia"/>
          <w:spacing w:val="-10"/>
        </w:rPr>
      </w:pPr>
      <w:r>
        <w:rPr>
          <w:rStyle w:val="FootnoteReference"/>
          <w:vertAlign w:val="baseline"/>
        </w:rPr>
        <w:tab/>
      </w:r>
      <w:r>
        <w:rPr>
          <w:rStyle w:val="FootnoteReference"/>
        </w:rPr>
        <w:footnoteRef/>
      </w:r>
      <w:r>
        <w:rPr>
          <w:rStyle w:val="FootnoteReference"/>
          <w:vertAlign w:val="baseline"/>
        </w:rPr>
        <w:tab/>
      </w:r>
      <w:r w:rsidRPr="006545E6">
        <w:rPr>
          <w:spacing w:val="-7"/>
          <w:szCs w:val="18"/>
          <w:lang w:val="zh-CN"/>
        </w:rPr>
        <w:t>更多信息请见</w:t>
      </w:r>
      <w:r w:rsidRPr="006545E6">
        <w:rPr>
          <w:spacing w:val="-7"/>
          <w:szCs w:val="18"/>
        </w:rPr>
        <w:t>：</w:t>
      </w:r>
      <w:r w:rsidRPr="006545E6">
        <w:rPr>
          <w:spacing w:val="-7"/>
          <w:szCs w:val="18"/>
        </w:rPr>
        <w:t>www.snpp.edu.py/v2/index.php?option=com_content&amp;view=article&amp;id=205&amp;</w:t>
      </w:r>
      <w:r w:rsidRPr="006545E6">
        <w:rPr>
          <w:rFonts w:hint="eastAsia"/>
          <w:spacing w:val="-7"/>
          <w:szCs w:val="18"/>
        </w:rPr>
        <w:t xml:space="preserve"> </w:t>
      </w:r>
      <w:r w:rsidRPr="006545E6">
        <w:rPr>
          <w:spacing w:val="-7"/>
          <w:szCs w:val="18"/>
        </w:rPr>
        <w:t>Itemid=87</w:t>
      </w:r>
      <w:r w:rsidRPr="006545E6">
        <w:rPr>
          <w:spacing w:val="-7"/>
          <w:szCs w:val="18"/>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pPr>
      <w:pStyle w:val="Header"/>
    </w:pPr>
    <w:r>
      <w:t>CRPD/C/PRY/1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pPr>
      <w:pStyle w:val="Header"/>
      <w:jc w:val="right"/>
      <w:rPr>
        <w:rFonts w:hint="eastAsia"/>
        <w:lang w:eastAsia="zh-CN"/>
      </w:rPr>
    </w:pPr>
    <w:r>
      <w:rPr>
        <w:lang w:eastAsia="zh-CN"/>
      </w:rPr>
      <w:t>CRPD/C/PRY/1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F1" w:rsidRDefault="00E45BF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FB5"/>
    <w:multiLevelType w:val="hybridMultilevel"/>
    <w:tmpl w:val="B5F4F976"/>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D14897"/>
    <w:multiLevelType w:val="multilevel"/>
    <w:tmpl w:val="0409001D"/>
    <w:styleLink w:val="2"/>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8884106"/>
    <w:multiLevelType w:val="hybridMultilevel"/>
    <w:tmpl w:val="698EEB4A"/>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0871BCF"/>
    <w:multiLevelType w:val="hybridMultilevel"/>
    <w:tmpl w:val="275A1682"/>
    <w:lvl w:ilvl="0" w:tplc="FAE4B37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CDC3AA7"/>
    <w:multiLevelType w:val="hybridMultilevel"/>
    <w:tmpl w:val="BB401DFE"/>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F2432FD"/>
    <w:multiLevelType w:val="hybridMultilevel"/>
    <w:tmpl w:val="AF2A8C9A"/>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11A7890"/>
    <w:multiLevelType w:val="hybridMultilevel"/>
    <w:tmpl w:val="151405B6"/>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D61441"/>
    <w:multiLevelType w:val="hybridMultilevel"/>
    <w:tmpl w:val="47B09220"/>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5F836DB"/>
    <w:multiLevelType w:val="hybridMultilevel"/>
    <w:tmpl w:val="4828740E"/>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A7743B"/>
    <w:multiLevelType w:val="hybridMultilevel"/>
    <w:tmpl w:val="165289D8"/>
    <w:lvl w:ilvl="0" w:tplc="76844022">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A1D78D6"/>
    <w:multiLevelType w:val="hybridMultilevel"/>
    <w:tmpl w:val="18C0C7D6"/>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7A558B"/>
    <w:multiLevelType w:val="hybridMultilevel"/>
    <w:tmpl w:val="B5C49FF2"/>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6741460"/>
    <w:multiLevelType w:val="hybridMultilevel"/>
    <w:tmpl w:val="A1DA9EF2"/>
    <w:lvl w:ilvl="0" w:tplc="B03C90C0">
      <w:start w:val="1"/>
      <w:numFmt w:val="lowerLetter"/>
      <w:lvlRestart w:val="0"/>
      <w:lvlText w:val="(%1)"/>
      <w:lvlJc w:val="left"/>
      <w:pPr>
        <w:tabs>
          <w:tab w:val="num" w:pos="2426"/>
        </w:tabs>
        <w:ind w:left="1134" w:firstLine="431"/>
      </w:pPr>
      <w:rPr>
        <w:rFonts w:ascii="Times New Roman" w:eastAsia="SimSun" w:hAnsi="Times New Roman" w:hint="default"/>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15"/>
  </w:num>
  <w:num w:numId="3">
    <w:abstractNumId w:val="3"/>
  </w:num>
  <w:num w:numId="4">
    <w:abstractNumId w:val="16"/>
  </w:num>
  <w:num w:numId="5">
    <w:abstractNumId w:val="11"/>
  </w:num>
  <w:num w:numId="6">
    <w:abstractNumId w:val="19"/>
  </w:num>
  <w:num w:numId="7">
    <w:abstractNumId w:val="17"/>
  </w:num>
  <w:num w:numId="8">
    <w:abstractNumId w:val="13"/>
  </w:num>
  <w:num w:numId="9">
    <w:abstractNumId w:val="5"/>
  </w:num>
  <w:num w:numId="10">
    <w:abstractNumId w:val="8"/>
  </w:num>
  <w:num w:numId="11">
    <w:abstractNumId w:val="2"/>
  </w:num>
  <w:num w:numId="12">
    <w:abstractNumId w:val="14"/>
  </w:num>
  <w:num w:numId="13">
    <w:abstractNumId w:val="4"/>
  </w:num>
  <w:num w:numId="14">
    <w:abstractNumId w:val="0"/>
  </w:num>
  <w:num w:numId="15">
    <w:abstractNumId w:val="12"/>
  </w:num>
  <w:num w:numId="16">
    <w:abstractNumId w:val="18"/>
  </w:num>
  <w:num w:numId="17">
    <w:abstractNumId w:val="6"/>
  </w:num>
  <w:num w:numId="18">
    <w:abstractNumId w:val="7"/>
  </w:num>
  <w:num w:numId="19">
    <w:abstractNumId w:val="9"/>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173"/>
    <w:rsid w:val="00403173"/>
    <w:rsid w:val="0051428B"/>
    <w:rsid w:val="00637DAF"/>
    <w:rsid w:val="006545E6"/>
    <w:rsid w:val="00B53B3D"/>
    <w:rsid w:val="00B83EC3"/>
    <w:rsid w:val="00DA7251"/>
    <w:rsid w:val="00E45B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pPr>
    <w:rPr>
      <w:lang w:val="fr-CH"/>
    </w:rPr>
  </w:style>
  <w:style w:type="paragraph" w:styleId="FootnoteText">
    <w:name w:val="footnote text"/>
    <w:aliases w:val="5_G,Footnote reference,FA Fu,Footnote Text Char Char Char Char Char,Footnote Text Char Char Char Char,Footnote Text Char1,Footnote Text Char Char,Footnote Text Char"/>
    <w:basedOn w:val="Normal"/>
    <w:link w:val="FootnoteTextChar2"/>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s-ES" w:eastAsia="es-ES"/>
    </w:rPr>
  </w:style>
  <w:style w:type="character" w:customStyle="1" w:styleId="FootnoteTextChar2">
    <w:name w:val="Footnote Text Char2"/>
    <w:aliases w:val="5_G Char,Footnote reference Char,FA Fu Char,Footnote Text Char Char Char Char Char Char,Footnote Text Char Char Char Char Char1,Footnote Text Char1 Char,Footnote Text Char Char Char,Footnote Text Char Char1"/>
    <w:link w:val="FootnoteText"/>
    <w:semiHidden/>
    <w:rPr>
      <w:rFonts w:eastAsia="SimSun"/>
      <w:snapToGrid w:val="0"/>
      <w:sz w:val="18"/>
      <w:lang w:val="en-US" w:eastAsia="zh-CN" w:bidi="ar-SA"/>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s-ES" w:eastAsia="es-ES"/>
    </w:rPr>
  </w:style>
  <w:style w:type="character" w:customStyle="1" w:styleId="H23GCar">
    <w:name w:val="_ H_2/3_G Car"/>
    <w:link w:val="H23G"/>
    <w:rPr>
      <w:b/>
      <w:lang w:val="es-ES" w:eastAsia="es-ES" w:bidi="ar-SA"/>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s-ES" w:eastAsia="es-ES"/>
    </w:rPr>
  </w:style>
  <w:style w:type="paragraph" w:customStyle="1" w:styleId="H23G">
    <w:name w:val="_ H_2/3_G"/>
    <w:basedOn w:val="Normal"/>
    <w:next w:val="Normal"/>
    <w:link w:val="H23GCar"/>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s-ES" w:eastAsia="es-E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s-ES" w:eastAsia="es-E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s-ES" w:eastAsia="es-ES"/>
    </w:rPr>
  </w:style>
  <w:style w:type="paragraph" w:customStyle="1" w:styleId="SingleTxtG">
    <w:name w:val="_ Single Txt_G"/>
    <w:basedOn w:val="Normal"/>
    <w:link w:val="SingleTxtGCar"/>
    <w:pPr>
      <w:tabs>
        <w:tab w:val="clear" w:pos="431"/>
      </w:tabs>
      <w:overflowPunct/>
      <w:adjustRightInd/>
      <w:snapToGrid/>
      <w:spacing w:after="120" w:line="240" w:lineRule="atLeast"/>
      <w:ind w:left="1134" w:right="1134"/>
    </w:pPr>
    <w:rPr>
      <w:snapToGrid/>
      <w:sz w:val="20"/>
      <w:lang w:val="es-ES" w:eastAsia="es-E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s-ES" w:eastAsia="es-ES"/>
    </w:rPr>
  </w:style>
  <w:style w:type="paragraph" w:customStyle="1" w:styleId="SLG">
    <w:name w:val="__S_L_G"/>
    <w:basedOn w:val="Normal"/>
    <w:next w:val="Normal"/>
    <w:pPr>
      <w:keepNext/>
      <w:keepLines/>
      <w:tabs>
        <w:tab w:val="clear" w:pos="431"/>
      </w:tabs>
      <w:overflowPunct/>
      <w:adjustRightInd/>
      <w:snapToGrid/>
      <w:spacing w:before="240" w:after="240" w:line="580" w:lineRule="exact"/>
      <w:ind w:left="1134" w:right="1134"/>
      <w:jc w:val="left"/>
    </w:pPr>
    <w:rPr>
      <w:b/>
      <w:snapToGrid/>
      <w:sz w:val="56"/>
      <w:lang w:val="es-ES" w:eastAsia="es-ES"/>
    </w:rPr>
  </w:style>
  <w:style w:type="paragraph" w:customStyle="1" w:styleId="SSG">
    <w:name w:val="__S_S_G"/>
    <w:basedOn w:val="Normal"/>
    <w:next w:val="Normal"/>
    <w:pPr>
      <w:keepNext/>
      <w:keepLines/>
      <w:tabs>
        <w:tab w:val="clear" w:pos="431"/>
      </w:tabs>
      <w:overflowPunct/>
      <w:adjustRightInd/>
      <w:snapToGrid/>
      <w:spacing w:before="240" w:after="240" w:line="300" w:lineRule="exact"/>
      <w:ind w:left="1134" w:right="1134"/>
      <w:jc w:val="left"/>
    </w:pPr>
    <w:rPr>
      <w:b/>
      <w:snapToGrid/>
      <w:sz w:val="28"/>
      <w:lang w:val="es-ES" w:eastAsia="es-ES"/>
    </w:rPr>
  </w:style>
  <w:style w:type="paragraph" w:customStyle="1" w:styleId="XLargeG">
    <w:name w:val="__XLarge_G"/>
    <w:basedOn w:val="Normal"/>
    <w:next w:val="Normal"/>
    <w:pPr>
      <w:keepNext/>
      <w:keepLines/>
      <w:tabs>
        <w:tab w:val="clear" w:pos="431"/>
      </w:tabs>
      <w:overflowPunct/>
      <w:adjustRightInd/>
      <w:snapToGrid/>
      <w:spacing w:before="240" w:after="240" w:line="420" w:lineRule="exact"/>
      <w:ind w:left="1134" w:right="1134"/>
      <w:jc w:val="left"/>
    </w:pPr>
    <w:rPr>
      <w:b/>
      <w:snapToGrid/>
      <w:sz w:val="40"/>
      <w:lang w:val="es-ES" w:eastAsia="es-ES"/>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6"/>
      </w:numPr>
    </w:pPr>
  </w:style>
  <w:style w:type="numbering" w:styleId="1ai">
    <w:name w:val="Outline List 1"/>
    <w:basedOn w:val="NoList"/>
    <w:semiHidden/>
    <w:pPr>
      <w:numPr>
        <w:numId w:val="7"/>
      </w:numPr>
    </w:pPr>
  </w:style>
  <w:style w:type="character" w:styleId="HTMLAcronym">
    <w:name w:val="HTML Acronym"/>
    <w:basedOn w:val="DefaultParagraphFont"/>
    <w:semiHidden/>
  </w:style>
  <w:style w:type="numbering" w:styleId="ArticleSection">
    <w:name w:val="Outline List 3"/>
    <w:basedOn w:val="NoList"/>
    <w:semiHidden/>
    <w:pPr>
      <w:numPr>
        <w:numId w:val="8"/>
      </w:numPr>
    </w:pPr>
  </w:style>
  <w:style w:type="paragraph" w:styleId="Closing">
    <w:name w:val="Closing"/>
    <w:basedOn w:val="Normal"/>
    <w:semiHidden/>
    <w:pPr>
      <w:tabs>
        <w:tab w:val="clear" w:pos="431"/>
      </w:tabs>
      <w:overflowPunct/>
      <w:adjustRightInd/>
      <w:snapToGrid/>
      <w:spacing w:line="240" w:lineRule="atLeast"/>
      <w:ind w:left="4252"/>
      <w:jc w:val="left"/>
    </w:pPr>
    <w:rPr>
      <w:snapToGrid/>
      <w:sz w:val="20"/>
      <w:lang w:val="es-ES" w:eastAsia="es-E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tabs>
        <w:tab w:val="clear" w:pos="431"/>
      </w:tabs>
      <w:overflowPunct/>
      <w:adjustRightInd/>
      <w:snapToGrid/>
      <w:spacing w:after="120" w:line="240" w:lineRule="atLeast"/>
      <w:ind w:left="283"/>
      <w:jc w:val="left"/>
    </w:pPr>
    <w:rPr>
      <w:snapToGrid/>
      <w:sz w:val="20"/>
      <w:lang w:val="es-ES" w:eastAsia="es-ES"/>
    </w:rPr>
  </w:style>
  <w:style w:type="paragraph" w:styleId="ListContinue2">
    <w:name w:val="List Continue 2"/>
    <w:basedOn w:val="Normal"/>
    <w:semiHidden/>
    <w:pPr>
      <w:tabs>
        <w:tab w:val="clear" w:pos="431"/>
      </w:tabs>
      <w:overflowPunct/>
      <w:adjustRightInd/>
      <w:snapToGrid/>
      <w:spacing w:after="120" w:line="240" w:lineRule="atLeast"/>
      <w:ind w:left="566"/>
      <w:jc w:val="left"/>
    </w:pPr>
    <w:rPr>
      <w:snapToGrid/>
      <w:sz w:val="20"/>
      <w:lang w:val="es-ES" w:eastAsia="es-ES"/>
    </w:rPr>
  </w:style>
  <w:style w:type="paragraph" w:styleId="ListContinue3">
    <w:name w:val="List Continue 3"/>
    <w:basedOn w:val="Normal"/>
    <w:semiHidden/>
    <w:pPr>
      <w:tabs>
        <w:tab w:val="clear" w:pos="431"/>
      </w:tabs>
      <w:overflowPunct/>
      <w:adjustRightInd/>
      <w:snapToGrid/>
      <w:spacing w:after="120" w:line="240" w:lineRule="atLeast"/>
      <w:ind w:left="849"/>
      <w:jc w:val="left"/>
    </w:pPr>
    <w:rPr>
      <w:snapToGrid/>
      <w:sz w:val="20"/>
      <w:lang w:val="es-ES" w:eastAsia="es-ES"/>
    </w:rPr>
  </w:style>
  <w:style w:type="paragraph" w:styleId="ListContinue4">
    <w:name w:val="List Continue 4"/>
    <w:basedOn w:val="Normal"/>
    <w:semiHidden/>
    <w:pPr>
      <w:tabs>
        <w:tab w:val="clear" w:pos="431"/>
      </w:tabs>
      <w:overflowPunct/>
      <w:adjustRightInd/>
      <w:snapToGrid/>
      <w:spacing w:after="120" w:line="240" w:lineRule="atLeast"/>
      <w:ind w:left="1132"/>
      <w:jc w:val="left"/>
    </w:pPr>
    <w:rPr>
      <w:snapToGrid/>
      <w:sz w:val="20"/>
      <w:lang w:val="es-ES" w:eastAsia="es-ES"/>
    </w:rPr>
  </w:style>
  <w:style w:type="paragraph" w:styleId="ListContinue5">
    <w:name w:val="List Continue 5"/>
    <w:basedOn w:val="Normal"/>
    <w:semiHidden/>
    <w:pPr>
      <w:tabs>
        <w:tab w:val="clear" w:pos="431"/>
      </w:tabs>
      <w:overflowPunct/>
      <w:adjustRightInd/>
      <w:snapToGrid/>
      <w:spacing w:after="120" w:line="240" w:lineRule="atLeast"/>
      <w:ind w:left="1415"/>
      <w:jc w:val="left"/>
    </w:pPr>
    <w:rPr>
      <w:snapToGrid/>
      <w:sz w:val="20"/>
      <w:lang w:val="es-ES" w:eastAsia="es-ES"/>
    </w:rPr>
  </w:style>
  <w:style w:type="character" w:styleId="HTMLDefinition">
    <w:name w:val="HTML Definition"/>
    <w:semiHidden/>
    <w:rPr>
      <w:i/>
      <w:iCs/>
    </w:rPr>
  </w:style>
  <w:style w:type="paragraph" w:styleId="HTMLAddress">
    <w:name w:val="HTML Address"/>
    <w:basedOn w:val="Normal"/>
    <w:semiHidden/>
    <w:pPr>
      <w:tabs>
        <w:tab w:val="clear" w:pos="431"/>
      </w:tabs>
      <w:overflowPunct/>
      <w:adjustRightInd/>
      <w:snapToGrid/>
      <w:spacing w:line="240" w:lineRule="atLeast"/>
      <w:jc w:val="left"/>
    </w:pPr>
    <w:rPr>
      <w:i/>
      <w:iCs/>
      <w:snapToGrid/>
      <w:sz w:val="20"/>
      <w:lang w:val="es-ES" w:eastAsia="es-ES"/>
    </w:rPr>
  </w:style>
  <w:style w:type="paragraph" w:styleId="EnvelopeAddress">
    <w:name w:val="envelope address"/>
    <w:basedOn w:val="Normal"/>
    <w:semiHidden/>
    <w:pPr>
      <w:framePr w:w="7920" w:h="1980" w:hRule="exact" w:hSpace="141" w:wrap="auto" w:hAnchor="page" w:xAlign="center" w:yAlign="bottom"/>
      <w:tabs>
        <w:tab w:val="clear" w:pos="431"/>
      </w:tabs>
      <w:overflowPunct/>
      <w:adjustRightInd/>
      <w:snapToGrid/>
      <w:spacing w:line="240" w:lineRule="atLeast"/>
      <w:ind w:left="2880"/>
      <w:jc w:val="left"/>
    </w:pPr>
    <w:rPr>
      <w:rFonts w:ascii="Arial" w:hAnsi="Arial" w:cs="Arial"/>
      <w:snapToGrid/>
      <w:sz w:val="24"/>
      <w:szCs w:val="24"/>
      <w:lang w:val="es-ES" w:eastAsia="es-ES"/>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hAnsi="Arial" w:cs="Arial"/>
      <w:snapToGrid/>
      <w:sz w:val="24"/>
      <w:szCs w:val="24"/>
      <w:lang w:val="es-ES" w:eastAsia="es-ES"/>
    </w:rPr>
  </w:style>
  <w:style w:type="paragraph" w:styleId="NoteHeading">
    <w:name w:val="Note Heading"/>
    <w:basedOn w:val="Normal"/>
    <w:next w:val="Normal"/>
    <w:semiHidden/>
    <w:pPr>
      <w:tabs>
        <w:tab w:val="clear" w:pos="431"/>
      </w:tabs>
      <w:overflowPunct/>
      <w:adjustRightInd/>
      <w:snapToGrid/>
      <w:spacing w:line="240" w:lineRule="atLeast"/>
      <w:jc w:val="left"/>
    </w:pPr>
    <w:rPr>
      <w:snapToGrid/>
      <w:sz w:val="20"/>
      <w:lang w:val="es-ES" w:eastAsia="es-ES"/>
    </w:rPr>
  </w:style>
  <w:style w:type="character" w:styleId="Emphasis">
    <w:name w:val="Emphasis"/>
    <w:qFormat/>
    <w:rPr>
      <w:i/>
      <w:iCs/>
    </w:rPr>
  </w:style>
  <w:style w:type="paragraph" w:styleId="Date">
    <w:name w:val="Date"/>
    <w:basedOn w:val="Normal"/>
    <w:next w:val="Normal"/>
    <w:semiHidden/>
    <w:pPr>
      <w:tabs>
        <w:tab w:val="clear" w:pos="431"/>
      </w:tabs>
      <w:overflowPunct/>
      <w:adjustRightInd/>
      <w:snapToGrid/>
      <w:spacing w:line="240" w:lineRule="atLeast"/>
      <w:jc w:val="left"/>
    </w:pPr>
    <w:rPr>
      <w:snapToGrid/>
      <w:sz w:val="20"/>
      <w:lang w:val="es-ES" w:eastAsia="es-ES"/>
    </w:rPr>
  </w:style>
  <w:style w:type="paragraph" w:styleId="Signature">
    <w:name w:val="Signature"/>
    <w:basedOn w:val="Normal"/>
    <w:semiHidden/>
    <w:pPr>
      <w:tabs>
        <w:tab w:val="clear" w:pos="431"/>
      </w:tabs>
      <w:overflowPunct/>
      <w:adjustRightInd/>
      <w:snapToGrid/>
      <w:spacing w:line="240" w:lineRule="atLeast"/>
      <w:ind w:left="4252"/>
      <w:jc w:val="left"/>
    </w:pPr>
    <w:rPr>
      <w:snapToGrid/>
      <w:sz w:val="20"/>
      <w:lang w:val="es-ES" w:eastAsia="es-ES"/>
    </w:rPr>
  </w:style>
  <w:style w:type="paragraph" w:styleId="E-mailSignature">
    <w:name w:val="E-mail Signature"/>
    <w:basedOn w:val="Normal"/>
    <w:semiHidden/>
    <w:pPr>
      <w:tabs>
        <w:tab w:val="clear" w:pos="431"/>
      </w:tabs>
      <w:overflowPunct/>
      <w:adjustRightInd/>
      <w:snapToGrid/>
      <w:spacing w:line="240" w:lineRule="atLeast"/>
      <w:jc w:val="left"/>
    </w:pPr>
    <w:rPr>
      <w:snapToGrid/>
      <w:sz w:val="20"/>
      <w:lang w:val="es-ES" w:eastAsia="es-ES"/>
    </w:rPr>
  </w:style>
  <w:style w:type="paragraph" w:styleId="HTMLPreformatted">
    <w:name w:val="HTML Preformatted"/>
    <w:basedOn w:val="Normal"/>
    <w:semiHidden/>
    <w:pPr>
      <w:tabs>
        <w:tab w:val="clear" w:pos="431"/>
      </w:tabs>
      <w:overflowPunct/>
      <w:adjustRightInd/>
      <w:snapToGrid/>
      <w:spacing w:line="240" w:lineRule="atLeast"/>
      <w:jc w:val="left"/>
    </w:pPr>
    <w:rPr>
      <w:rFonts w:ascii="Courier New" w:hAnsi="Courier New" w:cs="Courier New"/>
      <w:snapToGrid/>
      <w:sz w:val="20"/>
      <w:lang w:val="es-ES" w:eastAsia="es-ES"/>
    </w:rPr>
  </w:style>
  <w:style w:type="paragraph" w:styleId="List">
    <w:name w:val="List"/>
    <w:basedOn w:val="Normal"/>
    <w:semiHidden/>
    <w:pPr>
      <w:tabs>
        <w:tab w:val="clear" w:pos="431"/>
      </w:tabs>
      <w:overflowPunct/>
      <w:adjustRightInd/>
      <w:snapToGrid/>
      <w:spacing w:line="240" w:lineRule="atLeast"/>
      <w:ind w:left="283" w:hanging="283"/>
      <w:jc w:val="left"/>
    </w:pPr>
    <w:rPr>
      <w:snapToGrid/>
      <w:sz w:val="20"/>
      <w:lang w:val="es-ES" w:eastAsia="es-ES"/>
    </w:rPr>
  </w:style>
  <w:style w:type="paragraph" w:styleId="List2">
    <w:name w:val="List 2"/>
    <w:basedOn w:val="Normal"/>
    <w:semiHidden/>
    <w:pPr>
      <w:tabs>
        <w:tab w:val="clear" w:pos="431"/>
      </w:tabs>
      <w:overflowPunct/>
      <w:adjustRightInd/>
      <w:snapToGrid/>
      <w:spacing w:line="240" w:lineRule="atLeast"/>
      <w:ind w:left="566" w:hanging="283"/>
      <w:jc w:val="left"/>
    </w:pPr>
    <w:rPr>
      <w:snapToGrid/>
      <w:sz w:val="20"/>
      <w:lang w:val="es-ES" w:eastAsia="es-ES"/>
    </w:rPr>
  </w:style>
  <w:style w:type="paragraph" w:styleId="List3">
    <w:name w:val="List 3"/>
    <w:basedOn w:val="Normal"/>
    <w:semiHidden/>
    <w:pPr>
      <w:tabs>
        <w:tab w:val="clear" w:pos="431"/>
      </w:tabs>
      <w:overflowPunct/>
      <w:adjustRightInd/>
      <w:snapToGrid/>
      <w:spacing w:line="240" w:lineRule="atLeast"/>
      <w:ind w:left="849" w:hanging="283"/>
      <w:jc w:val="left"/>
    </w:pPr>
    <w:rPr>
      <w:snapToGrid/>
      <w:sz w:val="20"/>
      <w:lang w:val="es-ES" w:eastAsia="es-ES"/>
    </w:rPr>
  </w:style>
  <w:style w:type="paragraph" w:styleId="List4">
    <w:name w:val="List 4"/>
    <w:basedOn w:val="Normal"/>
    <w:semiHidden/>
    <w:pPr>
      <w:tabs>
        <w:tab w:val="clear" w:pos="431"/>
      </w:tabs>
      <w:overflowPunct/>
      <w:adjustRightInd/>
      <w:snapToGrid/>
      <w:spacing w:line="240" w:lineRule="atLeast"/>
      <w:ind w:left="1132" w:hanging="283"/>
      <w:jc w:val="left"/>
    </w:pPr>
    <w:rPr>
      <w:snapToGrid/>
      <w:sz w:val="20"/>
      <w:lang w:val="es-ES" w:eastAsia="es-ES"/>
    </w:rPr>
  </w:style>
  <w:style w:type="paragraph" w:styleId="List5">
    <w:name w:val="List 5"/>
    <w:basedOn w:val="Normal"/>
    <w:semiHidden/>
    <w:pPr>
      <w:tabs>
        <w:tab w:val="clear" w:pos="431"/>
      </w:tabs>
      <w:overflowPunct/>
      <w:adjustRightInd/>
      <w:snapToGrid/>
      <w:spacing w:line="240" w:lineRule="atLeast"/>
      <w:ind w:left="1415" w:hanging="283"/>
      <w:jc w:val="left"/>
    </w:pPr>
    <w:rPr>
      <w:snapToGrid/>
      <w:sz w:val="20"/>
      <w:lang w:val="es-ES" w:eastAsia="es-ES"/>
    </w:rPr>
  </w:style>
  <w:style w:type="paragraph" w:styleId="ListNumber">
    <w:name w:val="List Number"/>
    <w:basedOn w:val="Normal"/>
    <w:semiHidden/>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Number2">
    <w:name w:val="List Number 2"/>
    <w:basedOn w:val="Normal"/>
    <w:semiHidden/>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Number3">
    <w:name w:val="List Number 3"/>
    <w:basedOn w:val="Normal"/>
    <w:semiHidden/>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Number4">
    <w:name w:val="List Number 4"/>
    <w:basedOn w:val="Normal"/>
    <w:semiHidden/>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Number5">
    <w:name w:val="List Number 5"/>
    <w:basedOn w:val="Normal"/>
    <w:semiHidden/>
    <w:pPr>
      <w:tabs>
        <w:tab w:val="clear" w:pos="431"/>
        <w:tab w:val="num" w:pos="1492"/>
      </w:tabs>
      <w:overflowPunct/>
      <w:adjustRightInd/>
      <w:snapToGrid/>
      <w:spacing w:line="240" w:lineRule="atLeast"/>
      <w:ind w:left="1492" w:hanging="360"/>
      <w:jc w:val="left"/>
    </w:pPr>
    <w:rPr>
      <w:snapToGrid/>
      <w:sz w:val="20"/>
      <w:lang w:val="es-ES" w:eastAsia="es-ES"/>
    </w:rPr>
  </w:style>
  <w:style w:type="paragraph" w:styleId="ListBullet">
    <w:name w:val="List Bullet"/>
    <w:basedOn w:val="Normal"/>
    <w:semiHidden/>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Bullet2">
    <w:name w:val="List Bullet 2"/>
    <w:basedOn w:val="Normal"/>
    <w:semiHidden/>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Bullet3">
    <w:name w:val="List Bullet 3"/>
    <w:basedOn w:val="Normal"/>
    <w:semiHidden/>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Bullet4">
    <w:name w:val="List Bullet 4"/>
    <w:basedOn w:val="Normal"/>
    <w:semiHidden/>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Bullet5">
    <w:name w:val="List Bullet 5"/>
    <w:basedOn w:val="Normal"/>
    <w:semiHidden/>
    <w:pPr>
      <w:tabs>
        <w:tab w:val="clear" w:pos="431"/>
        <w:tab w:val="num" w:pos="1492"/>
      </w:tabs>
      <w:overflowPunct/>
      <w:adjustRightInd/>
      <w:snapToGrid/>
      <w:spacing w:line="240" w:lineRule="atLeast"/>
      <w:ind w:left="1492" w:hanging="360"/>
      <w:jc w:val="left"/>
    </w:pPr>
    <w:rPr>
      <w:snapToGrid/>
      <w:sz w:val="20"/>
      <w:lang w:val="es-ES" w:eastAsia="es-ES"/>
    </w:r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pPr>
      <w:tabs>
        <w:tab w:val="clear" w:pos="431"/>
      </w:tabs>
      <w:overflowPunct/>
      <w:adjustRightInd/>
      <w:snapToGrid/>
      <w:spacing w:line="240" w:lineRule="atLeast"/>
      <w:jc w:val="left"/>
    </w:pPr>
    <w:rPr>
      <w:snapToGrid/>
      <w:sz w:val="24"/>
      <w:szCs w:val="24"/>
      <w:lang w:val="es-ES" w:eastAsia="es-ES"/>
    </w:rPr>
  </w:style>
  <w:style w:type="character" w:styleId="LineNumber">
    <w:name w:val="line number"/>
    <w:basedOn w:val="DefaultParagraphFont"/>
    <w:semiHidden/>
  </w:style>
  <w:style w:type="paragraph" w:styleId="EnvelopeReturn">
    <w:name w:val="envelope return"/>
    <w:basedOn w:val="Normal"/>
    <w:semiHidden/>
    <w:pPr>
      <w:tabs>
        <w:tab w:val="clear" w:pos="431"/>
      </w:tabs>
      <w:overflowPunct/>
      <w:adjustRightInd/>
      <w:snapToGrid/>
      <w:spacing w:line="240" w:lineRule="atLeast"/>
      <w:jc w:val="left"/>
    </w:pPr>
    <w:rPr>
      <w:rFonts w:ascii="Arial" w:hAnsi="Arial" w:cs="Arial"/>
      <w:snapToGrid/>
      <w:sz w:val="20"/>
      <w:lang w:val="es-ES" w:eastAsia="es-ES"/>
    </w:rPr>
  </w:style>
  <w:style w:type="paragraph" w:styleId="Salutation">
    <w:name w:val="Salutation"/>
    <w:basedOn w:val="Normal"/>
    <w:next w:val="Normal"/>
    <w:semiHidden/>
    <w:pPr>
      <w:tabs>
        <w:tab w:val="clear" w:pos="431"/>
      </w:tabs>
      <w:overflowPunct/>
      <w:adjustRightInd/>
      <w:snapToGrid/>
      <w:spacing w:line="240" w:lineRule="atLeast"/>
      <w:jc w:val="left"/>
    </w:pPr>
    <w:rPr>
      <w:snapToGrid/>
      <w:sz w:val="20"/>
      <w:lang w:val="es-ES" w:eastAsia="es-ES"/>
    </w:rPr>
  </w:style>
  <w:style w:type="paragraph" w:styleId="BodyTextIndent2">
    <w:name w:val="Body Text Indent 2"/>
    <w:basedOn w:val="Normal"/>
    <w:semiHidden/>
    <w:pPr>
      <w:tabs>
        <w:tab w:val="clear" w:pos="431"/>
      </w:tabs>
      <w:overflowPunct/>
      <w:adjustRightInd/>
      <w:snapToGrid/>
      <w:spacing w:after="120" w:line="480" w:lineRule="auto"/>
      <w:ind w:left="283"/>
      <w:jc w:val="left"/>
    </w:pPr>
    <w:rPr>
      <w:snapToGrid/>
      <w:sz w:val="20"/>
      <w:lang w:val="es-ES" w:eastAsia="es-ES"/>
    </w:rPr>
  </w:style>
  <w:style w:type="paragraph" w:styleId="BodyTextIndent3">
    <w:name w:val="Body Text Indent 3"/>
    <w:basedOn w:val="Normal"/>
    <w:semiHidden/>
    <w:pPr>
      <w:tabs>
        <w:tab w:val="clear" w:pos="431"/>
      </w:tabs>
      <w:overflowPunct/>
      <w:adjustRightInd/>
      <w:snapToGrid/>
      <w:spacing w:after="120" w:line="240" w:lineRule="atLeast"/>
      <w:ind w:left="283"/>
      <w:jc w:val="left"/>
    </w:pPr>
    <w:rPr>
      <w:snapToGrid/>
      <w:sz w:val="16"/>
      <w:szCs w:val="16"/>
      <w:lang w:val="es-ES" w:eastAsia="es-ES"/>
    </w:rPr>
  </w:style>
  <w:style w:type="paragraph" w:styleId="BodyTextIndent">
    <w:name w:val="Body Text Indent"/>
    <w:basedOn w:val="Normal"/>
    <w:semiHidden/>
    <w:pPr>
      <w:tabs>
        <w:tab w:val="clear" w:pos="431"/>
      </w:tabs>
      <w:overflowPunct/>
      <w:adjustRightInd/>
      <w:snapToGrid/>
      <w:spacing w:after="120" w:line="240" w:lineRule="atLeast"/>
      <w:ind w:left="283"/>
      <w:jc w:val="left"/>
    </w:pPr>
    <w:rPr>
      <w:snapToGrid/>
      <w:sz w:val="20"/>
      <w:lang w:val="es-ES" w:eastAsia="es-ES"/>
    </w:rPr>
  </w:style>
  <w:style w:type="paragraph" w:styleId="NormalIndent">
    <w:name w:val="Normal Indent"/>
    <w:basedOn w:val="Normal"/>
    <w:semiHidden/>
    <w:pPr>
      <w:tabs>
        <w:tab w:val="clear" w:pos="431"/>
      </w:tabs>
      <w:overflowPunct/>
      <w:adjustRightInd/>
      <w:snapToGrid/>
      <w:spacing w:line="240" w:lineRule="atLeast"/>
      <w:ind w:left="567"/>
      <w:jc w:val="left"/>
    </w:pPr>
    <w:rPr>
      <w:snapToGrid/>
      <w:sz w:val="20"/>
      <w:lang w:val="es-ES" w:eastAsia="es-ES"/>
    </w:rPr>
  </w:style>
  <w:style w:type="paragraph" w:styleId="Subtitle">
    <w:name w:val="Subtitle"/>
    <w:basedOn w:val="Normal"/>
    <w:qFormat/>
    <w:pPr>
      <w:tabs>
        <w:tab w:val="clear" w:pos="431"/>
      </w:tabs>
      <w:overflowPunct/>
      <w:adjustRightInd/>
      <w:snapToGrid/>
      <w:spacing w:after="60" w:line="240" w:lineRule="atLeast"/>
      <w:jc w:val="center"/>
      <w:outlineLvl w:val="1"/>
    </w:pPr>
    <w:rPr>
      <w:rFonts w:ascii="Arial" w:hAnsi="Arial" w:cs="Arial"/>
      <w:snapToGrid/>
      <w:sz w:val="24"/>
      <w:szCs w:val="24"/>
      <w:lang w:val="es-ES" w:eastAsia="es-ES"/>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tabs>
        <w:tab w:val="clear" w:pos="431"/>
      </w:tabs>
      <w:overflowPunct/>
      <w:adjustRightInd/>
      <w:snapToGrid/>
      <w:spacing w:after="120" w:line="240" w:lineRule="atLeast"/>
      <w:ind w:left="1440" w:right="1440"/>
      <w:jc w:val="left"/>
    </w:pPr>
    <w:rPr>
      <w:snapToGrid/>
      <w:sz w:val="20"/>
      <w:lang w:val="es-ES" w:eastAsia="es-ES"/>
    </w:rPr>
  </w:style>
  <w:style w:type="character" w:styleId="Strong">
    <w:name w:val="Strong"/>
    <w:qFormat/>
    <w:rPr>
      <w:b/>
      <w:bCs/>
    </w:rPr>
  </w:style>
  <w:style w:type="paragraph" w:styleId="BodyText">
    <w:name w:val="Body Text"/>
    <w:basedOn w:val="Normal"/>
    <w:semiHidden/>
    <w:pPr>
      <w:tabs>
        <w:tab w:val="clear" w:pos="431"/>
      </w:tabs>
      <w:overflowPunct/>
      <w:adjustRightInd/>
      <w:snapToGrid/>
      <w:spacing w:after="120" w:line="240" w:lineRule="atLeast"/>
      <w:jc w:val="left"/>
    </w:pPr>
    <w:rPr>
      <w:snapToGrid/>
      <w:sz w:val="20"/>
      <w:lang w:val="es-ES" w:eastAsia="es-ES"/>
    </w:rPr>
  </w:style>
  <w:style w:type="paragraph" w:styleId="BodyText2">
    <w:name w:val="Body Text 2"/>
    <w:basedOn w:val="Normal"/>
    <w:semiHidden/>
    <w:pPr>
      <w:tabs>
        <w:tab w:val="clear" w:pos="431"/>
      </w:tabs>
      <w:overflowPunct/>
      <w:adjustRightInd/>
      <w:snapToGrid/>
      <w:spacing w:after="120" w:line="480" w:lineRule="auto"/>
      <w:jc w:val="left"/>
    </w:pPr>
    <w:rPr>
      <w:snapToGrid/>
      <w:sz w:val="20"/>
      <w:lang w:val="es-ES" w:eastAsia="es-ES"/>
    </w:rPr>
  </w:style>
  <w:style w:type="paragraph" w:styleId="BodyText3">
    <w:name w:val="Body Text 3"/>
    <w:basedOn w:val="Normal"/>
    <w:semiHidden/>
    <w:pPr>
      <w:tabs>
        <w:tab w:val="clear" w:pos="431"/>
      </w:tabs>
      <w:overflowPunct/>
      <w:adjustRightInd/>
      <w:snapToGrid/>
      <w:spacing w:after="120" w:line="240" w:lineRule="atLeast"/>
      <w:jc w:val="left"/>
    </w:pPr>
    <w:rPr>
      <w:snapToGrid/>
      <w:sz w:val="16"/>
      <w:szCs w:val="16"/>
      <w:lang w:val="es-ES" w:eastAsia="es-ES"/>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PlainText">
    <w:name w:val="Plain Text"/>
    <w:basedOn w:val="Normal"/>
    <w:semiHidden/>
    <w:pPr>
      <w:tabs>
        <w:tab w:val="clear" w:pos="431"/>
      </w:tabs>
      <w:overflowPunct/>
      <w:adjustRightInd/>
      <w:snapToGrid/>
      <w:spacing w:line="240" w:lineRule="atLeast"/>
      <w:jc w:val="left"/>
    </w:pPr>
    <w:rPr>
      <w:rFonts w:ascii="Courier New" w:hAnsi="Courier New" w:cs="Courier New"/>
      <w:snapToGrid/>
      <w:sz w:val="20"/>
      <w:lang w:val="es-ES" w:eastAsia="es-ES"/>
    </w:rPr>
  </w:style>
  <w:style w:type="character" w:styleId="HTMLVariable">
    <w:name w:val="HTML Variable"/>
    <w:semiHidden/>
    <w:rPr>
      <w:i/>
      <w:iCs/>
    </w:rPr>
  </w:style>
  <w:style w:type="paragraph" w:customStyle="1" w:styleId="Bullet1G">
    <w:name w:val="_Bullet 1_G"/>
    <w:basedOn w:val="Normal"/>
    <w:pPr>
      <w:numPr>
        <w:numId w:val="4"/>
      </w:numPr>
      <w:tabs>
        <w:tab w:val="clear" w:pos="431"/>
      </w:tabs>
      <w:overflowPunct/>
      <w:adjustRightInd/>
      <w:snapToGrid/>
      <w:spacing w:after="120" w:line="240" w:lineRule="atLeast"/>
      <w:ind w:right="1134"/>
    </w:pPr>
    <w:rPr>
      <w:snapToGrid/>
      <w:sz w:val="20"/>
      <w:lang w:val="es-ES" w:eastAsia="en-US"/>
    </w:rPr>
  </w:style>
  <w:style w:type="paragraph" w:customStyle="1" w:styleId="Bullet2G">
    <w:name w:val="_Bullet 2_G"/>
    <w:basedOn w:val="Normal"/>
    <w:pPr>
      <w:numPr>
        <w:numId w:val="5"/>
      </w:numPr>
      <w:tabs>
        <w:tab w:val="clear" w:pos="431"/>
      </w:tabs>
      <w:overflowPunct/>
      <w:adjustRightInd/>
      <w:snapToGrid/>
      <w:spacing w:after="120" w:line="240" w:lineRule="atLeast"/>
      <w:ind w:right="1134"/>
    </w:pPr>
    <w:rPr>
      <w:snapToGrid/>
      <w:sz w:val="20"/>
      <w:lang w:val="es-ES" w:eastAsia="es-ES"/>
    </w:rPr>
  </w:style>
  <w:style w:type="character" w:customStyle="1" w:styleId="shorttext1">
    <w:name w:val="short_text1"/>
    <w:rPr>
      <w:sz w:val="19"/>
      <w:szCs w:val="19"/>
    </w:rPr>
  </w:style>
  <w:style w:type="paragraph" w:styleId="BalloonText">
    <w:name w:val="Balloon Text"/>
    <w:basedOn w:val="Normal"/>
    <w:semiHidden/>
    <w:pPr>
      <w:tabs>
        <w:tab w:val="clear" w:pos="431"/>
      </w:tabs>
      <w:overflowPunct/>
      <w:adjustRightInd/>
      <w:snapToGrid/>
      <w:spacing w:line="240" w:lineRule="atLeast"/>
      <w:jc w:val="left"/>
    </w:pPr>
    <w:rPr>
      <w:snapToGrid/>
      <w:sz w:val="18"/>
      <w:szCs w:val="18"/>
      <w:lang w:val="es-ES" w:eastAsia="es-ES"/>
    </w:rPr>
  </w:style>
  <w:style w:type="paragraph" w:customStyle="1" w:styleId="ParaNoG">
    <w:name w:val="_ParaNo._G"/>
    <w:basedOn w:val="SingleTxtG"/>
    <w:pPr>
      <w:suppressAutoHyphens/>
    </w:pPr>
    <w:rPr>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paragraph" w:customStyle="1" w:styleId="Rom1">
    <w:name w:val="Rom1"/>
    <w:basedOn w:val="Normal"/>
    <w:pPr>
      <w:tabs>
        <w:tab w:val="clear" w:pos="431"/>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pPr>
      <w:tabs>
        <w:tab w:val="clear" w:pos="431"/>
      </w:tabs>
      <w:overflowPunct/>
      <w:adjustRightInd/>
      <w:snapToGrid/>
      <w:spacing w:after="240" w:line="240" w:lineRule="auto"/>
      <w:ind w:left="1702" w:hanging="284"/>
      <w:jc w:val="left"/>
    </w:pPr>
    <w:rPr>
      <w:snapToGrid/>
      <w:sz w:val="24"/>
      <w:lang w:val="en-GB" w:eastAsia="en-US"/>
    </w:rPr>
  </w:style>
  <w:style w:type="paragraph" w:customStyle="1" w:styleId="ParaNo">
    <w:name w:val="ParaNo."/>
    <w:basedOn w:val="Normal"/>
    <w:pPr>
      <w:tabs>
        <w:tab w:val="clear" w:pos="431"/>
        <w:tab w:val="left" w:pos="737"/>
      </w:tabs>
      <w:overflowPunct/>
      <w:adjustRightInd/>
      <w:snapToGrid/>
      <w:spacing w:after="240" w:line="240" w:lineRule="auto"/>
      <w:ind w:left="-1" w:firstLine="1"/>
      <w:jc w:val="left"/>
    </w:pPr>
    <w:rPr>
      <w:snapToGrid/>
      <w:sz w:val="24"/>
      <w:lang w:val="fr-CH" w:eastAsia="en-US"/>
    </w:rPr>
  </w:style>
  <w:style w:type="paragraph" w:customStyle="1" w:styleId="Bullet">
    <w:name w:val="Bullet"/>
    <w:basedOn w:val="Normal"/>
    <w:pPr>
      <w:numPr>
        <w:numId w:val="9"/>
      </w:numPr>
      <w:tabs>
        <w:tab w:val="clear" w:pos="431"/>
      </w:tabs>
      <w:overflowPunct/>
      <w:adjustRightInd/>
      <w:snapToGrid/>
      <w:spacing w:after="240" w:line="240" w:lineRule="auto"/>
      <w:jc w:val="left"/>
    </w:pPr>
    <w:rPr>
      <w:snapToGrid/>
      <w:sz w:val="24"/>
      <w:lang w:val="en-GB" w:eastAsia="en-US"/>
    </w:rPr>
  </w:style>
  <w:style w:type="paragraph" w:customStyle="1" w:styleId="Dash">
    <w:name w:val="Dash"/>
    <w:basedOn w:val="Normal"/>
    <w:pPr>
      <w:numPr>
        <w:numId w:val="10"/>
      </w:numPr>
      <w:tabs>
        <w:tab w:val="clear" w:pos="431"/>
      </w:tabs>
      <w:overflowPunct/>
      <w:spacing w:after="240" w:line="240" w:lineRule="auto"/>
      <w:jc w:val="left"/>
    </w:pPr>
    <w:rPr>
      <w:snapToGrid/>
      <w:sz w:val="24"/>
      <w:lang w:val="en-GB" w:eastAsia="en-US"/>
    </w:rPr>
  </w:style>
  <w:style w:type="character" w:customStyle="1" w:styleId="mediumtext1">
    <w:name w:val="medium_text1"/>
    <w:rPr>
      <w:sz w:val="17"/>
      <w:szCs w:val="17"/>
    </w:rPr>
  </w:style>
  <w:style w:type="character" w:customStyle="1" w:styleId="longtext1">
    <w:name w:val="long_text1"/>
    <w:rPr>
      <w:sz w:val="14"/>
      <w:szCs w:val="14"/>
    </w:rPr>
  </w:style>
  <w:style w:type="character" w:customStyle="1" w:styleId="trans">
    <w:name w:val="trans"/>
    <w:basedOn w:val="DefaultParagraphFont"/>
  </w:style>
  <w:style w:type="character" w:customStyle="1" w:styleId="shorttext">
    <w:name w:val="short_text"/>
    <w:basedOn w:val="DefaultParagraphFont"/>
  </w:style>
  <w:style w:type="character" w:customStyle="1" w:styleId="tw4winMark">
    <w:name w:val="tw4winMark"/>
    <w:rPr>
      <w:rFonts w:ascii="Courier New" w:hAnsi="Courier New"/>
      <w:vanish/>
      <w:color w:val="800080"/>
      <w:vertAlign w:val="subscript"/>
    </w:rPr>
  </w:style>
  <w:style w:type="character" w:customStyle="1" w:styleId="SingleTxtGCar">
    <w:name w:val="_ Single Txt_G Car"/>
    <w:link w:val="SingleTxtG"/>
    <w:rPr>
      <w:rFonts w:eastAsia="SimSun"/>
      <w:lang w:val="es-ES" w:eastAsia="es-ES" w:bidi="ar-SA"/>
    </w:rPr>
  </w:style>
  <w:style w:type="paragraph" w:customStyle="1" w:styleId="3">
    <w:name w:val="样式3"/>
    <w:basedOn w:val="BodyText"/>
    <w:autoRedefine/>
    <w:pPr>
      <w:tabs>
        <w:tab w:val="right" w:leader="dot" w:pos="9713"/>
      </w:tabs>
      <w:spacing w:after="0"/>
    </w:pPr>
    <w:rPr>
      <w:rFonts w:eastAsia="MS Mincho"/>
      <w:noProof/>
      <w:sz w:val="24"/>
    </w:rPr>
  </w:style>
  <w:style w:type="paragraph" w:customStyle="1" w:styleId="20">
    <w:name w:val="标题2"/>
    <w:basedOn w:val="Normal"/>
    <w:next w:val="Heading2"/>
    <w:pPr>
      <w:tabs>
        <w:tab w:val="clear" w:pos="431"/>
      </w:tabs>
      <w:overflowPunct/>
      <w:adjustRightInd/>
      <w:snapToGrid/>
      <w:spacing w:line="240" w:lineRule="atLeast"/>
      <w:jc w:val="left"/>
    </w:pPr>
    <w:rPr>
      <w:rFonts w:ascii="SimSun" w:eastAsia="MS Mincho" w:hAnsi="SimSun"/>
      <w:snapToGrid/>
      <w:sz w:val="20"/>
      <w:szCs w:val="21"/>
      <w:u w:val="single"/>
      <w:lang w:val="es-ES" w:eastAsia="es-ES"/>
    </w:rPr>
  </w:style>
  <w:style w:type="paragraph" w:customStyle="1" w:styleId="a6">
    <w:name w:val="图表"/>
    <w:basedOn w:val="TableofFigures"/>
    <w:pPr>
      <w:spacing w:after="240" w:line="340" w:lineRule="exact"/>
      <w:jc w:val="center"/>
    </w:pPr>
    <w:rPr>
      <w:rFonts w:eastAsia="SimHei" w:cs="SimHei"/>
      <w:color w:val="D50014"/>
      <w:szCs w:val="21"/>
    </w:rPr>
  </w:style>
  <w:style w:type="paragraph" w:styleId="TableofFigures">
    <w:name w:val="table of figures"/>
    <w:basedOn w:val="Normal"/>
    <w:next w:val="Normal"/>
    <w:semiHidden/>
    <w:pPr>
      <w:tabs>
        <w:tab w:val="clear" w:pos="431"/>
      </w:tabs>
      <w:overflowPunct/>
      <w:adjustRightInd/>
      <w:snapToGrid/>
      <w:spacing w:line="240" w:lineRule="atLeast"/>
      <w:ind w:leftChars="200" w:hangingChars="200" w:hanging="200"/>
      <w:jc w:val="left"/>
    </w:pPr>
    <w:rPr>
      <w:rFonts w:eastAsia="MS Mincho"/>
      <w:snapToGrid/>
      <w:sz w:val="20"/>
      <w:lang w:val="es-ES" w:eastAsia="es-ES"/>
    </w:rPr>
  </w:style>
  <w:style w:type="paragraph" w:customStyle="1" w:styleId="a7">
    <w:name w:val="插文"/>
    <w:basedOn w:val="List2"/>
    <w:next w:val="List2"/>
    <w:pPr>
      <w:ind w:leftChars="200" w:left="100" w:hangingChars="200" w:hanging="200"/>
    </w:pPr>
    <w:rPr>
      <w:rFonts w:eastAsia="MS Mincho"/>
    </w:rPr>
  </w:style>
  <w:style w:type="numbering" w:customStyle="1" w:styleId="2">
    <w:name w:val="2"/>
    <w:pPr>
      <w:numPr>
        <w:numId w:val="11"/>
      </w:numPr>
    </w:pPr>
  </w:style>
  <w:style w:type="character" w:customStyle="1" w:styleId="Smbolodenotaalpie">
    <w:name w:val="Símbolo de nota al pie"/>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272</TotalTime>
  <Pages>1</Pages>
  <Words>4523</Words>
  <Characters>25148</Characters>
  <Application>Microsoft Office Word</Application>
  <DocSecurity>4</DocSecurity>
  <Lines>375</Lines>
  <Paragraphs>86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CSD</cp:lastModifiedBy>
  <cp:revision>7</cp:revision>
  <cp:lastPrinted>2009-10-01T15:01:00Z</cp:lastPrinted>
  <dcterms:created xsi:type="dcterms:W3CDTF">2011-12-26T07:46:00Z</dcterms:created>
  <dcterms:modified xsi:type="dcterms:W3CDTF">2011-12-26T12:21:00Z</dcterms:modified>
</cp:coreProperties>
</file>