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464F" w:rsidRDefault="00BF464F" w:rsidP="00BF464F">
      <w:pPr>
        <w:spacing w:line="240" w:lineRule="auto"/>
        <w:jc w:val="left"/>
        <w:rPr>
          <w:szCs w:val="6"/>
          <w:rtl/>
        </w:rPr>
        <w:sectPr w:rsidR="00BF464F" w:rsidSect="00BF464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76.8pt;width:57.9pt;height:64.9pt;z-index:1;mso-position-horizontal-relative:page;mso-position-vertical-relative:page" o:preferrelative="f" filled="t">
            <v:imagedata r:id="rId13" o:title="1&amp;Size =1&amp;Lang = A"/>
            <w10:wrap anchorx="page" anchory="page"/>
          </v:shape>
        </w:pict>
      </w:r>
    </w:p>
    <w:p w:rsidR="00E51FC9" w:rsidRDefault="00E51FC9" w:rsidP="00E51FC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Fonts w:hint="cs"/>
          <w:rtl/>
        </w:rPr>
        <w:t xml:space="preserve">اللجنة المعنية بالقضاء على </w:t>
      </w:r>
      <w:r w:rsidRPr="00874C43">
        <w:rPr>
          <w:rFonts w:hint="cs"/>
          <w:rtl/>
        </w:rPr>
        <w:t>ا</w:t>
      </w:r>
      <w:r>
        <w:rPr>
          <w:rFonts w:hint="cs"/>
          <w:rtl/>
        </w:rPr>
        <w:t>لتمييز ضد المرأة</w:t>
      </w:r>
    </w:p>
    <w:p w:rsidR="00E51FC9" w:rsidRDefault="00E51FC9" w:rsidP="00E51FC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الفريق العامل لما قبل الدورة</w:t>
      </w:r>
    </w:p>
    <w:p w:rsidR="00E51FC9" w:rsidRDefault="00E51FC9" w:rsidP="00E51FC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الدورة التاسعة والخمسون</w:t>
      </w:r>
    </w:p>
    <w:p w:rsidR="00E51FC9" w:rsidRDefault="00E51FC9" w:rsidP="00E51FC9">
      <w:pPr>
        <w:tabs>
          <w:tab w:val="left" w:pos="662"/>
          <w:tab w:val="left" w:pos="1267"/>
          <w:tab w:val="left" w:pos="1987"/>
          <w:tab w:val="left" w:pos="2650"/>
        </w:tabs>
        <w:rPr>
          <w:rFonts w:hint="cs"/>
          <w:rtl/>
        </w:rPr>
      </w:pPr>
      <w:r>
        <w:rPr>
          <w:rFonts w:hint="cs"/>
          <w:rtl/>
        </w:rPr>
        <w:t>3-7 آذار/مارس 2014</w:t>
      </w:r>
    </w:p>
    <w:p w:rsidR="00E51FC9" w:rsidRDefault="00E51FC9" w:rsidP="00E51FC9">
      <w:pPr>
        <w:pStyle w:val="SingleTxt"/>
        <w:spacing w:after="0" w:line="120" w:lineRule="exact"/>
        <w:rPr>
          <w:rFonts w:hint="cs"/>
          <w:sz w:val="12"/>
          <w:rtl/>
        </w:rPr>
      </w:pPr>
    </w:p>
    <w:p w:rsidR="00E51FC9" w:rsidRPr="00874C43" w:rsidRDefault="00E51FC9" w:rsidP="00E51FC9">
      <w:pPr>
        <w:pStyle w:val="SingleTxt"/>
        <w:spacing w:after="0" w:line="120" w:lineRule="exact"/>
        <w:rPr>
          <w:rFonts w:hint="cs"/>
          <w:sz w:val="12"/>
          <w:rtl/>
        </w:rPr>
      </w:pPr>
    </w:p>
    <w:p w:rsidR="00E51FC9" w:rsidRPr="00783AE9" w:rsidRDefault="00E51FC9" w:rsidP="00E51FC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w:t>
      </w:r>
      <w:r>
        <w:rPr>
          <w:rFonts w:hint="cs"/>
          <w:rtl/>
        </w:rPr>
        <w:br/>
        <w:t>اتفاقية القضاء على جميع أشكال التمييز ضد المرأة</w:t>
      </w:r>
    </w:p>
    <w:p w:rsidR="00E51FC9" w:rsidRPr="00874C43" w:rsidRDefault="00E51FC9" w:rsidP="00E51FC9">
      <w:pPr>
        <w:pStyle w:val="SingleTxt"/>
        <w:spacing w:after="0" w:line="120" w:lineRule="exact"/>
        <w:jc w:val="center"/>
        <w:rPr>
          <w:rFonts w:hint="cs"/>
          <w:sz w:val="12"/>
          <w:rtl/>
        </w:rPr>
      </w:pPr>
    </w:p>
    <w:p w:rsidR="00E51FC9" w:rsidRDefault="00E51FC9" w:rsidP="00E51F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تقرير الفريق العامل لما قبل الدورة</w:t>
      </w:r>
    </w:p>
    <w:p w:rsidR="00E51FC9" w:rsidRDefault="00E51FC9" w:rsidP="00E51FC9">
      <w:pPr>
        <w:pStyle w:val="SingleTxt"/>
        <w:rPr>
          <w:rFonts w:hint="cs"/>
          <w:rtl/>
        </w:rPr>
      </w:pPr>
      <w:r>
        <w:rPr>
          <w:rFonts w:hint="cs"/>
          <w:rtl/>
        </w:rPr>
        <w:t>1 -</w:t>
      </w:r>
      <w:r>
        <w:rPr>
          <w:rFonts w:hint="cs"/>
          <w:rtl/>
        </w:rPr>
        <w:tab/>
        <w:t>درجت اللجنة المعنية بالقضاء على التمييز ضد المرأة على عقد اجتماع لفريق عامل لما قبل الدورة لمدة خمسة أيام من أجل إعداد قوائم القضايا والأسئلة المتصلة بالتقارير الأولية والدورية التي ستنظر فيها اللجنة خلال إحدى دوراتها المقبلة.</w:t>
      </w:r>
    </w:p>
    <w:p w:rsidR="00E51FC9" w:rsidRDefault="00E51FC9" w:rsidP="00E51FC9">
      <w:pPr>
        <w:pStyle w:val="SingleTxt"/>
        <w:rPr>
          <w:rFonts w:hint="cs"/>
          <w:rtl/>
        </w:rPr>
      </w:pPr>
      <w:r>
        <w:rPr>
          <w:rFonts w:hint="cs"/>
          <w:rtl/>
        </w:rPr>
        <w:t>2 -</w:t>
      </w:r>
      <w:r>
        <w:rPr>
          <w:rFonts w:hint="cs"/>
          <w:rtl/>
        </w:rPr>
        <w:tab/>
        <w:t>وقررت اللجنة أن يجتمع الفريق العامل لما قبل الدورة الخاص بالدورة التاسعة والخمسين للجنة في الفترة من 3 إلى 7 آذار/مارس 2014، بعد انعقاد دورتها السابعة والخمسين مباشرة، لضمان إتاحة وقت كاف للدول الأطراف كي تقدم ردودها الكتابية على قوائم القضايا والأسئلة، ولضمان ترجمتها في حينها.</w:t>
      </w:r>
    </w:p>
    <w:p w:rsidR="00E51FC9" w:rsidRDefault="00E51FC9" w:rsidP="00E51FC9">
      <w:pPr>
        <w:pStyle w:val="SingleTxt"/>
        <w:rPr>
          <w:rFonts w:hint="cs"/>
          <w:rtl/>
        </w:rPr>
      </w:pPr>
      <w:r>
        <w:rPr>
          <w:rFonts w:hint="cs"/>
          <w:rtl/>
        </w:rPr>
        <w:t>3 -</w:t>
      </w:r>
      <w:r>
        <w:rPr>
          <w:rFonts w:hint="cs"/>
          <w:rtl/>
        </w:rPr>
        <w:tab/>
        <w:t>وقد عُيِّنت الخبيرات التالية أسماؤهن أعضاء في الفريق العامل لما قبل الدورة:</w:t>
      </w:r>
    </w:p>
    <w:p w:rsidR="00E51FC9" w:rsidRDefault="00E51FC9" w:rsidP="00E51FC9">
      <w:pPr>
        <w:pStyle w:val="SingleTxt"/>
        <w:spacing w:line="360" w:lineRule="exact"/>
        <w:rPr>
          <w:rFonts w:hint="cs"/>
          <w:rtl/>
        </w:rPr>
      </w:pPr>
      <w:r>
        <w:tab/>
      </w:r>
      <w:r>
        <w:rPr>
          <w:rFonts w:hint="cs"/>
          <w:rtl/>
        </w:rPr>
        <w:t>السيدة فريدي أكار</w:t>
      </w:r>
    </w:p>
    <w:p w:rsidR="00E51FC9" w:rsidRDefault="00E51FC9" w:rsidP="00E51FC9">
      <w:pPr>
        <w:pStyle w:val="SingleTxt"/>
        <w:spacing w:line="360" w:lineRule="exact"/>
        <w:rPr>
          <w:rFonts w:hint="cs"/>
          <w:rtl/>
        </w:rPr>
      </w:pPr>
      <w:r>
        <w:rPr>
          <w:rFonts w:hint="cs"/>
          <w:rtl/>
        </w:rPr>
        <w:tab/>
        <w:t>السيدة باربارا بيلي</w:t>
      </w:r>
    </w:p>
    <w:p w:rsidR="00E51FC9" w:rsidRDefault="00E51FC9" w:rsidP="00E51FC9">
      <w:pPr>
        <w:pStyle w:val="SingleTxt"/>
        <w:spacing w:line="360" w:lineRule="exact"/>
        <w:rPr>
          <w:rFonts w:hint="cs"/>
          <w:rtl/>
        </w:rPr>
      </w:pPr>
      <w:r>
        <w:rPr>
          <w:rFonts w:hint="cs"/>
          <w:rtl/>
        </w:rPr>
        <w:tab/>
        <w:t>السيدة عصمت جاهان</w:t>
      </w:r>
    </w:p>
    <w:p w:rsidR="00E51FC9" w:rsidRDefault="00E51FC9" w:rsidP="00E51FC9">
      <w:pPr>
        <w:pStyle w:val="SingleTxt"/>
        <w:spacing w:line="360" w:lineRule="exact"/>
        <w:rPr>
          <w:rFonts w:hint="cs"/>
          <w:rtl/>
        </w:rPr>
      </w:pPr>
      <w:r>
        <w:rPr>
          <w:rFonts w:hint="cs"/>
          <w:rtl/>
        </w:rPr>
        <w:tab/>
        <w:t>السيدة داليا لينارتي</w:t>
      </w:r>
    </w:p>
    <w:p w:rsidR="00E51FC9" w:rsidRDefault="00E51FC9" w:rsidP="00E51FC9">
      <w:pPr>
        <w:pStyle w:val="SingleTxt"/>
        <w:spacing w:line="360" w:lineRule="exact"/>
        <w:rPr>
          <w:rFonts w:hint="cs"/>
          <w:rtl/>
        </w:rPr>
      </w:pPr>
      <w:r>
        <w:rPr>
          <w:rFonts w:hint="cs"/>
          <w:rtl/>
        </w:rPr>
        <w:tab/>
        <w:t>السيدة براميلا باتن</w:t>
      </w:r>
    </w:p>
    <w:p w:rsidR="00E51FC9" w:rsidRDefault="00E51FC9" w:rsidP="00E51FC9">
      <w:pPr>
        <w:pStyle w:val="SingleTxt"/>
        <w:rPr>
          <w:rFonts w:hint="cs"/>
          <w:rtl/>
        </w:rPr>
      </w:pPr>
      <w:r>
        <w:rPr>
          <w:rFonts w:hint="cs"/>
          <w:rtl/>
        </w:rPr>
        <w:t>4 -</w:t>
      </w:r>
      <w:r>
        <w:rPr>
          <w:rFonts w:hint="cs"/>
          <w:rtl/>
        </w:rPr>
        <w:tab/>
        <w:t>وانتخب الفريق العامل لما قبل الدورة السيدة جاهان رئيسة له.</w:t>
      </w:r>
    </w:p>
    <w:p w:rsidR="00E51FC9" w:rsidRDefault="00E51FC9" w:rsidP="00E51FC9">
      <w:pPr>
        <w:pStyle w:val="SingleTxt"/>
        <w:rPr>
          <w:rFonts w:hint="cs"/>
          <w:rtl/>
        </w:rPr>
      </w:pPr>
      <w:r>
        <w:rPr>
          <w:rFonts w:hint="cs"/>
          <w:rtl/>
        </w:rPr>
        <w:t>5 -</w:t>
      </w:r>
      <w:r>
        <w:rPr>
          <w:rFonts w:hint="cs"/>
          <w:rtl/>
        </w:rPr>
        <w:tab/>
        <w:t>وأعد الفريق العامل لما قبل الدورة قوائم بالقضايا والأسئلة المتعلقة بتقارير بروني دار</w:t>
      </w:r>
      <w:r>
        <w:rPr>
          <w:rFonts w:hint="eastAsia"/>
          <w:rtl/>
        </w:rPr>
        <w:t> </w:t>
      </w:r>
      <w:r>
        <w:rPr>
          <w:rFonts w:hint="cs"/>
          <w:rtl/>
        </w:rPr>
        <w:t>السلام، وبلجيكا، وبولندا، وجزر سليمان، والصين، وغانا، وغينيا، وفنزويلا</w:t>
      </w:r>
      <w:r>
        <w:rPr>
          <w:rFonts w:hint="eastAsia"/>
          <w:rtl/>
        </w:rPr>
        <w:t> </w:t>
      </w:r>
      <w:r>
        <w:rPr>
          <w:rFonts w:hint="cs"/>
          <w:rtl/>
        </w:rPr>
        <w:t>(جمهورية</w:t>
      </w:r>
      <w:r>
        <w:rPr>
          <w:rFonts w:hint="eastAsia"/>
          <w:rtl/>
        </w:rPr>
        <w:t> </w:t>
      </w:r>
      <w:r>
        <w:rPr>
          <w:rFonts w:hint="cs"/>
          <w:rtl/>
        </w:rPr>
        <w:t>- البوليفارية). واسترشد الفريق العامل لما قبل الدورة في هذا الصدد بمقرر اللجنة 49/تاسعا، الذي قررت بموجبه اللجنة أن تقتصر قوائم القضايا والأسئلة على عشرين سؤالا. وفي الواقع، وبصفة استثنائية، تتضمن بعض قوائم القضايا والأسئلة 21</w:t>
      </w:r>
      <w:r>
        <w:rPr>
          <w:rFonts w:hint="eastAsia"/>
          <w:rtl/>
        </w:rPr>
        <w:t> </w:t>
      </w:r>
      <w:r>
        <w:rPr>
          <w:rFonts w:hint="cs"/>
          <w:rtl/>
        </w:rPr>
        <w:t>سؤالا كحد أقصى.</w:t>
      </w:r>
    </w:p>
    <w:p w:rsidR="00E51FC9" w:rsidRDefault="00E51FC9" w:rsidP="00E51FC9">
      <w:pPr>
        <w:pStyle w:val="SingleTxt"/>
        <w:rPr>
          <w:rFonts w:hint="cs"/>
          <w:rtl/>
        </w:rPr>
      </w:pPr>
      <w:r>
        <w:rPr>
          <w:rFonts w:hint="cs"/>
          <w:rtl/>
        </w:rPr>
        <w:t>6 -</w:t>
      </w:r>
      <w:r>
        <w:rPr>
          <w:rFonts w:hint="cs"/>
          <w:rtl/>
        </w:rPr>
        <w:tab/>
        <w:t>وللمساعدة في إعداد قوائم القضايا والأسئلة، كان معروضا على الفريق العامل لما</w:t>
      </w:r>
      <w:r>
        <w:t> </w:t>
      </w:r>
      <w:r>
        <w:rPr>
          <w:rFonts w:hint="cs"/>
          <w:rtl/>
        </w:rPr>
        <w:t>قبل الدورة تقارير الدول الأطراف المذكورة أعلاه، بالإضافة إلى الوثائق الأساسية لمعظم تلك الدول الأطراف؛ والتوصيات العامة التي اعتمدتها اللجنة؛ والمعلومات الأساسية ومشاريع قوائم القضايا والأسئلة التي أعدتها الأمانة العامة؛ والمعلومات الأخرى ذات الصلة، بما في ذلك الملاحظات الختامية للجنة والهيئات الأخرى المنشأة بموجب معاهدات، رهنا بمدى أهميتها. ولدى إعداد قوائم القضايا والأسئلة المتعلقة بالتقارير الدورية، أولى الفريق العامل لما</w:t>
      </w:r>
      <w:r>
        <w:t> </w:t>
      </w:r>
      <w:r>
        <w:rPr>
          <w:rFonts w:hint="cs"/>
          <w:rtl/>
        </w:rPr>
        <w:t>قبل الدورة عناية خاصة لمدى متابعة الدول الأطراف للملاحظات الختامية للجنة بشأن تقاريرها السابقة، رهنا بانطباقها (ليس بالنسبة للتقارير الأولية).</w:t>
      </w:r>
    </w:p>
    <w:p w:rsidR="00E51FC9" w:rsidRDefault="00E51FC9" w:rsidP="00E51FC9">
      <w:pPr>
        <w:pStyle w:val="SingleTxt"/>
        <w:rPr>
          <w:rFonts w:hint="cs"/>
          <w:rtl/>
        </w:rPr>
      </w:pPr>
      <w:r>
        <w:rPr>
          <w:rFonts w:hint="cs"/>
          <w:rtl/>
        </w:rPr>
        <w:t>7 -</w:t>
      </w:r>
      <w:r>
        <w:rPr>
          <w:rFonts w:hint="cs"/>
          <w:rtl/>
        </w:rPr>
        <w:tab/>
        <w:t>واستفاد الفريق العامل لما قبل الدورة من المعلومات الكتابية والشفوية المقدمة من كيانات منظومة الأمم المتحدة ووكالاتها المتخصصة، ومن المؤسسات الوطنية المعنية بحقوق الإنسان، ومن المنظمات غير الحكومية.</w:t>
      </w:r>
    </w:p>
    <w:p w:rsidR="00E51FC9" w:rsidRDefault="00E51FC9" w:rsidP="00E51FC9">
      <w:pPr>
        <w:pStyle w:val="SingleTxt"/>
        <w:rPr>
          <w:rFonts w:hint="cs"/>
          <w:rtl/>
        </w:rPr>
      </w:pPr>
      <w:r>
        <w:rPr>
          <w:rFonts w:hint="cs"/>
          <w:rtl/>
        </w:rPr>
        <w:t>8 -</w:t>
      </w:r>
      <w:r>
        <w:rPr>
          <w:rFonts w:hint="cs"/>
          <w:rtl/>
        </w:rPr>
        <w:tab/>
        <w:t>وقد أحيلت قوائم القضايا والأسئلة التي اعتمدها الفريق العامل لما قبل الدورة إلى الدول الأطراف المعنية، وهي ترد في الوثائق التالية:</w:t>
      </w:r>
    </w:p>
    <w:p w:rsidR="00E51FC9" w:rsidRDefault="00E51FC9" w:rsidP="00A43D0E">
      <w:pPr>
        <w:pStyle w:val="SingleTxt"/>
        <w:rPr>
          <w:rFonts w:hint="cs"/>
          <w:rtl/>
        </w:rPr>
      </w:pPr>
      <w:r>
        <w:rPr>
          <w:rFonts w:hint="cs"/>
          <w:rtl/>
        </w:rPr>
        <w:tab/>
        <w:t>(أ)</w:t>
      </w:r>
      <w:r>
        <w:rPr>
          <w:rFonts w:hint="cs"/>
          <w:rtl/>
        </w:rPr>
        <w:tab/>
        <w:t xml:space="preserve">قائمــة القضــايا والأســئلة المتعلقــة بالتقــرير الـــدوري الســابع لبلجيــكا </w:t>
      </w:r>
      <w:r w:rsidR="00A43D0E" w:rsidRPr="00A43D0E">
        <w:rPr>
          <w:rFonts w:hint="cs"/>
          <w:sz w:val="30"/>
          <w:rtl/>
        </w:rPr>
        <w:t>(</w:t>
      </w:r>
      <w:hyperlink r:id="rId14" w:history="1">
        <w:r w:rsidRPr="004D6871">
          <w:rPr>
            <w:rStyle w:val="Hyperlink"/>
            <w:szCs w:val="20"/>
          </w:rPr>
          <w:t>CEDAW/C/BEL/Q/7</w:t>
        </w:r>
      </w:hyperlink>
      <w:r w:rsidR="00A43D0E" w:rsidRPr="00A43D0E">
        <w:rPr>
          <w:rFonts w:hint="cs"/>
          <w:sz w:val="30"/>
          <w:rtl/>
        </w:rPr>
        <w:t>)</w:t>
      </w:r>
      <w:r>
        <w:rPr>
          <w:rFonts w:hint="cs"/>
          <w:rtl/>
        </w:rPr>
        <w:t>؛</w:t>
      </w:r>
    </w:p>
    <w:p w:rsidR="00E51FC9" w:rsidRDefault="00E51FC9" w:rsidP="00A43D0E">
      <w:pPr>
        <w:pStyle w:val="SingleTxt"/>
        <w:rPr>
          <w:szCs w:val="20"/>
        </w:rPr>
      </w:pPr>
      <w:r>
        <w:rPr>
          <w:rFonts w:hint="cs"/>
          <w:rtl/>
        </w:rPr>
        <w:tab/>
        <w:t>(ب)</w:t>
      </w:r>
      <w:r>
        <w:rPr>
          <w:rFonts w:hint="cs"/>
          <w:rtl/>
        </w:rPr>
        <w:tab/>
        <w:t xml:space="preserve">قائمــة القضايا والأسئلة المتعلقة بالتقرير الجامع للتقريرين الدوريين الأوَّلي والثاني لبروني دار السلام </w:t>
      </w:r>
      <w:r w:rsidR="00A43D0E" w:rsidRPr="00A43D0E">
        <w:rPr>
          <w:rFonts w:hint="cs"/>
          <w:sz w:val="30"/>
          <w:rtl/>
        </w:rPr>
        <w:t>(</w:t>
      </w:r>
      <w:hyperlink r:id="rId15" w:history="1">
        <w:r w:rsidRPr="004D6871">
          <w:rPr>
            <w:rStyle w:val="Hyperlink"/>
            <w:szCs w:val="20"/>
          </w:rPr>
          <w:t>CEDAW/C/BRN/Q/1-2</w:t>
        </w:r>
      </w:hyperlink>
      <w:r w:rsidR="00A43D0E" w:rsidRPr="00A43D0E">
        <w:rPr>
          <w:rFonts w:hint="cs"/>
          <w:sz w:val="30"/>
          <w:rtl/>
        </w:rPr>
        <w:t>)</w:t>
      </w:r>
      <w:r>
        <w:rPr>
          <w:rFonts w:hint="cs"/>
          <w:szCs w:val="20"/>
          <w:rtl/>
        </w:rPr>
        <w:t>؛</w:t>
      </w:r>
    </w:p>
    <w:p w:rsidR="00E51FC9" w:rsidRDefault="00E51FC9" w:rsidP="00A43D0E">
      <w:pPr>
        <w:pStyle w:val="SingleTxt"/>
        <w:rPr>
          <w:rFonts w:hint="cs"/>
          <w:rtl/>
        </w:rPr>
      </w:pPr>
      <w:r>
        <w:rPr>
          <w:szCs w:val="20"/>
        </w:rPr>
        <w:tab/>
      </w:r>
      <w:r w:rsidRPr="000A56A2">
        <w:rPr>
          <w:rFonts w:hint="cs"/>
          <w:rtl/>
        </w:rPr>
        <w:t>(ج)</w:t>
      </w:r>
      <w:r w:rsidRPr="000A56A2">
        <w:rPr>
          <w:rFonts w:hint="cs"/>
          <w:rtl/>
        </w:rPr>
        <w:tab/>
      </w:r>
      <w:r>
        <w:rPr>
          <w:rFonts w:hint="cs"/>
          <w:rtl/>
        </w:rPr>
        <w:t xml:space="preserve">قائمــة القضايا والأسئلة المتعلقة بالتقرير الجامع للتقريرين الدوريين السابع والثامن للصين </w:t>
      </w:r>
      <w:r w:rsidR="00A43D0E" w:rsidRPr="00A43D0E">
        <w:rPr>
          <w:rFonts w:hint="cs"/>
          <w:sz w:val="30"/>
          <w:rtl/>
        </w:rPr>
        <w:t>(</w:t>
      </w:r>
      <w:hyperlink r:id="rId16" w:history="1">
        <w:r w:rsidRPr="004D6871">
          <w:rPr>
            <w:rStyle w:val="Hyperlink"/>
            <w:szCs w:val="20"/>
          </w:rPr>
          <w:t>CEDAW/C/CHN/Q/7-8</w:t>
        </w:r>
      </w:hyperlink>
      <w:r w:rsidR="00A43D0E" w:rsidRPr="00A43D0E">
        <w:rPr>
          <w:rFonts w:hint="cs"/>
          <w:sz w:val="30"/>
          <w:rtl/>
        </w:rPr>
        <w:t>)</w:t>
      </w:r>
      <w:r>
        <w:rPr>
          <w:rFonts w:hint="cs"/>
          <w:rtl/>
        </w:rPr>
        <w:t>؛</w:t>
      </w:r>
    </w:p>
    <w:p w:rsidR="00E51FC9" w:rsidRDefault="00E51FC9" w:rsidP="00A43D0E">
      <w:pPr>
        <w:pStyle w:val="SingleTxt"/>
        <w:rPr>
          <w:rFonts w:hint="cs"/>
          <w:rtl/>
        </w:rPr>
      </w:pPr>
      <w:r>
        <w:rPr>
          <w:rFonts w:hint="cs"/>
          <w:rtl/>
        </w:rPr>
        <w:tab/>
        <w:t>(د)</w:t>
      </w:r>
      <w:r>
        <w:rPr>
          <w:rFonts w:hint="cs"/>
          <w:rtl/>
        </w:rPr>
        <w:tab/>
        <w:t xml:space="preserve">قائمة القضايا والأسئلة المتعلقة بالتقرير الجامع للتقريرين الدوريين السادس والسابع لغانا </w:t>
      </w:r>
      <w:r w:rsidR="00A43D0E" w:rsidRPr="00A43D0E">
        <w:rPr>
          <w:rFonts w:hint="cs"/>
          <w:sz w:val="30"/>
          <w:rtl/>
        </w:rPr>
        <w:t>(</w:t>
      </w:r>
      <w:hyperlink r:id="rId17" w:history="1">
        <w:r w:rsidRPr="004D6871">
          <w:rPr>
            <w:rStyle w:val="Hyperlink"/>
            <w:szCs w:val="20"/>
          </w:rPr>
          <w:t>CEDAW/C/GHA/Q/6-7</w:t>
        </w:r>
      </w:hyperlink>
      <w:r w:rsidR="00A43D0E" w:rsidRPr="00A43D0E">
        <w:rPr>
          <w:rFonts w:hint="cs"/>
          <w:sz w:val="30"/>
          <w:rtl/>
        </w:rPr>
        <w:t>)</w:t>
      </w:r>
      <w:r>
        <w:rPr>
          <w:rFonts w:hint="cs"/>
          <w:rtl/>
        </w:rPr>
        <w:t>؛</w:t>
      </w:r>
    </w:p>
    <w:p w:rsidR="00E51FC9" w:rsidRDefault="00E51FC9" w:rsidP="00FA0F91">
      <w:pPr>
        <w:pStyle w:val="SingleTxt"/>
        <w:rPr>
          <w:rFonts w:hint="cs"/>
          <w:rtl/>
        </w:rPr>
      </w:pPr>
      <w:r>
        <w:rPr>
          <w:rFonts w:hint="cs"/>
          <w:rtl/>
        </w:rPr>
        <w:tab/>
        <w:t>(هـ)</w:t>
      </w:r>
      <w:r>
        <w:rPr>
          <w:rFonts w:hint="cs"/>
          <w:rtl/>
        </w:rPr>
        <w:tab/>
        <w:t xml:space="preserve">قائمــة القضايا والأسئلة المتعلقة بالتقرير الجامع للتقريرين الدوريين السابع والثامن لغينيا </w:t>
      </w:r>
      <w:r w:rsidR="00FA0F91" w:rsidRPr="00A43D0E">
        <w:rPr>
          <w:rFonts w:hint="cs"/>
          <w:sz w:val="30"/>
          <w:rtl/>
        </w:rPr>
        <w:t>(</w:t>
      </w:r>
      <w:hyperlink r:id="rId18" w:history="1">
        <w:r w:rsidRPr="004D6871">
          <w:rPr>
            <w:rStyle w:val="Hyperlink"/>
            <w:szCs w:val="20"/>
          </w:rPr>
          <w:t>CEDAW/C/GIN/Q/7-8</w:t>
        </w:r>
      </w:hyperlink>
      <w:r w:rsidR="00FA0F91" w:rsidRPr="00A43D0E">
        <w:rPr>
          <w:rFonts w:hint="cs"/>
          <w:sz w:val="30"/>
          <w:rtl/>
        </w:rPr>
        <w:t>)</w:t>
      </w:r>
      <w:r w:rsidR="00FA0F91">
        <w:rPr>
          <w:rFonts w:hint="cs"/>
          <w:sz w:val="30"/>
          <w:rtl/>
        </w:rPr>
        <w:t>؛</w:t>
      </w:r>
    </w:p>
    <w:p w:rsidR="00E51FC9" w:rsidRDefault="00E51FC9" w:rsidP="00FA0F91">
      <w:pPr>
        <w:pStyle w:val="SingleTxt"/>
      </w:pPr>
      <w:r>
        <w:rPr>
          <w:rFonts w:hint="cs"/>
          <w:rtl/>
        </w:rPr>
        <w:tab/>
        <w:t>(و)</w:t>
      </w:r>
      <w:r>
        <w:rPr>
          <w:rFonts w:hint="cs"/>
          <w:rtl/>
        </w:rPr>
        <w:tab/>
        <w:t xml:space="preserve">قائمــة القضايا والأسئلة المتعلقة بالتقرير الجامع للتقريرين الدوريين السابع والثامن لبولندا </w:t>
      </w:r>
      <w:r w:rsidR="00FA0F91" w:rsidRPr="00A43D0E">
        <w:rPr>
          <w:rFonts w:hint="cs"/>
          <w:sz w:val="30"/>
          <w:rtl/>
        </w:rPr>
        <w:t>(</w:t>
      </w:r>
      <w:hyperlink r:id="rId19" w:history="1">
        <w:r w:rsidRPr="004D6871">
          <w:rPr>
            <w:rStyle w:val="Hyperlink"/>
          </w:rPr>
          <w:t>CEDAW/C/POL/Q/7-8</w:t>
        </w:r>
      </w:hyperlink>
      <w:r w:rsidR="00FA0F91" w:rsidRPr="00A43D0E">
        <w:rPr>
          <w:rFonts w:hint="cs"/>
          <w:sz w:val="30"/>
          <w:rtl/>
        </w:rPr>
        <w:t>)</w:t>
      </w:r>
      <w:r w:rsidR="00FA0F91">
        <w:rPr>
          <w:rFonts w:hint="cs"/>
          <w:sz w:val="30"/>
          <w:rtl/>
        </w:rPr>
        <w:t>؛</w:t>
      </w:r>
    </w:p>
    <w:p w:rsidR="00E51FC9" w:rsidRDefault="00E51FC9" w:rsidP="00FA0F91">
      <w:pPr>
        <w:pStyle w:val="SingleTxt"/>
        <w:rPr>
          <w:rFonts w:hint="cs"/>
          <w:rtl/>
        </w:rPr>
      </w:pPr>
      <w:r>
        <w:tab/>
      </w:r>
      <w:r>
        <w:rPr>
          <w:rFonts w:hint="cs"/>
          <w:rtl/>
        </w:rPr>
        <w:t>(ز)</w:t>
      </w:r>
      <w:r>
        <w:rPr>
          <w:rFonts w:hint="cs"/>
          <w:rtl/>
        </w:rPr>
        <w:tab/>
        <w:t>قائمــة القضايا والأسئلة المتعلقة بالتقرير الجامع للتقارير الدورية الأوَّلي إلى الثالث لجزر سليمان</w:t>
      </w:r>
      <w:r w:rsidR="00FA0F91">
        <w:rPr>
          <w:rFonts w:hint="cs"/>
          <w:rtl/>
        </w:rPr>
        <w:t xml:space="preserve"> </w:t>
      </w:r>
      <w:r w:rsidR="00FA0F91" w:rsidRPr="00A43D0E">
        <w:rPr>
          <w:rFonts w:hint="cs"/>
          <w:sz w:val="30"/>
          <w:rtl/>
        </w:rPr>
        <w:t>(</w:t>
      </w:r>
      <w:hyperlink r:id="rId20" w:history="1">
        <w:r w:rsidRPr="004D6871">
          <w:rPr>
            <w:rStyle w:val="Hyperlink"/>
          </w:rPr>
          <w:t>CEDAW/C/SLB/Q/1-3/Add.2</w:t>
        </w:r>
      </w:hyperlink>
      <w:r w:rsidR="00FA0F91" w:rsidRPr="00A43D0E">
        <w:rPr>
          <w:rFonts w:hint="cs"/>
          <w:sz w:val="30"/>
          <w:rtl/>
        </w:rPr>
        <w:t>)</w:t>
      </w:r>
      <w:r w:rsidR="00FA0F91">
        <w:rPr>
          <w:rFonts w:hint="cs"/>
          <w:sz w:val="30"/>
          <w:rtl/>
        </w:rPr>
        <w:t>؛</w:t>
      </w:r>
    </w:p>
    <w:p w:rsidR="00E51FC9" w:rsidRDefault="00E51FC9" w:rsidP="00FA0F91">
      <w:pPr>
        <w:pStyle w:val="SingleTxt"/>
        <w:rPr>
          <w:rFonts w:hint="cs"/>
          <w:szCs w:val="20"/>
          <w:rtl/>
        </w:rPr>
      </w:pPr>
      <w:r>
        <w:rPr>
          <w:rFonts w:hint="cs"/>
          <w:rtl/>
        </w:rPr>
        <w:tab/>
        <w:t>(ح)</w:t>
      </w:r>
      <w:r>
        <w:rPr>
          <w:rFonts w:hint="cs"/>
          <w:rtl/>
        </w:rPr>
        <w:tab/>
        <w:t>قائمــة القضايا والأسئلة المتعلقة بالتقرير الجامع للتقريرين الدوريين السابع والثامن لجمهورية فنزويلا البول</w:t>
      </w:r>
      <w:r w:rsidR="004D6871">
        <w:rPr>
          <w:rFonts w:hint="cs"/>
          <w:rtl/>
        </w:rPr>
        <w:t>ي</w:t>
      </w:r>
      <w:r>
        <w:rPr>
          <w:rFonts w:hint="cs"/>
          <w:rtl/>
        </w:rPr>
        <w:t xml:space="preserve">فارية </w:t>
      </w:r>
      <w:r w:rsidR="00FA0F91" w:rsidRPr="00A43D0E">
        <w:rPr>
          <w:rFonts w:hint="cs"/>
          <w:sz w:val="30"/>
          <w:rtl/>
        </w:rPr>
        <w:t>(</w:t>
      </w:r>
      <w:hyperlink r:id="rId21" w:history="1">
        <w:r w:rsidRPr="004D6871">
          <w:rPr>
            <w:rStyle w:val="Hyperlink"/>
            <w:szCs w:val="20"/>
          </w:rPr>
          <w:t>CEDAW/C/VEN/Q/7-8</w:t>
        </w:r>
      </w:hyperlink>
      <w:r w:rsidR="00FA0F91" w:rsidRPr="00A43D0E">
        <w:rPr>
          <w:rFonts w:hint="cs"/>
          <w:sz w:val="30"/>
          <w:rtl/>
        </w:rPr>
        <w:t>)</w:t>
      </w:r>
      <w:bookmarkStart w:id="1" w:name="TmpSave"/>
      <w:bookmarkEnd w:id="1"/>
      <w:r w:rsidRPr="00072B71">
        <w:rPr>
          <w:rFonts w:hint="cs"/>
          <w:rtl/>
        </w:rPr>
        <w:t>.</w:t>
      </w:r>
    </w:p>
    <w:p w:rsidR="00BF464F" w:rsidRDefault="00E51FC9" w:rsidP="00E51FC9">
      <w:pPr>
        <w:pStyle w:val="SingleTxt"/>
        <w:rPr>
          <w:rFonts w:hint="cs"/>
          <w:w w:val="100"/>
          <w:rtl/>
        </w:rPr>
      </w:pPr>
      <w:r w:rsidRPr="00341983">
        <w:rPr>
          <w:rFonts w:hint="cs"/>
          <w:w w:val="100"/>
          <w:rtl/>
        </w:rPr>
        <w:t>9 -</w:t>
      </w:r>
      <w:r w:rsidRPr="00341983">
        <w:rPr>
          <w:rFonts w:hint="cs"/>
          <w:w w:val="100"/>
          <w:rtl/>
        </w:rPr>
        <w:tab/>
        <w:t>ووفقا لمقررات اللجنة 22/رابعا و 25/ثانيا و 31/ثالثا، تم التركيز في قوائم القضايا والأسئلة على المواضيع التي تعالجها اتفاقية القضاء على جميع أشكال التمييز ضد المرأة. وتشمل هذه المواضيع الإطار الدستوري والتشريعي؛ والمرأة، والسلام والأمن، حيثما ينطبق ذلك؛ والأجهزة الوطنية للنهوض بالمرأة؛ والقوالب النمطية والممارسات الضارة؛ والعنف ضد المرأة، بما في ذلك العنف المنزلي؛ والاتجار بالمرأة واستغلالها في البغاء؛ ومشاركة المرأة في صُنع القرار؛ والتعليم والتدريب؛ والعمالة؛ والصحة؛ والمنافع الاجتماعية والاقتصادية؛ والمرأة الريفية؛ وحالة الفئات المحرومة من النساء، مثل المسنات والنساء ذوات الإعاقة، ونساء الأقليات العرقية، واللاجئات والمهاجرات؛ ومساواة المرأة أمام القانون؛ والزواج والعلاقات الأسرية.</w:t>
      </w:r>
    </w:p>
    <w:p w:rsidR="00E51FC9" w:rsidRPr="00E51FC9" w:rsidRDefault="00E51FC9" w:rsidP="00E51FC9">
      <w:pPr>
        <w:pStyle w:val="SingleTxt"/>
        <w:spacing w:after="0" w:line="240" w:lineRule="auto"/>
        <w:rPr>
          <w:rFonts w:hint="cs"/>
          <w:rtl/>
        </w:rPr>
      </w:pPr>
      <w:r>
        <w:rPr>
          <w:rFonts w:hint="cs"/>
          <w:noProof/>
          <w:w w:val="100"/>
          <w:rtl/>
        </w:rPr>
        <w:pict>
          <v:line id="_x0000_s1027" style="position:absolute;left:0;text-align:left;z-index:2" from="206.6pt,24pt" to="278.6pt,24pt" strokecolor="#010000" strokeweight=".25pt"/>
        </w:pict>
      </w:r>
    </w:p>
    <w:sectPr w:rsidR="00E51FC9" w:rsidRPr="00E51FC9" w:rsidSect="00BF464F">
      <w:endnotePr>
        <w:numFmt w:val="lowerLetter"/>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28T09:50:00Z" w:initials="Start">
    <w:p w:rsidR="00FA0F91" w:rsidRDefault="00FA0F9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NO&gt;&gt;N1426245A&lt;&lt;ODS JOB NO</w:t>
      </w:r>
      <w:r>
        <w:rPr>
          <w:rtl/>
        </w:rPr>
        <w:t>&gt;&gt;</w:t>
      </w:r>
    </w:p>
    <w:p w:rsidR="00FA0F91" w:rsidRDefault="00FA0F91">
      <w:pPr>
        <w:pStyle w:val="CommentText"/>
        <w:rPr>
          <w:rtl/>
        </w:rPr>
      </w:pPr>
      <w:r>
        <w:rPr>
          <w:rtl/>
        </w:rPr>
        <w:t>&lt;&lt;</w:t>
      </w:r>
      <w:r>
        <w:t>ODS DOC SYMBOL1&gt;&gt;CEDAW/C/PSWG/59/1&lt;&lt;ODS DOC SYMBOL1</w:t>
      </w:r>
      <w:r>
        <w:rPr>
          <w:rtl/>
        </w:rPr>
        <w:t>&gt;&gt;</w:t>
      </w:r>
    </w:p>
    <w:p w:rsidR="00FA0F91" w:rsidRDefault="00FA0F91">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0F91" w:rsidRDefault="00FA0F91" w:rsidP="00693CF9">
      <w:pPr>
        <w:spacing w:line="240" w:lineRule="auto"/>
      </w:pPr>
      <w:r>
        <w:separator/>
      </w:r>
    </w:p>
  </w:endnote>
  <w:endnote w:type="continuationSeparator" w:id="0">
    <w:p w:rsidR="00FA0F91" w:rsidRDefault="00FA0F91"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A0F91" w:rsidTr="00BF464F">
      <w:tblPrEx>
        <w:tblCellMar>
          <w:top w:w="0" w:type="dxa"/>
          <w:bottom w:w="0" w:type="dxa"/>
        </w:tblCellMar>
      </w:tblPrEx>
      <w:tc>
        <w:tcPr>
          <w:tcW w:w="5033" w:type="dxa"/>
          <w:shd w:val="clear" w:color="auto" w:fill="auto"/>
        </w:tcPr>
        <w:p w:rsidR="00FA0F91" w:rsidRPr="00A57BF8" w:rsidRDefault="00FA0F91" w:rsidP="00BF464F">
          <w:pPr>
            <w:pStyle w:val="Footer"/>
            <w:rPr>
              <w:rFonts w:cs="Traditional Arabic"/>
              <w:w w:val="103"/>
            </w:rPr>
          </w:pPr>
          <w:r w:rsidRPr="00A57BF8">
            <w:rPr>
              <w:rFonts w:cs="Traditional Arabic"/>
              <w:w w:val="103"/>
            </w:rPr>
            <w:fldChar w:fldCharType="begin"/>
          </w:r>
          <w:r w:rsidRPr="00A57BF8">
            <w:rPr>
              <w:rFonts w:cs="Traditional Arabic"/>
              <w:w w:val="103"/>
            </w:rPr>
            <w:instrText xml:space="preserve"> PAGE  \* Arabic  \* MERGEFORMAT </w:instrText>
          </w:r>
          <w:r w:rsidRPr="00A57BF8">
            <w:rPr>
              <w:rFonts w:cs="Traditional Arabic"/>
              <w:w w:val="103"/>
            </w:rPr>
            <w:fldChar w:fldCharType="separate"/>
          </w:r>
          <w:r w:rsidRPr="00A57BF8">
            <w:rPr>
              <w:rFonts w:cs="Traditional Arabic"/>
              <w:noProof/>
              <w:w w:val="103"/>
            </w:rPr>
            <w:t>2</w:t>
          </w:r>
          <w:r w:rsidRPr="00A57BF8">
            <w:rPr>
              <w:rFonts w:cs="Traditional Arabic"/>
              <w:w w:val="103"/>
            </w:rPr>
            <w:fldChar w:fldCharType="end"/>
          </w:r>
          <w:r w:rsidRPr="00A57BF8">
            <w:rPr>
              <w:rFonts w:cs="Traditional Arabic"/>
              <w:w w:val="103"/>
            </w:rPr>
            <w:t>/</w:t>
          </w:r>
          <w:fldSimple w:instr=" NUMPAGES  \* Arabic  \* MERGEFORMAT ">
            <w:r w:rsidRPr="00A57BF8">
              <w:rPr>
                <w:rFonts w:cs="Traditional Arabic"/>
                <w:noProof/>
                <w:w w:val="103"/>
              </w:rPr>
              <w:t>3</w:t>
            </w:r>
          </w:fldSimple>
        </w:p>
      </w:tc>
      <w:tc>
        <w:tcPr>
          <w:tcW w:w="5033" w:type="dxa"/>
          <w:shd w:val="clear" w:color="auto" w:fill="auto"/>
        </w:tcPr>
        <w:p w:rsidR="00FA0F91" w:rsidRPr="00A57BF8" w:rsidRDefault="00FA0F91" w:rsidP="00BF464F">
          <w:pPr>
            <w:pStyle w:val="Footer"/>
            <w:jc w:val="left"/>
            <w:rPr>
              <w:rFonts w:cs="Traditional Arabic"/>
              <w:b w:val="0"/>
              <w:w w:val="103"/>
            </w:rPr>
          </w:pPr>
          <w:fldSimple w:instr=" DOCVARIABLE &quot;FooterJN&quot; \* MERGEFORMAT ">
            <w:r w:rsidRPr="00A57BF8">
              <w:rPr>
                <w:rFonts w:cs="Traditional Arabic"/>
                <w:b w:val="0"/>
                <w:w w:val="103"/>
              </w:rPr>
              <w:t>14-26245</w:t>
            </w:r>
          </w:fldSimple>
        </w:p>
      </w:tc>
    </w:tr>
  </w:tbl>
  <w:p w:rsidR="00FA0F91" w:rsidRPr="00BF464F" w:rsidRDefault="00FA0F91" w:rsidP="00BF464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A0F91" w:rsidTr="00BF464F">
      <w:tblPrEx>
        <w:tblCellMar>
          <w:top w:w="0" w:type="dxa"/>
          <w:bottom w:w="0" w:type="dxa"/>
        </w:tblCellMar>
      </w:tblPrEx>
      <w:tc>
        <w:tcPr>
          <w:tcW w:w="5033" w:type="dxa"/>
          <w:shd w:val="clear" w:color="auto" w:fill="auto"/>
        </w:tcPr>
        <w:p w:rsidR="00FA0F91" w:rsidRPr="00A57BF8" w:rsidRDefault="00FA0F91" w:rsidP="00BF464F">
          <w:pPr>
            <w:pStyle w:val="Footer"/>
            <w:rPr>
              <w:rFonts w:cs="Traditional Arabic"/>
              <w:b w:val="0"/>
              <w:w w:val="103"/>
            </w:rPr>
          </w:pPr>
          <w:fldSimple w:instr=" DOCVARIABLE &quot;FooterJN&quot; \* MERGEFORMAT ">
            <w:r w:rsidRPr="00A57BF8">
              <w:rPr>
                <w:rFonts w:cs="Traditional Arabic"/>
                <w:b w:val="0"/>
                <w:w w:val="103"/>
              </w:rPr>
              <w:t>14-26245</w:t>
            </w:r>
          </w:fldSimple>
        </w:p>
      </w:tc>
      <w:tc>
        <w:tcPr>
          <w:tcW w:w="5033" w:type="dxa"/>
          <w:shd w:val="clear" w:color="auto" w:fill="auto"/>
        </w:tcPr>
        <w:p w:rsidR="00FA0F91" w:rsidRPr="00A57BF8" w:rsidRDefault="00FA0F91" w:rsidP="00BF464F">
          <w:pPr>
            <w:pStyle w:val="Footer"/>
            <w:jc w:val="left"/>
            <w:rPr>
              <w:rFonts w:cs="Traditional Arabic"/>
              <w:w w:val="103"/>
            </w:rPr>
          </w:pPr>
          <w:r w:rsidRPr="00A57BF8">
            <w:rPr>
              <w:rFonts w:cs="Traditional Arabic"/>
              <w:w w:val="103"/>
            </w:rPr>
            <w:fldChar w:fldCharType="begin"/>
          </w:r>
          <w:r w:rsidRPr="00A57BF8">
            <w:rPr>
              <w:rFonts w:cs="Traditional Arabic"/>
              <w:w w:val="103"/>
            </w:rPr>
            <w:instrText xml:space="preserve"> PAGE  \* Arabic  \* MERGEFORMAT </w:instrText>
          </w:r>
          <w:r w:rsidRPr="00A57BF8">
            <w:rPr>
              <w:rFonts w:cs="Traditional Arabic"/>
              <w:w w:val="103"/>
            </w:rPr>
            <w:fldChar w:fldCharType="separate"/>
          </w:r>
          <w:r w:rsidRPr="00A57BF8">
            <w:rPr>
              <w:rFonts w:cs="Traditional Arabic"/>
              <w:noProof/>
              <w:w w:val="103"/>
            </w:rPr>
            <w:t>3</w:t>
          </w:r>
          <w:r w:rsidRPr="00A57BF8">
            <w:rPr>
              <w:rFonts w:cs="Traditional Arabic"/>
              <w:w w:val="103"/>
            </w:rPr>
            <w:fldChar w:fldCharType="end"/>
          </w:r>
          <w:r w:rsidRPr="00A57BF8">
            <w:rPr>
              <w:rFonts w:cs="Traditional Arabic"/>
              <w:w w:val="103"/>
            </w:rPr>
            <w:t>/</w:t>
          </w:r>
          <w:fldSimple w:instr=" NUMPAGES  \* Arabic  \* MERGEFORMAT ">
            <w:r w:rsidRPr="00A57BF8">
              <w:rPr>
                <w:rFonts w:cs="Traditional Arabic"/>
                <w:noProof/>
                <w:w w:val="103"/>
              </w:rPr>
              <w:t>3</w:t>
            </w:r>
          </w:fldSimple>
        </w:p>
      </w:tc>
    </w:tr>
  </w:tbl>
  <w:p w:rsidR="00FA0F91" w:rsidRPr="00BF464F" w:rsidRDefault="00FA0F91" w:rsidP="00BF464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FA0F91" w:rsidTr="00E51FC9">
      <w:tblPrEx>
        <w:tblCellMar>
          <w:top w:w="0" w:type="dxa"/>
          <w:bottom w:w="0" w:type="dxa"/>
        </w:tblCellMar>
      </w:tblPrEx>
      <w:trPr>
        <w:jc w:val="right"/>
      </w:trPr>
      <w:tc>
        <w:tcPr>
          <w:tcW w:w="3744" w:type="dxa"/>
        </w:tcPr>
        <w:p w:rsidR="00FA0F91" w:rsidRDefault="00FA0F91" w:rsidP="00BF464F">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FA0F91" w:rsidRDefault="00FA0F91" w:rsidP="00BF464F">
          <w:pPr>
            <w:pStyle w:val="ReleaseDate"/>
          </w:pPr>
          <w:r>
            <w:t>280314    280314    14-26245X (A)</w:t>
          </w:r>
        </w:p>
        <w:p w:rsidR="00FA0F91" w:rsidRPr="00A57BF8" w:rsidRDefault="00FA0F91" w:rsidP="00BF464F">
          <w:pPr>
            <w:pStyle w:val="Footer"/>
            <w:spacing w:before="80"/>
            <w:rPr>
              <w:rFonts w:ascii="Barcode 3 of 9 by request" w:hAnsi="Barcode 3 of 9 by request" w:cs="Traditional Arabic"/>
              <w:sz w:val="24"/>
            </w:rPr>
          </w:pPr>
          <w:fldSimple w:instr=" DOCVARIABLE &quot;Barcode&quot; \* MERGEFORMAT ">
            <w:r w:rsidRPr="00A57BF8">
              <w:rPr>
                <w:rFonts w:ascii="Barcode 3 of 9 by request" w:hAnsi="Barcode 3 of 9 by request" w:cs="Traditional Arabic"/>
                <w:sz w:val="24"/>
              </w:rPr>
              <w:t>*1426245*</w:t>
            </w:r>
          </w:fldSimple>
        </w:p>
      </w:tc>
    </w:tr>
  </w:tbl>
  <w:p w:rsidR="00FA0F91" w:rsidRPr="00BF464F" w:rsidRDefault="00FA0F91" w:rsidP="00BF464F">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0F91" w:rsidRDefault="00FA0F91" w:rsidP="00693CF9">
      <w:pPr>
        <w:spacing w:line="240" w:lineRule="auto"/>
      </w:pPr>
      <w:r>
        <w:separator/>
      </w:r>
    </w:p>
  </w:footnote>
  <w:footnote w:type="continuationSeparator" w:id="0">
    <w:p w:rsidR="00FA0F91" w:rsidRDefault="00FA0F91" w:rsidP="00693C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FA0F91" w:rsidTr="00BF464F">
      <w:tblPrEx>
        <w:tblCellMar>
          <w:top w:w="0" w:type="dxa"/>
          <w:bottom w:w="0" w:type="dxa"/>
        </w:tblCellMar>
      </w:tblPrEx>
      <w:trPr>
        <w:trHeight w:hRule="exact" w:val="864"/>
        <w:jc w:val="center"/>
      </w:trPr>
      <w:tc>
        <w:tcPr>
          <w:tcW w:w="4925" w:type="dxa"/>
          <w:shd w:val="clear" w:color="auto" w:fill="auto"/>
          <w:vAlign w:val="bottom"/>
        </w:tcPr>
        <w:p w:rsidR="00FA0F91" w:rsidRPr="00A57BF8" w:rsidRDefault="00FA0F91" w:rsidP="00BF464F">
          <w:pPr>
            <w:pStyle w:val="Header"/>
            <w:bidi/>
            <w:rPr>
              <w:rFonts w:cs="Traditional Arabic"/>
            </w:rPr>
          </w:pPr>
        </w:p>
      </w:tc>
      <w:tc>
        <w:tcPr>
          <w:tcW w:w="4925" w:type="dxa"/>
          <w:shd w:val="clear" w:color="auto" w:fill="auto"/>
          <w:vAlign w:val="bottom"/>
        </w:tcPr>
        <w:p w:rsidR="00FA0F91" w:rsidRPr="00A57BF8" w:rsidRDefault="00FA0F91" w:rsidP="00BF464F">
          <w:pPr>
            <w:pStyle w:val="Header"/>
            <w:spacing w:after="80"/>
            <w:rPr>
              <w:rFonts w:cs="Traditional Arabic"/>
              <w:w w:val="103"/>
            </w:rPr>
          </w:pPr>
          <w:fldSimple w:instr=" DOCVARIABLE sss1  \* MERGEFORMAT ">
            <w:r w:rsidRPr="00A57BF8">
              <w:rPr>
                <w:rFonts w:cs="Traditional Arabic"/>
                <w:w w:val="103"/>
              </w:rPr>
              <w:t>CEDAW/C/PSWG/59/1</w:t>
            </w:r>
          </w:fldSimple>
        </w:p>
      </w:tc>
    </w:tr>
  </w:tbl>
  <w:p w:rsidR="00FA0F91" w:rsidRPr="00BF464F" w:rsidRDefault="00FA0F91" w:rsidP="00BF464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FA0F91" w:rsidTr="00BF464F">
      <w:tblPrEx>
        <w:tblCellMar>
          <w:top w:w="0" w:type="dxa"/>
          <w:bottom w:w="0" w:type="dxa"/>
        </w:tblCellMar>
      </w:tblPrEx>
      <w:trPr>
        <w:trHeight w:hRule="exact" w:val="864"/>
        <w:jc w:val="center"/>
      </w:trPr>
      <w:tc>
        <w:tcPr>
          <w:tcW w:w="4925" w:type="dxa"/>
          <w:shd w:val="clear" w:color="auto" w:fill="auto"/>
          <w:vAlign w:val="bottom"/>
        </w:tcPr>
        <w:p w:rsidR="00FA0F91" w:rsidRPr="00A57BF8" w:rsidRDefault="00FA0F91" w:rsidP="00BF464F">
          <w:pPr>
            <w:pStyle w:val="Header"/>
            <w:spacing w:after="80"/>
            <w:jc w:val="left"/>
            <w:rPr>
              <w:rFonts w:cs="Traditional Arabic"/>
              <w:w w:val="103"/>
            </w:rPr>
          </w:pPr>
          <w:fldSimple w:instr=" DOCVARIABLE sss1  \* MERGEFORMAT ">
            <w:r w:rsidRPr="00A57BF8">
              <w:rPr>
                <w:rFonts w:cs="Traditional Arabic"/>
                <w:w w:val="103"/>
              </w:rPr>
              <w:t>CEDAW/C/PSWG/59/1</w:t>
            </w:r>
          </w:fldSimple>
        </w:p>
      </w:tc>
      <w:tc>
        <w:tcPr>
          <w:tcW w:w="4925" w:type="dxa"/>
          <w:shd w:val="clear" w:color="auto" w:fill="auto"/>
          <w:vAlign w:val="bottom"/>
        </w:tcPr>
        <w:p w:rsidR="00FA0F91" w:rsidRPr="00A57BF8" w:rsidRDefault="00FA0F91" w:rsidP="00BF464F">
          <w:pPr>
            <w:pStyle w:val="Header"/>
            <w:rPr>
              <w:rFonts w:cs="Traditional Arabic"/>
            </w:rPr>
          </w:pPr>
        </w:p>
      </w:tc>
    </w:tr>
  </w:tbl>
  <w:p w:rsidR="00FA0F91" w:rsidRPr="00BF464F" w:rsidRDefault="00FA0F91" w:rsidP="00BF464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FA0F91" w:rsidTr="00BF464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A0F91" w:rsidRPr="00A57BF8" w:rsidRDefault="00FA0F91" w:rsidP="00BF464F">
          <w:pPr>
            <w:pStyle w:val="Header"/>
            <w:spacing w:after="120"/>
            <w:rPr>
              <w:rFonts w:cs="Traditional Arabic"/>
            </w:rPr>
          </w:pPr>
        </w:p>
      </w:tc>
      <w:tc>
        <w:tcPr>
          <w:tcW w:w="1786" w:type="dxa"/>
          <w:tcBorders>
            <w:bottom w:val="single" w:sz="4" w:space="0" w:color="auto"/>
          </w:tcBorders>
          <w:shd w:val="clear" w:color="auto" w:fill="auto"/>
          <w:vAlign w:val="bottom"/>
        </w:tcPr>
        <w:p w:rsidR="00FA0F91" w:rsidRPr="00BF464F" w:rsidRDefault="00FA0F91" w:rsidP="00BF464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A0F91" w:rsidRPr="00A57BF8" w:rsidRDefault="00FA0F91" w:rsidP="00BF464F">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FA0F91" w:rsidRPr="00BF464F" w:rsidRDefault="00FA0F91" w:rsidP="00BF464F">
          <w:pPr>
            <w:spacing w:line="380" w:lineRule="exact"/>
            <w:jc w:val="right"/>
          </w:pPr>
          <w:r>
            <w:rPr>
              <w:sz w:val="40"/>
            </w:rPr>
            <w:t>CEDAW</w:t>
          </w:r>
          <w:r>
            <w:t>/C/PSWG/59/1</w:t>
          </w:r>
        </w:p>
      </w:tc>
    </w:tr>
    <w:tr w:rsidR="00FA0F91" w:rsidRPr="00BF464F" w:rsidTr="00BF464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A0F91" w:rsidRPr="00A57BF8" w:rsidRDefault="00FA0F91" w:rsidP="00BF464F">
          <w:pPr>
            <w:pStyle w:val="Header"/>
            <w:spacing w:before="109"/>
            <w:rPr>
              <w:rFonts w:cs="Traditional Arabic"/>
            </w:rPr>
          </w:pPr>
          <w:r w:rsidRPr="00A57BF8">
            <w:rPr>
              <w:rFonts w:cs="Traditional Arabic"/>
            </w:rPr>
            <w:t xml:space="preserve"> </w:t>
          </w:r>
          <w:r w:rsidRPr="00A57BF8">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A0F91" w:rsidRPr="00A57BF8" w:rsidRDefault="00FA0F91" w:rsidP="00BF464F">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FA0F91" w:rsidRPr="00BF464F" w:rsidRDefault="00FA0F91" w:rsidP="00BF464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A0F91" w:rsidRPr="00A57BF8" w:rsidRDefault="00FA0F91" w:rsidP="00BF464F">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FA0F91" w:rsidRDefault="00FA0F91" w:rsidP="00BF464F">
          <w:pPr>
            <w:pStyle w:val="Distribution"/>
            <w:bidi w:val="0"/>
            <w:spacing w:before="240"/>
          </w:pPr>
          <w:r>
            <w:t>Distr.: General</w:t>
          </w:r>
        </w:p>
        <w:p w:rsidR="00FA0F91" w:rsidRDefault="00FA0F91" w:rsidP="00BF464F">
          <w:pPr>
            <w:pStyle w:val="Publication"/>
            <w:bidi w:val="0"/>
          </w:pPr>
          <w:r>
            <w:t>12 March 2014</w:t>
          </w:r>
        </w:p>
        <w:p w:rsidR="00FA0F91" w:rsidRDefault="00FA0F91" w:rsidP="00BF464F">
          <w:pPr>
            <w:bidi w:val="0"/>
            <w:spacing w:line="240" w:lineRule="exact"/>
            <w:jc w:val="left"/>
          </w:pPr>
          <w:r>
            <w:t>Arabic</w:t>
          </w:r>
        </w:p>
        <w:p w:rsidR="00FA0F91" w:rsidRDefault="00FA0F91" w:rsidP="00BF464F">
          <w:pPr>
            <w:pStyle w:val="Original"/>
            <w:bidi w:val="0"/>
          </w:pPr>
          <w:r>
            <w:t>Original: English</w:t>
          </w:r>
        </w:p>
        <w:p w:rsidR="00FA0F91" w:rsidRPr="00BF464F" w:rsidRDefault="00FA0F91" w:rsidP="00BF464F">
          <w:pPr>
            <w:bidi w:val="0"/>
            <w:spacing w:line="240" w:lineRule="exact"/>
            <w:jc w:val="left"/>
          </w:pPr>
        </w:p>
      </w:tc>
    </w:tr>
  </w:tbl>
  <w:p w:rsidR="00FA0F91" w:rsidRPr="00BF464F" w:rsidRDefault="00FA0F91" w:rsidP="00BF464F">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6245*"/>
    <w:docVar w:name="CreationDt" w:val="28/03/2014 9:50: AM"/>
    <w:docVar w:name="DocCategory" w:val="Doc"/>
    <w:docVar w:name="DocType" w:val="Final"/>
    <w:docVar w:name="FooterJN" w:val="14-26245"/>
    <w:docVar w:name="jobn" w:val="14-26245 (A)"/>
    <w:docVar w:name="jobnDT" w:val="14-26245 (A)   280314"/>
    <w:docVar w:name="jobnDTDT" w:val="14-26245 (A)   280314   280314"/>
    <w:docVar w:name="JobNo" w:val="1426245A"/>
    <w:docVar w:name="OandT" w:val="Mohammed Anas Wardeh"/>
    <w:docVar w:name="sss1" w:val="CEDAW/C/PSWG/59/1"/>
    <w:docVar w:name="sss2" w:val="-"/>
    <w:docVar w:name="Symbol1" w:val="CEDAW/C/PSWG/59/1"/>
    <w:docVar w:name="Symbol2" w:val="-"/>
  </w:docVars>
  <w:rsids>
    <w:rsidRoot w:val="008F0C96"/>
    <w:rsid w:val="000170D3"/>
    <w:rsid w:val="000311C9"/>
    <w:rsid w:val="00042425"/>
    <w:rsid w:val="00047F6A"/>
    <w:rsid w:val="0005137B"/>
    <w:rsid w:val="00056AA7"/>
    <w:rsid w:val="0006648F"/>
    <w:rsid w:val="00070E09"/>
    <w:rsid w:val="00087310"/>
    <w:rsid w:val="0009732C"/>
    <w:rsid w:val="000B640C"/>
    <w:rsid w:val="000C4EED"/>
    <w:rsid w:val="000D2CEC"/>
    <w:rsid w:val="00101EE8"/>
    <w:rsid w:val="00113349"/>
    <w:rsid w:val="0012522B"/>
    <w:rsid w:val="001519A9"/>
    <w:rsid w:val="001568A8"/>
    <w:rsid w:val="00165F18"/>
    <w:rsid w:val="001737F8"/>
    <w:rsid w:val="001775EA"/>
    <w:rsid w:val="0018030C"/>
    <w:rsid w:val="00182D99"/>
    <w:rsid w:val="00184B9B"/>
    <w:rsid w:val="00187870"/>
    <w:rsid w:val="001E5A5A"/>
    <w:rsid w:val="001E5A7A"/>
    <w:rsid w:val="001F6786"/>
    <w:rsid w:val="00222DB9"/>
    <w:rsid w:val="00236A29"/>
    <w:rsid w:val="002416C5"/>
    <w:rsid w:val="0025002E"/>
    <w:rsid w:val="0025236C"/>
    <w:rsid w:val="00252D19"/>
    <w:rsid w:val="00266F59"/>
    <w:rsid w:val="00272B6C"/>
    <w:rsid w:val="0027623A"/>
    <w:rsid w:val="00290F2F"/>
    <w:rsid w:val="002937DA"/>
    <w:rsid w:val="002A09C6"/>
    <w:rsid w:val="002C2AF2"/>
    <w:rsid w:val="002C4E1B"/>
    <w:rsid w:val="002D58BC"/>
    <w:rsid w:val="002E1490"/>
    <w:rsid w:val="002E750A"/>
    <w:rsid w:val="002F0573"/>
    <w:rsid w:val="002F69C8"/>
    <w:rsid w:val="00312162"/>
    <w:rsid w:val="00312525"/>
    <w:rsid w:val="003501D5"/>
    <w:rsid w:val="003676A8"/>
    <w:rsid w:val="00371AC4"/>
    <w:rsid w:val="00376CFA"/>
    <w:rsid w:val="00383A67"/>
    <w:rsid w:val="00383CA8"/>
    <w:rsid w:val="00383EF3"/>
    <w:rsid w:val="003A65ED"/>
    <w:rsid w:val="003D4612"/>
    <w:rsid w:val="003E1BB9"/>
    <w:rsid w:val="003E26D7"/>
    <w:rsid w:val="003E6DF8"/>
    <w:rsid w:val="003F4B8C"/>
    <w:rsid w:val="00401BDF"/>
    <w:rsid w:val="00411BBD"/>
    <w:rsid w:val="00415922"/>
    <w:rsid w:val="00423BD7"/>
    <w:rsid w:val="0042757D"/>
    <w:rsid w:val="00437C14"/>
    <w:rsid w:val="004527C9"/>
    <w:rsid w:val="00453069"/>
    <w:rsid w:val="00471605"/>
    <w:rsid w:val="0048330E"/>
    <w:rsid w:val="00483F5B"/>
    <w:rsid w:val="00490874"/>
    <w:rsid w:val="00494EE2"/>
    <w:rsid w:val="00496E83"/>
    <w:rsid w:val="004A2886"/>
    <w:rsid w:val="004B14A0"/>
    <w:rsid w:val="004B1CBB"/>
    <w:rsid w:val="004D1B0C"/>
    <w:rsid w:val="004D6871"/>
    <w:rsid w:val="004F0D2B"/>
    <w:rsid w:val="004F1402"/>
    <w:rsid w:val="004F75CD"/>
    <w:rsid w:val="0050659B"/>
    <w:rsid w:val="005217DF"/>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73"/>
    <w:rsid w:val="005A2EA3"/>
    <w:rsid w:val="005B4C28"/>
    <w:rsid w:val="005C2ECE"/>
    <w:rsid w:val="005C7ED8"/>
    <w:rsid w:val="006007BD"/>
    <w:rsid w:val="00616E82"/>
    <w:rsid w:val="006218A3"/>
    <w:rsid w:val="006564CE"/>
    <w:rsid w:val="00663F64"/>
    <w:rsid w:val="006905A9"/>
    <w:rsid w:val="00692B46"/>
    <w:rsid w:val="00693CF9"/>
    <w:rsid w:val="00696B7A"/>
    <w:rsid w:val="006A1E4E"/>
    <w:rsid w:val="006C1E40"/>
    <w:rsid w:val="006C38EE"/>
    <w:rsid w:val="006D3170"/>
    <w:rsid w:val="006E7E51"/>
    <w:rsid w:val="00700F06"/>
    <w:rsid w:val="0071531E"/>
    <w:rsid w:val="0071645B"/>
    <w:rsid w:val="00716E9D"/>
    <w:rsid w:val="00747B9E"/>
    <w:rsid w:val="007524BE"/>
    <w:rsid w:val="007525FA"/>
    <w:rsid w:val="00770CF8"/>
    <w:rsid w:val="00774FF0"/>
    <w:rsid w:val="00784F2B"/>
    <w:rsid w:val="00786F0C"/>
    <w:rsid w:val="0079046D"/>
    <w:rsid w:val="0079753A"/>
    <w:rsid w:val="007A296C"/>
    <w:rsid w:val="007A6DD9"/>
    <w:rsid w:val="007D489C"/>
    <w:rsid w:val="007D50B3"/>
    <w:rsid w:val="007D60E0"/>
    <w:rsid w:val="007D6B8D"/>
    <w:rsid w:val="007E32B9"/>
    <w:rsid w:val="0081284F"/>
    <w:rsid w:val="00814843"/>
    <w:rsid w:val="008170DE"/>
    <w:rsid w:val="00830E32"/>
    <w:rsid w:val="00845A14"/>
    <w:rsid w:val="0085331D"/>
    <w:rsid w:val="00853F0F"/>
    <w:rsid w:val="00873A11"/>
    <w:rsid w:val="00873AF9"/>
    <w:rsid w:val="0088317F"/>
    <w:rsid w:val="008A3FCA"/>
    <w:rsid w:val="008D1C04"/>
    <w:rsid w:val="008F04A0"/>
    <w:rsid w:val="008F0C96"/>
    <w:rsid w:val="008F419C"/>
    <w:rsid w:val="008F64A7"/>
    <w:rsid w:val="0090012B"/>
    <w:rsid w:val="0090351F"/>
    <w:rsid w:val="00920DBD"/>
    <w:rsid w:val="00964FA8"/>
    <w:rsid w:val="00970BAD"/>
    <w:rsid w:val="009768D1"/>
    <w:rsid w:val="00981E99"/>
    <w:rsid w:val="009829B7"/>
    <w:rsid w:val="009927C0"/>
    <w:rsid w:val="00996063"/>
    <w:rsid w:val="009961E6"/>
    <w:rsid w:val="009B6C65"/>
    <w:rsid w:val="009B752D"/>
    <w:rsid w:val="009C0017"/>
    <w:rsid w:val="009C15F4"/>
    <w:rsid w:val="009D62A3"/>
    <w:rsid w:val="009E2A1F"/>
    <w:rsid w:val="009E5241"/>
    <w:rsid w:val="009F231F"/>
    <w:rsid w:val="009F5698"/>
    <w:rsid w:val="00A33339"/>
    <w:rsid w:val="00A36790"/>
    <w:rsid w:val="00A37C4B"/>
    <w:rsid w:val="00A43D0E"/>
    <w:rsid w:val="00A47282"/>
    <w:rsid w:val="00A56F63"/>
    <w:rsid w:val="00A57BF8"/>
    <w:rsid w:val="00A66F66"/>
    <w:rsid w:val="00A71AE5"/>
    <w:rsid w:val="00A77F16"/>
    <w:rsid w:val="00A90909"/>
    <w:rsid w:val="00AA1E16"/>
    <w:rsid w:val="00AC002C"/>
    <w:rsid w:val="00AC2EE0"/>
    <w:rsid w:val="00AC6CDD"/>
    <w:rsid w:val="00AD1A68"/>
    <w:rsid w:val="00AD38D0"/>
    <w:rsid w:val="00AE108C"/>
    <w:rsid w:val="00AE5AE2"/>
    <w:rsid w:val="00AF1A53"/>
    <w:rsid w:val="00AF7AC7"/>
    <w:rsid w:val="00B05ADC"/>
    <w:rsid w:val="00B272BE"/>
    <w:rsid w:val="00B36AFF"/>
    <w:rsid w:val="00B5784C"/>
    <w:rsid w:val="00B9542C"/>
    <w:rsid w:val="00B95560"/>
    <w:rsid w:val="00BA7FAB"/>
    <w:rsid w:val="00BC2F4C"/>
    <w:rsid w:val="00BC4A05"/>
    <w:rsid w:val="00BC567D"/>
    <w:rsid w:val="00BF0B15"/>
    <w:rsid w:val="00BF464F"/>
    <w:rsid w:val="00C12CBB"/>
    <w:rsid w:val="00C25A2D"/>
    <w:rsid w:val="00C260F8"/>
    <w:rsid w:val="00C43FBE"/>
    <w:rsid w:val="00C449C6"/>
    <w:rsid w:val="00C564B0"/>
    <w:rsid w:val="00C61F0B"/>
    <w:rsid w:val="00C6283F"/>
    <w:rsid w:val="00C71487"/>
    <w:rsid w:val="00C814A5"/>
    <w:rsid w:val="00C84B2B"/>
    <w:rsid w:val="00C855F6"/>
    <w:rsid w:val="00C96573"/>
    <w:rsid w:val="00CA4791"/>
    <w:rsid w:val="00CC78C5"/>
    <w:rsid w:val="00CD0BB8"/>
    <w:rsid w:val="00CD3849"/>
    <w:rsid w:val="00CF7384"/>
    <w:rsid w:val="00D2343D"/>
    <w:rsid w:val="00D30EAE"/>
    <w:rsid w:val="00D318F1"/>
    <w:rsid w:val="00D40B0E"/>
    <w:rsid w:val="00D44FE0"/>
    <w:rsid w:val="00D4694F"/>
    <w:rsid w:val="00D66413"/>
    <w:rsid w:val="00DA66B7"/>
    <w:rsid w:val="00DB0865"/>
    <w:rsid w:val="00DB0C91"/>
    <w:rsid w:val="00DB7206"/>
    <w:rsid w:val="00DC5C1E"/>
    <w:rsid w:val="00DE5433"/>
    <w:rsid w:val="00DE5B0B"/>
    <w:rsid w:val="00DE68A7"/>
    <w:rsid w:val="00DF5A43"/>
    <w:rsid w:val="00DF5F38"/>
    <w:rsid w:val="00E23336"/>
    <w:rsid w:val="00E2355C"/>
    <w:rsid w:val="00E31661"/>
    <w:rsid w:val="00E32B52"/>
    <w:rsid w:val="00E35D91"/>
    <w:rsid w:val="00E3652F"/>
    <w:rsid w:val="00E47EB8"/>
    <w:rsid w:val="00E51FC9"/>
    <w:rsid w:val="00E52F1E"/>
    <w:rsid w:val="00E704FD"/>
    <w:rsid w:val="00E750E1"/>
    <w:rsid w:val="00E7795A"/>
    <w:rsid w:val="00E9114A"/>
    <w:rsid w:val="00EA0D5B"/>
    <w:rsid w:val="00EA3948"/>
    <w:rsid w:val="00EA489C"/>
    <w:rsid w:val="00EA7B59"/>
    <w:rsid w:val="00EB0CA7"/>
    <w:rsid w:val="00EB4992"/>
    <w:rsid w:val="00ED3C2E"/>
    <w:rsid w:val="00EF2E52"/>
    <w:rsid w:val="00F031FB"/>
    <w:rsid w:val="00F32E4A"/>
    <w:rsid w:val="00F36D8C"/>
    <w:rsid w:val="00F93545"/>
    <w:rsid w:val="00F96FBA"/>
    <w:rsid w:val="00FA0F91"/>
    <w:rsid w:val="00FB2B5B"/>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qFormat/>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312525"/>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23">
    <w:name w:val="_ H_2/3"/>
    <w:basedOn w:val="H1"/>
    <w:next w:val="SingleTxt"/>
    <w:qFormat/>
    <w:rsid w:val="00312525"/>
    <w:pPr>
      <w:keepNext/>
      <w:keepLines/>
      <w:suppressAutoHyphens/>
      <w:jc w:val="both"/>
      <w:outlineLvl w:val="1"/>
    </w:pPr>
    <w:rPr>
      <w:spacing w:val="2"/>
      <w:sz w:val="20"/>
      <w:szCs w:val="30"/>
    </w:rPr>
  </w:style>
  <w:style w:type="paragraph" w:customStyle="1" w:styleId="H4">
    <w:name w:val="_ H_4"/>
    <w:basedOn w:val="Normal"/>
    <w:next w:val="Normal"/>
    <w:qFormat/>
    <w:rsid w:val="00312525"/>
    <w:pPr>
      <w:keepNext/>
      <w:keepLines/>
      <w:suppressAutoHyphens/>
      <w:spacing w:line="360" w:lineRule="exact"/>
      <w:outlineLvl w:val="3"/>
    </w:pPr>
    <w:rPr>
      <w:i/>
      <w:iCs/>
      <w:spacing w:val="3"/>
    </w:rPr>
  </w:style>
  <w:style w:type="paragraph" w:customStyle="1" w:styleId="H56">
    <w:name w:val="_ H_5/6"/>
    <w:basedOn w:val="Normal"/>
    <w:next w:val="Normal"/>
    <w:qFormat/>
    <w:rsid w:val="007D489C"/>
    <w:pPr>
      <w:keepNext/>
      <w:keepLines/>
      <w:suppressAutoHyphens/>
      <w:spacing w:line="360" w:lineRule="exact"/>
      <w:outlineLvl w:val="4"/>
    </w:pPr>
  </w:style>
  <w:style w:type="paragraph" w:customStyle="1" w:styleId="DualTxt">
    <w:name w:val="__Dual Txt"/>
    <w:basedOn w:val="Normal"/>
    <w:qFormat/>
    <w:rsid w:val="007D489C"/>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36AFF"/>
    <w:pPr>
      <w:spacing w:line="820" w:lineRule="exact"/>
    </w:pPr>
    <w:rPr>
      <w:spacing w:val="-8"/>
      <w:w w:val="96"/>
      <w:sz w:val="57"/>
      <w:szCs w:val="86"/>
    </w:rPr>
  </w:style>
  <w:style w:type="paragraph" w:customStyle="1" w:styleId="Distribution">
    <w:name w:val="Distribution"/>
    <w:basedOn w:val="Normal"/>
    <w:next w:val="Normal"/>
    <w:qFormat/>
    <w:rsid w:val="00056AA7"/>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56AA7"/>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56AA7"/>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056AA7"/>
    <w:pPr>
      <w:tabs>
        <w:tab w:val="left" w:pos="662"/>
        <w:tab w:val="left" w:pos="1267"/>
        <w:tab w:val="left" w:pos="1987"/>
        <w:tab w:val="left" w:pos="2650"/>
      </w:tabs>
      <w:ind w:left="662" w:hanging="662"/>
    </w:pPr>
  </w:style>
  <w:style w:type="paragraph" w:customStyle="1" w:styleId="Committee">
    <w:name w:val="Committee"/>
    <w:basedOn w:val="H1"/>
    <w:qFormat/>
    <w:rsid w:val="00056AA7"/>
    <w:pPr>
      <w:tabs>
        <w:tab w:val="left" w:pos="662"/>
        <w:tab w:val="left" w:pos="1267"/>
        <w:tab w:val="left" w:pos="1987"/>
        <w:tab w:val="left" w:pos="2650"/>
      </w:tabs>
      <w:ind w:right="1267"/>
    </w:pPr>
  </w:style>
  <w:style w:type="paragraph" w:customStyle="1" w:styleId="AgendaTitle">
    <w:name w:val="AgendaTitle"/>
    <w:basedOn w:val="Normal"/>
    <w:next w:val="Normal"/>
    <w:qFormat/>
    <w:rsid w:val="006C1E40"/>
    <w:pPr>
      <w:tabs>
        <w:tab w:val="left" w:pos="662"/>
        <w:tab w:val="left" w:pos="1267"/>
        <w:tab w:val="left" w:pos="1325"/>
        <w:tab w:val="left" w:pos="1987"/>
        <w:tab w:val="left" w:pos="2650"/>
        <w:tab w:val="left" w:pos="3312"/>
      </w:tabs>
      <w:ind w:left="1267" w:hanging="1267"/>
    </w:pPr>
  </w:style>
  <w:style w:type="paragraph" w:customStyle="1" w:styleId="Sponsors">
    <w:name w:val="Sponsors"/>
    <w:basedOn w:val="H23"/>
    <w:qFormat/>
    <w:rsid w:val="006C1E40"/>
    <w:pPr>
      <w:tabs>
        <w:tab w:val="right" w:pos="1022"/>
        <w:tab w:val="left" w:pos="1267"/>
        <w:tab w:val="left" w:pos="1930"/>
        <w:tab w:val="left" w:pos="2592"/>
        <w:tab w:val="left" w:pos="3254"/>
      </w:tabs>
      <w:spacing w:after="120"/>
      <w:ind w:left="1267" w:right="1267" w:hanging="1267"/>
    </w:pPr>
  </w:style>
  <w:style w:type="paragraph" w:customStyle="1" w:styleId="Title1">
    <w:name w:val="Title 1"/>
    <w:basedOn w:val="HCh"/>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2">
    <w:name w:val="Title 2"/>
    <w:basedOn w:val="H1"/>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ype">
    <w:name w:val="Type"/>
    <w:basedOn w:val="H23"/>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BF464F"/>
    <w:rPr>
      <w:rFonts w:cs="Times New Roman"/>
      <w:szCs w:val="20"/>
      <w:lang/>
    </w:rPr>
  </w:style>
  <w:style w:type="character" w:customStyle="1" w:styleId="CommentTextChar">
    <w:name w:val="Comment Text Char"/>
    <w:link w:val="CommentText"/>
    <w:rsid w:val="00BF464F"/>
    <w:rPr>
      <w:w w:val="103"/>
      <w:kern w:val="14"/>
    </w:rPr>
  </w:style>
  <w:style w:type="paragraph" w:styleId="CommentSubject">
    <w:name w:val="annotation subject"/>
    <w:basedOn w:val="CommentText"/>
    <w:next w:val="CommentText"/>
    <w:link w:val="CommentSubjectChar"/>
    <w:rsid w:val="00BF464F"/>
    <w:rPr>
      <w:b/>
      <w:bCs/>
    </w:rPr>
  </w:style>
  <w:style w:type="character" w:customStyle="1" w:styleId="CommentSubjectChar">
    <w:name w:val="Comment Subject Char"/>
    <w:link w:val="CommentSubject"/>
    <w:rsid w:val="00BF464F"/>
    <w:rPr>
      <w:b/>
      <w:bCs/>
      <w:w w:val="103"/>
      <w:kern w:val="14"/>
    </w:rPr>
  </w:style>
  <w:style w:type="paragraph" w:styleId="Revision">
    <w:name w:val="Revision"/>
    <w:hidden/>
    <w:uiPriority w:val="99"/>
    <w:semiHidden/>
    <w:rsid w:val="00920DBD"/>
    <w:rPr>
      <w:w w:val="103"/>
      <w:kern w:val="14"/>
      <w:szCs w:val="30"/>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ar/CEDAW/C/GIN/Q/7" TargetMode="External"/><Relationship Id="rId3" Type="http://schemas.openxmlformats.org/officeDocument/2006/relationships/webSettings" Target="webSettings.xml"/><Relationship Id="rId21" Type="http://schemas.openxmlformats.org/officeDocument/2006/relationships/hyperlink" Target="http://undocs.org/ar/CEDAW/C/VEN/Q/7" TargetMode="Externa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CEDAW/C/GHA/Q/6" TargetMode="External"/><Relationship Id="rId2" Type="http://schemas.openxmlformats.org/officeDocument/2006/relationships/settings" Target="settings.xml"/><Relationship Id="rId16" Type="http://schemas.openxmlformats.org/officeDocument/2006/relationships/hyperlink" Target="http://undocs.org/ar/CEDAW/C/CHN/Q/7" TargetMode="External"/><Relationship Id="rId20" Type="http://schemas.openxmlformats.org/officeDocument/2006/relationships/hyperlink" Target="http://undocs.org/ar/CEDAW/C/SLB/Q/1"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ar/CEDAW/C/BRN/Q/1" TargetMode="Externa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undocs.org/ar/CEDAW/C/POL/Q/7"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BEL/Q/7"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Pages>
  <Words>676</Words>
  <Characters>3855</Characters>
  <Application>Microsoft Office Outlook</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4522</CharactersWithSpaces>
  <SharedDoc>false</SharedDoc>
  <HLinks>
    <vt:vector size="48" baseType="variant">
      <vt:variant>
        <vt:i4>1376348</vt:i4>
      </vt:variant>
      <vt:variant>
        <vt:i4>21</vt:i4>
      </vt:variant>
      <vt:variant>
        <vt:i4>0</vt:i4>
      </vt:variant>
      <vt:variant>
        <vt:i4>5</vt:i4>
      </vt:variant>
      <vt:variant>
        <vt:lpwstr>http://undocs.org/ar/CEDAW/C/VEN/Q/7</vt:lpwstr>
      </vt:variant>
      <vt:variant>
        <vt:lpwstr/>
      </vt:variant>
      <vt:variant>
        <vt:i4>1704021</vt:i4>
      </vt:variant>
      <vt:variant>
        <vt:i4>18</vt:i4>
      </vt:variant>
      <vt:variant>
        <vt:i4>0</vt:i4>
      </vt:variant>
      <vt:variant>
        <vt:i4>5</vt:i4>
      </vt:variant>
      <vt:variant>
        <vt:lpwstr>http://undocs.org/ar/CEDAW/C/SLB/Q/1</vt:lpwstr>
      </vt:variant>
      <vt:variant>
        <vt:lpwstr/>
      </vt:variant>
      <vt:variant>
        <vt:i4>1114198</vt:i4>
      </vt:variant>
      <vt:variant>
        <vt:i4>15</vt:i4>
      </vt:variant>
      <vt:variant>
        <vt:i4>0</vt:i4>
      </vt:variant>
      <vt:variant>
        <vt:i4>5</vt:i4>
      </vt:variant>
      <vt:variant>
        <vt:lpwstr>http://undocs.org/ar/CEDAW/C/POL/Q/7</vt:lpwstr>
      </vt:variant>
      <vt:variant>
        <vt:lpwstr/>
      </vt:variant>
      <vt:variant>
        <vt:i4>262224</vt:i4>
      </vt:variant>
      <vt:variant>
        <vt:i4>12</vt:i4>
      </vt:variant>
      <vt:variant>
        <vt:i4>0</vt:i4>
      </vt:variant>
      <vt:variant>
        <vt:i4>5</vt:i4>
      </vt:variant>
      <vt:variant>
        <vt:lpwstr>http://undocs.org/ar/CEDAW/C/GIN/Q/7</vt:lpwstr>
      </vt:variant>
      <vt:variant>
        <vt:lpwstr/>
      </vt:variant>
      <vt:variant>
        <vt:i4>655441</vt:i4>
      </vt:variant>
      <vt:variant>
        <vt:i4>9</vt:i4>
      </vt:variant>
      <vt:variant>
        <vt:i4>0</vt:i4>
      </vt:variant>
      <vt:variant>
        <vt:i4>5</vt:i4>
      </vt:variant>
      <vt:variant>
        <vt:lpwstr>http://undocs.org/ar/CEDAW/C/GHA/Q/6</vt:lpwstr>
      </vt:variant>
      <vt:variant>
        <vt:lpwstr/>
      </vt:variant>
      <vt:variant>
        <vt:i4>81</vt:i4>
      </vt:variant>
      <vt:variant>
        <vt:i4>6</vt:i4>
      </vt:variant>
      <vt:variant>
        <vt:i4>0</vt:i4>
      </vt:variant>
      <vt:variant>
        <vt:i4>5</vt:i4>
      </vt:variant>
      <vt:variant>
        <vt:lpwstr>http://undocs.org/ar/CEDAW/C/CHN/Q/7</vt:lpwstr>
      </vt:variant>
      <vt:variant>
        <vt:lpwstr/>
      </vt:variant>
      <vt:variant>
        <vt:i4>458827</vt:i4>
      </vt:variant>
      <vt:variant>
        <vt:i4>3</vt:i4>
      </vt:variant>
      <vt:variant>
        <vt:i4>0</vt:i4>
      </vt:variant>
      <vt:variant>
        <vt:i4>5</vt:i4>
      </vt:variant>
      <vt:variant>
        <vt:lpwstr>http://undocs.org/ar/CEDAW/C/BRN/Q/1</vt:lpwstr>
      </vt:variant>
      <vt:variant>
        <vt:lpwstr/>
      </vt:variant>
      <vt:variant>
        <vt:i4>196700</vt:i4>
      </vt:variant>
      <vt:variant>
        <vt:i4>0</vt:i4>
      </vt:variant>
      <vt:variant>
        <vt:i4>0</vt:i4>
      </vt:variant>
      <vt:variant>
        <vt:i4>5</vt:i4>
      </vt:variant>
      <vt:variant>
        <vt:lpwstr>http://undocs.org/ar/CEDAW/C/BEL/Q/7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Mohammed Anas Wardeh</dc:creator>
  <cp:keywords/>
  <cp:lastModifiedBy>Front Desk 1</cp:lastModifiedBy>
  <cp:revision>14</cp:revision>
  <cp:lastPrinted>2014-03-28T08:07:00Z</cp:lastPrinted>
  <dcterms:created xsi:type="dcterms:W3CDTF">2014-03-28T08:04:00Z</dcterms:created>
  <dcterms:modified xsi:type="dcterms:W3CDTF">2014-03-28T09:23:00Z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1426245</vt:lpwstr>
  </property>
  <property fmtid="{D5CDD505-2E9C-101B-9397-08002B2CF9AE}" pid="3" name="Symbol1">
    <vt:lpwstr>CEDAW/C/PSWG/59/1</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28 March 2014</vt:lpwstr>
  </property>
  <property fmtid="{D5CDD505-2E9C-101B-9397-08002B2CF9AE}" pid="8" name="Original">
    <vt:lpwstr>English</vt:lpwstr>
  </property>
  <property fmtid="{D5CDD505-2E9C-101B-9397-08002B2CF9AE}" pid="9" name="Release Date">
    <vt:lpwstr>280314</vt:lpwstr>
  </property>
  <property fmtid="{D5CDD505-2E9C-101B-9397-08002B2CF9AE}" pid="10" name="Comment">
    <vt:lpwstr>للتدقيق</vt:lpwstr>
  </property>
  <property fmtid="{D5CDD505-2E9C-101B-9397-08002B2CF9AE}" pid="11" name="DraftPages">
    <vt:lpwstr> </vt:lpwstr>
  </property>
  <property fmtid="{D5CDD505-2E9C-101B-9397-08002B2CF9AE}" pid="12" name="Operator">
    <vt:lpwstr>Mohammed Anas Wardeh</vt:lpwstr>
  </property>
</Properties>
</file>