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1442" w:rsidRDefault="00EC1442" w:rsidP="00EC1442">
      <w:pPr>
        <w:spacing w:line="240" w:lineRule="auto"/>
        <w:jc w:val="left"/>
        <w:rPr>
          <w:szCs w:val="6"/>
          <w:rtl/>
        </w:rPr>
        <w:sectPr w:rsidR="00EC1442" w:rsidSect="00EC1442">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200" w:bottom="1898" w:left="1200" w:header="576" w:footer="1030" w:gutter="0"/>
          <w:cols w:space="720"/>
          <w:titlePg/>
          <w:bidi/>
          <w:rtlGutter/>
          <w:docGrid w:linePitch="278"/>
        </w:sectPr>
      </w:pPr>
      <w:r>
        <w:rPr>
          <w:rStyle w:val="CommentReference"/>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pt;width:57.9pt;height:57.9pt;z-index:1;mso-position-horizontal-relative:page;mso-position-vertical-relative:page" o:preferrelative="f" filled="t">
            <v:imagedata r:id="rId13" o:title="1&amp;Size =1&amp;Lang = A"/>
            <w10:wrap anchorx="page" anchory="page"/>
          </v:shape>
        </w:pict>
      </w:r>
    </w:p>
    <w:p w:rsidR="008C1B9A" w:rsidRPr="001C67D8" w:rsidRDefault="008C1B9A" w:rsidP="008C1B9A">
      <w:pPr>
        <w:pStyle w:val="H1"/>
        <w:rPr>
          <w:rFonts w:hint="cs"/>
          <w:sz w:val="20"/>
          <w:rtl/>
          <w:lang w:bidi="ar-EG"/>
        </w:rPr>
      </w:pPr>
      <w:r w:rsidRPr="001C67D8">
        <w:rPr>
          <w:rFonts w:hint="cs"/>
          <w:sz w:val="20"/>
          <w:rtl/>
          <w:lang w:bidi="ar-EG"/>
        </w:rPr>
        <w:t>اللجنة المعنية بالقضاء على التمييز ضد المرأة</w:t>
      </w:r>
    </w:p>
    <w:p w:rsidR="008C1B9A" w:rsidRPr="001C67D8" w:rsidRDefault="008C1B9A" w:rsidP="008C1B9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lang w:bidi="ar-EG"/>
        </w:rPr>
      </w:pPr>
      <w:r w:rsidRPr="001C67D8">
        <w:rPr>
          <w:rFonts w:hint="cs"/>
          <w:rtl/>
          <w:lang w:bidi="ar-EG"/>
        </w:rPr>
        <w:t xml:space="preserve">الفريق العامل </w:t>
      </w:r>
      <w:r>
        <w:rPr>
          <w:rFonts w:hint="cs"/>
          <w:rtl/>
          <w:lang w:bidi="ar-EG"/>
        </w:rPr>
        <w:t>ل</w:t>
      </w:r>
      <w:r w:rsidRPr="001C67D8">
        <w:rPr>
          <w:rFonts w:hint="cs"/>
          <w:rtl/>
          <w:lang w:bidi="ar-EG"/>
        </w:rPr>
        <w:t>ما قبل الدورات</w:t>
      </w:r>
    </w:p>
    <w:p w:rsidR="008C1B9A" w:rsidRPr="001C67D8" w:rsidRDefault="008C1B9A" w:rsidP="008C1B9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lang w:bidi="ar-EG"/>
        </w:rPr>
      </w:pPr>
      <w:r w:rsidRPr="001C67D8">
        <w:rPr>
          <w:rFonts w:hint="cs"/>
          <w:rtl/>
          <w:lang w:bidi="ar-EG"/>
        </w:rPr>
        <w:t>الدورة الحادية والستون</w:t>
      </w:r>
    </w:p>
    <w:p w:rsidR="008C1B9A" w:rsidRPr="001C67D8" w:rsidRDefault="008C1B9A" w:rsidP="008C1B9A">
      <w:pPr>
        <w:spacing w:after="120"/>
        <w:rPr>
          <w:rFonts w:hint="cs"/>
          <w:rtl/>
          <w:lang w:bidi="ar-EG"/>
        </w:rPr>
      </w:pPr>
      <w:r w:rsidRPr="001C67D8">
        <w:rPr>
          <w:rFonts w:hint="cs"/>
          <w:rtl/>
          <w:lang w:bidi="ar-EG"/>
        </w:rPr>
        <w:t>10-14 تشرين الثاني/نوفمبر 2014</w:t>
      </w:r>
    </w:p>
    <w:p w:rsidR="008C1B9A" w:rsidRPr="008C1B9A" w:rsidRDefault="008C1B9A" w:rsidP="008C1B9A">
      <w:pPr>
        <w:pStyle w:val="SingleTxt"/>
        <w:spacing w:after="0" w:line="120" w:lineRule="exact"/>
        <w:rPr>
          <w:rFonts w:hint="cs"/>
          <w:sz w:val="10"/>
          <w:rtl/>
        </w:rPr>
      </w:pPr>
    </w:p>
    <w:p w:rsidR="008C1B9A" w:rsidRPr="008C1B9A" w:rsidRDefault="008C1B9A" w:rsidP="008C1B9A">
      <w:pPr>
        <w:pStyle w:val="SingleTxt"/>
        <w:spacing w:after="0" w:line="120" w:lineRule="exact"/>
        <w:rPr>
          <w:rFonts w:hint="cs"/>
          <w:sz w:val="10"/>
          <w:rtl/>
        </w:rPr>
      </w:pPr>
    </w:p>
    <w:p w:rsidR="008C1B9A" w:rsidRPr="008C1B9A" w:rsidRDefault="008C1B9A" w:rsidP="008C1B9A">
      <w:pPr>
        <w:pStyle w:val="SingleTxt"/>
        <w:spacing w:after="0" w:line="120" w:lineRule="exact"/>
        <w:rPr>
          <w:rFonts w:hint="cs"/>
          <w:sz w:val="10"/>
          <w:rtl/>
        </w:rPr>
      </w:pPr>
    </w:p>
    <w:p w:rsidR="008C1B9A" w:rsidRDefault="008C1B9A" w:rsidP="008C1B9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1C67D8">
        <w:rPr>
          <w:rFonts w:hint="cs"/>
          <w:rtl/>
        </w:rPr>
        <w:t>النظر في التقارير المقدّمة من الدول الأطراف بموجب المادة 18 من اتفاقية القضاء على جميع أشكال التمييز ضد المرأة</w:t>
      </w:r>
    </w:p>
    <w:p w:rsidR="008C1B9A" w:rsidRPr="008C1B9A" w:rsidRDefault="008C1B9A" w:rsidP="008C1B9A">
      <w:pPr>
        <w:pStyle w:val="SingleTxt"/>
        <w:spacing w:after="0" w:line="120" w:lineRule="exact"/>
        <w:rPr>
          <w:rFonts w:hint="cs"/>
          <w:sz w:val="10"/>
          <w:rtl/>
        </w:rPr>
      </w:pPr>
    </w:p>
    <w:p w:rsidR="008C1B9A" w:rsidRDefault="008C1B9A" w:rsidP="008C1B9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1C67D8">
        <w:rPr>
          <w:rFonts w:hint="cs"/>
          <w:rtl/>
        </w:rPr>
        <w:t xml:space="preserve">تقرير الفريق العامل </w:t>
      </w:r>
      <w:r>
        <w:rPr>
          <w:rFonts w:hint="cs"/>
          <w:rtl/>
        </w:rPr>
        <w:t>ل</w:t>
      </w:r>
      <w:r w:rsidRPr="001C67D8">
        <w:rPr>
          <w:rFonts w:hint="cs"/>
          <w:rtl/>
        </w:rPr>
        <w:t>ما قبل الدورات</w:t>
      </w:r>
    </w:p>
    <w:p w:rsidR="008C1B9A" w:rsidRPr="008C1B9A" w:rsidRDefault="008C1B9A" w:rsidP="008C1B9A">
      <w:pPr>
        <w:pStyle w:val="SingleTxt"/>
        <w:spacing w:after="0" w:line="120" w:lineRule="exact"/>
        <w:rPr>
          <w:rFonts w:hint="cs"/>
          <w:sz w:val="10"/>
          <w:rtl/>
        </w:rPr>
      </w:pPr>
    </w:p>
    <w:p w:rsidR="008C1B9A" w:rsidRDefault="008C1B9A" w:rsidP="008C1B9A">
      <w:pPr>
        <w:pStyle w:val="SingleTxt"/>
        <w:rPr>
          <w:rFonts w:hint="cs"/>
          <w:rtl/>
        </w:rPr>
      </w:pPr>
      <w:bookmarkStart w:id="1" w:name="TmpSave"/>
      <w:bookmarkEnd w:id="1"/>
      <w:r w:rsidRPr="001C67D8">
        <w:rPr>
          <w:rFonts w:hint="cs"/>
          <w:rtl/>
        </w:rPr>
        <w:t>1 -</w:t>
      </w:r>
      <w:r w:rsidRPr="001C67D8">
        <w:rPr>
          <w:rFonts w:hint="cs"/>
          <w:rtl/>
        </w:rPr>
        <w:tab/>
        <w:t>درج</w:t>
      </w:r>
      <w:r>
        <w:rPr>
          <w:rFonts w:hint="cs"/>
          <w:rtl/>
        </w:rPr>
        <w:t>ت اللجنة المعنية بالقضاء على التمييز ضد المرأة على عقد اجتماع لفريق عامل لما قبل الدورات على</w:t>
      </w:r>
      <w:r>
        <w:rPr>
          <w:rFonts w:hint="cs"/>
          <w:rtl/>
          <w:lang w:bidi="ar-EG"/>
        </w:rPr>
        <w:t xml:space="preserve"> مدار</w:t>
      </w:r>
      <w:r>
        <w:rPr>
          <w:rFonts w:hint="cs"/>
          <w:rtl/>
        </w:rPr>
        <w:t xml:space="preserve"> خمسة أيام من أجل إعداد قوائم بالقضايا والأسئلة المتصلة بالتقارير الأوّلية والتقارير الدورية التي ستنظر فيها اللجنة في إحدى دوراتها المعقودة مستقبلاً.</w:t>
      </w:r>
    </w:p>
    <w:p w:rsidR="008C1B9A" w:rsidRDefault="008C1B9A" w:rsidP="008C1B9A">
      <w:pPr>
        <w:pStyle w:val="SingleTxt"/>
        <w:rPr>
          <w:rFonts w:hint="cs"/>
          <w:rtl/>
        </w:rPr>
      </w:pPr>
      <w:r>
        <w:rPr>
          <w:rFonts w:hint="cs"/>
          <w:rtl/>
        </w:rPr>
        <w:t>2 -</w:t>
      </w:r>
      <w:r>
        <w:rPr>
          <w:rFonts w:hint="cs"/>
          <w:rtl/>
        </w:rPr>
        <w:tab/>
        <w:t>وقد قررت اللجنة أن يجتمع الفريق العامل لما قبل الدورة الحادية والستين في الفترة من 10 إلى 14 تشرين الثاني/نوفمبر 2014، وذلك عقب دورتها التاسعة والخمسين مباشرة بما يكفل إتاحة الوقت الكافي أمام الدول الأطراف لتقديم ردودها الخطّية على قوائم القضايا والأسئلة، فضلاً عن ضمان الوقت الكافي لترجمتها.</w:t>
      </w:r>
    </w:p>
    <w:p w:rsidR="008C1B9A" w:rsidRPr="001C67D8" w:rsidRDefault="008C1B9A" w:rsidP="008C1B9A">
      <w:pPr>
        <w:pStyle w:val="SingleTxt"/>
        <w:rPr>
          <w:rFonts w:hint="cs"/>
          <w:rtl/>
        </w:rPr>
      </w:pPr>
      <w:r>
        <w:rPr>
          <w:rFonts w:hint="cs"/>
          <w:rtl/>
        </w:rPr>
        <w:t>3 -</w:t>
      </w:r>
      <w:r>
        <w:rPr>
          <w:rFonts w:hint="cs"/>
          <w:rtl/>
        </w:rPr>
        <w:tab/>
        <w:t>وقد تم تعيين الخبراء التالية أسماؤهم كأعضاء في الفريق العامل لما قبل الدورات وحضرن الدورة</w:t>
      </w:r>
      <w:r w:rsidRPr="00BC0326">
        <w:rPr>
          <w:vertAlign w:val="superscript"/>
          <w:rtl/>
        </w:rPr>
        <w:t>(</w:t>
      </w:r>
      <w:r w:rsidRPr="00BC0326">
        <w:rPr>
          <w:rStyle w:val="FootnoteReference"/>
          <w:rtl/>
        </w:rPr>
        <w:footnoteReference w:id="1"/>
      </w:r>
      <w:r w:rsidRPr="00BC0326">
        <w:rPr>
          <w:vertAlign w:val="superscript"/>
          <w:rtl/>
        </w:rPr>
        <w:t>)</w:t>
      </w:r>
      <w:r>
        <w:rPr>
          <w:rFonts w:hint="cs"/>
          <w:rtl/>
        </w:rPr>
        <w:t>:</w:t>
      </w:r>
    </w:p>
    <w:p w:rsidR="008C1B9A" w:rsidRDefault="008C1B9A" w:rsidP="008C1B9A">
      <w:pPr>
        <w:pStyle w:val="SingleTxt"/>
        <w:rPr>
          <w:rFonts w:hint="cs"/>
          <w:rtl/>
        </w:rPr>
      </w:pPr>
      <w:r>
        <w:rPr>
          <w:rFonts w:hint="cs"/>
          <w:rtl/>
        </w:rPr>
        <w:tab/>
        <w:t>فيوليتا نيباور</w:t>
      </w:r>
    </w:p>
    <w:p w:rsidR="008C1B9A" w:rsidRDefault="008C1B9A" w:rsidP="008C1B9A">
      <w:pPr>
        <w:pStyle w:val="SingleTxt"/>
        <w:rPr>
          <w:rFonts w:hint="cs"/>
          <w:rtl/>
        </w:rPr>
      </w:pPr>
      <w:r>
        <w:rPr>
          <w:rFonts w:hint="cs"/>
          <w:rtl/>
        </w:rPr>
        <w:tab/>
        <w:t>تيودورا نوانكو</w:t>
      </w:r>
    </w:p>
    <w:p w:rsidR="008C1B9A" w:rsidRDefault="008C1B9A" w:rsidP="008C1B9A">
      <w:pPr>
        <w:pStyle w:val="SingleTxt"/>
        <w:rPr>
          <w:rFonts w:hint="cs"/>
          <w:rtl/>
        </w:rPr>
      </w:pPr>
      <w:r>
        <w:rPr>
          <w:rFonts w:hint="cs"/>
          <w:rtl/>
        </w:rPr>
        <w:tab/>
        <w:t>ماريا هيلينا بيريس</w:t>
      </w:r>
    </w:p>
    <w:p w:rsidR="008C1B9A" w:rsidRPr="001C67D8" w:rsidRDefault="008C1B9A" w:rsidP="008C1B9A">
      <w:pPr>
        <w:pStyle w:val="SingleTxt"/>
        <w:rPr>
          <w:rFonts w:hint="cs"/>
          <w:rtl/>
        </w:rPr>
      </w:pPr>
      <w:r>
        <w:rPr>
          <w:rFonts w:hint="cs"/>
          <w:rtl/>
        </w:rPr>
        <w:tab/>
        <w:t>باتريشيا شولتز</w:t>
      </w:r>
    </w:p>
    <w:p w:rsidR="008C1B9A" w:rsidRDefault="008C1B9A" w:rsidP="008C1B9A">
      <w:pPr>
        <w:pStyle w:val="SingleTxt"/>
        <w:rPr>
          <w:rFonts w:hint="cs"/>
          <w:rtl/>
          <w:lang w:bidi="ar-EG"/>
        </w:rPr>
      </w:pPr>
      <w:r>
        <w:rPr>
          <w:rFonts w:hint="cs"/>
          <w:rtl/>
          <w:lang w:bidi="ar-EG"/>
        </w:rPr>
        <w:t>4 -</w:t>
      </w:r>
      <w:r>
        <w:rPr>
          <w:rFonts w:hint="cs"/>
          <w:rtl/>
          <w:lang w:bidi="ar-EG"/>
        </w:rPr>
        <w:tab/>
        <w:t>وانتخبت الفريق العامل لما قبل الدورات السيدة بيريس رئيسة له.</w:t>
      </w:r>
    </w:p>
    <w:p w:rsidR="008C1B9A" w:rsidRDefault="008C1B9A" w:rsidP="008C1B9A">
      <w:pPr>
        <w:pStyle w:val="SingleTxt"/>
        <w:rPr>
          <w:rFonts w:hint="cs"/>
          <w:rtl/>
          <w:lang w:bidi="ar-EG"/>
        </w:rPr>
      </w:pPr>
      <w:r>
        <w:rPr>
          <w:rFonts w:hint="cs"/>
          <w:rtl/>
          <w:lang w:bidi="ar-EG"/>
        </w:rPr>
        <w:t>5 -</w:t>
      </w:r>
      <w:r>
        <w:rPr>
          <w:rFonts w:hint="cs"/>
          <w:rtl/>
          <w:lang w:bidi="ar-EG"/>
        </w:rPr>
        <w:tab/>
        <w:t>وقد أعدّ الفريق العامل قوائم بالقضايا والأسئلة فيما يتعلّق بتقارير إسبانيا وبوليفيا (دولة - المتعددة القوميات) وسان فنسنت وجزر غرينادين والسنغال وغامبيا وفييت نام وكرواتيا وناميبيا. وفي هذا الخصوص كان يسترشِد بقرار اللجنة 49/19 الذي قررت اللجنة بموجبه تقييد هذه القوائم في حدود 20 سؤالاً. وفي مجال الممارسة، وبصورة استثنائية، كانت بعض القوائم تضمّ كحدٍ أقصى 22 سؤالاً.</w:t>
      </w:r>
    </w:p>
    <w:p w:rsidR="008C1B9A" w:rsidRDefault="008C1B9A" w:rsidP="008C1B9A">
      <w:pPr>
        <w:pStyle w:val="SingleTxt"/>
        <w:rPr>
          <w:rFonts w:hint="cs"/>
          <w:rtl/>
          <w:lang w:bidi="ar-EG"/>
        </w:rPr>
      </w:pPr>
      <w:r>
        <w:rPr>
          <w:rFonts w:hint="cs"/>
          <w:rtl/>
          <w:lang w:bidi="ar-EG"/>
        </w:rPr>
        <w:t>6 -</w:t>
      </w:r>
      <w:r>
        <w:rPr>
          <w:rFonts w:hint="cs"/>
          <w:rtl/>
          <w:lang w:bidi="ar-EG"/>
        </w:rPr>
        <w:tab/>
        <w:t>وللمساعدة على إعداد قوائم القضايا والأسئلة، كان معروضاً على الفريق تقارير الدول الأطراف الوارد أسماؤها أعلاه، بالإضافة إلى الوثائق الأساسية لمعظم تلك الدول الأطراف، إضافة إلى التوصيات العامة التي اعتمدتها اللجنة، والمعلومات الأساسية ومشاريع قوائم القضايا والأسئلة التي أعدتها الأمانة العامة، فضلاً عن المعلومات الأخرى ذات الصلة، بما في ذلك الملاحظات الختامية للجنة ولهيئات المعاهدات الأخرى في حال اتصالها بالموضوع. ولإعداد القوائم فقد أوْلى الفريق اهتماماً خاصاً لما تمّ من متابعة الدول الأطراف للملاحظات الختامية التي خلصت إليها اللجنة بشأن التقارير السابقة لتلك الأطراف.</w:t>
      </w:r>
    </w:p>
    <w:p w:rsidR="008C1B9A" w:rsidRDefault="008C1B9A" w:rsidP="008C1B9A">
      <w:pPr>
        <w:pStyle w:val="SingleTxt"/>
        <w:rPr>
          <w:rFonts w:hint="cs"/>
          <w:rtl/>
          <w:lang w:bidi="ar-EG"/>
        </w:rPr>
      </w:pPr>
      <w:r>
        <w:rPr>
          <w:rFonts w:hint="cs"/>
          <w:rtl/>
          <w:lang w:bidi="ar-EG"/>
        </w:rPr>
        <w:t>7 -</w:t>
      </w:r>
      <w:r>
        <w:rPr>
          <w:rFonts w:hint="cs"/>
          <w:rtl/>
          <w:lang w:bidi="ar-EG"/>
        </w:rPr>
        <w:tab/>
        <w:t>وأفاد الفريق من المعلومات الخطّية والشفوية التي قدّمتها الكيانات والوكالات المتخصصة في منظومة الأمم المتحدة والمنظمات غير الحكومية.</w:t>
      </w:r>
    </w:p>
    <w:p w:rsidR="008C1B9A" w:rsidRDefault="008C1B9A" w:rsidP="008C1B9A">
      <w:pPr>
        <w:pStyle w:val="SingleTxt"/>
        <w:rPr>
          <w:rFonts w:hint="cs"/>
          <w:rtl/>
          <w:lang w:bidi="ar-EG"/>
        </w:rPr>
      </w:pPr>
      <w:r>
        <w:rPr>
          <w:rFonts w:hint="cs"/>
          <w:rtl/>
          <w:lang w:bidi="ar-EG"/>
        </w:rPr>
        <w:t>8 -</w:t>
      </w:r>
      <w:r>
        <w:rPr>
          <w:rFonts w:hint="cs"/>
          <w:rtl/>
          <w:lang w:bidi="ar-EG"/>
        </w:rPr>
        <w:tab/>
        <w:t>كما أحيلت قوائم القضايا والأسئلة التي اعتمدها الفريق إلى الدول الأطراف المعنية، وهي ترد في الوثائق التالية:</w:t>
      </w:r>
    </w:p>
    <w:p w:rsidR="008C1B9A" w:rsidRDefault="008C1B9A" w:rsidP="008C1B9A">
      <w:pPr>
        <w:pStyle w:val="SingleTxt"/>
        <w:rPr>
          <w:rFonts w:hint="cs"/>
          <w:rtl/>
          <w:lang w:bidi="ar-EG"/>
        </w:rPr>
      </w:pPr>
      <w:r>
        <w:rPr>
          <w:rFonts w:hint="cs"/>
          <w:rtl/>
          <w:lang w:bidi="ar-EG"/>
        </w:rPr>
        <w:tab/>
        <w:t>(أ)</w:t>
      </w:r>
      <w:r>
        <w:rPr>
          <w:rFonts w:hint="cs"/>
          <w:rtl/>
          <w:lang w:bidi="ar-EG"/>
        </w:rPr>
        <w:tab/>
        <w:t>قائمة القضايا والأسئلة المتعلقة بالتقرير الجامع للتقريرين الدورين الخامس والسادس لدولة بوليفيا المتعدِّدة القوميات (</w:t>
      </w:r>
      <w:r>
        <w:rPr>
          <w:lang w:bidi="ar-EG"/>
        </w:rPr>
        <w:t>CEDAW/C/BOL/Q/5-6</w:t>
      </w:r>
      <w:r>
        <w:rPr>
          <w:rFonts w:hint="cs"/>
          <w:rtl/>
          <w:lang w:bidi="ar-EG"/>
        </w:rPr>
        <w:t>)؛</w:t>
      </w:r>
    </w:p>
    <w:p w:rsidR="008C1B9A" w:rsidRDefault="008C1B9A" w:rsidP="008C1B9A">
      <w:pPr>
        <w:pStyle w:val="SingleTxt"/>
        <w:rPr>
          <w:rFonts w:hint="cs"/>
          <w:rtl/>
          <w:lang w:bidi="ar-EG"/>
        </w:rPr>
      </w:pPr>
      <w:r>
        <w:rPr>
          <w:rFonts w:hint="cs"/>
          <w:rtl/>
          <w:lang w:bidi="ar-EG"/>
        </w:rPr>
        <w:tab/>
        <w:t>(ب)</w:t>
      </w:r>
      <w:r>
        <w:rPr>
          <w:rFonts w:hint="cs"/>
          <w:rtl/>
          <w:lang w:bidi="ar-EG"/>
        </w:rPr>
        <w:tab/>
        <w:t>قائمة القضايا والأسئلة المتعلقة بالتقريرين الدوريين الرابع والخامس لكرواتيا (</w:t>
      </w:r>
      <w:r>
        <w:rPr>
          <w:lang w:bidi="ar-EG"/>
        </w:rPr>
        <w:t>CEDAW/C/HRV/Q/4-5</w:t>
      </w:r>
      <w:r>
        <w:rPr>
          <w:rFonts w:hint="cs"/>
          <w:rtl/>
          <w:lang w:bidi="ar-EG"/>
        </w:rPr>
        <w:t>)؛</w:t>
      </w:r>
    </w:p>
    <w:p w:rsidR="008C1B9A" w:rsidRDefault="008C1B9A" w:rsidP="008C1B9A">
      <w:pPr>
        <w:pStyle w:val="SingleTxt"/>
        <w:rPr>
          <w:rFonts w:hint="cs"/>
          <w:rtl/>
          <w:lang w:bidi="ar-EG"/>
        </w:rPr>
      </w:pPr>
      <w:r>
        <w:rPr>
          <w:rFonts w:hint="cs"/>
          <w:rtl/>
          <w:lang w:bidi="ar-EG"/>
        </w:rPr>
        <w:tab/>
        <w:t>(ج)</w:t>
      </w:r>
      <w:r>
        <w:rPr>
          <w:rFonts w:hint="cs"/>
          <w:rtl/>
          <w:lang w:bidi="ar-EG"/>
        </w:rPr>
        <w:tab/>
        <w:t>قائمة القضايا والأسئلة المتعلقة بالتقرير الجامع للتقريرين الدوريين الرابع والخامس لغامبيا (</w:t>
      </w:r>
      <w:r>
        <w:rPr>
          <w:lang w:bidi="ar-EG"/>
        </w:rPr>
        <w:t>CEDAW/C/GMB/Q/4-5</w:t>
      </w:r>
      <w:r>
        <w:rPr>
          <w:rFonts w:hint="cs"/>
          <w:rtl/>
          <w:lang w:bidi="ar-EG"/>
        </w:rPr>
        <w:t>)؛</w:t>
      </w:r>
    </w:p>
    <w:p w:rsidR="008C1B9A" w:rsidRDefault="008C1B9A" w:rsidP="008C1B9A">
      <w:pPr>
        <w:pStyle w:val="SingleTxt"/>
        <w:rPr>
          <w:rFonts w:hint="cs"/>
          <w:rtl/>
          <w:lang w:bidi="ar-EG"/>
        </w:rPr>
      </w:pPr>
      <w:r>
        <w:rPr>
          <w:rFonts w:hint="cs"/>
          <w:rtl/>
          <w:lang w:bidi="ar-EG"/>
        </w:rPr>
        <w:tab/>
        <w:t>(د)</w:t>
      </w:r>
      <w:r>
        <w:rPr>
          <w:rFonts w:hint="cs"/>
          <w:rtl/>
          <w:lang w:bidi="ar-EG"/>
        </w:rPr>
        <w:tab/>
        <w:t>قائمة القضايا والأسئلة المتعلقة بالتقرير الجامع للتقريرين الدوريين الرابع والخامس لناميبيا (</w:t>
      </w:r>
      <w:r>
        <w:rPr>
          <w:lang w:bidi="ar-EG"/>
        </w:rPr>
        <w:t>CEDAW/C/NAM/Q/4-5</w:t>
      </w:r>
      <w:r>
        <w:rPr>
          <w:rFonts w:hint="cs"/>
          <w:rtl/>
          <w:lang w:bidi="ar-EG"/>
        </w:rPr>
        <w:t>)؛</w:t>
      </w:r>
    </w:p>
    <w:p w:rsidR="008C1B9A" w:rsidRDefault="008C1B9A" w:rsidP="008C1B9A">
      <w:pPr>
        <w:pStyle w:val="SingleTxt"/>
        <w:rPr>
          <w:rFonts w:hint="cs"/>
          <w:rtl/>
          <w:lang w:bidi="ar-EG"/>
        </w:rPr>
      </w:pPr>
      <w:r>
        <w:rPr>
          <w:rFonts w:hint="cs"/>
          <w:rtl/>
          <w:lang w:bidi="ar-EG"/>
        </w:rPr>
        <w:tab/>
        <w:t>(هـ)</w:t>
      </w:r>
      <w:r>
        <w:rPr>
          <w:rFonts w:hint="cs"/>
          <w:rtl/>
          <w:lang w:bidi="ar-EG"/>
        </w:rPr>
        <w:tab/>
        <w:t>قائمة القضايا والأسئلة المتعلقة بالتقرير الجامع للتقريرين الدوريين الرابع والخامس لسانت فنسنت وجزر غرينادين (</w:t>
      </w:r>
      <w:r>
        <w:rPr>
          <w:lang w:bidi="ar-EG"/>
        </w:rPr>
        <w:t>CEDAW/C/VCT/Q/4-8/Add.1</w:t>
      </w:r>
      <w:r>
        <w:rPr>
          <w:rFonts w:hint="cs"/>
          <w:rtl/>
          <w:lang w:bidi="ar-EG"/>
        </w:rPr>
        <w:t>)؛</w:t>
      </w:r>
    </w:p>
    <w:p w:rsidR="008C1B9A" w:rsidRDefault="008C1B9A" w:rsidP="008C1B9A">
      <w:pPr>
        <w:pStyle w:val="SingleTxt"/>
        <w:rPr>
          <w:rFonts w:hint="cs"/>
          <w:rtl/>
          <w:lang w:bidi="ar-EG"/>
        </w:rPr>
      </w:pPr>
      <w:r>
        <w:rPr>
          <w:rFonts w:hint="cs"/>
          <w:rtl/>
          <w:lang w:bidi="ar-EG"/>
        </w:rPr>
        <w:tab/>
        <w:t>(و)</w:t>
      </w:r>
      <w:r>
        <w:rPr>
          <w:rFonts w:hint="cs"/>
          <w:rtl/>
          <w:lang w:bidi="ar-EG"/>
        </w:rPr>
        <w:tab/>
        <w:t>قائمة القضايا والأسئلة المتعلقة بالتقرير الجامع للتقارير الدورية الثالث إلى السابع للسنغال (</w:t>
      </w:r>
      <w:r>
        <w:rPr>
          <w:lang w:bidi="ar-EG"/>
        </w:rPr>
        <w:t>CEDAW/C/SEN/Q/3-7</w:t>
      </w:r>
      <w:r>
        <w:rPr>
          <w:rFonts w:hint="cs"/>
          <w:rtl/>
          <w:lang w:bidi="ar-EG"/>
        </w:rPr>
        <w:t>)؛</w:t>
      </w:r>
    </w:p>
    <w:p w:rsidR="008C1B9A" w:rsidRDefault="008C1B9A" w:rsidP="008C1B9A">
      <w:pPr>
        <w:pStyle w:val="SingleTxt"/>
        <w:rPr>
          <w:rFonts w:hint="cs"/>
          <w:rtl/>
          <w:lang w:bidi="ar-EG"/>
        </w:rPr>
      </w:pPr>
      <w:r>
        <w:rPr>
          <w:rFonts w:hint="cs"/>
          <w:rtl/>
          <w:lang w:bidi="ar-EG"/>
        </w:rPr>
        <w:tab/>
        <w:t>(ز)</w:t>
      </w:r>
      <w:r>
        <w:rPr>
          <w:rFonts w:hint="cs"/>
          <w:rtl/>
          <w:lang w:bidi="ar-EG"/>
        </w:rPr>
        <w:tab/>
        <w:t>قائمة القضايا والأسئلة المتعلقة بالتقرير الجامع للتقريرين الدوريين السابع والثامن لإسبانيا (</w:t>
      </w:r>
      <w:r>
        <w:rPr>
          <w:lang w:bidi="ar-EG"/>
        </w:rPr>
        <w:t>CEDAW/C/ESP/Q/7-8</w:t>
      </w:r>
      <w:r>
        <w:rPr>
          <w:rFonts w:hint="cs"/>
          <w:rtl/>
          <w:lang w:bidi="ar-EG"/>
        </w:rPr>
        <w:t>)؛</w:t>
      </w:r>
    </w:p>
    <w:p w:rsidR="008C1B9A" w:rsidRDefault="008C1B9A" w:rsidP="008C1B9A">
      <w:pPr>
        <w:pStyle w:val="SingleTxt"/>
        <w:rPr>
          <w:rFonts w:hint="cs"/>
          <w:rtl/>
          <w:lang w:bidi="ar-EG"/>
        </w:rPr>
      </w:pPr>
      <w:r>
        <w:rPr>
          <w:rFonts w:hint="cs"/>
          <w:rtl/>
          <w:lang w:bidi="ar-EG"/>
        </w:rPr>
        <w:tab/>
        <w:t>(ح)</w:t>
      </w:r>
      <w:r>
        <w:rPr>
          <w:rFonts w:hint="cs"/>
          <w:rtl/>
          <w:lang w:bidi="ar-EG"/>
        </w:rPr>
        <w:tab/>
        <w:t>قائمة القضايا والأسئلة المتعلقة بالتقرير الجامع للتقريرين الدوريين السابع والثامن لفييت نام (</w:t>
      </w:r>
      <w:r>
        <w:rPr>
          <w:lang w:bidi="ar-EG"/>
        </w:rPr>
        <w:t>CEDAW/C/VNM/Q/7-8</w:t>
      </w:r>
      <w:r>
        <w:rPr>
          <w:rFonts w:hint="cs"/>
          <w:rtl/>
          <w:lang w:bidi="ar-EG"/>
        </w:rPr>
        <w:t>).</w:t>
      </w:r>
    </w:p>
    <w:p w:rsidR="008C1B9A" w:rsidRPr="00EB58A9" w:rsidRDefault="008C1B9A" w:rsidP="008C1B9A">
      <w:pPr>
        <w:pStyle w:val="SingleTxt"/>
        <w:rPr>
          <w:rFonts w:hint="cs"/>
          <w:rtl/>
          <w:lang w:bidi="ar-EG"/>
        </w:rPr>
      </w:pPr>
      <w:r>
        <w:rPr>
          <w:rFonts w:hint="cs"/>
          <w:rtl/>
          <w:lang w:bidi="ar-EG"/>
        </w:rPr>
        <w:t>9 -</w:t>
      </w:r>
      <w:r>
        <w:rPr>
          <w:rFonts w:hint="cs"/>
          <w:rtl/>
          <w:lang w:bidi="ar-EG"/>
        </w:rPr>
        <w:tab/>
        <w:t>وطبقاً لمقررات اللجنة 22/4 و25/2 و31/3 فقد ركزت قوائم القضايا والأسئلة على المواضيع التي تعالجها الاتفاقية. وهذه المواضيع تشمل الإطار الدستوري والتشريعي، والآلية الوطنية للنهوض بالمرأة، والصور النمطية المقولبة، والممارسات الضارة والعنف ضد المرأة بما في ذلك العنف الأُسري، والاتجار بالنساء واستخدامهن لأغراض البغاء، ومشاركة المرأة في صُنع القرار، والجنسية والتعليم والتدريب والعمالة والصحة والاستحقاقات الاجتماعية والاقتصادية، والمرأة الريفية، وحالة الفئات المحرومة من النساء مثل المسنّات والنساء ذوات الإعاقات والنساء المنتميات إلى أقليات إثنية، واللاجئات والمهاجرات، ثم المساواة أمام القانون، إضافة إلى العلاقات الزواجية والعلاقات الأُسرية.</w:t>
      </w:r>
    </w:p>
    <w:p w:rsidR="008C1B9A" w:rsidRPr="008A3B3C" w:rsidRDefault="008C1B9A" w:rsidP="008C1B9A">
      <w:pPr>
        <w:pStyle w:val="SingleTxt"/>
        <w:spacing w:after="0" w:line="240" w:lineRule="auto"/>
        <w:rPr>
          <w:rFonts w:hint="cs"/>
          <w:rtl/>
          <w:lang w:bidi="ar-EG"/>
        </w:rPr>
      </w:pPr>
      <w:r>
        <w:rPr>
          <w:rFonts w:hint="cs"/>
          <w:noProof/>
          <w:w w:val="100"/>
          <w:rtl/>
        </w:rPr>
        <w:pict>
          <v:line id="_x0000_s1027" style="position:absolute;left:0;text-align:left;z-index:2" from="206.6pt,24pt" to="278.6pt,24pt" strokeweight=".25pt">
            <w10:wrap anchorx="page"/>
          </v:line>
        </w:pict>
      </w:r>
    </w:p>
    <w:p w:rsidR="00EC1442" w:rsidRDefault="00EC1442" w:rsidP="00EC1442">
      <w:pPr>
        <w:pStyle w:val="SingleTxt"/>
        <w:rPr>
          <w:rFonts w:hint="cs"/>
          <w:rtl/>
          <w:lang w:bidi="ar-EG"/>
        </w:rPr>
      </w:pPr>
    </w:p>
    <w:p w:rsidR="008C1B9A" w:rsidRDefault="008C1B9A" w:rsidP="00EC1442">
      <w:pPr>
        <w:pStyle w:val="SingleTxt"/>
        <w:rPr>
          <w:rFonts w:hint="cs"/>
          <w:rtl/>
        </w:rPr>
      </w:pPr>
    </w:p>
    <w:p w:rsidR="008C1B9A" w:rsidRPr="00EC1442" w:rsidRDefault="008C1B9A" w:rsidP="00EC1442">
      <w:pPr>
        <w:pStyle w:val="SingleTxt"/>
        <w:rPr>
          <w:rFonts w:hint="cs"/>
          <w:rtl/>
        </w:rPr>
      </w:pPr>
    </w:p>
    <w:sectPr w:rsidR="008C1B9A" w:rsidRPr="00EC1442" w:rsidSect="00EC1442">
      <w:endnotePr>
        <w:numFmt w:val="decimal"/>
      </w:endnotePr>
      <w:type w:val="continuous"/>
      <w:pgSz w:w="12240" w:h="15840" w:code="1"/>
      <w:pgMar w:top="1742" w:right="1200" w:bottom="1898" w:left="1200" w:header="576" w:footer="1030" w:gutter="0"/>
      <w:cols w:space="720"/>
      <w:noEndnote/>
      <w:bidi/>
      <w:rtlGutter/>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12-15T08:37:00Z" w:initials="Start">
    <w:p w:rsidR="00EC1442" w:rsidRDefault="00EC1442">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NO&gt;&gt;N1463283A&lt;&lt;ODS JOB NO&gt;&gt;</w:t>
      </w:r>
    </w:p>
    <w:p w:rsidR="00EC1442" w:rsidRDefault="00EC1442">
      <w:pPr>
        <w:pStyle w:val="CommentText"/>
      </w:pPr>
      <w:r>
        <w:t>&lt;&lt;ODS DOC SYMBOL1&gt;&gt;CEDAW/C/PSWG/61/1&lt;&lt;ODS DOC SYMBOL1&gt;&gt;</w:t>
      </w:r>
    </w:p>
    <w:p w:rsidR="00EC1442" w:rsidRDefault="00EC1442">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796A" w:rsidRDefault="00AA796A" w:rsidP="00693CF9">
      <w:pPr>
        <w:spacing w:line="240" w:lineRule="auto"/>
      </w:pPr>
      <w:r>
        <w:separator/>
      </w:r>
    </w:p>
  </w:endnote>
  <w:endnote w:type="continuationSeparator" w:id="0">
    <w:p w:rsidR="00AA796A" w:rsidRDefault="00AA796A" w:rsidP="00693C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EC1442" w:rsidTr="00EC1442">
      <w:tblPrEx>
        <w:tblCellMar>
          <w:top w:w="0" w:type="dxa"/>
          <w:bottom w:w="0" w:type="dxa"/>
        </w:tblCellMar>
      </w:tblPrEx>
      <w:tc>
        <w:tcPr>
          <w:tcW w:w="5028" w:type="dxa"/>
          <w:shd w:val="clear" w:color="auto" w:fill="auto"/>
        </w:tcPr>
        <w:p w:rsidR="00EC1442" w:rsidRPr="00161E2B" w:rsidRDefault="00EC1442" w:rsidP="00EC1442">
          <w:pPr>
            <w:pStyle w:val="Footer"/>
            <w:rPr>
              <w:rFonts w:cs="Traditional Arabic"/>
              <w:w w:val="103"/>
            </w:rPr>
          </w:pPr>
          <w:r w:rsidRPr="00161E2B">
            <w:rPr>
              <w:rFonts w:cs="Traditional Arabic"/>
              <w:w w:val="103"/>
            </w:rPr>
            <w:fldChar w:fldCharType="begin"/>
          </w:r>
          <w:r w:rsidRPr="00161E2B">
            <w:rPr>
              <w:rFonts w:cs="Traditional Arabic"/>
              <w:w w:val="103"/>
            </w:rPr>
            <w:instrText xml:space="preserve"> PAGE  \* Arabic  \* MERGEFORMAT </w:instrText>
          </w:r>
          <w:r w:rsidRPr="00161E2B">
            <w:rPr>
              <w:rFonts w:cs="Traditional Arabic"/>
              <w:w w:val="103"/>
            </w:rPr>
            <w:fldChar w:fldCharType="separate"/>
          </w:r>
          <w:r w:rsidR="00A64EA9" w:rsidRPr="00161E2B">
            <w:rPr>
              <w:rFonts w:cs="Traditional Arabic"/>
              <w:noProof/>
              <w:w w:val="103"/>
            </w:rPr>
            <w:t>3</w:t>
          </w:r>
          <w:r w:rsidRPr="00161E2B">
            <w:rPr>
              <w:rFonts w:cs="Traditional Arabic"/>
              <w:w w:val="103"/>
            </w:rPr>
            <w:fldChar w:fldCharType="end"/>
          </w:r>
          <w:r w:rsidRPr="00161E2B">
            <w:rPr>
              <w:rFonts w:cs="Traditional Arabic"/>
              <w:w w:val="103"/>
            </w:rPr>
            <w:t>/</w:t>
          </w:r>
          <w:fldSimple w:instr=" NUMPAGES  \* Arabic  \* MERGEFORMAT ">
            <w:r w:rsidR="00A64EA9" w:rsidRPr="00161E2B">
              <w:rPr>
                <w:rFonts w:cs="Traditional Arabic"/>
                <w:noProof/>
                <w:w w:val="103"/>
              </w:rPr>
              <w:t>3</w:t>
            </w:r>
          </w:fldSimple>
        </w:p>
      </w:tc>
      <w:tc>
        <w:tcPr>
          <w:tcW w:w="5028" w:type="dxa"/>
          <w:shd w:val="clear" w:color="auto" w:fill="auto"/>
        </w:tcPr>
        <w:p w:rsidR="00EC1442" w:rsidRPr="00161E2B" w:rsidRDefault="00EC1442" w:rsidP="00EC1442">
          <w:pPr>
            <w:pStyle w:val="Footer"/>
            <w:jc w:val="left"/>
            <w:rPr>
              <w:rFonts w:cs="Traditional Arabic"/>
              <w:b w:val="0"/>
              <w:w w:val="103"/>
            </w:rPr>
          </w:pPr>
          <w:fldSimple w:instr=" DOCVARIABLE &quot;FooterJN&quot; \* MERGEFORMAT ">
            <w:r w:rsidR="00A64EA9" w:rsidRPr="00161E2B">
              <w:rPr>
                <w:rFonts w:cs="Traditional Arabic"/>
                <w:b w:val="0"/>
                <w:w w:val="103"/>
              </w:rPr>
              <w:t>14-64769</w:t>
            </w:r>
          </w:fldSimple>
        </w:p>
      </w:tc>
    </w:tr>
  </w:tbl>
  <w:p w:rsidR="00EC1442" w:rsidRPr="00EC1442" w:rsidRDefault="00EC1442" w:rsidP="00EC144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EC1442" w:rsidTr="00EC1442">
      <w:tblPrEx>
        <w:tblCellMar>
          <w:top w:w="0" w:type="dxa"/>
          <w:bottom w:w="0" w:type="dxa"/>
        </w:tblCellMar>
      </w:tblPrEx>
      <w:tc>
        <w:tcPr>
          <w:tcW w:w="5028" w:type="dxa"/>
          <w:shd w:val="clear" w:color="auto" w:fill="auto"/>
        </w:tcPr>
        <w:p w:rsidR="00EC1442" w:rsidRPr="00161E2B" w:rsidRDefault="00EC1442" w:rsidP="00EC1442">
          <w:pPr>
            <w:pStyle w:val="Footer"/>
            <w:rPr>
              <w:rFonts w:cs="Traditional Arabic"/>
              <w:b w:val="0"/>
              <w:w w:val="103"/>
            </w:rPr>
          </w:pPr>
          <w:fldSimple w:instr=" DOCVARIABLE &quot;FooterJN&quot; \* MERGEFORMAT ">
            <w:r w:rsidR="00A64EA9" w:rsidRPr="00161E2B">
              <w:rPr>
                <w:rFonts w:cs="Traditional Arabic"/>
                <w:b w:val="0"/>
                <w:w w:val="103"/>
              </w:rPr>
              <w:t>14-64769</w:t>
            </w:r>
          </w:fldSimple>
        </w:p>
      </w:tc>
      <w:tc>
        <w:tcPr>
          <w:tcW w:w="5028" w:type="dxa"/>
          <w:shd w:val="clear" w:color="auto" w:fill="auto"/>
        </w:tcPr>
        <w:p w:rsidR="00EC1442" w:rsidRPr="00161E2B" w:rsidRDefault="00EC1442" w:rsidP="00EC1442">
          <w:pPr>
            <w:pStyle w:val="Footer"/>
            <w:jc w:val="left"/>
            <w:rPr>
              <w:rFonts w:cs="Traditional Arabic"/>
              <w:w w:val="103"/>
            </w:rPr>
          </w:pPr>
          <w:r w:rsidRPr="00161E2B">
            <w:rPr>
              <w:rFonts w:cs="Traditional Arabic"/>
              <w:w w:val="103"/>
            </w:rPr>
            <w:fldChar w:fldCharType="begin"/>
          </w:r>
          <w:r w:rsidRPr="00161E2B">
            <w:rPr>
              <w:rFonts w:cs="Traditional Arabic"/>
              <w:w w:val="103"/>
            </w:rPr>
            <w:instrText xml:space="preserve"> PAGE  \* Arabic  \* MERGEFORMAT </w:instrText>
          </w:r>
          <w:r w:rsidRPr="00161E2B">
            <w:rPr>
              <w:rFonts w:cs="Traditional Arabic"/>
              <w:w w:val="103"/>
            </w:rPr>
            <w:fldChar w:fldCharType="separate"/>
          </w:r>
          <w:r w:rsidR="00A64EA9" w:rsidRPr="00161E2B">
            <w:rPr>
              <w:rFonts w:cs="Traditional Arabic"/>
              <w:noProof/>
              <w:w w:val="103"/>
            </w:rPr>
            <w:t>3</w:t>
          </w:r>
          <w:r w:rsidRPr="00161E2B">
            <w:rPr>
              <w:rFonts w:cs="Traditional Arabic"/>
              <w:w w:val="103"/>
            </w:rPr>
            <w:fldChar w:fldCharType="end"/>
          </w:r>
          <w:r w:rsidRPr="00161E2B">
            <w:rPr>
              <w:rFonts w:cs="Traditional Arabic"/>
              <w:w w:val="103"/>
            </w:rPr>
            <w:t>/</w:t>
          </w:r>
          <w:fldSimple w:instr=" NUMPAGES  \* Arabic  \* MERGEFORMAT ">
            <w:r w:rsidR="00A64EA9" w:rsidRPr="00161E2B">
              <w:rPr>
                <w:rFonts w:cs="Traditional Arabic"/>
                <w:noProof/>
                <w:w w:val="103"/>
              </w:rPr>
              <w:t>3</w:t>
            </w:r>
          </w:fldSimple>
        </w:p>
      </w:tc>
    </w:tr>
  </w:tbl>
  <w:p w:rsidR="00EC1442" w:rsidRPr="00EC1442" w:rsidRDefault="00EC1442" w:rsidP="00EC144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28"/>
    </w:tblGrid>
    <w:tr w:rsidR="00EC1442" w:rsidTr="008C1B9A">
      <w:tblPrEx>
        <w:tblCellMar>
          <w:top w:w="0" w:type="dxa"/>
          <w:bottom w:w="0" w:type="dxa"/>
        </w:tblCellMar>
      </w:tblPrEx>
      <w:trPr>
        <w:jc w:val="right"/>
      </w:trPr>
      <w:tc>
        <w:tcPr>
          <w:tcW w:w="3744" w:type="dxa"/>
        </w:tcPr>
        <w:p w:rsidR="00EC1442" w:rsidRDefault="00EC1442" w:rsidP="00EC1442">
          <w:pPr>
            <w:pStyle w:val="Footer"/>
            <w:spacing w:line="240" w:lineRule="atLeast"/>
            <w:jc w:val="left"/>
            <w:rPr>
              <w:b w:val="0"/>
              <w:w w:val="103"/>
              <w:sz w:val="20"/>
            </w:rPr>
          </w:pPr>
          <w:r>
            <w:rPr>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28" w:type="dxa"/>
        </w:tcPr>
        <w:p w:rsidR="00EC1442" w:rsidRDefault="00EC1442" w:rsidP="00EC1442">
          <w:pPr>
            <w:pStyle w:val="ReleaseDate"/>
          </w:pPr>
          <w:r>
            <w:t xml:space="preserve">151214    151214    14-64769 </w:t>
          </w:r>
          <w:r w:rsidR="00904627">
            <w:t xml:space="preserve">X </w:t>
          </w:r>
          <w:r>
            <w:t>(A)</w:t>
          </w:r>
        </w:p>
        <w:p w:rsidR="00EC1442" w:rsidRPr="00161E2B" w:rsidRDefault="00EC1442" w:rsidP="00EC1442">
          <w:pPr>
            <w:pStyle w:val="Footer"/>
            <w:spacing w:before="80"/>
            <w:rPr>
              <w:rFonts w:ascii="Barcode 3 of 9 by request" w:hAnsi="Barcode 3 of 9 by request" w:cs="Traditional Arabic"/>
              <w:sz w:val="24"/>
            </w:rPr>
          </w:pPr>
          <w:fldSimple w:instr=" DOCVARIABLE &quot;Barcode&quot; \* MERGEFORMAT ">
            <w:r w:rsidR="00A64EA9" w:rsidRPr="00161E2B">
              <w:rPr>
                <w:rFonts w:ascii="Barcode 3 of 9 by request" w:hAnsi="Barcode 3 of 9 by request" w:cs="Traditional Arabic"/>
                <w:sz w:val="24"/>
              </w:rPr>
              <w:t>*1464769*</w:t>
            </w:r>
          </w:fldSimple>
        </w:p>
      </w:tc>
    </w:tr>
  </w:tbl>
  <w:p w:rsidR="00EC1442" w:rsidRPr="00EC1442" w:rsidRDefault="00EC1442" w:rsidP="00EC1442">
    <w:pPr>
      <w:pStyle w:val="Footer"/>
      <w:spacing w:line="14" w:lineRule="exact"/>
      <w:rPr>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796A" w:rsidRPr="008C1B9A" w:rsidRDefault="00AA796A" w:rsidP="008C1B9A">
      <w:pPr>
        <w:pStyle w:val="Footer"/>
        <w:bidi/>
        <w:spacing w:after="80"/>
        <w:ind w:left="792"/>
        <w:jc w:val="left"/>
        <w:rPr>
          <w:sz w:val="16"/>
        </w:rPr>
      </w:pPr>
      <w:r w:rsidRPr="008C1B9A">
        <w:rPr>
          <w:sz w:val="16"/>
          <w:rtl/>
        </w:rPr>
        <w:t>__________</w:t>
      </w:r>
    </w:p>
  </w:footnote>
  <w:footnote w:type="continuationSeparator" w:id="0">
    <w:p w:rsidR="00AA796A" w:rsidRPr="008C1B9A" w:rsidRDefault="00AA796A" w:rsidP="008C1B9A">
      <w:pPr>
        <w:pStyle w:val="Footer"/>
        <w:bidi/>
        <w:spacing w:after="80"/>
        <w:ind w:left="792"/>
        <w:jc w:val="left"/>
        <w:rPr>
          <w:sz w:val="16"/>
        </w:rPr>
      </w:pPr>
      <w:r w:rsidRPr="008C1B9A">
        <w:rPr>
          <w:sz w:val="16"/>
          <w:rtl/>
        </w:rPr>
        <w:t>__________</w:t>
      </w:r>
    </w:p>
  </w:footnote>
  <w:footnote w:id="1">
    <w:p w:rsidR="008C1B9A" w:rsidRPr="00BC0326" w:rsidRDefault="008C1B9A" w:rsidP="008C1B9A">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BC0326">
        <w:rPr>
          <w:w w:val="103"/>
          <w:rtl/>
        </w:rPr>
        <w:t>(</w:t>
      </w:r>
      <w:r w:rsidRPr="008C1B9A">
        <w:rPr>
          <w:rStyle w:val="FootnoteReference"/>
          <w:w w:val="103"/>
          <w:vertAlign w:val="baseline"/>
          <w:rtl/>
        </w:rPr>
        <w:footnoteRef/>
      </w:r>
      <w:r w:rsidRPr="00BC0326">
        <w:rPr>
          <w:w w:val="103"/>
          <w:rtl/>
        </w:rPr>
        <w:t>)</w:t>
      </w:r>
      <w:r w:rsidRPr="00BC0326">
        <w:rPr>
          <w:w w:val="103"/>
          <w:rtl/>
        </w:rPr>
        <w:tab/>
      </w:r>
      <w:r>
        <w:rPr>
          <w:rFonts w:hint="cs"/>
          <w:w w:val="103"/>
          <w:rtl/>
          <w:lang w:bidi="ar-EG"/>
        </w:rPr>
        <w:t>تم تعيين باربارا بيلي عضواً في الفريق العامل لما قبل الدورة الحادية والستين ولكنها لم تتمكّن من الحضور وإن أسهمت رغم غيابها في أعماله.</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857"/>
      <w:gridCol w:w="4983"/>
    </w:tblGrid>
    <w:tr w:rsidR="00EC1442" w:rsidTr="00EC1442">
      <w:tblPrEx>
        <w:tblCellMar>
          <w:top w:w="0" w:type="dxa"/>
          <w:bottom w:w="0" w:type="dxa"/>
        </w:tblCellMar>
      </w:tblPrEx>
      <w:trPr>
        <w:trHeight w:hRule="exact" w:val="864"/>
        <w:jc w:val="center"/>
      </w:trPr>
      <w:tc>
        <w:tcPr>
          <w:tcW w:w="4925" w:type="dxa"/>
          <w:shd w:val="clear" w:color="auto" w:fill="auto"/>
          <w:vAlign w:val="bottom"/>
        </w:tcPr>
        <w:p w:rsidR="00EC1442" w:rsidRPr="00161E2B" w:rsidRDefault="00EC1442" w:rsidP="00EC1442">
          <w:pPr>
            <w:pStyle w:val="Header"/>
            <w:bidi/>
            <w:rPr>
              <w:rFonts w:cs="Traditional Arabic"/>
            </w:rPr>
          </w:pPr>
        </w:p>
      </w:tc>
      <w:tc>
        <w:tcPr>
          <w:tcW w:w="5028" w:type="dxa"/>
          <w:shd w:val="clear" w:color="auto" w:fill="auto"/>
          <w:vAlign w:val="bottom"/>
        </w:tcPr>
        <w:p w:rsidR="00EC1442" w:rsidRPr="00161E2B" w:rsidRDefault="00EC1442" w:rsidP="00EC1442">
          <w:pPr>
            <w:pStyle w:val="Header"/>
            <w:spacing w:after="80"/>
            <w:rPr>
              <w:rFonts w:cs="Traditional Arabic"/>
              <w:w w:val="103"/>
            </w:rPr>
          </w:pPr>
          <w:fldSimple w:instr=" DOCVARIABLE sss1  \* MERGEFORMAT ">
            <w:r w:rsidR="00A64EA9" w:rsidRPr="00161E2B">
              <w:rPr>
                <w:rFonts w:cs="Traditional Arabic"/>
                <w:w w:val="103"/>
              </w:rPr>
              <w:t>CEDAW/C/PSWG/61/1</w:t>
            </w:r>
          </w:fldSimple>
        </w:p>
      </w:tc>
    </w:tr>
  </w:tbl>
  <w:p w:rsidR="00EC1442" w:rsidRPr="00EC1442" w:rsidRDefault="00EC1442" w:rsidP="00EC144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881"/>
      <w:gridCol w:w="4959"/>
    </w:tblGrid>
    <w:tr w:rsidR="00EC1442" w:rsidTr="00EC1442">
      <w:tblPrEx>
        <w:tblCellMar>
          <w:top w:w="0" w:type="dxa"/>
          <w:bottom w:w="0" w:type="dxa"/>
        </w:tblCellMar>
      </w:tblPrEx>
      <w:trPr>
        <w:trHeight w:hRule="exact" w:val="864"/>
        <w:jc w:val="center"/>
      </w:trPr>
      <w:tc>
        <w:tcPr>
          <w:tcW w:w="4925" w:type="dxa"/>
          <w:shd w:val="clear" w:color="auto" w:fill="auto"/>
          <w:vAlign w:val="bottom"/>
        </w:tcPr>
        <w:p w:rsidR="00EC1442" w:rsidRPr="00161E2B" w:rsidRDefault="00EC1442" w:rsidP="00EC1442">
          <w:pPr>
            <w:pStyle w:val="Header"/>
            <w:spacing w:after="80"/>
            <w:jc w:val="left"/>
            <w:rPr>
              <w:rFonts w:cs="Traditional Arabic"/>
              <w:w w:val="103"/>
            </w:rPr>
          </w:pPr>
          <w:fldSimple w:instr=" DOCVARIABLE sss1  \* MERGEFORMAT ">
            <w:r w:rsidR="00A64EA9" w:rsidRPr="00161E2B">
              <w:rPr>
                <w:rFonts w:cs="Traditional Arabic"/>
                <w:w w:val="103"/>
              </w:rPr>
              <w:t>CEDAW/C/PSWG/61/1</w:t>
            </w:r>
          </w:fldSimple>
        </w:p>
      </w:tc>
      <w:tc>
        <w:tcPr>
          <w:tcW w:w="5028" w:type="dxa"/>
          <w:shd w:val="clear" w:color="auto" w:fill="auto"/>
          <w:vAlign w:val="bottom"/>
        </w:tcPr>
        <w:p w:rsidR="00EC1442" w:rsidRPr="00161E2B" w:rsidRDefault="00EC1442" w:rsidP="00EC1442">
          <w:pPr>
            <w:pStyle w:val="Header"/>
            <w:rPr>
              <w:rFonts w:cs="Traditional Arabic"/>
            </w:rPr>
          </w:pPr>
        </w:p>
      </w:tc>
    </w:tr>
  </w:tbl>
  <w:p w:rsidR="00EC1442" w:rsidRPr="00EC1442" w:rsidRDefault="00EC1442" w:rsidP="00EC144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EC1442" w:rsidTr="00EC1442">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EC1442" w:rsidRPr="00161E2B" w:rsidRDefault="00EC1442" w:rsidP="00EC1442">
          <w:pPr>
            <w:pStyle w:val="Header"/>
            <w:spacing w:after="120"/>
            <w:rPr>
              <w:rFonts w:cs="Traditional Arabic"/>
            </w:rPr>
          </w:pPr>
        </w:p>
      </w:tc>
      <w:tc>
        <w:tcPr>
          <w:tcW w:w="1786" w:type="dxa"/>
          <w:tcBorders>
            <w:bottom w:val="single" w:sz="4" w:space="0" w:color="auto"/>
          </w:tcBorders>
          <w:shd w:val="clear" w:color="auto" w:fill="auto"/>
          <w:vAlign w:val="bottom"/>
        </w:tcPr>
        <w:p w:rsidR="00EC1442" w:rsidRPr="00EC1442" w:rsidRDefault="00EC1442" w:rsidP="00EC1442">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EC1442" w:rsidRPr="00161E2B" w:rsidRDefault="00EC1442" w:rsidP="00EC1442">
          <w:pPr>
            <w:pStyle w:val="Header"/>
            <w:spacing w:after="120"/>
            <w:rPr>
              <w:rFonts w:cs="Traditional Arabic"/>
            </w:rPr>
          </w:pPr>
        </w:p>
      </w:tc>
      <w:tc>
        <w:tcPr>
          <w:tcW w:w="6523" w:type="dxa"/>
          <w:gridSpan w:val="3"/>
          <w:tcBorders>
            <w:bottom w:val="single" w:sz="4" w:space="0" w:color="auto"/>
          </w:tcBorders>
          <w:shd w:val="clear" w:color="auto" w:fill="auto"/>
          <w:vAlign w:val="bottom"/>
        </w:tcPr>
        <w:p w:rsidR="00EC1442" w:rsidRPr="00EC1442" w:rsidRDefault="00EC1442" w:rsidP="00EC1442">
          <w:pPr>
            <w:spacing w:line="380" w:lineRule="exact"/>
            <w:jc w:val="right"/>
          </w:pPr>
          <w:r>
            <w:rPr>
              <w:sz w:val="40"/>
            </w:rPr>
            <w:t>CEDAW</w:t>
          </w:r>
          <w:r>
            <w:t>/C/PSWG/61/1</w:t>
          </w:r>
        </w:p>
      </w:tc>
    </w:tr>
    <w:tr w:rsidR="00EC1442" w:rsidRPr="00EC1442" w:rsidTr="00EC1442">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EC1442" w:rsidRPr="00161E2B" w:rsidRDefault="00EC1442" w:rsidP="00EC1442">
          <w:pPr>
            <w:pStyle w:val="Header"/>
            <w:spacing w:before="109"/>
            <w:rPr>
              <w:rFonts w:cs="Traditional Arabic"/>
            </w:rPr>
          </w:pPr>
          <w:r w:rsidRPr="00161E2B">
            <w:rPr>
              <w:rFonts w:cs="Traditional Arabic"/>
            </w:rPr>
            <w:t xml:space="preserve"> </w:t>
          </w:r>
          <w:r w:rsidRPr="00161E2B">
            <w:rPr>
              <w:rFonts w:cs="Traditional Arabic"/>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C1442" w:rsidRPr="00161E2B" w:rsidRDefault="00EC1442" w:rsidP="00EC1442">
          <w:pPr>
            <w:pStyle w:val="Header"/>
            <w:spacing w:before="109"/>
            <w:rPr>
              <w:rFonts w:cs="Traditional Arabic"/>
            </w:rPr>
          </w:pPr>
        </w:p>
      </w:tc>
      <w:tc>
        <w:tcPr>
          <w:tcW w:w="5227" w:type="dxa"/>
          <w:gridSpan w:val="3"/>
          <w:tcBorders>
            <w:top w:val="single" w:sz="4" w:space="0" w:color="auto"/>
            <w:bottom w:val="single" w:sz="12" w:space="0" w:color="auto"/>
          </w:tcBorders>
          <w:shd w:val="clear" w:color="auto" w:fill="auto"/>
        </w:tcPr>
        <w:p w:rsidR="00EC1442" w:rsidRPr="00EC1442" w:rsidRDefault="00EC1442" w:rsidP="00EC1442">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EC1442" w:rsidRPr="00161E2B" w:rsidRDefault="00EC1442" w:rsidP="00EC1442">
          <w:pPr>
            <w:pStyle w:val="Header"/>
            <w:spacing w:before="109"/>
            <w:rPr>
              <w:rFonts w:cs="Traditional Arabic"/>
            </w:rPr>
          </w:pPr>
        </w:p>
      </w:tc>
      <w:tc>
        <w:tcPr>
          <w:tcW w:w="3100" w:type="dxa"/>
          <w:gridSpan w:val="2"/>
          <w:tcBorders>
            <w:top w:val="single" w:sz="4" w:space="0" w:color="auto"/>
            <w:bottom w:val="single" w:sz="12" w:space="0" w:color="auto"/>
          </w:tcBorders>
          <w:shd w:val="clear" w:color="auto" w:fill="auto"/>
        </w:tcPr>
        <w:p w:rsidR="00EC1442" w:rsidRDefault="00EC1442" w:rsidP="00EC1442">
          <w:pPr>
            <w:pStyle w:val="Distribution"/>
            <w:bidi w:val="0"/>
            <w:spacing w:before="240"/>
          </w:pPr>
          <w:r>
            <w:t>Distr.: General</w:t>
          </w:r>
        </w:p>
        <w:p w:rsidR="00EC1442" w:rsidRDefault="00EC1442" w:rsidP="00EC1442">
          <w:pPr>
            <w:pStyle w:val="Publication"/>
            <w:bidi w:val="0"/>
          </w:pPr>
          <w:r>
            <w:t>17 November 2014</w:t>
          </w:r>
        </w:p>
        <w:p w:rsidR="00EC1442" w:rsidRDefault="00EC1442" w:rsidP="00EC1442">
          <w:pPr>
            <w:bidi w:val="0"/>
            <w:spacing w:line="240" w:lineRule="exact"/>
            <w:jc w:val="left"/>
          </w:pPr>
          <w:r>
            <w:t>Arabic</w:t>
          </w:r>
        </w:p>
        <w:p w:rsidR="00EC1442" w:rsidRDefault="00EC1442" w:rsidP="00EC1442">
          <w:pPr>
            <w:pStyle w:val="Original"/>
            <w:bidi w:val="0"/>
          </w:pPr>
          <w:r>
            <w:t>Original: English</w:t>
          </w:r>
        </w:p>
        <w:p w:rsidR="00EC1442" w:rsidRPr="00EC1442" w:rsidRDefault="00EC1442" w:rsidP="00EC1442">
          <w:pPr>
            <w:bidi w:val="0"/>
            <w:spacing w:line="240" w:lineRule="exact"/>
            <w:jc w:val="left"/>
          </w:pPr>
        </w:p>
      </w:tc>
    </w:tr>
  </w:tbl>
  <w:p w:rsidR="00EC1442" w:rsidRPr="00EC1442" w:rsidRDefault="00EC1442" w:rsidP="00EC1442">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4769*"/>
    <w:docVar w:name="CreationDt" w:val="15/12/2014 8:37: AM"/>
    <w:docVar w:name="DocCategory" w:val="Doc"/>
    <w:docVar w:name="DocType" w:val="Final"/>
    <w:docVar w:name="FooterJN" w:val="14-64769"/>
    <w:docVar w:name="jobn" w:val="14-64769 (A)"/>
    <w:docVar w:name="jobnDT" w:val="14-64769 (A)   151214"/>
    <w:docVar w:name="jobnDTDT" w:val="14-64769 (A)   151214   151214"/>
    <w:docVar w:name="JobNo" w:val="1464769A"/>
    <w:docVar w:name="OandT" w:val=" "/>
    <w:docVar w:name="PaperSize" w:val="Letter"/>
    <w:docVar w:name="sss1" w:val="CEDAW/C/PSWG/61/1"/>
    <w:docVar w:name="sss2" w:val="-"/>
    <w:docVar w:name="Symbol1" w:val="CEDAW/C/PSWG/61/1"/>
    <w:docVar w:name="Symbol2" w:val="-"/>
  </w:docVars>
  <w:rsids>
    <w:rsidRoot w:val="006F22AB"/>
    <w:rsid w:val="000170D3"/>
    <w:rsid w:val="000311C9"/>
    <w:rsid w:val="00042425"/>
    <w:rsid w:val="00047F6A"/>
    <w:rsid w:val="0005137B"/>
    <w:rsid w:val="00056AA7"/>
    <w:rsid w:val="0006648F"/>
    <w:rsid w:val="00070E09"/>
    <w:rsid w:val="00087310"/>
    <w:rsid w:val="0009732C"/>
    <w:rsid w:val="000B640C"/>
    <w:rsid w:val="000C4EED"/>
    <w:rsid w:val="000D2CEC"/>
    <w:rsid w:val="00101EE8"/>
    <w:rsid w:val="00113349"/>
    <w:rsid w:val="0012522B"/>
    <w:rsid w:val="001519A9"/>
    <w:rsid w:val="001568A8"/>
    <w:rsid w:val="00161E2B"/>
    <w:rsid w:val="00165F18"/>
    <w:rsid w:val="00170A5E"/>
    <w:rsid w:val="001737F8"/>
    <w:rsid w:val="001775EA"/>
    <w:rsid w:val="0018030C"/>
    <w:rsid w:val="00182D99"/>
    <w:rsid w:val="00187870"/>
    <w:rsid w:val="001A0D70"/>
    <w:rsid w:val="001E5A5A"/>
    <w:rsid w:val="001E5A7A"/>
    <w:rsid w:val="001F6786"/>
    <w:rsid w:val="00233E2A"/>
    <w:rsid w:val="00236A29"/>
    <w:rsid w:val="002416C5"/>
    <w:rsid w:val="0025002E"/>
    <w:rsid w:val="0025236C"/>
    <w:rsid w:val="00252B9B"/>
    <w:rsid w:val="00252D19"/>
    <w:rsid w:val="002606E6"/>
    <w:rsid w:val="00266F59"/>
    <w:rsid w:val="00272B6C"/>
    <w:rsid w:val="0027623A"/>
    <w:rsid w:val="0028685E"/>
    <w:rsid w:val="00290F2F"/>
    <w:rsid w:val="002925C1"/>
    <w:rsid w:val="002937DA"/>
    <w:rsid w:val="002971E7"/>
    <w:rsid w:val="002A09C6"/>
    <w:rsid w:val="002B0A3E"/>
    <w:rsid w:val="002B4F37"/>
    <w:rsid w:val="002C2AF2"/>
    <w:rsid w:val="002C4E1B"/>
    <w:rsid w:val="002D58BC"/>
    <w:rsid w:val="002E1490"/>
    <w:rsid w:val="002E750A"/>
    <w:rsid w:val="002F0398"/>
    <w:rsid w:val="002F0573"/>
    <w:rsid w:val="00312162"/>
    <w:rsid w:val="00312525"/>
    <w:rsid w:val="003501D5"/>
    <w:rsid w:val="00351324"/>
    <w:rsid w:val="003676A8"/>
    <w:rsid w:val="00371AC4"/>
    <w:rsid w:val="00376CFA"/>
    <w:rsid w:val="00383A67"/>
    <w:rsid w:val="00383CA8"/>
    <w:rsid w:val="00383EF3"/>
    <w:rsid w:val="003A65ED"/>
    <w:rsid w:val="003C4B86"/>
    <w:rsid w:val="003D4612"/>
    <w:rsid w:val="003E1BB9"/>
    <w:rsid w:val="003E26D7"/>
    <w:rsid w:val="003E6DF8"/>
    <w:rsid w:val="003F4B8C"/>
    <w:rsid w:val="00401BDF"/>
    <w:rsid w:val="00411BBD"/>
    <w:rsid w:val="00415922"/>
    <w:rsid w:val="00423BD7"/>
    <w:rsid w:val="0042757D"/>
    <w:rsid w:val="00437C14"/>
    <w:rsid w:val="004527C9"/>
    <w:rsid w:val="00453069"/>
    <w:rsid w:val="0048330E"/>
    <w:rsid w:val="00483F5B"/>
    <w:rsid w:val="00490874"/>
    <w:rsid w:val="00494EE2"/>
    <w:rsid w:val="00496E83"/>
    <w:rsid w:val="004A2886"/>
    <w:rsid w:val="004B14A0"/>
    <w:rsid w:val="004B1CBB"/>
    <w:rsid w:val="004B440C"/>
    <w:rsid w:val="004D1B0C"/>
    <w:rsid w:val="004D3ACE"/>
    <w:rsid w:val="004D4EA9"/>
    <w:rsid w:val="004D79EE"/>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0CD4"/>
    <w:rsid w:val="00591B45"/>
    <w:rsid w:val="00596606"/>
    <w:rsid w:val="005A0F73"/>
    <w:rsid w:val="005A2EA3"/>
    <w:rsid w:val="005B4C28"/>
    <w:rsid w:val="005C07BD"/>
    <w:rsid w:val="005C2ECE"/>
    <w:rsid w:val="005C7ED8"/>
    <w:rsid w:val="005E46BF"/>
    <w:rsid w:val="006007BD"/>
    <w:rsid w:val="00616E82"/>
    <w:rsid w:val="006218A3"/>
    <w:rsid w:val="006564CE"/>
    <w:rsid w:val="00663F64"/>
    <w:rsid w:val="006905A9"/>
    <w:rsid w:val="00692B46"/>
    <w:rsid w:val="00693CF9"/>
    <w:rsid w:val="00696B7A"/>
    <w:rsid w:val="006A1E4E"/>
    <w:rsid w:val="006C1E40"/>
    <w:rsid w:val="006C38EE"/>
    <w:rsid w:val="006D3170"/>
    <w:rsid w:val="006E7E51"/>
    <w:rsid w:val="006F22AB"/>
    <w:rsid w:val="00700F06"/>
    <w:rsid w:val="00714319"/>
    <w:rsid w:val="0071531E"/>
    <w:rsid w:val="0071645B"/>
    <w:rsid w:val="00716E9D"/>
    <w:rsid w:val="00740D62"/>
    <w:rsid w:val="00747B9E"/>
    <w:rsid w:val="007524BE"/>
    <w:rsid w:val="007525FA"/>
    <w:rsid w:val="00767151"/>
    <w:rsid w:val="00770CF8"/>
    <w:rsid w:val="00774FF0"/>
    <w:rsid w:val="00784F2B"/>
    <w:rsid w:val="00786F0C"/>
    <w:rsid w:val="0079046D"/>
    <w:rsid w:val="0079753A"/>
    <w:rsid w:val="007A296C"/>
    <w:rsid w:val="007A6DD9"/>
    <w:rsid w:val="007D489C"/>
    <w:rsid w:val="007D60E0"/>
    <w:rsid w:val="007D6B8D"/>
    <w:rsid w:val="007E32B9"/>
    <w:rsid w:val="0081284F"/>
    <w:rsid w:val="00814843"/>
    <w:rsid w:val="008170DE"/>
    <w:rsid w:val="00830E32"/>
    <w:rsid w:val="00845A14"/>
    <w:rsid w:val="0085331D"/>
    <w:rsid w:val="00853F0F"/>
    <w:rsid w:val="00873A11"/>
    <w:rsid w:val="00873AF9"/>
    <w:rsid w:val="00881022"/>
    <w:rsid w:val="0088317F"/>
    <w:rsid w:val="008A3FCA"/>
    <w:rsid w:val="008C1B9A"/>
    <w:rsid w:val="008D1C04"/>
    <w:rsid w:val="008E739A"/>
    <w:rsid w:val="008F04A0"/>
    <w:rsid w:val="008F3D2C"/>
    <w:rsid w:val="008F419C"/>
    <w:rsid w:val="008F5850"/>
    <w:rsid w:val="008F64A7"/>
    <w:rsid w:val="0090012B"/>
    <w:rsid w:val="0090351F"/>
    <w:rsid w:val="00904627"/>
    <w:rsid w:val="00964FA8"/>
    <w:rsid w:val="00970BAD"/>
    <w:rsid w:val="009768D1"/>
    <w:rsid w:val="009807FF"/>
    <w:rsid w:val="00981E99"/>
    <w:rsid w:val="009829B7"/>
    <w:rsid w:val="009927C0"/>
    <w:rsid w:val="00996063"/>
    <w:rsid w:val="009961E6"/>
    <w:rsid w:val="009975A9"/>
    <w:rsid w:val="009B6C08"/>
    <w:rsid w:val="009B6C65"/>
    <w:rsid w:val="009B752D"/>
    <w:rsid w:val="009C0017"/>
    <w:rsid w:val="009C15F4"/>
    <w:rsid w:val="009C785C"/>
    <w:rsid w:val="009D62A3"/>
    <w:rsid w:val="009E23AC"/>
    <w:rsid w:val="009E2A1F"/>
    <w:rsid w:val="009E5241"/>
    <w:rsid w:val="009F231F"/>
    <w:rsid w:val="009F5698"/>
    <w:rsid w:val="00A140D9"/>
    <w:rsid w:val="00A37C4B"/>
    <w:rsid w:val="00A47282"/>
    <w:rsid w:val="00A56F63"/>
    <w:rsid w:val="00A64EA9"/>
    <w:rsid w:val="00A66F66"/>
    <w:rsid w:val="00A71AE5"/>
    <w:rsid w:val="00A77F16"/>
    <w:rsid w:val="00A90909"/>
    <w:rsid w:val="00AA0963"/>
    <w:rsid w:val="00AA1E16"/>
    <w:rsid w:val="00AA796A"/>
    <w:rsid w:val="00AC002C"/>
    <w:rsid w:val="00AC0E42"/>
    <w:rsid w:val="00AC2EE0"/>
    <w:rsid w:val="00AC6CDD"/>
    <w:rsid w:val="00AD1A68"/>
    <w:rsid w:val="00AD38D0"/>
    <w:rsid w:val="00AE108C"/>
    <w:rsid w:val="00AE5AE2"/>
    <w:rsid w:val="00AF1A53"/>
    <w:rsid w:val="00AF7AC7"/>
    <w:rsid w:val="00B05ADC"/>
    <w:rsid w:val="00B13178"/>
    <w:rsid w:val="00B272BE"/>
    <w:rsid w:val="00B36AFF"/>
    <w:rsid w:val="00B5784C"/>
    <w:rsid w:val="00B9542C"/>
    <w:rsid w:val="00B95560"/>
    <w:rsid w:val="00BA7FAB"/>
    <w:rsid w:val="00BB6B6E"/>
    <w:rsid w:val="00BC2F4C"/>
    <w:rsid w:val="00BC4A05"/>
    <w:rsid w:val="00BC567D"/>
    <w:rsid w:val="00BE15C1"/>
    <w:rsid w:val="00BF0B15"/>
    <w:rsid w:val="00C12CBB"/>
    <w:rsid w:val="00C25A2D"/>
    <w:rsid w:val="00C260F8"/>
    <w:rsid w:val="00C3050C"/>
    <w:rsid w:val="00C32889"/>
    <w:rsid w:val="00C43FBE"/>
    <w:rsid w:val="00C449C6"/>
    <w:rsid w:val="00C564B0"/>
    <w:rsid w:val="00C61F0B"/>
    <w:rsid w:val="00C6283F"/>
    <w:rsid w:val="00C71487"/>
    <w:rsid w:val="00C814A5"/>
    <w:rsid w:val="00C84B2B"/>
    <w:rsid w:val="00C855F6"/>
    <w:rsid w:val="00C96573"/>
    <w:rsid w:val="00CA4791"/>
    <w:rsid w:val="00CC5855"/>
    <w:rsid w:val="00CD0BB8"/>
    <w:rsid w:val="00CD3849"/>
    <w:rsid w:val="00CF4D77"/>
    <w:rsid w:val="00CF7384"/>
    <w:rsid w:val="00D0526B"/>
    <w:rsid w:val="00D2343D"/>
    <w:rsid w:val="00D30EAE"/>
    <w:rsid w:val="00D318F1"/>
    <w:rsid w:val="00D40B0E"/>
    <w:rsid w:val="00D44FE0"/>
    <w:rsid w:val="00D4694F"/>
    <w:rsid w:val="00D5423E"/>
    <w:rsid w:val="00D66413"/>
    <w:rsid w:val="00DA66B7"/>
    <w:rsid w:val="00DB0865"/>
    <w:rsid w:val="00DB0C91"/>
    <w:rsid w:val="00DB7206"/>
    <w:rsid w:val="00DC5C1E"/>
    <w:rsid w:val="00DE5433"/>
    <w:rsid w:val="00DE68A7"/>
    <w:rsid w:val="00DF2A65"/>
    <w:rsid w:val="00DF2AE6"/>
    <w:rsid w:val="00DF5A43"/>
    <w:rsid w:val="00DF5F38"/>
    <w:rsid w:val="00DF6AA9"/>
    <w:rsid w:val="00E21491"/>
    <w:rsid w:val="00E23336"/>
    <w:rsid w:val="00E31661"/>
    <w:rsid w:val="00E32B52"/>
    <w:rsid w:val="00E35D91"/>
    <w:rsid w:val="00E3652F"/>
    <w:rsid w:val="00E4158D"/>
    <w:rsid w:val="00E47EB8"/>
    <w:rsid w:val="00E52F1E"/>
    <w:rsid w:val="00E704FD"/>
    <w:rsid w:val="00E750E1"/>
    <w:rsid w:val="00E7795A"/>
    <w:rsid w:val="00E829A3"/>
    <w:rsid w:val="00E9114A"/>
    <w:rsid w:val="00EA0D5B"/>
    <w:rsid w:val="00EA3948"/>
    <w:rsid w:val="00EA489C"/>
    <w:rsid w:val="00EA7B59"/>
    <w:rsid w:val="00EB0CA7"/>
    <w:rsid w:val="00EB4992"/>
    <w:rsid w:val="00EC1442"/>
    <w:rsid w:val="00EC2051"/>
    <w:rsid w:val="00ED3C2E"/>
    <w:rsid w:val="00EF2E52"/>
    <w:rsid w:val="00EF4F85"/>
    <w:rsid w:val="00F031FB"/>
    <w:rsid w:val="00F32E4A"/>
    <w:rsid w:val="00F36D8C"/>
    <w:rsid w:val="00F4710F"/>
    <w:rsid w:val="00F93545"/>
    <w:rsid w:val="00F96337"/>
    <w:rsid w:val="00F96FBA"/>
    <w:rsid w:val="00FB2B5B"/>
    <w:rsid w:val="00FB4E06"/>
    <w:rsid w:val="00FC3483"/>
    <w:rsid w:val="00FC4D68"/>
    <w:rsid w:val="00FC56D7"/>
    <w:rsid w:val="00FD2ADA"/>
    <w:rsid w:val="00FE5D1E"/>
    <w:rsid w:val="00FF706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SimSun" w:hAnsi="Arial" w:cs="Times New Roman"/>
      <w:b/>
      <w:bCs/>
      <w:sz w:val="26"/>
      <w:szCs w:val="26"/>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3EF3"/>
    <w:pPr>
      <w:outlineLvl w:val="0"/>
    </w:pPr>
    <w:rPr>
      <w:b/>
      <w:bCs/>
      <w:sz w:val="24"/>
      <w:szCs w:val="34"/>
    </w:rPr>
  </w:style>
  <w:style w:type="paragraph" w:customStyle="1" w:styleId="HCh">
    <w:name w:val="_ H _Ch"/>
    <w:basedOn w:val="H1"/>
    <w:next w:val="SingleTxt"/>
    <w:qFormat/>
    <w:rsid w:val="00383EF3"/>
    <w:pPr>
      <w:spacing w:line="450" w:lineRule="exact"/>
    </w:pPr>
    <w:rPr>
      <w:spacing w:val="-2"/>
      <w:sz w:val="28"/>
      <w:szCs w:val="38"/>
    </w:r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51324"/>
    <w:pPr>
      <w:keepNext/>
      <w:keepLines/>
      <w:suppressAutoHyphens/>
      <w:outlineLvl w:val="1"/>
    </w:pPr>
    <w:rPr>
      <w:spacing w:val="2"/>
      <w:sz w:val="20"/>
      <w:szCs w:val="30"/>
    </w:rPr>
  </w:style>
  <w:style w:type="paragraph" w:customStyle="1" w:styleId="H4">
    <w:name w:val="_ H_4"/>
    <w:basedOn w:val="Normal"/>
    <w:next w:val="Normal"/>
    <w:qFormat/>
    <w:rsid w:val="00351324"/>
    <w:pPr>
      <w:keepNext/>
      <w:keepLines/>
      <w:suppressAutoHyphens/>
      <w:spacing w:line="360" w:lineRule="exact"/>
      <w:outlineLvl w:val="3"/>
    </w:pPr>
    <w:rPr>
      <w:i/>
      <w:iCs/>
      <w:spacing w:val="3"/>
    </w:rPr>
  </w:style>
  <w:style w:type="paragraph" w:customStyle="1" w:styleId="H56">
    <w:name w:val="_ H_5/6"/>
    <w:basedOn w:val="Normal"/>
    <w:next w:val="Normal"/>
    <w:qFormat/>
    <w:rsid w:val="00351324"/>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rFonts w:cs="Times New Roman"/>
      <w:b/>
      <w:bCs/>
      <w:kern w:val="14"/>
      <w:sz w:val="17"/>
      <w:szCs w:val="25"/>
    </w:rPr>
  </w:style>
  <w:style w:type="character" w:customStyle="1" w:styleId="FooterChar">
    <w:name w:val="Footer Char"/>
    <w:link w:val="Footer"/>
    <w:rsid w:val="007D489C"/>
    <w:rPr>
      <w:rFonts w:cs="Times New Roman"/>
      <w:b/>
      <w:bCs/>
      <w:kern w:val="14"/>
      <w:sz w:val="17"/>
      <w:szCs w:val="25"/>
      <w:lang w:bidi="ar-SA"/>
    </w:rPr>
  </w:style>
  <w:style w:type="paragraph" w:styleId="Header">
    <w:name w:val="header"/>
    <w:link w:val="HeaderChar"/>
    <w:qFormat/>
    <w:rsid w:val="007D489C"/>
    <w:pPr>
      <w:tabs>
        <w:tab w:val="center" w:pos="4320"/>
        <w:tab w:val="right" w:pos="8640"/>
      </w:tabs>
      <w:jc w:val="right"/>
    </w:pPr>
    <w:rPr>
      <w:rFonts w:cs="Times New Roman"/>
      <w:b/>
      <w:bCs/>
      <w:w w:val="105"/>
      <w:kern w:val="14"/>
      <w:sz w:val="17"/>
      <w:szCs w:val="25"/>
    </w:rPr>
  </w:style>
  <w:style w:type="character" w:customStyle="1" w:styleId="HeaderChar">
    <w:name w:val="Header Char"/>
    <w:link w:val="Header"/>
    <w:rsid w:val="007D489C"/>
    <w:rPr>
      <w:rFonts w:cs="Times New Roman"/>
      <w:b/>
      <w:bCs/>
      <w:w w:val="105"/>
      <w:kern w:val="14"/>
      <w:sz w:val="17"/>
      <w:szCs w:val="25"/>
      <w:lang w:bidi="ar-SA"/>
    </w:rPr>
  </w:style>
  <w:style w:type="character" w:customStyle="1" w:styleId="Heading3Char">
    <w:name w:val="Heading 3 Char"/>
    <w:link w:val="Heading3"/>
    <w:rsid w:val="00D4694F"/>
    <w:rPr>
      <w:rFonts w:ascii="Arial" w:eastAsia="SimSun"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rsid w:val="0025236C"/>
    <w:rPr>
      <w:color w:val="0000FF"/>
      <w:u w:val="single"/>
    </w:rPr>
  </w:style>
  <w:style w:type="character" w:styleId="FollowedHyperlink">
    <w:name w:val="FollowedHyperlink"/>
    <w:rsid w:val="0025236C"/>
    <w:rPr>
      <w:color w:val="0000FF"/>
      <w:u w:val="single"/>
    </w:rPr>
  </w:style>
  <w:style w:type="paragraph" w:styleId="CommentText">
    <w:name w:val="annotation text"/>
    <w:basedOn w:val="Normal"/>
    <w:link w:val="CommentTextChar"/>
    <w:rsid w:val="00EC1442"/>
    <w:rPr>
      <w:rFonts w:cs="Times New Roman"/>
      <w:szCs w:val="20"/>
      <w:lang/>
    </w:rPr>
  </w:style>
  <w:style w:type="character" w:customStyle="1" w:styleId="CommentTextChar">
    <w:name w:val="Comment Text Char"/>
    <w:link w:val="CommentText"/>
    <w:rsid w:val="00EC1442"/>
    <w:rPr>
      <w:w w:val="103"/>
      <w:kern w:val="14"/>
    </w:rPr>
  </w:style>
  <w:style w:type="paragraph" w:styleId="CommentSubject">
    <w:name w:val="annotation subject"/>
    <w:basedOn w:val="CommentText"/>
    <w:next w:val="CommentText"/>
    <w:link w:val="CommentSubjectChar"/>
    <w:rsid w:val="00EC1442"/>
    <w:rPr>
      <w:b/>
      <w:bCs/>
    </w:rPr>
  </w:style>
  <w:style w:type="character" w:customStyle="1" w:styleId="CommentSubjectChar">
    <w:name w:val="Comment Subject Char"/>
    <w:link w:val="CommentSubject"/>
    <w:rsid w:val="00EC1442"/>
    <w:rPr>
      <w:b/>
      <w:bCs/>
      <w:w w:val="103"/>
      <w:kern w:val="14"/>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3</Pages>
  <Words>580</Words>
  <Characters>3309</Characters>
  <Application>Microsoft Office Outlook</Application>
  <DocSecurity>4</DocSecurity>
  <Lines>27</Lines>
  <Paragraphs>7</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3882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George Farah</dc:creator>
  <cp:keywords/>
  <dc:description/>
  <cp:lastModifiedBy>ATPU Front Desk 2</cp:lastModifiedBy>
  <cp:revision>8</cp:revision>
  <cp:lastPrinted>2014-12-15T08:27:00Z</cp:lastPrinted>
  <dcterms:created xsi:type="dcterms:W3CDTF">2014-12-15T06:37:00Z</dcterms:created>
  <dcterms:modified xsi:type="dcterms:W3CDTF">2014-12-15T08:28:00Z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1464769</vt:lpwstr>
  </property>
  <property fmtid="{D5CDD505-2E9C-101B-9397-08002B2CF9AE}" pid="3" name="ODSRefJobNo">
    <vt:lpwstr>1463283A</vt:lpwstr>
  </property>
  <property fmtid="{D5CDD505-2E9C-101B-9397-08002B2CF9AE}" pid="4" name="Symbol1">
    <vt:lpwstr>CEDAW/C/PSWG/61/1</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17 November 2014</vt:lpwstr>
  </property>
  <property fmtid="{D5CDD505-2E9C-101B-9397-08002B2CF9AE}" pid="9" name="Original">
    <vt:lpwstr>English</vt:lpwstr>
  </property>
  <property fmtid="{D5CDD505-2E9C-101B-9397-08002B2CF9AE}" pid="10" name="Release Date">
    <vt:lpwstr>151214</vt:lpwstr>
  </property>
  <property fmtid="{D5CDD505-2E9C-101B-9397-08002B2CF9AE}" pid="11" name="Comment">
    <vt:lpwstr/>
  </property>
  <property fmtid="{D5CDD505-2E9C-101B-9397-08002B2CF9AE}" pid="12" name="DraftPages">
    <vt:lpwstr> </vt:lpwstr>
  </property>
  <property fmtid="{D5CDD505-2E9C-101B-9397-08002B2CF9AE}" pid="13" name="Operator">
    <vt:lpwstr>جورج</vt:lpwstr>
  </property>
</Properties>
</file>