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DA880B6" w14:textId="77777777" w:rsidTr="003E7AAF">
        <w:trPr>
          <w:trHeight w:hRule="exact" w:val="851"/>
        </w:trPr>
        <w:tc>
          <w:tcPr>
            <w:tcW w:w="1276" w:type="dxa"/>
            <w:tcBorders>
              <w:bottom w:val="single" w:sz="4" w:space="0" w:color="auto"/>
            </w:tcBorders>
          </w:tcPr>
          <w:p w14:paraId="735A0F9D" w14:textId="77777777" w:rsidR="00392B1D" w:rsidRPr="00DB58B5" w:rsidRDefault="00392B1D" w:rsidP="0034003B"/>
        </w:tc>
        <w:tc>
          <w:tcPr>
            <w:tcW w:w="2268" w:type="dxa"/>
            <w:tcBorders>
              <w:bottom w:val="single" w:sz="4" w:space="0" w:color="auto"/>
            </w:tcBorders>
            <w:vAlign w:val="bottom"/>
          </w:tcPr>
          <w:p w14:paraId="6115F631" w14:textId="77777777" w:rsidR="00392B1D" w:rsidRPr="00DB58B5" w:rsidRDefault="00392B1D" w:rsidP="003E7AA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929D47" w14:textId="77777777" w:rsidR="00392B1D" w:rsidRPr="00DB58B5" w:rsidRDefault="0034003B" w:rsidP="0034003B">
            <w:pPr>
              <w:jc w:val="right"/>
            </w:pPr>
            <w:r w:rsidRPr="0034003B">
              <w:rPr>
                <w:sz w:val="40"/>
              </w:rPr>
              <w:t>CED</w:t>
            </w:r>
            <w:r>
              <w:t>/C/20/2</w:t>
            </w:r>
          </w:p>
        </w:tc>
      </w:tr>
      <w:tr w:rsidR="00392B1D" w:rsidRPr="00DB58B5" w14:paraId="45CC443F" w14:textId="77777777" w:rsidTr="003E7AAF">
        <w:trPr>
          <w:trHeight w:hRule="exact" w:val="2835"/>
        </w:trPr>
        <w:tc>
          <w:tcPr>
            <w:tcW w:w="1276" w:type="dxa"/>
            <w:tcBorders>
              <w:top w:val="single" w:sz="4" w:space="0" w:color="auto"/>
              <w:bottom w:val="single" w:sz="12" w:space="0" w:color="auto"/>
            </w:tcBorders>
          </w:tcPr>
          <w:p w14:paraId="745EB0BD" w14:textId="77777777" w:rsidR="00392B1D" w:rsidRPr="00DB58B5" w:rsidRDefault="00392B1D" w:rsidP="003E7AAF">
            <w:pPr>
              <w:spacing w:before="120"/>
              <w:jc w:val="center"/>
            </w:pPr>
            <w:r>
              <w:rPr>
                <w:noProof/>
                <w:lang w:eastAsia="fr-CH"/>
              </w:rPr>
              <w:drawing>
                <wp:inline distT="0" distB="0" distL="0" distR="0" wp14:anchorId="5C5C9635" wp14:editId="66FB56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AF2EC7" w14:textId="77777777" w:rsidR="00392B1D" w:rsidRPr="00740562" w:rsidRDefault="00392B1D" w:rsidP="003E7AAF">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EA28CB1" w14:textId="77777777" w:rsidR="00392B1D" w:rsidRDefault="008C4AC7" w:rsidP="003E7AAF">
            <w:pPr>
              <w:spacing w:before="240"/>
            </w:pPr>
            <w:r>
              <w:t>Distr. générale</w:t>
            </w:r>
          </w:p>
          <w:p w14:paraId="2CFC3AA5" w14:textId="2B9A1FBC" w:rsidR="0034003B" w:rsidRDefault="0034003B" w:rsidP="0034003B">
            <w:r>
              <w:t>28 mai 2021</w:t>
            </w:r>
          </w:p>
          <w:p w14:paraId="63628556" w14:textId="74B1D1BA" w:rsidR="0034003B" w:rsidRDefault="0034003B" w:rsidP="0034003B">
            <w:r w:rsidRPr="0034003B">
              <w:t>Français</w:t>
            </w:r>
          </w:p>
          <w:p w14:paraId="55A21353" w14:textId="1B0A0FED" w:rsidR="0034003B" w:rsidRPr="00DB58B5" w:rsidRDefault="0034003B" w:rsidP="0034003B">
            <w:r>
              <w:t>Original : anglais</w:t>
            </w:r>
          </w:p>
        </w:tc>
      </w:tr>
    </w:tbl>
    <w:p w14:paraId="486310B5" w14:textId="13FE5027" w:rsidR="008C4AC7" w:rsidRDefault="008C4AC7" w:rsidP="008C4AC7">
      <w:pPr>
        <w:spacing w:before="120"/>
        <w:rPr>
          <w:b/>
          <w:sz w:val="24"/>
          <w:szCs w:val="24"/>
        </w:rPr>
      </w:pPr>
      <w:r w:rsidRPr="0096795A">
        <w:rPr>
          <w:b/>
          <w:sz w:val="24"/>
          <w:szCs w:val="24"/>
        </w:rPr>
        <w:t>Comité des disparitions forcées</w:t>
      </w:r>
    </w:p>
    <w:p w14:paraId="3679F301" w14:textId="27E2AA43" w:rsidR="0034003B" w:rsidRPr="00A242DA" w:rsidRDefault="0034003B" w:rsidP="0034003B">
      <w:pPr>
        <w:pStyle w:val="HChG"/>
      </w:pPr>
      <w:r>
        <w:rPr>
          <w:lang w:val="fr-FR"/>
        </w:rPr>
        <w:tab/>
      </w:r>
      <w:r>
        <w:rPr>
          <w:lang w:val="fr-FR"/>
        </w:rPr>
        <w:tab/>
        <w:t xml:space="preserve">Rapport sur les demandes d’action en urgence reçues </w:t>
      </w:r>
      <w:r>
        <w:rPr>
          <w:lang w:val="fr-FR"/>
        </w:rPr>
        <w:br/>
        <w:t>au titre de l’article 30 de la Convention</w:t>
      </w:r>
      <w:r w:rsidRPr="0034003B">
        <w:rPr>
          <w:rStyle w:val="Appelnotedebasdep"/>
          <w:b w:val="0"/>
          <w:sz w:val="20"/>
          <w:szCs w:val="22"/>
          <w:vertAlign w:val="baseline"/>
        </w:rPr>
        <w:footnoteReference w:customMarkFollows="1" w:id="2"/>
        <w:sym w:font="Symbol" w:char="F02A"/>
      </w:r>
    </w:p>
    <w:p w14:paraId="7F6C47CC" w14:textId="77777777" w:rsidR="0034003B" w:rsidRPr="00A242DA" w:rsidRDefault="0034003B" w:rsidP="0034003B">
      <w:pPr>
        <w:pStyle w:val="H1G"/>
      </w:pPr>
      <w:r>
        <w:rPr>
          <w:lang w:val="fr-FR"/>
        </w:rPr>
        <w:tab/>
        <w:t>A.</w:t>
      </w:r>
      <w:r>
        <w:rPr>
          <w:lang w:val="fr-FR"/>
        </w:rPr>
        <w:tab/>
        <w:t>Introduction</w:t>
      </w:r>
    </w:p>
    <w:p w14:paraId="780B6686" w14:textId="39F22810" w:rsidR="0034003B" w:rsidRPr="00A242DA" w:rsidRDefault="0034003B" w:rsidP="0034003B">
      <w:pPr>
        <w:pStyle w:val="SingleTxtG"/>
      </w:pPr>
      <w:r>
        <w:rPr>
          <w:lang w:val="fr-FR"/>
        </w:rPr>
        <w:t>1.</w:t>
      </w:r>
      <w:r>
        <w:rPr>
          <w:lang w:val="fr-FR"/>
        </w:rPr>
        <w:tab/>
        <w:t>Le Règlement intérieur du Comité dispose en ses articles 57 et 58 que sont portées à l’attention du Comité toutes les demandes d’action en urgence qui sont présentées pour examen par le Comité au titre de l’article 30 de la Convention. Tout membre du Comité qui en fait la demande peut obtenir le texte intégral de toute demande dans la langue originale. Le présent rapport résume les principales questions traitées concernant les demandes d’action en urgence reçues par le Comité et les décisions prises depuis la dix-neuvième session du Comité au titre de l’article 30 de la Convention.</w:t>
      </w:r>
    </w:p>
    <w:p w14:paraId="686927FA" w14:textId="1833C173" w:rsidR="0034003B" w:rsidRPr="00A242DA" w:rsidRDefault="0034003B" w:rsidP="0034003B">
      <w:pPr>
        <w:pStyle w:val="H1G"/>
      </w:pPr>
      <w:r>
        <w:rPr>
          <w:lang w:val="fr-FR"/>
        </w:rPr>
        <w:tab/>
        <w:t>B.</w:t>
      </w:r>
      <w:r>
        <w:rPr>
          <w:lang w:val="fr-FR"/>
        </w:rPr>
        <w:tab/>
        <w:t xml:space="preserve">Demandes d’action en urgence reçues depuis </w:t>
      </w:r>
      <w:r>
        <w:rPr>
          <w:lang w:val="fr-FR"/>
        </w:rPr>
        <w:br/>
        <w:t>la dix-neuvième session du Comité</w:t>
      </w:r>
    </w:p>
    <w:p w14:paraId="252F810E" w14:textId="4AD6D7BA" w:rsidR="0034003B" w:rsidRPr="00A242DA" w:rsidRDefault="0034003B" w:rsidP="0034003B">
      <w:pPr>
        <w:pStyle w:val="SingleTxtG"/>
      </w:pPr>
      <w:r>
        <w:rPr>
          <w:lang w:val="fr-FR"/>
        </w:rPr>
        <w:t>2.</w:t>
      </w:r>
      <w:r>
        <w:rPr>
          <w:lang w:val="fr-FR"/>
        </w:rPr>
        <w:tab/>
        <w:t>Dans le rapport sur les demandes d’action en urgence adopté à sa dix-neuvième session</w:t>
      </w:r>
      <w:r w:rsidRPr="002C4E77">
        <w:rPr>
          <w:rStyle w:val="Appelnotedebasdep"/>
        </w:rPr>
        <w:footnoteReference w:id="3"/>
      </w:r>
      <w:r>
        <w:rPr>
          <w:lang w:val="fr-FR"/>
        </w:rPr>
        <w:t>, le Comité rendait compte des décisions prises au sujet des 969 demandes d’action en urgence enregistrées au 31 août 2020. Entre cette date et le 1</w:t>
      </w:r>
      <w:r w:rsidRPr="00BF3535">
        <w:rPr>
          <w:vertAlign w:val="superscript"/>
          <w:lang w:val="fr-FR"/>
        </w:rPr>
        <w:t>er</w:t>
      </w:r>
      <w:r>
        <w:rPr>
          <w:lang w:val="fr-FR"/>
        </w:rPr>
        <w:t> avril 2021, le Comité a reçu 47</w:t>
      </w:r>
      <w:r w:rsidR="00B10FB9">
        <w:rPr>
          <w:lang w:val="fr-FR"/>
        </w:rPr>
        <w:t> </w:t>
      </w:r>
      <w:r>
        <w:rPr>
          <w:lang w:val="fr-FR"/>
        </w:rPr>
        <w:t>nouvelles demandes d’action en urgence, dont 44 ont été enregistrées. Trois demandes n’ont pas été enregistrées car elles concernaient des cas de disparition présumée dans des États qui n’avaient pas ratifié la Convention : conformément à la pratique établie, ces trois demandes ont été transmises au Groupe de travail sur les disparitions forcées ou involontaires. Deux autres demandes n’ont pas été enregistrées car les personnes concernées avaient été retrouvées. Les 44 nouvelles demandes enregistrées concernaient des disparitions au Burkina Faso, en Colombie, au Honduras, en Iraq, au Maroc, au Mexique, au Paraguay, au Pérou et au Togo.</w:t>
      </w:r>
    </w:p>
    <w:p w14:paraId="2A76CAC2" w14:textId="1BD959E9" w:rsidR="0034003B" w:rsidRPr="00A242DA" w:rsidRDefault="0034003B" w:rsidP="0034003B">
      <w:pPr>
        <w:pStyle w:val="SingleTxtG"/>
      </w:pPr>
      <w:r>
        <w:rPr>
          <w:lang w:val="fr-FR"/>
        </w:rPr>
        <w:t>3.</w:t>
      </w:r>
      <w:r>
        <w:rPr>
          <w:lang w:val="fr-FR"/>
        </w:rPr>
        <w:tab/>
        <w:t>Au 1</w:t>
      </w:r>
      <w:r w:rsidRPr="00BF3535">
        <w:rPr>
          <w:vertAlign w:val="superscript"/>
          <w:lang w:val="fr-FR"/>
        </w:rPr>
        <w:t>er</w:t>
      </w:r>
      <w:r>
        <w:rPr>
          <w:lang w:val="fr-FR"/>
        </w:rPr>
        <w:t> avril 2021, le Comité avait enregistré 1 0</w:t>
      </w:r>
      <w:r w:rsidR="005D7CC6">
        <w:rPr>
          <w:lang w:val="fr-FR"/>
        </w:rPr>
        <w:t>13</w:t>
      </w:r>
      <w:r>
        <w:rPr>
          <w:lang w:val="fr-FR"/>
        </w:rPr>
        <w:t> demandes d’action en urgence, comme indiqué dans le tableau ci-après.</w:t>
      </w:r>
    </w:p>
    <w:p w14:paraId="2A4D31B2" w14:textId="1B2878E1" w:rsidR="0034003B" w:rsidRPr="00A242DA" w:rsidRDefault="0034003B" w:rsidP="005D7CC6">
      <w:pPr>
        <w:pStyle w:val="H23G"/>
        <w:ind w:right="0"/>
      </w:pPr>
      <w:r>
        <w:rPr>
          <w:lang w:val="fr-FR"/>
        </w:rPr>
        <w:lastRenderedPageBreak/>
        <w:tab/>
      </w:r>
      <w:r>
        <w:rPr>
          <w:lang w:val="fr-FR"/>
        </w:rPr>
        <w:tab/>
        <w:t>Demandes d’action en urgence enregistrées au 1</w:t>
      </w:r>
      <w:r w:rsidRPr="00BF3535">
        <w:rPr>
          <w:vertAlign w:val="superscript"/>
          <w:lang w:val="fr-FR"/>
        </w:rPr>
        <w:t>er</w:t>
      </w:r>
      <w:r>
        <w:rPr>
          <w:lang w:val="fr-FR"/>
        </w:rPr>
        <w:t xml:space="preserve"> avril 2021, par année et par État partie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8"/>
        <w:gridCol w:w="325"/>
        <w:gridCol w:w="323"/>
        <w:gridCol w:w="324"/>
        <w:gridCol w:w="323"/>
        <w:gridCol w:w="324"/>
        <w:gridCol w:w="323"/>
        <w:gridCol w:w="453"/>
        <w:gridCol w:w="356"/>
        <w:gridCol w:w="429"/>
        <w:gridCol w:w="567"/>
        <w:gridCol w:w="283"/>
        <w:gridCol w:w="305"/>
        <w:gridCol w:w="357"/>
        <w:gridCol w:w="324"/>
        <w:gridCol w:w="483"/>
        <w:gridCol w:w="325"/>
        <w:gridCol w:w="332"/>
        <w:gridCol w:w="426"/>
        <w:gridCol w:w="425"/>
        <w:gridCol w:w="283"/>
        <w:gridCol w:w="284"/>
        <w:gridCol w:w="425"/>
        <w:gridCol w:w="425"/>
        <w:gridCol w:w="567"/>
      </w:tblGrid>
      <w:tr w:rsidR="0034003B" w:rsidRPr="007B2214" w14:paraId="4F5D69CC" w14:textId="77777777" w:rsidTr="0034003B">
        <w:trPr>
          <w:cantSplit/>
          <w:trHeight w:val="2174"/>
          <w:tblHeader/>
        </w:trPr>
        <w:tc>
          <w:tcPr>
            <w:tcW w:w="648" w:type="dxa"/>
            <w:tcBorders>
              <w:top w:val="single" w:sz="4" w:space="0" w:color="auto"/>
              <w:bottom w:val="single" w:sz="12" w:space="0" w:color="auto"/>
            </w:tcBorders>
            <w:shd w:val="clear" w:color="auto" w:fill="auto"/>
            <w:vAlign w:val="bottom"/>
          </w:tcPr>
          <w:p w14:paraId="6E783C7F" w14:textId="77777777" w:rsidR="0034003B" w:rsidRPr="002B63C4" w:rsidRDefault="0034003B" w:rsidP="0034003B">
            <w:pPr>
              <w:spacing w:before="80" w:after="80" w:line="200" w:lineRule="exact"/>
              <w:rPr>
                <w:i/>
                <w:sz w:val="16"/>
                <w:szCs w:val="16"/>
              </w:rPr>
            </w:pPr>
            <w:r w:rsidRPr="002B63C4">
              <w:rPr>
                <w:i/>
                <w:iCs/>
                <w:sz w:val="16"/>
                <w:szCs w:val="16"/>
                <w:lang w:val="fr-FR"/>
              </w:rPr>
              <w:t>Année</w:t>
            </w:r>
          </w:p>
        </w:tc>
        <w:tc>
          <w:tcPr>
            <w:tcW w:w="325" w:type="dxa"/>
            <w:tcBorders>
              <w:top w:val="single" w:sz="4" w:space="0" w:color="auto"/>
              <w:bottom w:val="single" w:sz="12" w:space="0" w:color="auto"/>
            </w:tcBorders>
            <w:shd w:val="clear" w:color="auto" w:fill="auto"/>
            <w:textDirection w:val="btLr"/>
            <w:vAlign w:val="bottom"/>
          </w:tcPr>
          <w:p w14:paraId="15B5D53E" w14:textId="77777777" w:rsidR="0034003B" w:rsidRPr="002B63C4" w:rsidRDefault="0034003B" w:rsidP="0034003B">
            <w:pPr>
              <w:spacing w:before="80" w:after="80" w:line="200" w:lineRule="exact"/>
              <w:rPr>
                <w:i/>
                <w:sz w:val="16"/>
                <w:szCs w:val="16"/>
              </w:rPr>
            </w:pPr>
            <w:r w:rsidRPr="002B63C4">
              <w:rPr>
                <w:i/>
                <w:iCs/>
                <w:sz w:val="16"/>
                <w:szCs w:val="16"/>
                <w:lang w:val="fr-FR"/>
              </w:rPr>
              <w:t>Argentine</w:t>
            </w:r>
          </w:p>
        </w:tc>
        <w:tc>
          <w:tcPr>
            <w:tcW w:w="323" w:type="dxa"/>
            <w:tcBorders>
              <w:top w:val="single" w:sz="4" w:space="0" w:color="auto"/>
              <w:bottom w:val="single" w:sz="12" w:space="0" w:color="auto"/>
            </w:tcBorders>
            <w:shd w:val="clear" w:color="auto" w:fill="auto"/>
            <w:textDirection w:val="btLr"/>
            <w:vAlign w:val="bottom"/>
          </w:tcPr>
          <w:p w14:paraId="7BC25DCC" w14:textId="77777777" w:rsidR="0034003B" w:rsidRPr="002B63C4" w:rsidRDefault="0034003B" w:rsidP="0034003B">
            <w:pPr>
              <w:spacing w:before="80" w:after="80" w:line="200" w:lineRule="exact"/>
              <w:rPr>
                <w:i/>
                <w:sz w:val="16"/>
                <w:szCs w:val="16"/>
              </w:rPr>
            </w:pPr>
            <w:r w:rsidRPr="002B63C4">
              <w:rPr>
                <w:i/>
                <w:iCs/>
                <w:sz w:val="16"/>
                <w:szCs w:val="16"/>
                <w:lang w:val="fr-FR"/>
              </w:rPr>
              <w:t>Arménie</w:t>
            </w:r>
          </w:p>
        </w:tc>
        <w:tc>
          <w:tcPr>
            <w:tcW w:w="324" w:type="dxa"/>
            <w:tcBorders>
              <w:top w:val="single" w:sz="4" w:space="0" w:color="auto"/>
              <w:bottom w:val="single" w:sz="12" w:space="0" w:color="auto"/>
            </w:tcBorders>
            <w:shd w:val="clear" w:color="auto" w:fill="auto"/>
            <w:textDirection w:val="btLr"/>
            <w:vAlign w:val="bottom"/>
          </w:tcPr>
          <w:p w14:paraId="6A9556BD" w14:textId="77777777" w:rsidR="0034003B" w:rsidRPr="002B63C4" w:rsidRDefault="0034003B" w:rsidP="0034003B">
            <w:pPr>
              <w:spacing w:before="80" w:after="80" w:line="200" w:lineRule="exact"/>
              <w:rPr>
                <w:i/>
                <w:sz w:val="16"/>
                <w:szCs w:val="16"/>
              </w:rPr>
            </w:pPr>
            <w:r w:rsidRPr="002B63C4">
              <w:rPr>
                <w:i/>
                <w:iCs/>
                <w:sz w:val="16"/>
                <w:szCs w:val="16"/>
                <w:lang w:val="fr-FR"/>
              </w:rPr>
              <w:t>Bolivie (</w:t>
            </w:r>
            <w:r w:rsidRPr="002B63C4">
              <w:rPr>
                <w:i/>
                <w:iCs/>
                <w:sz w:val="16"/>
                <w:lang w:val="es-ES" w:eastAsia="es-ES"/>
              </w:rPr>
              <w:t>État</w:t>
            </w:r>
            <w:r w:rsidRPr="002B63C4">
              <w:rPr>
                <w:i/>
                <w:iCs/>
                <w:sz w:val="16"/>
                <w:szCs w:val="16"/>
                <w:lang w:val="fr-FR"/>
              </w:rPr>
              <w:t xml:space="preserve"> plurinational de)</w:t>
            </w:r>
          </w:p>
        </w:tc>
        <w:tc>
          <w:tcPr>
            <w:tcW w:w="323" w:type="dxa"/>
            <w:tcBorders>
              <w:top w:val="single" w:sz="4" w:space="0" w:color="auto"/>
              <w:bottom w:val="single" w:sz="12" w:space="0" w:color="auto"/>
            </w:tcBorders>
            <w:shd w:val="clear" w:color="auto" w:fill="auto"/>
            <w:textDirection w:val="btLr"/>
            <w:vAlign w:val="bottom"/>
          </w:tcPr>
          <w:p w14:paraId="7E2D85C5" w14:textId="77777777" w:rsidR="0034003B" w:rsidRPr="002B63C4" w:rsidRDefault="0034003B" w:rsidP="0034003B">
            <w:pPr>
              <w:spacing w:before="80" w:after="80" w:line="200" w:lineRule="exact"/>
              <w:rPr>
                <w:i/>
                <w:sz w:val="16"/>
                <w:szCs w:val="16"/>
              </w:rPr>
            </w:pPr>
            <w:r w:rsidRPr="002B63C4">
              <w:rPr>
                <w:i/>
                <w:iCs/>
                <w:sz w:val="16"/>
                <w:szCs w:val="16"/>
                <w:lang w:val="fr-FR"/>
              </w:rPr>
              <w:t>Brésil</w:t>
            </w:r>
          </w:p>
        </w:tc>
        <w:tc>
          <w:tcPr>
            <w:tcW w:w="324" w:type="dxa"/>
            <w:tcBorders>
              <w:top w:val="single" w:sz="4" w:space="0" w:color="auto"/>
              <w:bottom w:val="single" w:sz="12" w:space="0" w:color="auto"/>
            </w:tcBorders>
            <w:shd w:val="clear" w:color="auto" w:fill="auto"/>
            <w:textDirection w:val="btLr"/>
            <w:vAlign w:val="bottom"/>
          </w:tcPr>
          <w:p w14:paraId="3371D319" w14:textId="77777777" w:rsidR="0034003B" w:rsidRPr="002B63C4" w:rsidRDefault="0034003B" w:rsidP="0034003B">
            <w:pPr>
              <w:spacing w:before="80" w:after="80" w:line="200" w:lineRule="exact"/>
              <w:rPr>
                <w:i/>
                <w:sz w:val="16"/>
                <w:szCs w:val="16"/>
              </w:rPr>
            </w:pPr>
            <w:r w:rsidRPr="002B63C4">
              <w:rPr>
                <w:i/>
                <w:iCs/>
                <w:sz w:val="16"/>
                <w:szCs w:val="16"/>
                <w:lang w:val="fr-FR"/>
              </w:rPr>
              <w:t>Burkina Faso</w:t>
            </w:r>
          </w:p>
        </w:tc>
        <w:tc>
          <w:tcPr>
            <w:tcW w:w="323" w:type="dxa"/>
            <w:tcBorders>
              <w:top w:val="single" w:sz="4" w:space="0" w:color="auto"/>
              <w:bottom w:val="single" w:sz="12" w:space="0" w:color="auto"/>
            </w:tcBorders>
            <w:shd w:val="clear" w:color="auto" w:fill="auto"/>
            <w:textDirection w:val="btLr"/>
            <w:vAlign w:val="bottom"/>
          </w:tcPr>
          <w:p w14:paraId="30BC3BBA" w14:textId="77777777" w:rsidR="0034003B" w:rsidRPr="002B63C4" w:rsidRDefault="0034003B" w:rsidP="0034003B">
            <w:pPr>
              <w:spacing w:before="80" w:after="80" w:line="200" w:lineRule="exact"/>
              <w:rPr>
                <w:i/>
                <w:sz w:val="16"/>
                <w:szCs w:val="16"/>
              </w:rPr>
            </w:pPr>
            <w:r w:rsidRPr="002B63C4">
              <w:rPr>
                <w:i/>
                <w:iCs/>
                <w:sz w:val="16"/>
                <w:szCs w:val="16"/>
                <w:lang w:val="fr-FR"/>
              </w:rPr>
              <w:t>Cambodge</w:t>
            </w:r>
          </w:p>
        </w:tc>
        <w:tc>
          <w:tcPr>
            <w:tcW w:w="453" w:type="dxa"/>
            <w:tcBorders>
              <w:top w:val="single" w:sz="4" w:space="0" w:color="auto"/>
              <w:bottom w:val="single" w:sz="12" w:space="0" w:color="auto"/>
            </w:tcBorders>
            <w:shd w:val="clear" w:color="auto" w:fill="auto"/>
            <w:textDirection w:val="btLr"/>
            <w:vAlign w:val="bottom"/>
          </w:tcPr>
          <w:p w14:paraId="404C19A6" w14:textId="77777777" w:rsidR="0034003B" w:rsidRPr="002B63C4" w:rsidRDefault="0034003B" w:rsidP="0034003B">
            <w:pPr>
              <w:spacing w:before="80" w:after="80" w:line="200" w:lineRule="exact"/>
              <w:rPr>
                <w:i/>
                <w:sz w:val="16"/>
                <w:szCs w:val="16"/>
              </w:rPr>
            </w:pPr>
            <w:r w:rsidRPr="002B63C4">
              <w:rPr>
                <w:i/>
                <w:iCs/>
                <w:sz w:val="16"/>
                <w:szCs w:val="16"/>
                <w:lang w:val="fr-FR"/>
              </w:rPr>
              <w:t>Colombie</w:t>
            </w:r>
          </w:p>
        </w:tc>
        <w:tc>
          <w:tcPr>
            <w:tcW w:w="356" w:type="dxa"/>
            <w:tcBorders>
              <w:top w:val="single" w:sz="4" w:space="0" w:color="auto"/>
              <w:bottom w:val="single" w:sz="12" w:space="0" w:color="auto"/>
            </w:tcBorders>
            <w:shd w:val="clear" w:color="auto" w:fill="auto"/>
            <w:textDirection w:val="btLr"/>
            <w:vAlign w:val="bottom"/>
          </w:tcPr>
          <w:p w14:paraId="4280CF4B" w14:textId="77777777" w:rsidR="0034003B" w:rsidRPr="002B63C4" w:rsidRDefault="0034003B" w:rsidP="0034003B">
            <w:pPr>
              <w:spacing w:before="80" w:after="80" w:line="200" w:lineRule="exact"/>
              <w:rPr>
                <w:i/>
                <w:sz w:val="16"/>
                <w:szCs w:val="16"/>
              </w:rPr>
            </w:pPr>
            <w:r w:rsidRPr="002B63C4">
              <w:rPr>
                <w:i/>
                <w:iCs/>
                <w:sz w:val="16"/>
                <w:szCs w:val="16"/>
                <w:lang w:val="fr-FR"/>
              </w:rPr>
              <w:t>Cuba</w:t>
            </w:r>
          </w:p>
        </w:tc>
        <w:tc>
          <w:tcPr>
            <w:tcW w:w="429" w:type="dxa"/>
            <w:tcBorders>
              <w:top w:val="single" w:sz="4" w:space="0" w:color="auto"/>
              <w:bottom w:val="single" w:sz="12" w:space="0" w:color="auto"/>
            </w:tcBorders>
            <w:shd w:val="clear" w:color="auto" w:fill="auto"/>
            <w:textDirection w:val="btLr"/>
            <w:vAlign w:val="bottom"/>
          </w:tcPr>
          <w:p w14:paraId="629D4FDA" w14:textId="77777777" w:rsidR="0034003B" w:rsidRPr="002B63C4" w:rsidRDefault="0034003B" w:rsidP="0034003B">
            <w:pPr>
              <w:spacing w:before="80" w:after="80" w:line="200" w:lineRule="exact"/>
              <w:rPr>
                <w:i/>
                <w:sz w:val="16"/>
                <w:szCs w:val="16"/>
              </w:rPr>
            </w:pPr>
            <w:r w:rsidRPr="002B63C4">
              <w:rPr>
                <w:i/>
                <w:iCs/>
                <w:sz w:val="16"/>
                <w:szCs w:val="16"/>
                <w:lang w:val="fr-FR"/>
              </w:rPr>
              <w:t>Honduras</w:t>
            </w:r>
          </w:p>
        </w:tc>
        <w:tc>
          <w:tcPr>
            <w:tcW w:w="567" w:type="dxa"/>
            <w:tcBorders>
              <w:top w:val="single" w:sz="4" w:space="0" w:color="auto"/>
              <w:bottom w:val="single" w:sz="12" w:space="0" w:color="auto"/>
            </w:tcBorders>
            <w:shd w:val="clear" w:color="auto" w:fill="auto"/>
            <w:textDirection w:val="btLr"/>
            <w:vAlign w:val="bottom"/>
          </w:tcPr>
          <w:p w14:paraId="480D55B5" w14:textId="77777777" w:rsidR="0034003B" w:rsidRPr="002B63C4" w:rsidRDefault="0034003B" w:rsidP="0034003B">
            <w:pPr>
              <w:spacing w:before="80" w:after="80" w:line="200" w:lineRule="exact"/>
              <w:rPr>
                <w:i/>
                <w:sz w:val="16"/>
                <w:szCs w:val="16"/>
              </w:rPr>
            </w:pPr>
            <w:r w:rsidRPr="002B63C4">
              <w:rPr>
                <w:i/>
                <w:iCs/>
                <w:sz w:val="16"/>
                <w:szCs w:val="16"/>
                <w:lang w:val="fr-FR"/>
              </w:rPr>
              <w:t>Iraq</w:t>
            </w:r>
          </w:p>
        </w:tc>
        <w:tc>
          <w:tcPr>
            <w:tcW w:w="283" w:type="dxa"/>
            <w:tcBorders>
              <w:top w:val="single" w:sz="4" w:space="0" w:color="auto"/>
              <w:bottom w:val="single" w:sz="12" w:space="0" w:color="auto"/>
            </w:tcBorders>
            <w:shd w:val="clear" w:color="auto" w:fill="auto"/>
            <w:textDirection w:val="btLr"/>
            <w:vAlign w:val="bottom"/>
          </w:tcPr>
          <w:p w14:paraId="429DCFBA" w14:textId="77777777" w:rsidR="0034003B" w:rsidRPr="002B63C4" w:rsidRDefault="0034003B" w:rsidP="0034003B">
            <w:pPr>
              <w:spacing w:before="80" w:after="80" w:line="200" w:lineRule="exact"/>
              <w:rPr>
                <w:i/>
                <w:sz w:val="16"/>
                <w:szCs w:val="16"/>
              </w:rPr>
            </w:pPr>
            <w:r w:rsidRPr="002B63C4">
              <w:rPr>
                <w:i/>
                <w:iCs/>
                <w:sz w:val="16"/>
                <w:szCs w:val="16"/>
                <w:lang w:val="fr-FR"/>
              </w:rPr>
              <w:t>Kazakhstan</w:t>
            </w:r>
          </w:p>
        </w:tc>
        <w:tc>
          <w:tcPr>
            <w:tcW w:w="305" w:type="dxa"/>
            <w:tcBorders>
              <w:top w:val="single" w:sz="4" w:space="0" w:color="auto"/>
              <w:bottom w:val="single" w:sz="12" w:space="0" w:color="auto"/>
            </w:tcBorders>
            <w:shd w:val="clear" w:color="auto" w:fill="auto"/>
            <w:textDirection w:val="btLr"/>
            <w:vAlign w:val="bottom"/>
          </w:tcPr>
          <w:p w14:paraId="3B36FDA5" w14:textId="77777777" w:rsidR="0034003B" w:rsidRPr="002B63C4" w:rsidRDefault="0034003B" w:rsidP="0034003B">
            <w:pPr>
              <w:spacing w:before="80" w:after="80" w:line="200" w:lineRule="exact"/>
              <w:rPr>
                <w:i/>
                <w:sz w:val="16"/>
                <w:szCs w:val="16"/>
              </w:rPr>
            </w:pPr>
            <w:r w:rsidRPr="002B63C4">
              <w:rPr>
                <w:i/>
                <w:iCs/>
                <w:sz w:val="16"/>
                <w:szCs w:val="16"/>
                <w:lang w:val="fr-FR"/>
              </w:rPr>
              <w:t>Lituanie</w:t>
            </w:r>
          </w:p>
        </w:tc>
        <w:tc>
          <w:tcPr>
            <w:tcW w:w="357" w:type="dxa"/>
            <w:tcBorders>
              <w:top w:val="single" w:sz="4" w:space="0" w:color="auto"/>
              <w:bottom w:val="single" w:sz="12" w:space="0" w:color="auto"/>
            </w:tcBorders>
            <w:shd w:val="clear" w:color="auto" w:fill="auto"/>
            <w:textDirection w:val="btLr"/>
            <w:vAlign w:val="bottom"/>
          </w:tcPr>
          <w:p w14:paraId="47AD6C12" w14:textId="77777777" w:rsidR="0034003B" w:rsidRPr="002B63C4" w:rsidRDefault="0034003B" w:rsidP="0034003B">
            <w:pPr>
              <w:spacing w:before="80" w:after="80" w:line="200" w:lineRule="exact"/>
              <w:rPr>
                <w:i/>
                <w:sz w:val="16"/>
                <w:szCs w:val="16"/>
              </w:rPr>
            </w:pPr>
            <w:r w:rsidRPr="002B63C4">
              <w:rPr>
                <w:i/>
                <w:iCs/>
                <w:sz w:val="16"/>
                <w:szCs w:val="16"/>
                <w:lang w:val="fr-FR"/>
              </w:rPr>
              <w:t>Mali</w:t>
            </w:r>
          </w:p>
        </w:tc>
        <w:tc>
          <w:tcPr>
            <w:tcW w:w="324" w:type="dxa"/>
            <w:tcBorders>
              <w:top w:val="single" w:sz="4" w:space="0" w:color="auto"/>
              <w:bottom w:val="single" w:sz="12" w:space="0" w:color="auto"/>
            </w:tcBorders>
            <w:shd w:val="clear" w:color="auto" w:fill="auto"/>
            <w:textDirection w:val="btLr"/>
            <w:vAlign w:val="bottom"/>
          </w:tcPr>
          <w:p w14:paraId="6317D32A" w14:textId="77777777" w:rsidR="0034003B" w:rsidRPr="002B63C4" w:rsidRDefault="0034003B" w:rsidP="0034003B">
            <w:pPr>
              <w:spacing w:before="80" w:after="80" w:line="200" w:lineRule="exact"/>
              <w:rPr>
                <w:i/>
                <w:sz w:val="16"/>
                <w:szCs w:val="16"/>
              </w:rPr>
            </w:pPr>
            <w:r w:rsidRPr="002B63C4">
              <w:rPr>
                <w:i/>
                <w:iCs/>
                <w:sz w:val="16"/>
                <w:szCs w:val="16"/>
                <w:lang w:val="fr-FR"/>
              </w:rPr>
              <w:t>Mauritanie</w:t>
            </w:r>
          </w:p>
        </w:tc>
        <w:tc>
          <w:tcPr>
            <w:tcW w:w="483" w:type="dxa"/>
            <w:tcBorders>
              <w:top w:val="single" w:sz="4" w:space="0" w:color="auto"/>
              <w:bottom w:val="single" w:sz="12" w:space="0" w:color="auto"/>
            </w:tcBorders>
            <w:shd w:val="clear" w:color="auto" w:fill="auto"/>
            <w:textDirection w:val="btLr"/>
            <w:vAlign w:val="bottom"/>
          </w:tcPr>
          <w:p w14:paraId="240CF04A" w14:textId="77777777" w:rsidR="0034003B" w:rsidRPr="002B63C4" w:rsidRDefault="0034003B" w:rsidP="0034003B">
            <w:pPr>
              <w:spacing w:before="80" w:after="80" w:line="200" w:lineRule="exact"/>
              <w:rPr>
                <w:i/>
                <w:sz w:val="16"/>
                <w:szCs w:val="16"/>
              </w:rPr>
            </w:pPr>
            <w:r w:rsidRPr="002B63C4">
              <w:rPr>
                <w:i/>
                <w:iCs/>
                <w:sz w:val="16"/>
                <w:szCs w:val="16"/>
                <w:lang w:val="fr-FR"/>
              </w:rPr>
              <w:t>Mexique</w:t>
            </w:r>
          </w:p>
        </w:tc>
        <w:tc>
          <w:tcPr>
            <w:tcW w:w="325" w:type="dxa"/>
            <w:tcBorders>
              <w:top w:val="single" w:sz="4" w:space="0" w:color="auto"/>
              <w:bottom w:val="single" w:sz="12" w:space="0" w:color="auto"/>
            </w:tcBorders>
            <w:shd w:val="clear" w:color="auto" w:fill="auto"/>
            <w:textDirection w:val="btLr"/>
            <w:vAlign w:val="bottom"/>
          </w:tcPr>
          <w:p w14:paraId="1F6B0E4B" w14:textId="77777777" w:rsidR="0034003B" w:rsidRPr="002B63C4" w:rsidRDefault="0034003B" w:rsidP="0034003B">
            <w:pPr>
              <w:spacing w:before="80" w:after="80" w:line="200" w:lineRule="exact"/>
              <w:rPr>
                <w:i/>
                <w:sz w:val="16"/>
                <w:szCs w:val="16"/>
              </w:rPr>
            </w:pPr>
            <w:r w:rsidRPr="002B63C4">
              <w:rPr>
                <w:i/>
                <w:iCs/>
                <w:sz w:val="16"/>
                <w:szCs w:val="16"/>
                <w:lang w:val="fr-FR"/>
              </w:rPr>
              <w:t>Maroc</w:t>
            </w:r>
          </w:p>
        </w:tc>
        <w:tc>
          <w:tcPr>
            <w:tcW w:w="332" w:type="dxa"/>
            <w:tcBorders>
              <w:top w:val="single" w:sz="4" w:space="0" w:color="auto"/>
              <w:bottom w:val="single" w:sz="12" w:space="0" w:color="auto"/>
            </w:tcBorders>
            <w:shd w:val="clear" w:color="auto" w:fill="auto"/>
            <w:textDirection w:val="btLr"/>
            <w:vAlign w:val="bottom"/>
          </w:tcPr>
          <w:p w14:paraId="69100AB1" w14:textId="77777777" w:rsidR="0034003B" w:rsidRPr="002B63C4" w:rsidRDefault="0034003B" w:rsidP="0034003B">
            <w:pPr>
              <w:spacing w:before="80" w:after="80" w:line="200" w:lineRule="exact"/>
              <w:rPr>
                <w:i/>
                <w:sz w:val="16"/>
                <w:szCs w:val="16"/>
              </w:rPr>
            </w:pPr>
            <w:r w:rsidRPr="002B63C4">
              <w:rPr>
                <w:i/>
                <w:iCs/>
                <w:sz w:val="16"/>
                <w:szCs w:val="16"/>
                <w:lang w:val="fr-FR"/>
              </w:rPr>
              <w:t>Niger</w:t>
            </w:r>
          </w:p>
        </w:tc>
        <w:tc>
          <w:tcPr>
            <w:tcW w:w="426" w:type="dxa"/>
            <w:tcBorders>
              <w:top w:val="single" w:sz="4" w:space="0" w:color="auto"/>
              <w:bottom w:val="single" w:sz="12" w:space="0" w:color="auto"/>
            </w:tcBorders>
            <w:shd w:val="clear" w:color="auto" w:fill="auto"/>
            <w:textDirection w:val="btLr"/>
            <w:vAlign w:val="bottom"/>
          </w:tcPr>
          <w:p w14:paraId="27771207" w14:textId="77777777" w:rsidR="0034003B" w:rsidRPr="002B63C4" w:rsidRDefault="0034003B" w:rsidP="0034003B">
            <w:pPr>
              <w:spacing w:before="80" w:after="80" w:line="200" w:lineRule="exact"/>
              <w:rPr>
                <w:i/>
                <w:sz w:val="16"/>
                <w:szCs w:val="16"/>
              </w:rPr>
            </w:pPr>
            <w:r w:rsidRPr="002B63C4">
              <w:rPr>
                <w:i/>
                <w:iCs/>
                <w:sz w:val="16"/>
                <w:szCs w:val="16"/>
                <w:lang w:val="fr-FR"/>
              </w:rPr>
              <w:t>Paraguay</w:t>
            </w:r>
          </w:p>
        </w:tc>
        <w:tc>
          <w:tcPr>
            <w:tcW w:w="425" w:type="dxa"/>
            <w:tcBorders>
              <w:top w:val="single" w:sz="4" w:space="0" w:color="auto"/>
              <w:bottom w:val="single" w:sz="12" w:space="0" w:color="auto"/>
            </w:tcBorders>
            <w:shd w:val="clear" w:color="auto" w:fill="auto"/>
            <w:textDirection w:val="btLr"/>
            <w:vAlign w:val="bottom"/>
          </w:tcPr>
          <w:p w14:paraId="1DFB5556" w14:textId="77777777" w:rsidR="0034003B" w:rsidRPr="002B63C4" w:rsidRDefault="0034003B" w:rsidP="0034003B">
            <w:pPr>
              <w:spacing w:before="80" w:after="80" w:line="200" w:lineRule="exact"/>
              <w:rPr>
                <w:i/>
                <w:sz w:val="16"/>
                <w:szCs w:val="16"/>
              </w:rPr>
            </w:pPr>
            <w:r w:rsidRPr="002B63C4">
              <w:rPr>
                <w:i/>
                <w:iCs/>
                <w:sz w:val="16"/>
                <w:szCs w:val="16"/>
                <w:lang w:val="fr-FR"/>
              </w:rPr>
              <w:t>Pérou</w:t>
            </w:r>
          </w:p>
        </w:tc>
        <w:tc>
          <w:tcPr>
            <w:tcW w:w="283" w:type="dxa"/>
            <w:tcBorders>
              <w:top w:val="single" w:sz="4" w:space="0" w:color="auto"/>
              <w:bottom w:val="single" w:sz="12" w:space="0" w:color="auto"/>
            </w:tcBorders>
            <w:shd w:val="clear" w:color="auto" w:fill="auto"/>
            <w:textDirection w:val="btLr"/>
            <w:vAlign w:val="bottom"/>
          </w:tcPr>
          <w:p w14:paraId="4E057FF6" w14:textId="77777777" w:rsidR="0034003B" w:rsidRPr="002B63C4" w:rsidRDefault="0034003B" w:rsidP="0034003B">
            <w:pPr>
              <w:spacing w:before="80" w:after="80" w:line="200" w:lineRule="exact"/>
              <w:rPr>
                <w:i/>
                <w:sz w:val="16"/>
                <w:szCs w:val="16"/>
              </w:rPr>
            </w:pPr>
            <w:r w:rsidRPr="002B63C4">
              <w:rPr>
                <w:i/>
                <w:iCs/>
                <w:sz w:val="16"/>
                <w:szCs w:val="16"/>
                <w:lang w:val="fr-FR"/>
              </w:rPr>
              <w:t>Sri Lanka</w:t>
            </w:r>
          </w:p>
        </w:tc>
        <w:tc>
          <w:tcPr>
            <w:tcW w:w="284" w:type="dxa"/>
            <w:tcBorders>
              <w:top w:val="single" w:sz="4" w:space="0" w:color="auto"/>
              <w:bottom w:val="single" w:sz="12" w:space="0" w:color="auto"/>
            </w:tcBorders>
            <w:shd w:val="clear" w:color="auto" w:fill="auto"/>
            <w:textDirection w:val="btLr"/>
            <w:vAlign w:val="bottom"/>
          </w:tcPr>
          <w:p w14:paraId="440AD14A" w14:textId="77777777" w:rsidR="0034003B" w:rsidRPr="002B63C4" w:rsidRDefault="0034003B" w:rsidP="0034003B">
            <w:pPr>
              <w:spacing w:before="80" w:after="80" w:line="200" w:lineRule="exact"/>
              <w:rPr>
                <w:i/>
                <w:sz w:val="16"/>
                <w:szCs w:val="16"/>
              </w:rPr>
            </w:pPr>
            <w:r w:rsidRPr="002B63C4">
              <w:rPr>
                <w:i/>
                <w:iCs/>
                <w:sz w:val="16"/>
                <w:szCs w:val="16"/>
                <w:lang w:val="fr-FR"/>
              </w:rPr>
              <w:t>Slovaquie</w:t>
            </w:r>
          </w:p>
        </w:tc>
        <w:tc>
          <w:tcPr>
            <w:tcW w:w="425" w:type="dxa"/>
            <w:tcBorders>
              <w:top w:val="single" w:sz="4" w:space="0" w:color="auto"/>
              <w:bottom w:val="single" w:sz="12" w:space="0" w:color="auto"/>
            </w:tcBorders>
            <w:shd w:val="clear" w:color="auto" w:fill="auto"/>
            <w:textDirection w:val="btLr"/>
            <w:vAlign w:val="bottom"/>
          </w:tcPr>
          <w:p w14:paraId="6E0BE450" w14:textId="77777777" w:rsidR="0034003B" w:rsidRPr="002B63C4" w:rsidRDefault="0034003B" w:rsidP="0034003B">
            <w:pPr>
              <w:spacing w:before="80" w:after="80" w:line="200" w:lineRule="exact"/>
              <w:rPr>
                <w:i/>
                <w:sz w:val="16"/>
                <w:szCs w:val="16"/>
              </w:rPr>
            </w:pPr>
            <w:r w:rsidRPr="002B63C4">
              <w:rPr>
                <w:i/>
                <w:iCs/>
                <w:sz w:val="16"/>
                <w:szCs w:val="16"/>
                <w:lang w:val="fr-FR"/>
              </w:rPr>
              <w:t>Togo</w:t>
            </w:r>
          </w:p>
        </w:tc>
        <w:tc>
          <w:tcPr>
            <w:tcW w:w="425" w:type="dxa"/>
            <w:tcBorders>
              <w:top w:val="single" w:sz="4" w:space="0" w:color="auto"/>
              <w:bottom w:val="single" w:sz="12" w:space="0" w:color="auto"/>
            </w:tcBorders>
            <w:shd w:val="clear" w:color="auto" w:fill="auto"/>
            <w:textDirection w:val="btLr"/>
            <w:vAlign w:val="bottom"/>
          </w:tcPr>
          <w:p w14:paraId="5942C87F" w14:textId="77777777" w:rsidR="0034003B" w:rsidRPr="002B63C4" w:rsidRDefault="0034003B" w:rsidP="0034003B">
            <w:pPr>
              <w:spacing w:before="80" w:after="80" w:line="200" w:lineRule="exact"/>
              <w:rPr>
                <w:i/>
                <w:sz w:val="16"/>
                <w:szCs w:val="16"/>
              </w:rPr>
            </w:pPr>
            <w:r w:rsidRPr="002B63C4">
              <w:rPr>
                <w:i/>
                <w:iCs/>
                <w:sz w:val="16"/>
                <w:szCs w:val="16"/>
                <w:lang w:val="fr-FR"/>
              </w:rPr>
              <w:t>Tunisie</w:t>
            </w:r>
          </w:p>
        </w:tc>
        <w:tc>
          <w:tcPr>
            <w:tcW w:w="567" w:type="dxa"/>
            <w:tcBorders>
              <w:top w:val="single" w:sz="4" w:space="0" w:color="auto"/>
              <w:bottom w:val="single" w:sz="12" w:space="0" w:color="auto"/>
            </w:tcBorders>
            <w:shd w:val="clear" w:color="auto" w:fill="auto"/>
            <w:tcMar>
              <w:right w:w="28" w:type="dxa"/>
            </w:tcMar>
            <w:vAlign w:val="bottom"/>
          </w:tcPr>
          <w:p w14:paraId="72129EA7" w14:textId="77777777" w:rsidR="0034003B" w:rsidRPr="002B63C4" w:rsidRDefault="0034003B" w:rsidP="0034003B">
            <w:pPr>
              <w:spacing w:before="80" w:after="80" w:line="200" w:lineRule="exact"/>
              <w:jc w:val="right"/>
              <w:rPr>
                <w:i/>
                <w:sz w:val="16"/>
                <w:szCs w:val="16"/>
              </w:rPr>
            </w:pPr>
            <w:r w:rsidRPr="002B63C4">
              <w:rPr>
                <w:i/>
                <w:iCs/>
                <w:sz w:val="16"/>
                <w:szCs w:val="16"/>
                <w:lang w:val="fr-FR"/>
              </w:rPr>
              <w:t>Total</w:t>
            </w:r>
          </w:p>
        </w:tc>
      </w:tr>
      <w:tr w:rsidR="0034003B" w:rsidRPr="0034003B" w14:paraId="30054FD7" w14:textId="77777777" w:rsidTr="0034003B">
        <w:tc>
          <w:tcPr>
            <w:tcW w:w="648" w:type="dxa"/>
            <w:tcBorders>
              <w:top w:val="single" w:sz="12" w:space="0" w:color="auto"/>
            </w:tcBorders>
            <w:shd w:val="clear" w:color="auto" w:fill="auto"/>
          </w:tcPr>
          <w:p w14:paraId="4DB09E23" w14:textId="77777777" w:rsidR="0034003B" w:rsidRPr="0034003B" w:rsidRDefault="0034003B" w:rsidP="0034003B">
            <w:pPr>
              <w:spacing w:before="40" w:after="40" w:line="220" w:lineRule="atLeast"/>
              <w:rPr>
                <w:sz w:val="18"/>
                <w:szCs w:val="18"/>
              </w:rPr>
            </w:pPr>
            <w:r w:rsidRPr="0034003B">
              <w:rPr>
                <w:sz w:val="18"/>
                <w:szCs w:val="18"/>
                <w:lang w:val="fr-FR"/>
              </w:rPr>
              <w:t>2012</w:t>
            </w:r>
          </w:p>
        </w:tc>
        <w:tc>
          <w:tcPr>
            <w:tcW w:w="325" w:type="dxa"/>
            <w:tcBorders>
              <w:top w:val="single" w:sz="12" w:space="0" w:color="auto"/>
            </w:tcBorders>
            <w:shd w:val="clear" w:color="auto" w:fill="auto"/>
            <w:tcMar>
              <w:right w:w="28" w:type="dxa"/>
            </w:tcMar>
            <w:vAlign w:val="bottom"/>
          </w:tcPr>
          <w:p w14:paraId="0BAF7531"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23" w:type="dxa"/>
            <w:tcBorders>
              <w:top w:val="single" w:sz="12" w:space="0" w:color="auto"/>
            </w:tcBorders>
            <w:shd w:val="clear" w:color="auto" w:fill="auto"/>
            <w:tcMar>
              <w:right w:w="28" w:type="dxa"/>
            </w:tcMar>
            <w:vAlign w:val="bottom"/>
          </w:tcPr>
          <w:p w14:paraId="652F8F6C"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24" w:type="dxa"/>
            <w:tcBorders>
              <w:top w:val="single" w:sz="12" w:space="0" w:color="auto"/>
            </w:tcBorders>
            <w:shd w:val="clear" w:color="auto" w:fill="auto"/>
            <w:vAlign w:val="bottom"/>
          </w:tcPr>
          <w:p w14:paraId="6C9E0C08"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23" w:type="dxa"/>
            <w:tcBorders>
              <w:top w:val="single" w:sz="12" w:space="0" w:color="auto"/>
            </w:tcBorders>
            <w:shd w:val="clear" w:color="auto" w:fill="auto"/>
            <w:tcMar>
              <w:right w:w="28" w:type="dxa"/>
            </w:tcMar>
            <w:vAlign w:val="bottom"/>
          </w:tcPr>
          <w:p w14:paraId="06407B08"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24" w:type="dxa"/>
            <w:tcBorders>
              <w:top w:val="single" w:sz="12" w:space="0" w:color="auto"/>
            </w:tcBorders>
            <w:shd w:val="clear" w:color="auto" w:fill="auto"/>
            <w:vAlign w:val="bottom"/>
          </w:tcPr>
          <w:p w14:paraId="72BC9993"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23" w:type="dxa"/>
            <w:tcBorders>
              <w:top w:val="single" w:sz="12" w:space="0" w:color="auto"/>
            </w:tcBorders>
            <w:shd w:val="clear" w:color="auto" w:fill="auto"/>
            <w:tcMar>
              <w:right w:w="28" w:type="dxa"/>
            </w:tcMar>
            <w:vAlign w:val="bottom"/>
          </w:tcPr>
          <w:p w14:paraId="485C9B08"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453" w:type="dxa"/>
            <w:tcBorders>
              <w:top w:val="single" w:sz="12" w:space="0" w:color="auto"/>
            </w:tcBorders>
            <w:shd w:val="clear" w:color="auto" w:fill="auto"/>
            <w:tcMar>
              <w:right w:w="28" w:type="dxa"/>
            </w:tcMar>
            <w:vAlign w:val="bottom"/>
          </w:tcPr>
          <w:p w14:paraId="23B45AD9"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56" w:type="dxa"/>
            <w:tcBorders>
              <w:top w:val="single" w:sz="12" w:space="0" w:color="auto"/>
            </w:tcBorders>
            <w:shd w:val="clear" w:color="auto" w:fill="auto"/>
            <w:tcMar>
              <w:right w:w="28" w:type="dxa"/>
            </w:tcMar>
            <w:vAlign w:val="bottom"/>
          </w:tcPr>
          <w:p w14:paraId="590E019C"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429" w:type="dxa"/>
            <w:tcBorders>
              <w:top w:val="single" w:sz="12" w:space="0" w:color="auto"/>
            </w:tcBorders>
            <w:shd w:val="clear" w:color="auto" w:fill="auto"/>
            <w:tcMar>
              <w:right w:w="28" w:type="dxa"/>
            </w:tcMar>
            <w:vAlign w:val="bottom"/>
          </w:tcPr>
          <w:p w14:paraId="0960A228"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567" w:type="dxa"/>
            <w:tcBorders>
              <w:top w:val="single" w:sz="12" w:space="0" w:color="auto"/>
            </w:tcBorders>
            <w:shd w:val="clear" w:color="auto" w:fill="auto"/>
            <w:tcMar>
              <w:right w:w="28" w:type="dxa"/>
            </w:tcMar>
            <w:vAlign w:val="bottom"/>
          </w:tcPr>
          <w:p w14:paraId="5B397BE5"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283" w:type="dxa"/>
            <w:tcBorders>
              <w:top w:val="single" w:sz="12" w:space="0" w:color="auto"/>
            </w:tcBorders>
            <w:shd w:val="clear" w:color="auto" w:fill="auto"/>
            <w:tcMar>
              <w:right w:w="28" w:type="dxa"/>
            </w:tcMar>
            <w:vAlign w:val="bottom"/>
          </w:tcPr>
          <w:p w14:paraId="4752F634"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05" w:type="dxa"/>
            <w:tcBorders>
              <w:top w:val="single" w:sz="12" w:space="0" w:color="auto"/>
            </w:tcBorders>
            <w:shd w:val="clear" w:color="auto" w:fill="auto"/>
            <w:tcMar>
              <w:right w:w="28" w:type="dxa"/>
            </w:tcMar>
            <w:vAlign w:val="bottom"/>
          </w:tcPr>
          <w:p w14:paraId="54BC05F3"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57" w:type="dxa"/>
            <w:tcBorders>
              <w:top w:val="single" w:sz="12" w:space="0" w:color="auto"/>
            </w:tcBorders>
            <w:shd w:val="clear" w:color="auto" w:fill="auto"/>
            <w:vAlign w:val="bottom"/>
          </w:tcPr>
          <w:p w14:paraId="4C3D2C0B"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24" w:type="dxa"/>
            <w:tcBorders>
              <w:top w:val="single" w:sz="12" w:space="0" w:color="auto"/>
            </w:tcBorders>
            <w:shd w:val="clear" w:color="auto" w:fill="auto"/>
            <w:tcMar>
              <w:right w:w="28" w:type="dxa"/>
            </w:tcMar>
            <w:vAlign w:val="bottom"/>
          </w:tcPr>
          <w:p w14:paraId="61CF89FF"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483" w:type="dxa"/>
            <w:tcBorders>
              <w:top w:val="single" w:sz="12" w:space="0" w:color="auto"/>
            </w:tcBorders>
            <w:shd w:val="clear" w:color="auto" w:fill="auto"/>
            <w:tcMar>
              <w:right w:w="28" w:type="dxa"/>
            </w:tcMar>
            <w:vAlign w:val="bottom"/>
          </w:tcPr>
          <w:p w14:paraId="71EDD9F8" w14:textId="77777777" w:rsidR="0034003B" w:rsidRPr="0034003B" w:rsidRDefault="0034003B" w:rsidP="0034003B">
            <w:pPr>
              <w:spacing w:before="40" w:after="40" w:line="220" w:lineRule="atLeast"/>
              <w:jc w:val="right"/>
              <w:rPr>
                <w:sz w:val="18"/>
                <w:szCs w:val="18"/>
              </w:rPr>
            </w:pPr>
            <w:r w:rsidRPr="0034003B">
              <w:rPr>
                <w:sz w:val="18"/>
                <w:szCs w:val="18"/>
                <w:lang w:val="fr-FR"/>
              </w:rPr>
              <w:t>5</w:t>
            </w:r>
          </w:p>
        </w:tc>
        <w:tc>
          <w:tcPr>
            <w:tcW w:w="325" w:type="dxa"/>
            <w:tcBorders>
              <w:top w:val="single" w:sz="12" w:space="0" w:color="auto"/>
            </w:tcBorders>
            <w:shd w:val="clear" w:color="auto" w:fill="auto"/>
            <w:tcMar>
              <w:right w:w="28" w:type="dxa"/>
            </w:tcMar>
            <w:vAlign w:val="bottom"/>
          </w:tcPr>
          <w:p w14:paraId="4CCFF33B"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32" w:type="dxa"/>
            <w:tcBorders>
              <w:top w:val="single" w:sz="12" w:space="0" w:color="auto"/>
            </w:tcBorders>
            <w:shd w:val="clear" w:color="auto" w:fill="auto"/>
            <w:vAlign w:val="bottom"/>
          </w:tcPr>
          <w:p w14:paraId="60B30D40"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426" w:type="dxa"/>
            <w:tcBorders>
              <w:top w:val="single" w:sz="12" w:space="0" w:color="auto"/>
            </w:tcBorders>
            <w:shd w:val="clear" w:color="auto" w:fill="auto"/>
            <w:vAlign w:val="bottom"/>
          </w:tcPr>
          <w:p w14:paraId="501042E4"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425" w:type="dxa"/>
            <w:tcBorders>
              <w:top w:val="single" w:sz="12" w:space="0" w:color="auto"/>
            </w:tcBorders>
            <w:shd w:val="clear" w:color="auto" w:fill="auto"/>
            <w:vAlign w:val="bottom"/>
          </w:tcPr>
          <w:p w14:paraId="1AE2FB39"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283" w:type="dxa"/>
            <w:tcBorders>
              <w:top w:val="single" w:sz="12" w:space="0" w:color="auto"/>
            </w:tcBorders>
            <w:shd w:val="clear" w:color="auto" w:fill="auto"/>
            <w:tcMar>
              <w:right w:w="28" w:type="dxa"/>
            </w:tcMar>
            <w:vAlign w:val="bottom"/>
          </w:tcPr>
          <w:p w14:paraId="10CC7DBF"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284" w:type="dxa"/>
            <w:tcBorders>
              <w:top w:val="single" w:sz="12" w:space="0" w:color="auto"/>
            </w:tcBorders>
            <w:shd w:val="clear" w:color="auto" w:fill="auto"/>
            <w:vAlign w:val="bottom"/>
          </w:tcPr>
          <w:p w14:paraId="1000B92B"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425" w:type="dxa"/>
            <w:tcBorders>
              <w:top w:val="single" w:sz="12" w:space="0" w:color="auto"/>
            </w:tcBorders>
            <w:shd w:val="clear" w:color="auto" w:fill="auto"/>
            <w:tcMar>
              <w:right w:w="28" w:type="dxa"/>
            </w:tcMar>
            <w:vAlign w:val="bottom"/>
          </w:tcPr>
          <w:p w14:paraId="06CC639E"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425" w:type="dxa"/>
            <w:tcBorders>
              <w:top w:val="single" w:sz="12" w:space="0" w:color="auto"/>
            </w:tcBorders>
            <w:shd w:val="clear" w:color="auto" w:fill="auto"/>
            <w:tcMar>
              <w:right w:w="28" w:type="dxa"/>
            </w:tcMar>
            <w:vAlign w:val="bottom"/>
          </w:tcPr>
          <w:p w14:paraId="6A165254"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567" w:type="dxa"/>
            <w:tcBorders>
              <w:top w:val="single" w:sz="12" w:space="0" w:color="auto"/>
            </w:tcBorders>
            <w:shd w:val="clear" w:color="auto" w:fill="auto"/>
            <w:tcMar>
              <w:right w:w="28" w:type="dxa"/>
            </w:tcMar>
            <w:vAlign w:val="bottom"/>
          </w:tcPr>
          <w:p w14:paraId="7561479D" w14:textId="77777777" w:rsidR="0034003B" w:rsidRPr="0034003B" w:rsidRDefault="0034003B" w:rsidP="0034003B">
            <w:pPr>
              <w:spacing w:before="40" w:after="40" w:line="220" w:lineRule="atLeast"/>
              <w:jc w:val="right"/>
              <w:rPr>
                <w:sz w:val="18"/>
                <w:szCs w:val="18"/>
              </w:rPr>
            </w:pPr>
            <w:r w:rsidRPr="0034003B">
              <w:rPr>
                <w:sz w:val="18"/>
                <w:szCs w:val="18"/>
                <w:lang w:val="fr-FR"/>
              </w:rPr>
              <w:t>5</w:t>
            </w:r>
          </w:p>
        </w:tc>
      </w:tr>
      <w:tr w:rsidR="0034003B" w:rsidRPr="0034003B" w14:paraId="1EB74B73" w14:textId="77777777" w:rsidTr="0034003B">
        <w:tc>
          <w:tcPr>
            <w:tcW w:w="648" w:type="dxa"/>
            <w:shd w:val="clear" w:color="auto" w:fill="auto"/>
          </w:tcPr>
          <w:p w14:paraId="56D4C40B" w14:textId="77777777" w:rsidR="0034003B" w:rsidRPr="0034003B" w:rsidRDefault="0034003B" w:rsidP="0034003B">
            <w:pPr>
              <w:spacing w:before="40" w:after="40" w:line="220" w:lineRule="atLeast"/>
              <w:rPr>
                <w:sz w:val="18"/>
                <w:szCs w:val="18"/>
              </w:rPr>
            </w:pPr>
            <w:r w:rsidRPr="0034003B">
              <w:rPr>
                <w:sz w:val="18"/>
                <w:szCs w:val="18"/>
                <w:lang w:val="fr-FR"/>
              </w:rPr>
              <w:t>2013</w:t>
            </w:r>
          </w:p>
        </w:tc>
        <w:tc>
          <w:tcPr>
            <w:tcW w:w="325" w:type="dxa"/>
            <w:shd w:val="clear" w:color="auto" w:fill="auto"/>
            <w:tcMar>
              <w:right w:w="28" w:type="dxa"/>
            </w:tcMar>
            <w:vAlign w:val="bottom"/>
          </w:tcPr>
          <w:p w14:paraId="3B71CB23" w14:textId="77777777" w:rsidR="0034003B" w:rsidRPr="0034003B" w:rsidRDefault="0034003B" w:rsidP="0034003B">
            <w:pPr>
              <w:spacing w:before="40" w:after="40" w:line="220" w:lineRule="atLeast"/>
              <w:jc w:val="right"/>
              <w:rPr>
                <w:sz w:val="18"/>
                <w:szCs w:val="18"/>
              </w:rPr>
            </w:pPr>
            <w:r w:rsidRPr="0034003B">
              <w:rPr>
                <w:sz w:val="18"/>
                <w:szCs w:val="18"/>
                <w:lang w:val="fr-FR"/>
              </w:rPr>
              <w:t>-</w:t>
            </w:r>
          </w:p>
        </w:tc>
        <w:tc>
          <w:tcPr>
            <w:tcW w:w="323" w:type="dxa"/>
            <w:shd w:val="clear" w:color="auto" w:fill="auto"/>
            <w:tcMar>
              <w:right w:w="28" w:type="dxa"/>
            </w:tcMar>
            <w:vAlign w:val="bottom"/>
          </w:tcPr>
          <w:p w14:paraId="178AE23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461461E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16FC5DD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6AA8DE2A"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6B5FE20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53" w:type="dxa"/>
            <w:shd w:val="clear" w:color="auto" w:fill="auto"/>
            <w:tcMar>
              <w:right w:w="28" w:type="dxa"/>
            </w:tcMar>
            <w:vAlign w:val="bottom"/>
          </w:tcPr>
          <w:p w14:paraId="586EE82E"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56" w:type="dxa"/>
            <w:shd w:val="clear" w:color="auto" w:fill="auto"/>
            <w:tcMar>
              <w:right w:w="28" w:type="dxa"/>
            </w:tcMar>
            <w:vAlign w:val="bottom"/>
          </w:tcPr>
          <w:p w14:paraId="31CE0B0C"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9" w:type="dxa"/>
            <w:shd w:val="clear" w:color="auto" w:fill="auto"/>
            <w:tcMar>
              <w:right w:w="28" w:type="dxa"/>
            </w:tcMar>
            <w:vAlign w:val="bottom"/>
          </w:tcPr>
          <w:p w14:paraId="488A992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08219C0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shd w:val="clear" w:color="auto" w:fill="auto"/>
            <w:tcMar>
              <w:right w:w="28" w:type="dxa"/>
            </w:tcMar>
            <w:vAlign w:val="bottom"/>
          </w:tcPr>
          <w:p w14:paraId="0C6B508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05" w:type="dxa"/>
            <w:shd w:val="clear" w:color="auto" w:fill="auto"/>
            <w:tcMar>
              <w:right w:w="28" w:type="dxa"/>
            </w:tcMar>
            <w:vAlign w:val="bottom"/>
          </w:tcPr>
          <w:p w14:paraId="0BFCDCF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7" w:type="dxa"/>
            <w:shd w:val="clear" w:color="auto" w:fill="auto"/>
            <w:vAlign w:val="bottom"/>
          </w:tcPr>
          <w:p w14:paraId="7EB53FEC"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tcMar>
              <w:right w:w="28" w:type="dxa"/>
            </w:tcMar>
            <w:vAlign w:val="bottom"/>
          </w:tcPr>
          <w:p w14:paraId="0A62454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83" w:type="dxa"/>
            <w:shd w:val="clear" w:color="auto" w:fill="auto"/>
            <w:tcMar>
              <w:right w:w="28" w:type="dxa"/>
            </w:tcMar>
            <w:vAlign w:val="bottom"/>
          </w:tcPr>
          <w:p w14:paraId="7708C16E" w14:textId="77777777" w:rsidR="0034003B" w:rsidRPr="0034003B" w:rsidRDefault="0034003B" w:rsidP="0034003B">
            <w:pPr>
              <w:spacing w:before="40" w:after="40" w:line="220" w:lineRule="atLeast"/>
              <w:jc w:val="right"/>
              <w:rPr>
                <w:sz w:val="18"/>
                <w:szCs w:val="18"/>
              </w:rPr>
            </w:pPr>
            <w:r w:rsidRPr="0034003B">
              <w:rPr>
                <w:sz w:val="18"/>
                <w:szCs w:val="18"/>
                <w:lang w:val="fr-FR"/>
              </w:rPr>
              <w:t>4</w:t>
            </w:r>
          </w:p>
        </w:tc>
        <w:tc>
          <w:tcPr>
            <w:tcW w:w="325" w:type="dxa"/>
            <w:shd w:val="clear" w:color="auto" w:fill="auto"/>
            <w:tcMar>
              <w:right w:w="28" w:type="dxa"/>
            </w:tcMar>
            <w:vAlign w:val="bottom"/>
          </w:tcPr>
          <w:p w14:paraId="25F196D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32" w:type="dxa"/>
            <w:shd w:val="clear" w:color="auto" w:fill="auto"/>
            <w:vAlign w:val="bottom"/>
          </w:tcPr>
          <w:p w14:paraId="403495F0"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6" w:type="dxa"/>
            <w:shd w:val="clear" w:color="auto" w:fill="auto"/>
            <w:vAlign w:val="bottom"/>
          </w:tcPr>
          <w:p w14:paraId="3C68FE3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vAlign w:val="bottom"/>
          </w:tcPr>
          <w:p w14:paraId="22EE5323"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shd w:val="clear" w:color="auto" w:fill="auto"/>
            <w:tcMar>
              <w:right w:w="28" w:type="dxa"/>
            </w:tcMar>
            <w:vAlign w:val="bottom"/>
          </w:tcPr>
          <w:p w14:paraId="2BF82B8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4" w:type="dxa"/>
            <w:shd w:val="clear" w:color="auto" w:fill="auto"/>
            <w:vAlign w:val="bottom"/>
          </w:tcPr>
          <w:p w14:paraId="6AAB7EC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502BD88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3D1FC33C"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0691B41C" w14:textId="77777777" w:rsidR="0034003B" w:rsidRPr="0034003B" w:rsidRDefault="0034003B" w:rsidP="0034003B">
            <w:pPr>
              <w:spacing w:before="40" w:after="40" w:line="220" w:lineRule="atLeast"/>
              <w:jc w:val="right"/>
              <w:rPr>
                <w:sz w:val="18"/>
                <w:szCs w:val="18"/>
              </w:rPr>
            </w:pPr>
            <w:r w:rsidRPr="0034003B">
              <w:rPr>
                <w:sz w:val="18"/>
                <w:szCs w:val="18"/>
                <w:lang w:val="fr-FR"/>
              </w:rPr>
              <w:t>5</w:t>
            </w:r>
          </w:p>
        </w:tc>
      </w:tr>
      <w:tr w:rsidR="0034003B" w:rsidRPr="0034003B" w14:paraId="539D95D7" w14:textId="77777777" w:rsidTr="0034003B">
        <w:tc>
          <w:tcPr>
            <w:tcW w:w="648" w:type="dxa"/>
            <w:shd w:val="clear" w:color="auto" w:fill="auto"/>
          </w:tcPr>
          <w:p w14:paraId="78D633DF" w14:textId="77777777" w:rsidR="0034003B" w:rsidRPr="0034003B" w:rsidRDefault="0034003B" w:rsidP="0034003B">
            <w:pPr>
              <w:spacing w:before="40" w:after="40" w:line="220" w:lineRule="atLeast"/>
              <w:rPr>
                <w:sz w:val="18"/>
                <w:szCs w:val="18"/>
              </w:rPr>
            </w:pPr>
            <w:r w:rsidRPr="0034003B">
              <w:rPr>
                <w:sz w:val="18"/>
                <w:szCs w:val="18"/>
                <w:lang w:val="fr-FR"/>
              </w:rPr>
              <w:t>2014</w:t>
            </w:r>
          </w:p>
        </w:tc>
        <w:tc>
          <w:tcPr>
            <w:tcW w:w="325" w:type="dxa"/>
            <w:shd w:val="clear" w:color="auto" w:fill="auto"/>
            <w:tcMar>
              <w:right w:w="28" w:type="dxa"/>
            </w:tcMar>
            <w:vAlign w:val="bottom"/>
          </w:tcPr>
          <w:p w14:paraId="4C90DB9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6C44E0C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297049F3"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53D1BB54"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24" w:type="dxa"/>
            <w:shd w:val="clear" w:color="auto" w:fill="auto"/>
            <w:vAlign w:val="bottom"/>
          </w:tcPr>
          <w:p w14:paraId="300C6D5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67CC7F8B"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453" w:type="dxa"/>
            <w:shd w:val="clear" w:color="auto" w:fill="auto"/>
            <w:tcMar>
              <w:right w:w="28" w:type="dxa"/>
            </w:tcMar>
            <w:vAlign w:val="bottom"/>
          </w:tcPr>
          <w:p w14:paraId="2B45F3E1"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56" w:type="dxa"/>
            <w:shd w:val="clear" w:color="auto" w:fill="auto"/>
            <w:tcMar>
              <w:right w:w="28" w:type="dxa"/>
            </w:tcMar>
            <w:vAlign w:val="bottom"/>
          </w:tcPr>
          <w:p w14:paraId="35A9C64C"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9" w:type="dxa"/>
            <w:shd w:val="clear" w:color="auto" w:fill="auto"/>
            <w:tcMar>
              <w:right w:w="28" w:type="dxa"/>
            </w:tcMar>
            <w:vAlign w:val="bottom"/>
          </w:tcPr>
          <w:p w14:paraId="4D2916F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3C63EFC1" w14:textId="77777777" w:rsidR="0034003B" w:rsidRPr="0034003B" w:rsidRDefault="0034003B" w:rsidP="0034003B">
            <w:pPr>
              <w:spacing w:before="40" w:after="40" w:line="220" w:lineRule="atLeast"/>
              <w:jc w:val="right"/>
              <w:rPr>
                <w:sz w:val="18"/>
                <w:szCs w:val="18"/>
              </w:rPr>
            </w:pPr>
            <w:r w:rsidRPr="0034003B">
              <w:rPr>
                <w:sz w:val="18"/>
                <w:szCs w:val="18"/>
                <w:lang w:val="fr-FR"/>
              </w:rPr>
              <w:t>5</w:t>
            </w:r>
          </w:p>
        </w:tc>
        <w:tc>
          <w:tcPr>
            <w:tcW w:w="283" w:type="dxa"/>
            <w:shd w:val="clear" w:color="auto" w:fill="auto"/>
            <w:tcMar>
              <w:right w:w="28" w:type="dxa"/>
            </w:tcMar>
            <w:vAlign w:val="bottom"/>
          </w:tcPr>
          <w:p w14:paraId="60F1A50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05" w:type="dxa"/>
            <w:shd w:val="clear" w:color="auto" w:fill="auto"/>
            <w:tcMar>
              <w:right w:w="28" w:type="dxa"/>
            </w:tcMar>
            <w:vAlign w:val="bottom"/>
          </w:tcPr>
          <w:p w14:paraId="3154657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7" w:type="dxa"/>
            <w:shd w:val="clear" w:color="auto" w:fill="auto"/>
            <w:vAlign w:val="bottom"/>
          </w:tcPr>
          <w:p w14:paraId="0DC660DA"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tcMar>
              <w:right w:w="28" w:type="dxa"/>
            </w:tcMar>
            <w:vAlign w:val="bottom"/>
          </w:tcPr>
          <w:p w14:paraId="0E7E490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83" w:type="dxa"/>
            <w:shd w:val="clear" w:color="auto" w:fill="auto"/>
            <w:tcMar>
              <w:right w:w="28" w:type="dxa"/>
            </w:tcMar>
            <w:vAlign w:val="bottom"/>
          </w:tcPr>
          <w:p w14:paraId="1DC3CC50" w14:textId="77777777" w:rsidR="0034003B" w:rsidRPr="0034003B" w:rsidRDefault="0034003B" w:rsidP="0034003B">
            <w:pPr>
              <w:spacing w:before="40" w:after="40" w:line="220" w:lineRule="atLeast"/>
              <w:jc w:val="right"/>
              <w:rPr>
                <w:sz w:val="18"/>
                <w:szCs w:val="18"/>
              </w:rPr>
            </w:pPr>
            <w:r w:rsidRPr="0034003B">
              <w:rPr>
                <w:sz w:val="18"/>
                <w:szCs w:val="18"/>
                <w:lang w:val="fr-FR"/>
              </w:rPr>
              <w:t>43</w:t>
            </w:r>
          </w:p>
        </w:tc>
        <w:tc>
          <w:tcPr>
            <w:tcW w:w="325" w:type="dxa"/>
            <w:shd w:val="clear" w:color="auto" w:fill="auto"/>
            <w:tcMar>
              <w:right w:w="28" w:type="dxa"/>
            </w:tcMar>
            <w:vAlign w:val="bottom"/>
          </w:tcPr>
          <w:p w14:paraId="7B81D2D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32" w:type="dxa"/>
            <w:shd w:val="clear" w:color="auto" w:fill="auto"/>
            <w:vAlign w:val="bottom"/>
          </w:tcPr>
          <w:p w14:paraId="3E8210F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6" w:type="dxa"/>
            <w:shd w:val="clear" w:color="auto" w:fill="auto"/>
            <w:vAlign w:val="bottom"/>
          </w:tcPr>
          <w:p w14:paraId="1ED0C63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vAlign w:val="bottom"/>
          </w:tcPr>
          <w:p w14:paraId="4A501B1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shd w:val="clear" w:color="auto" w:fill="auto"/>
            <w:tcMar>
              <w:right w:w="28" w:type="dxa"/>
            </w:tcMar>
            <w:vAlign w:val="bottom"/>
          </w:tcPr>
          <w:p w14:paraId="7E2B5023"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4" w:type="dxa"/>
            <w:shd w:val="clear" w:color="auto" w:fill="auto"/>
            <w:vAlign w:val="bottom"/>
          </w:tcPr>
          <w:p w14:paraId="5EAE3D4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5D72DD6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1AA5CE1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65DFBE8A" w14:textId="77777777" w:rsidR="0034003B" w:rsidRPr="0034003B" w:rsidRDefault="0034003B" w:rsidP="0034003B">
            <w:pPr>
              <w:spacing w:before="40" w:after="40" w:line="220" w:lineRule="atLeast"/>
              <w:jc w:val="right"/>
              <w:rPr>
                <w:sz w:val="18"/>
                <w:szCs w:val="18"/>
              </w:rPr>
            </w:pPr>
            <w:r w:rsidRPr="0034003B">
              <w:rPr>
                <w:sz w:val="18"/>
                <w:szCs w:val="18"/>
                <w:lang w:val="fr-FR"/>
              </w:rPr>
              <w:t>51</w:t>
            </w:r>
          </w:p>
        </w:tc>
      </w:tr>
      <w:tr w:rsidR="0034003B" w:rsidRPr="0034003B" w14:paraId="4C6E9735" w14:textId="77777777" w:rsidTr="0034003B">
        <w:tc>
          <w:tcPr>
            <w:tcW w:w="648" w:type="dxa"/>
            <w:shd w:val="clear" w:color="auto" w:fill="auto"/>
          </w:tcPr>
          <w:p w14:paraId="5F8A2D8C" w14:textId="77777777" w:rsidR="0034003B" w:rsidRPr="0034003B" w:rsidRDefault="0034003B" w:rsidP="0034003B">
            <w:pPr>
              <w:spacing w:before="40" w:after="40" w:line="220" w:lineRule="atLeast"/>
              <w:rPr>
                <w:sz w:val="18"/>
                <w:szCs w:val="18"/>
              </w:rPr>
            </w:pPr>
            <w:r w:rsidRPr="0034003B">
              <w:rPr>
                <w:sz w:val="18"/>
                <w:szCs w:val="18"/>
                <w:lang w:val="fr-FR"/>
              </w:rPr>
              <w:t>2015</w:t>
            </w:r>
          </w:p>
        </w:tc>
        <w:tc>
          <w:tcPr>
            <w:tcW w:w="325" w:type="dxa"/>
            <w:shd w:val="clear" w:color="auto" w:fill="auto"/>
            <w:tcMar>
              <w:right w:w="28" w:type="dxa"/>
            </w:tcMar>
            <w:vAlign w:val="bottom"/>
          </w:tcPr>
          <w:p w14:paraId="530248E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19B36EC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13ACBBBB"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64AAB1B3"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037005C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7B9A96C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53" w:type="dxa"/>
            <w:shd w:val="clear" w:color="auto" w:fill="auto"/>
            <w:tcMar>
              <w:right w:w="28" w:type="dxa"/>
            </w:tcMar>
            <w:vAlign w:val="bottom"/>
          </w:tcPr>
          <w:p w14:paraId="749666CB" w14:textId="77777777" w:rsidR="0034003B" w:rsidRPr="0034003B" w:rsidRDefault="0034003B" w:rsidP="0034003B">
            <w:pPr>
              <w:spacing w:before="40" w:after="40" w:line="220" w:lineRule="atLeast"/>
              <w:jc w:val="right"/>
              <w:rPr>
                <w:sz w:val="18"/>
                <w:szCs w:val="18"/>
              </w:rPr>
            </w:pPr>
            <w:r w:rsidRPr="0034003B">
              <w:rPr>
                <w:sz w:val="18"/>
                <w:szCs w:val="18"/>
                <w:lang w:val="fr-FR"/>
              </w:rPr>
              <w:t>3</w:t>
            </w:r>
          </w:p>
        </w:tc>
        <w:tc>
          <w:tcPr>
            <w:tcW w:w="356" w:type="dxa"/>
            <w:shd w:val="clear" w:color="auto" w:fill="auto"/>
            <w:tcMar>
              <w:right w:w="28" w:type="dxa"/>
            </w:tcMar>
            <w:vAlign w:val="bottom"/>
          </w:tcPr>
          <w:p w14:paraId="48F25D2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9" w:type="dxa"/>
            <w:shd w:val="clear" w:color="auto" w:fill="auto"/>
            <w:tcMar>
              <w:right w:w="28" w:type="dxa"/>
            </w:tcMar>
            <w:vAlign w:val="bottom"/>
          </w:tcPr>
          <w:p w14:paraId="14ED62B0"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71EFBD85" w14:textId="77777777" w:rsidR="0034003B" w:rsidRPr="0034003B" w:rsidRDefault="0034003B" w:rsidP="0034003B">
            <w:pPr>
              <w:spacing w:before="40" w:after="40" w:line="220" w:lineRule="atLeast"/>
              <w:jc w:val="right"/>
              <w:rPr>
                <w:sz w:val="18"/>
                <w:szCs w:val="18"/>
              </w:rPr>
            </w:pPr>
            <w:r w:rsidRPr="0034003B">
              <w:rPr>
                <w:sz w:val="18"/>
                <w:szCs w:val="18"/>
                <w:lang w:val="fr-FR"/>
              </w:rPr>
              <w:t>42</w:t>
            </w:r>
          </w:p>
        </w:tc>
        <w:tc>
          <w:tcPr>
            <w:tcW w:w="283" w:type="dxa"/>
            <w:shd w:val="clear" w:color="auto" w:fill="auto"/>
            <w:tcMar>
              <w:right w:w="28" w:type="dxa"/>
            </w:tcMar>
            <w:vAlign w:val="bottom"/>
          </w:tcPr>
          <w:p w14:paraId="1546916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05" w:type="dxa"/>
            <w:shd w:val="clear" w:color="auto" w:fill="auto"/>
            <w:tcMar>
              <w:right w:w="28" w:type="dxa"/>
            </w:tcMar>
            <w:vAlign w:val="bottom"/>
          </w:tcPr>
          <w:p w14:paraId="4F43E5AB"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7" w:type="dxa"/>
            <w:shd w:val="clear" w:color="auto" w:fill="auto"/>
            <w:vAlign w:val="bottom"/>
          </w:tcPr>
          <w:p w14:paraId="7ACEAA2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tcMar>
              <w:right w:w="28" w:type="dxa"/>
            </w:tcMar>
            <w:vAlign w:val="bottom"/>
          </w:tcPr>
          <w:p w14:paraId="6561D27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83" w:type="dxa"/>
            <w:shd w:val="clear" w:color="auto" w:fill="auto"/>
            <w:tcMar>
              <w:right w:w="28" w:type="dxa"/>
            </w:tcMar>
            <w:vAlign w:val="bottom"/>
          </w:tcPr>
          <w:p w14:paraId="74D3D94C" w14:textId="77777777" w:rsidR="0034003B" w:rsidRPr="0034003B" w:rsidRDefault="0034003B" w:rsidP="0034003B">
            <w:pPr>
              <w:spacing w:before="40" w:after="40" w:line="220" w:lineRule="atLeast"/>
              <w:jc w:val="right"/>
              <w:rPr>
                <w:sz w:val="18"/>
                <w:szCs w:val="18"/>
              </w:rPr>
            </w:pPr>
            <w:r w:rsidRPr="0034003B">
              <w:rPr>
                <w:sz w:val="18"/>
                <w:szCs w:val="18"/>
                <w:lang w:val="fr-FR"/>
              </w:rPr>
              <w:t>166</w:t>
            </w:r>
          </w:p>
        </w:tc>
        <w:tc>
          <w:tcPr>
            <w:tcW w:w="325" w:type="dxa"/>
            <w:shd w:val="clear" w:color="auto" w:fill="auto"/>
            <w:tcMar>
              <w:right w:w="28" w:type="dxa"/>
            </w:tcMar>
            <w:vAlign w:val="bottom"/>
          </w:tcPr>
          <w:p w14:paraId="7E44300B"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32" w:type="dxa"/>
            <w:shd w:val="clear" w:color="auto" w:fill="auto"/>
            <w:vAlign w:val="bottom"/>
          </w:tcPr>
          <w:p w14:paraId="18F4048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6" w:type="dxa"/>
            <w:shd w:val="clear" w:color="auto" w:fill="auto"/>
            <w:vAlign w:val="bottom"/>
          </w:tcPr>
          <w:p w14:paraId="645E12CB"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vAlign w:val="bottom"/>
          </w:tcPr>
          <w:p w14:paraId="0803E39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shd w:val="clear" w:color="auto" w:fill="auto"/>
            <w:tcMar>
              <w:right w:w="28" w:type="dxa"/>
            </w:tcMar>
            <w:vAlign w:val="bottom"/>
          </w:tcPr>
          <w:p w14:paraId="183EFCA3"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4" w:type="dxa"/>
            <w:shd w:val="clear" w:color="auto" w:fill="auto"/>
            <w:vAlign w:val="bottom"/>
          </w:tcPr>
          <w:p w14:paraId="436EB87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09A71FAC"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6B76C1A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45F112E4" w14:textId="77777777" w:rsidR="0034003B" w:rsidRPr="0034003B" w:rsidRDefault="0034003B" w:rsidP="0034003B">
            <w:pPr>
              <w:spacing w:before="40" w:after="40" w:line="220" w:lineRule="atLeast"/>
              <w:jc w:val="right"/>
              <w:rPr>
                <w:sz w:val="18"/>
                <w:szCs w:val="18"/>
              </w:rPr>
            </w:pPr>
            <w:r w:rsidRPr="0034003B">
              <w:rPr>
                <w:sz w:val="18"/>
                <w:szCs w:val="18"/>
                <w:lang w:val="fr-FR"/>
              </w:rPr>
              <w:t>211</w:t>
            </w:r>
          </w:p>
        </w:tc>
      </w:tr>
      <w:tr w:rsidR="0034003B" w:rsidRPr="0034003B" w14:paraId="76E2F022" w14:textId="77777777" w:rsidTr="0034003B">
        <w:tc>
          <w:tcPr>
            <w:tcW w:w="648" w:type="dxa"/>
            <w:shd w:val="clear" w:color="auto" w:fill="auto"/>
          </w:tcPr>
          <w:p w14:paraId="49ABB90D" w14:textId="77777777" w:rsidR="0034003B" w:rsidRPr="0034003B" w:rsidRDefault="0034003B" w:rsidP="0034003B">
            <w:pPr>
              <w:spacing w:before="40" w:after="40" w:line="220" w:lineRule="atLeast"/>
              <w:rPr>
                <w:sz w:val="18"/>
                <w:szCs w:val="18"/>
              </w:rPr>
            </w:pPr>
            <w:r w:rsidRPr="0034003B">
              <w:rPr>
                <w:sz w:val="18"/>
                <w:szCs w:val="18"/>
                <w:lang w:val="fr-FR"/>
              </w:rPr>
              <w:t>2016</w:t>
            </w:r>
          </w:p>
        </w:tc>
        <w:tc>
          <w:tcPr>
            <w:tcW w:w="325" w:type="dxa"/>
            <w:shd w:val="clear" w:color="auto" w:fill="auto"/>
            <w:tcMar>
              <w:right w:w="28" w:type="dxa"/>
            </w:tcMar>
            <w:vAlign w:val="bottom"/>
          </w:tcPr>
          <w:p w14:paraId="5BE6F7AB"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46B8540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287D7D5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713F68A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289E788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6283A7B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53" w:type="dxa"/>
            <w:shd w:val="clear" w:color="auto" w:fill="auto"/>
            <w:tcMar>
              <w:right w:w="28" w:type="dxa"/>
            </w:tcMar>
            <w:vAlign w:val="bottom"/>
          </w:tcPr>
          <w:p w14:paraId="6FC6FACA" w14:textId="77777777" w:rsidR="0034003B" w:rsidRPr="0034003B" w:rsidRDefault="0034003B" w:rsidP="0034003B">
            <w:pPr>
              <w:spacing w:before="40" w:after="40" w:line="220" w:lineRule="atLeast"/>
              <w:jc w:val="right"/>
              <w:rPr>
                <w:sz w:val="18"/>
                <w:szCs w:val="18"/>
              </w:rPr>
            </w:pPr>
            <w:r w:rsidRPr="0034003B">
              <w:rPr>
                <w:sz w:val="18"/>
                <w:szCs w:val="18"/>
                <w:lang w:val="fr-FR"/>
              </w:rPr>
              <w:t>4</w:t>
            </w:r>
          </w:p>
        </w:tc>
        <w:tc>
          <w:tcPr>
            <w:tcW w:w="356" w:type="dxa"/>
            <w:shd w:val="clear" w:color="auto" w:fill="auto"/>
            <w:tcMar>
              <w:right w:w="28" w:type="dxa"/>
            </w:tcMar>
            <w:vAlign w:val="bottom"/>
          </w:tcPr>
          <w:p w14:paraId="3F8FFE4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9" w:type="dxa"/>
            <w:shd w:val="clear" w:color="auto" w:fill="auto"/>
            <w:tcMar>
              <w:right w:w="28" w:type="dxa"/>
            </w:tcMar>
            <w:vAlign w:val="bottom"/>
          </w:tcPr>
          <w:p w14:paraId="121A12F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0D55E07A" w14:textId="77777777" w:rsidR="0034003B" w:rsidRPr="0034003B" w:rsidRDefault="0034003B" w:rsidP="0034003B">
            <w:pPr>
              <w:spacing w:before="40" w:after="40" w:line="220" w:lineRule="atLeast"/>
              <w:jc w:val="right"/>
              <w:rPr>
                <w:sz w:val="18"/>
                <w:szCs w:val="18"/>
              </w:rPr>
            </w:pPr>
            <w:r w:rsidRPr="0034003B">
              <w:rPr>
                <w:sz w:val="18"/>
                <w:szCs w:val="18"/>
                <w:lang w:val="fr-FR"/>
              </w:rPr>
              <w:t>22</w:t>
            </w:r>
          </w:p>
        </w:tc>
        <w:tc>
          <w:tcPr>
            <w:tcW w:w="283" w:type="dxa"/>
            <w:shd w:val="clear" w:color="auto" w:fill="auto"/>
            <w:tcMar>
              <w:right w:w="28" w:type="dxa"/>
            </w:tcMar>
            <w:vAlign w:val="bottom"/>
          </w:tcPr>
          <w:p w14:paraId="329166E3"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05" w:type="dxa"/>
            <w:shd w:val="clear" w:color="auto" w:fill="auto"/>
            <w:tcMar>
              <w:right w:w="28" w:type="dxa"/>
            </w:tcMar>
            <w:vAlign w:val="bottom"/>
          </w:tcPr>
          <w:p w14:paraId="0F24DFA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7" w:type="dxa"/>
            <w:shd w:val="clear" w:color="auto" w:fill="auto"/>
            <w:vAlign w:val="bottom"/>
          </w:tcPr>
          <w:p w14:paraId="14A473D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tcMar>
              <w:right w:w="28" w:type="dxa"/>
            </w:tcMar>
            <w:vAlign w:val="bottom"/>
          </w:tcPr>
          <w:p w14:paraId="03FDC49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83" w:type="dxa"/>
            <w:shd w:val="clear" w:color="auto" w:fill="auto"/>
            <w:tcMar>
              <w:right w:w="28" w:type="dxa"/>
            </w:tcMar>
            <w:vAlign w:val="bottom"/>
          </w:tcPr>
          <w:p w14:paraId="396BD6DB" w14:textId="77777777" w:rsidR="0034003B" w:rsidRPr="0034003B" w:rsidRDefault="0034003B" w:rsidP="0034003B">
            <w:pPr>
              <w:spacing w:before="40" w:after="40" w:line="220" w:lineRule="atLeast"/>
              <w:jc w:val="right"/>
              <w:rPr>
                <w:sz w:val="18"/>
                <w:szCs w:val="18"/>
              </w:rPr>
            </w:pPr>
            <w:r w:rsidRPr="0034003B">
              <w:rPr>
                <w:sz w:val="18"/>
                <w:szCs w:val="18"/>
                <w:lang w:val="fr-FR"/>
              </w:rPr>
              <w:t>58</w:t>
            </w:r>
          </w:p>
        </w:tc>
        <w:tc>
          <w:tcPr>
            <w:tcW w:w="325" w:type="dxa"/>
            <w:shd w:val="clear" w:color="auto" w:fill="auto"/>
            <w:tcMar>
              <w:right w:w="28" w:type="dxa"/>
            </w:tcMar>
            <w:vAlign w:val="bottom"/>
          </w:tcPr>
          <w:p w14:paraId="791E6F04"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32" w:type="dxa"/>
            <w:shd w:val="clear" w:color="auto" w:fill="auto"/>
            <w:vAlign w:val="bottom"/>
          </w:tcPr>
          <w:p w14:paraId="1F95D60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6" w:type="dxa"/>
            <w:shd w:val="clear" w:color="auto" w:fill="auto"/>
            <w:vAlign w:val="bottom"/>
          </w:tcPr>
          <w:p w14:paraId="5240A1D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vAlign w:val="bottom"/>
          </w:tcPr>
          <w:p w14:paraId="148D59AC"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shd w:val="clear" w:color="auto" w:fill="auto"/>
            <w:tcMar>
              <w:right w:w="28" w:type="dxa"/>
            </w:tcMar>
            <w:vAlign w:val="bottom"/>
          </w:tcPr>
          <w:p w14:paraId="0DB5E78A"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4" w:type="dxa"/>
            <w:shd w:val="clear" w:color="auto" w:fill="auto"/>
            <w:vAlign w:val="bottom"/>
          </w:tcPr>
          <w:p w14:paraId="16805A9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5521562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7AF338E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5FDB3090" w14:textId="77777777" w:rsidR="0034003B" w:rsidRPr="0034003B" w:rsidRDefault="0034003B" w:rsidP="0034003B">
            <w:pPr>
              <w:spacing w:before="40" w:after="40" w:line="220" w:lineRule="atLeast"/>
              <w:jc w:val="right"/>
              <w:rPr>
                <w:sz w:val="18"/>
                <w:szCs w:val="18"/>
              </w:rPr>
            </w:pPr>
            <w:r w:rsidRPr="0034003B">
              <w:rPr>
                <w:sz w:val="18"/>
                <w:szCs w:val="18"/>
                <w:lang w:val="fr-FR"/>
              </w:rPr>
              <w:t>85</w:t>
            </w:r>
          </w:p>
        </w:tc>
      </w:tr>
      <w:tr w:rsidR="0034003B" w:rsidRPr="0034003B" w14:paraId="3AFE86EC" w14:textId="77777777" w:rsidTr="0034003B">
        <w:tc>
          <w:tcPr>
            <w:tcW w:w="648" w:type="dxa"/>
            <w:shd w:val="clear" w:color="auto" w:fill="auto"/>
          </w:tcPr>
          <w:p w14:paraId="7B2330CC" w14:textId="77777777" w:rsidR="0034003B" w:rsidRPr="0034003B" w:rsidRDefault="0034003B" w:rsidP="0034003B">
            <w:pPr>
              <w:spacing w:before="40" w:after="40" w:line="220" w:lineRule="atLeast"/>
              <w:rPr>
                <w:sz w:val="18"/>
                <w:szCs w:val="18"/>
              </w:rPr>
            </w:pPr>
            <w:r w:rsidRPr="0034003B">
              <w:rPr>
                <w:sz w:val="18"/>
                <w:szCs w:val="18"/>
                <w:lang w:val="fr-FR"/>
              </w:rPr>
              <w:t>2017</w:t>
            </w:r>
          </w:p>
        </w:tc>
        <w:tc>
          <w:tcPr>
            <w:tcW w:w="325" w:type="dxa"/>
            <w:shd w:val="clear" w:color="auto" w:fill="auto"/>
            <w:tcMar>
              <w:right w:w="28" w:type="dxa"/>
            </w:tcMar>
            <w:vAlign w:val="bottom"/>
          </w:tcPr>
          <w:p w14:paraId="10140A68" w14:textId="77777777" w:rsidR="0034003B" w:rsidRPr="0034003B" w:rsidRDefault="0034003B" w:rsidP="0034003B">
            <w:pPr>
              <w:spacing w:before="40" w:after="40" w:line="220" w:lineRule="atLeast"/>
              <w:jc w:val="right"/>
              <w:rPr>
                <w:sz w:val="18"/>
                <w:szCs w:val="18"/>
              </w:rPr>
            </w:pPr>
            <w:r w:rsidRPr="0034003B">
              <w:rPr>
                <w:sz w:val="18"/>
                <w:szCs w:val="18"/>
                <w:lang w:val="fr-FR"/>
              </w:rPr>
              <w:t>2</w:t>
            </w:r>
          </w:p>
        </w:tc>
        <w:tc>
          <w:tcPr>
            <w:tcW w:w="323" w:type="dxa"/>
            <w:shd w:val="clear" w:color="auto" w:fill="auto"/>
            <w:tcMar>
              <w:right w:w="28" w:type="dxa"/>
            </w:tcMar>
            <w:vAlign w:val="bottom"/>
          </w:tcPr>
          <w:p w14:paraId="6BDFFAD7"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24" w:type="dxa"/>
            <w:shd w:val="clear" w:color="auto" w:fill="auto"/>
            <w:vAlign w:val="bottom"/>
          </w:tcPr>
          <w:p w14:paraId="0AA6F9C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42C8071A"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0EC54DC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4246BE1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53" w:type="dxa"/>
            <w:shd w:val="clear" w:color="auto" w:fill="auto"/>
            <w:tcMar>
              <w:right w:w="28" w:type="dxa"/>
            </w:tcMar>
            <w:vAlign w:val="bottom"/>
          </w:tcPr>
          <w:p w14:paraId="2EF8360E" w14:textId="77777777" w:rsidR="0034003B" w:rsidRPr="0034003B" w:rsidRDefault="0034003B" w:rsidP="0034003B">
            <w:pPr>
              <w:spacing w:before="40" w:after="40" w:line="220" w:lineRule="atLeast"/>
              <w:jc w:val="right"/>
              <w:rPr>
                <w:sz w:val="18"/>
                <w:szCs w:val="18"/>
              </w:rPr>
            </w:pPr>
            <w:r w:rsidRPr="0034003B">
              <w:rPr>
                <w:sz w:val="18"/>
                <w:szCs w:val="18"/>
                <w:lang w:val="fr-FR"/>
              </w:rPr>
              <w:t>3</w:t>
            </w:r>
          </w:p>
        </w:tc>
        <w:tc>
          <w:tcPr>
            <w:tcW w:w="356" w:type="dxa"/>
            <w:shd w:val="clear" w:color="auto" w:fill="auto"/>
            <w:tcMar>
              <w:right w:w="28" w:type="dxa"/>
            </w:tcMar>
            <w:vAlign w:val="bottom"/>
          </w:tcPr>
          <w:p w14:paraId="033E708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9" w:type="dxa"/>
            <w:shd w:val="clear" w:color="auto" w:fill="auto"/>
            <w:tcMar>
              <w:right w:w="28" w:type="dxa"/>
            </w:tcMar>
            <w:vAlign w:val="bottom"/>
          </w:tcPr>
          <w:p w14:paraId="0D70DDA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3DF39F31" w14:textId="77777777" w:rsidR="0034003B" w:rsidRPr="0034003B" w:rsidRDefault="0034003B" w:rsidP="0034003B">
            <w:pPr>
              <w:spacing w:before="40" w:after="40" w:line="220" w:lineRule="atLeast"/>
              <w:jc w:val="right"/>
              <w:rPr>
                <w:sz w:val="18"/>
                <w:szCs w:val="18"/>
              </w:rPr>
            </w:pPr>
            <w:r w:rsidRPr="0034003B">
              <w:rPr>
                <w:sz w:val="18"/>
                <w:szCs w:val="18"/>
                <w:lang w:val="fr-FR"/>
              </w:rPr>
              <w:t>43</w:t>
            </w:r>
          </w:p>
        </w:tc>
        <w:tc>
          <w:tcPr>
            <w:tcW w:w="283" w:type="dxa"/>
            <w:shd w:val="clear" w:color="auto" w:fill="auto"/>
            <w:tcMar>
              <w:right w:w="28" w:type="dxa"/>
            </w:tcMar>
            <w:vAlign w:val="bottom"/>
          </w:tcPr>
          <w:p w14:paraId="462EF7A3" w14:textId="77777777" w:rsidR="0034003B" w:rsidRPr="0034003B" w:rsidRDefault="0034003B" w:rsidP="0034003B">
            <w:pPr>
              <w:spacing w:before="40" w:after="40" w:line="220" w:lineRule="atLeast"/>
              <w:jc w:val="right"/>
              <w:rPr>
                <w:sz w:val="18"/>
                <w:szCs w:val="18"/>
              </w:rPr>
            </w:pPr>
            <w:r w:rsidRPr="0034003B">
              <w:rPr>
                <w:sz w:val="18"/>
                <w:szCs w:val="18"/>
                <w:lang w:val="fr-FR"/>
              </w:rPr>
              <w:t>2</w:t>
            </w:r>
          </w:p>
        </w:tc>
        <w:tc>
          <w:tcPr>
            <w:tcW w:w="305" w:type="dxa"/>
            <w:shd w:val="clear" w:color="auto" w:fill="auto"/>
            <w:tcMar>
              <w:right w:w="28" w:type="dxa"/>
            </w:tcMar>
            <w:vAlign w:val="bottom"/>
          </w:tcPr>
          <w:p w14:paraId="12DF041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7" w:type="dxa"/>
            <w:shd w:val="clear" w:color="auto" w:fill="auto"/>
            <w:vAlign w:val="bottom"/>
          </w:tcPr>
          <w:p w14:paraId="10AC414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tcMar>
              <w:right w:w="28" w:type="dxa"/>
            </w:tcMar>
            <w:vAlign w:val="bottom"/>
          </w:tcPr>
          <w:p w14:paraId="3B50AAEA"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483" w:type="dxa"/>
            <w:shd w:val="clear" w:color="auto" w:fill="auto"/>
            <w:tcMar>
              <w:right w:w="28" w:type="dxa"/>
            </w:tcMar>
            <w:vAlign w:val="bottom"/>
          </w:tcPr>
          <w:p w14:paraId="20B9AB5A" w14:textId="77777777" w:rsidR="0034003B" w:rsidRPr="0034003B" w:rsidRDefault="0034003B" w:rsidP="0034003B">
            <w:pPr>
              <w:spacing w:before="40" w:after="40" w:line="220" w:lineRule="atLeast"/>
              <w:jc w:val="right"/>
              <w:rPr>
                <w:sz w:val="18"/>
                <w:szCs w:val="18"/>
              </w:rPr>
            </w:pPr>
            <w:r w:rsidRPr="0034003B">
              <w:rPr>
                <w:sz w:val="18"/>
                <w:szCs w:val="18"/>
                <w:lang w:val="fr-FR"/>
              </w:rPr>
              <w:t>31</w:t>
            </w:r>
          </w:p>
        </w:tc>
        <w:tc>
          <w:tcPr>
            <w:tcW w:w="325" w:type="dxa"/>
            <w:shd w:val="clear" w:color="auto" w:fill="auto"/>
            <w:tcMar>
              <w:right w:w="28" w:type="dxa"/>
            </w:tcMar>
            <w:vAlign w:val="bottom"/>
          </w:tcPr>
          <w:p w14:paraId="0DEF5518" w14:textId="77777777" w:rsidR="0034003B" w:rsidRPr="0034003B" w:rsidRDefault="0034003B" w:rsidP="0034003B">
            <w:pPr>
              <w:spacing w:before="40" w:after="40" w:line="220" w:lineRule="atLeast"/>
              <w:jc w:val="right"/>
              <w:rPr>
                <w:sz w:val="18"/>
                <w:szCs w:val="18"/>
              </w:rPr>
            </w:pPr>
            <w:r w:rsidRPr="0034003B">
              <w:rPr>
                <w:sz w:val="18"/>
                <w:szCs w:val="18"/>
                <w:lang w:val="fr-FR"/>
              </w:rPr>
              <w:t>2</w:t>
            </w:r>
          </w:p>
        </w:tc>
        <w:tc>
          <w:tcPr>
            <w:tcW w:w="332" w:type="dxa"/>
            <w:shd w:val="clear" w:color="auto" w:fill="auto"/>
            <w:vAlign w:val="bottom"/>
          </w:tcPr>
          <w:p w14:paraId="31A0327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6" w:type="dxa"/>
            <w:shd w:val="clear" w:color="auto" w:fill="auto"/>
            <w:vAlign w:val="bottom"/>
          </w:tcPr>
          <w:p w14:paraId="69BBDFC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vAlign w:val="bottom"/>
          </w:tcPr>
          <w:p w14:paraId="6784E77A"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shd w:val="clear" w:color="auto" w:fill="auto"/>
            <w:tcMar>
              <w:right w:w="28" w:type="dxa"/>
            </w:tcMar>
            <w:vAlign w:val="bottom"/>
          </w:tcPr>
          <w:p w14:paraId="70B11BC5"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284" w:type="dxa"/>
            <w:shd w:val="clear" w:color="auto" w:fill="auto"/>
            <w:vAlign w:val="bottom"/>
          </w:tcPr>
          <w:p w14:paraId="5583365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25C8CFD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23D97CD0"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69960303" w14:textId="77777777" w:rsidR="0034003B" w:rsidRPr="0034003B" w:rsidRDefault="0034003B" w:rsidP="0034003B">
            <w:pPr>
              <w:spacing w:before="40" w:after="40" w:line="220" w:lineRule="atLeast"/>
              <w:jc w:val="right"/>
              <w:rPr>
                <w:sz w:val="18"/>
                <w:szCs w:val="18"/>
              </w:rPr>
            </w:pPr>
            <w:r w:rsidRPr="0034003B">
              <w:rPr>
                <w:sz w:val="18"/>
                <w:szCs w:val="18"/>
                <w:lang w:val="fr-FR"/>
              </w:rPr>
              <w:t>86</w:t>
            </w:r>
          </w:p>
        </w:tc>
      </w:tr>
      <w:tr w:rsidR="0034003B" w:rsidRPr="0034003B" w14:paraId="77844CDE" w14:textId="77777777" w:rsidTr="0034003B">
        <w:tc>
          <w:tcPr>
            <w:tcW w:w="648" w:type="dxa"/>
            <w:shd w:val="clear" w:color="auto" w:fill="auto"/>
          </w:tcPr>
          <w:p w14:paraId="518AD6BD" w14:textId="77777777" w:rsidR="0034003B" w:rsidRPr="0034003B" w:rsidRDefault="0034003B" w:rsidP="0034003B">
            <w:pPr>
              <w:spacing w:before="40" w:after="40" w:line="220" w:lineRule="atLeast"/>
              <w:rPr>
                <w:sz w:val="18"/>
                <w:szCs w:val="18"/>
              </w:rPr>
            </w:pPr>
            <w:r w:rsidRPr="0034003B">
              <w:rPr>
                <w:sz w:val="18"/>
                <w:szCs w:val="18"/>
                <w:lang w:val="fr-FR"/>
              </w:rPr>
              <w:t>2018</w:t>
            </w:r>
          </w:p>
        </w:tc>
        <w:tc>
          <w:tcPr>
            <w:tcW w:w="325" w:type="dxa"/>
            <w:shd w:val="clear" w:color="auto" w:fill="auto"/>
            <w:tcMar>
              <w:right w:w="28" w:type="dxa"/>
            </w:tcMar>
            <w:vAlign w:val="bottom"/>
          </w:tcPr>
          <w:p w14:paraId="565CE3A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44976DF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0061875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38914DA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395CB29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343D536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53" w:type="dxa"/>
            <w:shd w:val="clear" w:color="auto" w:fill="auto"/>
            <w:tcMar>
              <w:right w:w="28" w:type="dxa"/>
            </w:tcMar>
            <w:vAlign w:val="bottom"/>
          </w:tcPr>
          <w:p w14:paraId="2FB587DC" w14:textId="77777777" w:rsidR="0034003B" w:rsidRPr="0034003B" w:rsidRDefault="0034003B" w:rsidP="0034003B">
            <w:pPr>
              <w:spacing w:before="40" w:after="40" w:line="220" w:lineRule="atLeast"/>
              <w:jc w:val="right"/>
              <w:rPr>
                <w:sz w:val="18"/>
                <w:szCs w:val="18"/>
              </w:rPr>
            </w:pPr>
            <w:r w:rsidRPr="0034003B">
              <w:rPr>
                <w:sz w:val="18"/>
                <w:szCs w:val="18"/>
                <w:lang w:val="fr-FR"/>
              </w:rPr>
              <w:t>9</w:t>
            </w:r>
          </w:p>
        </w:tc>
        <w:tc>
          <w:tcPr>
            <w:tcW w:w="356" w:type="dxa"/>
            <w:shd w:val="clear" w:color="auto" w:fill="auto"/>
            <w:tcMar>
              <w:right w:w="28" w:type="dxa"/>
            </w:tcMar>
            <w:vAlign w:val="bottom"/>
          </w:tcPr>
          <w:p w14:paraId="6229DCE9"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429" w:type="dxa"/>
            <w:shd w:val="clear" w:color="auto" w:fill="auto"/>
            <w:tcMar>
              <w:right w:w="28" w:type="dxa"/>
            </w:tcMar>
            <w:vAlign w:val="bottom"/>
          </w:tcPr>
          <w:p w14:paraId="7B0CB640" w14:textId="77777777" w:rsidR="0034003B" w:rsidRPr="0034003B" w:rsidRDefault="0034003B" w:rsidP="0034003B">
            <w:pPr>
              <w:spacing w:before="40" w:after="40" w:line="220" w:lineRule="atLeast"/>
              <w:jc w:val="right"/>
              <w:rPr>
                <w:sz w:val="18"/>
                <w:szCs w:val="18"/>
              </w:rPr>
            </w:pPr>
            <w:r w:rsidRPr="0034003B">
              <w:rPr>
                <w:sz w:val="18"/>
                <w:szCs w:val="18"/>
                <w:lang w:val="fr-FR"/>
              </w:rPr>
              <w:t>14</w:t>
            </w:r>
          </w:p>
        </w:tc>
        <w:tc>
          <w:tcPr>
            <w:tcW w:w="567" w:type="dxa"/>
            <w:shd w:val="clear" w:color="auto" w:fill="auto"/>
            <w:tcMar>
              <w:right w:w="28" w:type="dxa"/>
            </w:tcMar>
            <w:vAlign w:val="bottom"/>
          </w:tcPr>
          <w:p w14:paraId="31B8ACC3" w14:textId="77777777" w:rsidR="0034003B" w:rsidRPr="0034003B" w:rsidRDefault="0034003B" w:rsidP="0034003B">
            <w:pPr>
              <w:spacing w:before="40" w:after="40" w:line="220" w:lineRule="atLeast"/>
              <w:jc w:val="right"/>
              <w:rPr>
                <w:sz w:val="18"/>
                <w:szCs w:val="18"/>
              </w:rPr>
            </w:pPr>
            <w:r w:rsidRPr="0034003B">
              <w:rPr>
                <w:sz w:val="18"/>
                <w:szCs w:val="18"/>
                <w:lang w:val="fr-FR"/>
              </w:rPr>
              <w:t>50</w:t>
            </w:r>
          </w:p>
        </w:tc>
        <w:tc>
          <w:tcPr>
            <w:tcW w:w="283" w:type="dxa"/>
            <w:shd w:val="clear" w:color="auto" w:fill="auto"/>
            <w:tcMar>
              <w:right w:w="28" w:type="dxa"/>
            </w:tcMar>
            <w:vAlign w:val="bottom"/>
          </w:tcPr>
          <w:p w14:paraId="14C883E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05" w:type="dxa"/>
            <w:shd w:val="clear" w:color="auto" w:fill="auto"/>
            <w:tcMar>
              <w:right w:w="28" w:type="dxa"/>
            </w:tcMar>
            <w:vAlign w:val="bottom"/>
          </w:tcPr>
          <w:p w14:paraId="6B788D8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7" w:type="dxa"/>
            <w:shd w:val="clear" w:color="auto" w:fill="auto"/>
            <w:vAlign w:val="bottom"/>
          </w:tcPr>
          <w:p w14:paraId="0AD9793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tcMar>
              <w:right w:w="28" w:type="dxa"/>
            </w:tcMar>
            <w:vAlign w:val="bottom"/>
          </w:tcPr>
          <w:p w14:paraId="540CD7E0"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83" w:type="dxa"/>
            <w:shd w:val="clear" w:color="auto" w:fill="auto"/>
            <w:tcMar>
              <w:right w:w="28" w:type="dxa"/>
            </w:tcMar>
            <w:vAlign w:val="bottom"/>
          </w:tcPr>
          <w:p w14:paraId="0BC2877E" w14:textId="77777777" w:rsidR="0034003B" w:rsidRPr="0034003B" w:rsidRDefault="0034003B" w:rsidP="0034003B">
            <w:pPr>
              <w:spacing w:before="40" w:after="40" w:line="220" w:lineRule="atLeast"/>
              <w:jc w:val="right"/>
              <w:rPr>
                <w:sz w:val="18"/>
                <w:szCs w:val="18"/>
              </w:rPr>
            </w:pPr>
            <w:r w:rsidRPr="0034003B">
              <w:rPr>
                <w:sz w:val="18"/>
                <w:szCs w:val="18"/>
                <w:lang w:val="fr-FR"/>
              </w:rPr>
              <w:t>42</w:t>
            </w:r>
          </w:p>
        </w:tc>
        <w:tc>
          <w:tcPr>
            <w:tcW w:w="325" w:type="dxa"/>
            <w:shd w:val="clear" w:color="auto" w:fill="auto"/>
            <w:tcMar>
              <w:right w:w="28" w:type="dxa"/>
            </w:tcMar>
            <w:vAlign w:val="bottom"/>
          </w:tcPr>
          <w:p w14:paraId="40D49B7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32" w:type="dxa"/>
            <w:shd w:val="clear" w:color="auto" w:fill="auto"/>
            <w:vAlign w:val="bottom"/>
          </w:tcPr>
          <w:p w14:paraId="375C9133"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6" w:type="dxa"/>
            <w:shd w:val="clear" w:color="auto" w:fill="auto"/>
            <w:vAlign w:val="bottom"/>
          </w:tcPr>
          <w:p w14:paraId="753B261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vAlign w:val="bottom"/>
          </w:tcPr>
          <w:p w14:paraId="79324FD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shd w:val="clear" w:color="auto" w:fill="auto"/>
            <w:tcMar>
              <w:right w:w="28" w:type="dxa"/>
            </w:tcMar>
            <w:vAlign w:val="bottom"/>
          </w:tcPr>
          <w:p w14:paraId="1A2F0B5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4" w:type="dxa"/>
            <w:shd w:val="clear" w:color="auto" w:fill="auto"/>
            <w:vAlign w:val="bottom"/>
          </w:tcPr>
          <w:p w14:paraId="19D2965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3EDD847B" w14:textId="77777777" w:rsidR="0034003B" w:rsidRPr="0034003B" w:rsidRDefault="0034003B" w:rsidP="0034003B">
            <w:pPr>
              <w:spacing w:before="40" w:after="40" w:line="220" w:lineRule="atLeast"/>
              <w:jc w:val="right"/>
              <w:rPr>
                <w:sz w:val="18"/>
                <w:szCs w:val="18"/>
              </w:rPr>
            </w:pPr>
            <w:r w:rsidRPr="0034003B">
              <w:rPr>
                <w:sz w:val="18"/>
                <w:szCs w:val="18"/>
                <w:lang w:val="fr-FR"/>
              </w:rPr>
              <w:t>2</w:t>
            </w:r>
          </w:p>
        </w:tc>
        <w:tc>
          <w:tcPr>
            <w:tcW w:w="425" w:type="dxa"/>
            <w:shd w:val="clear" w:color="auto" w:fill="auto"/>
            <w:tcMar>
              <w:right w:w="28" w:type="dxa"/>
            </w:tcMar>
            <w:vAlign w:val="bottom"/>
          </w:tcPr>
          <w:p w14:paraId="5330417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7D4C69D0" w14:textId="77777777" w:rsidR="0034003B" w:rsidRPr="0034003B" w:rsidRDefault="0034003B" w:rsidP="0034003B">
            <w:pPr>
              <w:spacing w:before="40" w:after="40" w:line="220" w:lineRule="atLeast"/>
              <w:jc w:val="right"/>
              <w:rPr>
                <w:sz w:val="18"/>
                <w:szCs w:val="18"/>
              </w:rPr>
            </w:pPr>
            <w:r w:rsidRPr="0034003B">
              <w:rPr>
                <w:sz w:val="18"/>
                <w:szCs w:val="18"/>
                <w:lang w:val="fr-FR"/>
              </w:rPr>
              <w:t>118</w:t>
            </w:r>
          </w:p>
        </w:tc>
      </w:tr>
      <w:tr w:rsidR="0034003B" w:rsidRPr="0034003B" w14:paraId="5C7B5A1A" w14:textId="77777777" w:rsidTr="0034003B">
        <w:tc>
          <w:tcPr>
            <w:tcW w:w="648" w:type="dxa"/>
            <w:shd w:val="clear" w:color="auto" w:fill="auto"/>
          </w:tcPr>
          <w:p w14:paraId="2985C7AD" w14:textId="77777777" w:rsidR="0034003B" w:rsidRPr="0034003B" w:rsidRDefault="0034003B" w:rsidP="0034003B">
            <w:pPr>
              <w:spacing w:before="40" w:after="40" w:line="220" w:lineRule="atLeast"/>
              <w:rPr>
                <w:sz w:val="18"/>
                <w:szCs w:val="18"/>
              </w:rPr>
            </w:pPr>
            <w:r w:rsidRPr="0034003B">
              <w:rPr>
                <w:sz w:val="18"/>
                <w:szCs w:val="18"/>
                <w:lang w:val="fr-FR"/>
              </w:rPr>
              <w:t>2019</w:t>
            </w:r>
          </w:p>
        </w:tc>
        <w:tc>
          <w:tcPr>
            <w:tcW w:w="325" w:type="dxa"/>
            <w:shd w:val="clear" w:color="auto" w:fill="auto"/>
            <w:tcMar>
              <w:right w:w="28" w:type="dxa"/>
            </w:tcMar>
            <w:vAlign w:val="bottom"/>
          </w:tcPr>
          <w:p w14:paraId="0C4A086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0F30EEA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6340159E"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23" w:type="dxa"/>
            <w:shd w:val="clear" w:color="auto" w:fill="auto"/>
            <w:tcMar>
              <w:right w:w="28" w:type="dxa"/>
            </w:tcMar>
            <w:vAlign w:val="bottom"/>
          </w:tcPr>
          <w:p w14:paraId="2C8A3AE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4E023DA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47032C8B" w14:textId="77777777" w:rsidR="0034003B" w:rsidRPr="0034003B" w:rsidRDefault="0034003B" w:rsidP="0034003B">
            <w:pPr>
              <w:spacing w:before="40" w:after="40" w:line="220" w:lineRule="atLeast"/>
              <w:jc w:val="right"/>
              <w:rPr>
                <w:sz w:val="18"/>
                <w:szCs w:val="18"/>
              </w:rPr>
            </w:pPr>
            <w:r w:rsidRPr="0034003B">
              <w:rPr>
                <w:sz w:val="18"/>
                <w:szCs w:val="18"/>
                <w:lang w:val="fr-FR"/>
              </w:rPr>
              <w:t>2</w:t>
            </w:r>
          </w:p>
        </w:tc>
        <w:tc>
          <w:tcPr>
            <w:tcW w:w="453" w:type="dxa"/>
            <w:shd w:val="clear" w:color="auto" w:fill="auto"/>
            <w:tcMar>
              <w:right w:w="28" w:type="dxa"/>
            </w:tcMar>
            <w:vAlign w:val="bottom"/>
          </w:tcPr>
          <w:p w14:paraId="5FD0AF47" w14:textId="77777777" w:rsidR="0034003B" w:rsidRPr="0034003B" w:rsidRDefault="0034003B" w:rsidP="0034003B">
            <w:pPr>
              <w:spacing w:before="40" w:after="40" w:line="220" w:lineRule="atLeast"/>
              <w:jc w:val="right"/>
              <w:rPr>
                <w:sz w:val="18"/>
                <w:szCs w:val="18"/>
              </w:rPr>
            </w:pPr>
            <w:r w:rsidRPr="0034003B">
              <w:rPr>
                <w:sz w:val="18"/>
                <w:szCs w:val="18"/>
                <w:lang w:val="fr-FR"/>
              </w:rPr>
              <w:t>3</w:t>
            </w:r>
          </w:p>
        </w:tc>
        <w:tc>
          <w:tcPr>
            <w:tcW w:w="356" w:type="dxa"/>
            <w:shd w:val="clear" w:color="auto" w:fill="auto"/>
            <w:tcMar>
              <w:right w:w="28" w:type="dxa"/>
            </w:tcMar>
            <w:vAlign w:val="bottom"/>
          </w:tcPr>
          <w:p w14:paraId="63E12E60" w14:textId="77777777" w:rsidR="0034003B" w:rsidRPr="0034003B" w:rsidRDefault="0034003B" w:rsidP="0034003B">
            <w:pPr>
              <w:spacing w:before="40" w:after="40" w:line="220" w:lineRule="atLeast"/>
              <w:jc w:val="right"/>
              <w:rPr>
                <w:sz w:val="18"/>
                <w:szCs w:val="18"/>
              </w:rPr>
            </w:pPr>
            <w:r w:rsidRPr="0034003B">
              <w:rPr>
                <w:sz w:val="18"/>
                <w:szCs w:val="18"/>
                <w:lang w:val="fr-FR"/>
              </w:rPr>
              <w:t>3</w:t>
            </w:r>
          </w:p>
        </w:tc>
        <w:tc>
          <w:tcPr>
            <w:tcW w:w="429" w:type="dxa"/>
            <w:shd w:val="clear" w:color="auto" w:fill="auto"/>
            <w:tcMar>
              <w:right w:w="28" w:type="dxa"/>
            </w:tcMar>
            <w:vAlign w:val="bottom"/>
          </w:tcPr>
          <w:p w14:paraId="50BD152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00E26CAB" w14:textId="77777777" w:rsidR="0034003B" w:rsidRPr="0034003B" w:rsidRDefault="0034003B" w:rsidP="0034003B">
            <w:pPr>
              <w:spacing w:before="40" w:after="40" w:line="220" w:lineRule="atLeast"/>
              <w:jc w:val="right"/>
              <w:rPr>
                <w:sz w:val="18"/>
                <w:szCs w:val="18"/>
              </w:rPr>
            </w:pPr>
            <w:r w:rsidRPr="0034003B">
              <w:rPr>
                <w:sz w:val="18"/>
                <w:szCs w:val="18"/>
                <w:lang w:val="fr-FR"/>
              </w:rPr>
              <w:t>226</w:t>
            </w:r>
          </w:p>
        </w:tc>
        <w:tc>
          <w:tcPr>
            <w:tcW w:w="283" w:type="dxa"/>
            <w:shd w:val="clear" w:color="auto" w:fill="auto"/>
            <w:tcMar>
              <w:right w:w="28" w:type="dxa"/>
            </w:tcMar>
            <w:vAlign w:val="bottom"/>
          </w:tcPr>
          <w:p w14:paraId="096F7F4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05" w:type="dxa"/>
            <w:shd w:val="clear" w:color="auto" w:fill="auto"/>
            <w:tcMar>
              <w:right w:w="28" w:type="dxa"/>
            </w:tcMar>
            <w:vAlign w:val="bottom"/>
          </w:tcPr>
          <w:p w14:paraId="15720E73" w14:textId="77777777" w:rsidR="0034003B" w:rsidRPr="0034003B" w:rsidRDefault="0034003B" w:rsidP="0034003B">
            <w:pPr>
              <w:spacing w:before="40" w:after="40" w:line="220" w:lineRule="atLeast"/>
              <w:jc w:val="right"/>
              <w:rPr>
                <w:sz w:val="18"/>
                <w:szCs w:val="18"/>
              </w:rPr>
            </w:pPr>
            <w:r w:rsidRPr="0034003B">
              <w:rPr>
                <w:sz w:val="18"/>
                <w:szCs w:val="18"/>
                <w:lang w:val="fr-FR"/>
              </w:rPr>
              <w:t>2</w:t>
            </w:r>
          </w:p>
        </w:tc>
        <w:tc>
          <w:tcPr>
            <w:tcW w:w="357" w:type="dxa"/>
            <w:shd w:val="clear" w:color="auto" w:fill="auto"/>
            <w:vAlign w:val="bottom"/>
          </w:tcPr>
          <w:p w14:paraId="53A12057"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tcMar>
              <w:right w:w="28" w:type="dxa"/>
            </w:tcMar>
            <w:vAlign w:val="bottom"/>
          </w:tcPr>
          <w:p w14:paraId="6762818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83" w:type="dxa"/>
            <w:shd w:val="clear" w:color="auto" w:fill="auto"/>
            <w:tcMar>
              <w:right w:w="28" w:type="dxa"/>
            </w:tcMar>
            <w:vAlign w:val="bottom"/>
          </w:tcPr>
          <w:p w14:paraId="49103159" w14:textId="77777777" w:rsidR="0034003B" w:rsidRPr="0034003B" w:rsidRDefault="0034003B" w:rsidP="0034003B">
            <w:pPr>
              <w:spacing w:before="40" w:after="40" w:line="220" w:lineRule="atLeast"/>
              <w:jc w:val="right"/>
              <w:rPr>
                <w:sz w:val="18"/>
                <w:szCs w:val="18"/>
              </w:rPr>
            </w:pPr>
            <w:r w:rsidRPr="0034003B">
              <w:rPr>
                <w:sz w:val="18"/>
                <w:szCs w:val="18"/>
                <w:lang w:val="fr-FR"/>
              </w:rPr>
              <w:t>10</w:t>
            </w:r>
          </w:p>
        </w:tc>
        <w:tc>
          <w:tcPr>
            <w:tcW w:w="325" w:type="dxa"/>
            <w:shd w:val="clear" w:color="auto" w:fill="auto"/>
            <w:tcMar>
              <w:right w:w="28" w:type="dxa"/>
            </w:tcMar>
            <w:vAlign w:val="bottom"/>
          </w:tcPr>
          <w:p w14:paraId="0D41EF3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32" w:type="dxa"/>
            <w:shd w:val="clear" w:color="auto" w:fill="auto"/>
            <w:vAlign w:val="bottom"/>
          </w:tcPr>
          <w:p w14:paraId="3583AAB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6" w:type="dxa"/>
            <w:shd w:val="clear" w:color="auto" w:fill="auto"/>
            <w:vAlign w:val="bottom"/>
          </w:tcPr>
          <w:p w14:paraId="1738E0C3"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vAlign w:val="bottom"/>
          </w:tcPr>
          <w:p w14:paraId="7C1347B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shd w:val="clear" w:color="auto" w:fill="auto"/>
            <w:tcMar>
              <w:right w:w="28" w:type="dxa"/>
            </w:tcMar>
            <w:vAlign w:val="bottom"/>
          </w:tcPr>
          <w:p w14:paraId="0AB438F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4" w:type="dxa"/>
            <w:shd w:val="clear" w:color="auto" w:fill="auto"/>
            <w:vAlign w:val="bottom"/>
          </w:tcPr>
          <w:p w14:paraId="3EFB0A37"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3FC3C4A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tcMar>
              <w:right w:w="28" w:type="dxa"/>
            </w:tcMar>
            <w:vAlign w:val="bottom"/>
          </w:tcPr>
          <w:p w14:paraId="545D4C35"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567" w:type="dxa"/>
            <w:shd w:val="clear" w:color="auto" w:fill="auto"/>
            <w:tcMar>
              <w:right w:w="28" w:type="dxa"/>
            </w:tcMar>
            <w:vAlign w:val="bottom"/>
          </w:tcPr>
          <w:p w14:paraId="1A4176E8" w14:textId="77777777" w:rsidR="0034003B" w:rsidRPr="0034003B" w:rsidRDefault="0034003B" w:rsidP="0034003B">
            <w:pPr>
              <w:spacing w:before="40" w:after="40" w:line="220" w:lineRule="atLeast"/>
              <w:jc w:val="right"/>
              <w:rPr>
                <w:sz w:val="18"/>
                <w:szCs w:val="18"/>
              </w:rPr>
            </w:pPr>
            <w:r w:rsidRPr="0034003B">
              <w:rPr>
                <w:sz w:val="18"/>
                <w:szCs w:val="18"/>
                <w:lang w:val="fr-FR"/>
              </w:rPr>
              <w:t>248</w:t>
            </w:r>
          </w:p>
        </w:tc>
      </w:tr>
      <w:tr w:rsidR="0034003B" w:rsidRPr="0034003B" w14:paraId="383EE0B0" w14:textId="77777777" w:rsidTr="0034003B">
        <w:tc>
          <w:tcPr>
            <w:tcW w:w="648" w:type="dxa"/>
            <w:shd w:val="clear" w:color="auto" w:fill="auto"/>
          </w:tcPr>
          <w:p w14:paraId="033C7DA7" w14:textId="77777777" w:rsidR="0034003B" w:rsidRPr="0034003B" w:rsidRDefault="0034003B" w:rsidP="0034003B">
            <w:pPr>
              <w:spacing w:before="40" w:after="40" w:line="220" w:lineRule="atLeast"/>
              <w:rPr>
                <w:sz w:val="18"/>
                <w:szCs w:val="18"/>
              </w:rPr>
            </w:pPr>
            <w:r w:rsidRPr="0034003B">
              <w:rPr>
                <w:sz w:val="18"/>
                <w:szCs w:val="18"/>
                <w:lang w:val="fr-FR"/>
              </w:rPr>
              <w:t>2020</w:t>
            </w:r>
          </w:p>
        </w:tc>
        <w:tc>
          <w:tcPr>
            <w:tcW w:w="325" w:type="dxa"/>
            <w:shd w:val="clear" w:color="auto" w:fill="auto"/>
            <w:tcMar>
              <w:right w:w="28" w:type="dxa"/>
            </w:tcMar>
            <w:vAlign w:val="bottom"/>
          </w:tcPr>
          <w:p w14:paraId="42AD19DA"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23" w:type="dxa"/>
            <w:shd w:val="clear" w:color="auto" w:fill="auto"/>
            <w:tcMar>
              <w:right w:w="28" w:type="dxa"/>
            </w:tcMar>
            <w:vAlign w:val="bottom"/>
          </w:tcPr>
          <w:p w14:paraId="05C5A42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0A37427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shd w:val="clear" w:color="auto" w:fill="auto"/>
            <w:tcMar>
              <w:right w:w="28" w:type="dxa"/>
            </w:tcMar>
            <w:vAlign w:val="bottom"/>
          </w:tcPr>
          <w:p w14:paraId="04FE727B"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shd w:val="clear" w:color="auto" w:fill="auto"/>
            <w:vAlign w:val="bottom"/>
          </w:tcPr>
          <w:p w14:paraId="307A8D96"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23" w:type="dxa"/>
            <w:shd w:val="clear" w:color="auto" w:fill="auto"/>
            <w:tcMar>
              <w:right w:w="28" w:type="dxa"/>
            </w:tcMar>
            <w:vAlign w:val="bottom"/>
          </w:tcPr>
          <w:p w14:paraId="6896701B"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453" w:type="dxa"/>
            <w:shd w:val="clear" w:color="auto" w:fill="auto"/>
            <w:tcMar>
              <w:right w:w="28" w:type="dxa"/>
            </w:tcMar>
            <w:vAlign w:val="bottom"/>
          </w:tcPr>
          <w:p w14:paraId="6E57B9FC" w14:textId="77777777" w:rsidR="0034003B" w:rsidRPr="0034003B" w:rsidRDefault="0034003B" w:rsidP="0034003B">
            <w:pPr>
              <w:spacing w:before="40" w:after="40" w:line="220" w:lineRule="atLeast"/>
              <w:jc w:val="right"/>
              <w:rPr>
                <w:sz w:val="18"/>
                <w:szCs w:val="18"/>
              </w:rPr>
            </w:pPr>
            <w:r w:rsidRPr="0034003B">
              <w:rPr>
                <w:sz w:val="18"/>
                <w:szCs w:val="18"/>
                <w:lang w:val="fr-FR"/>
              </w:rPr>
              <w:t>2</w:t>
            </w:r>
          </w:p>
        </w:tc>
        <w:tc>
          <w:tcPr>
            <w:tcW w:w="356" w:type="dxa"/>
            <w:shd w:val="clear" w:color="auto" w:fill="auto"/>
            <w:tcMar>
              <w:right w:w="28" w:type="dxa"/>
            </w:tcMar>
            <w:vAlign w:val="bottom"/>
          </w:tcPr>
          <w:p w14:paraId="3686F44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9" w:type="dxa"/>
            <w:shd w:val="clear" w:color="auto" w:fill="auto"/>
            <w:tcMar>
              <w:right w:w="28" w:type="dxa"/>
            </w:tcMar>
            <w:vAlign w:val="bottom"/>
          </w:tcPr>
          <w:p w14:paraId="72553741" w14:textId="77777777" w:rsidR="0034003B" w:rsidRPr="0034003B" w:rsidRDefault="0034003B" w:rsidP="0034003B">
            <w:pPr>
              <w:spacing w:before="40" w:after="40" w:line="220" w:lineRule="atLeast"/>
              <w:jc w:val="right"/>
              <w:rPr>
                <w:sz w:val="18"/>
                <w:szCs w:val="18"/>
              </w:rPr>
            </w:pPr>
            <w:r w:rsidRPr="0034003B">
              <w:rPr>
                <w:sz w:val="18"/>
                <w:szCs w:val="18"/>
                <w:lang w:val="fr-FR"/>
              </w:rPr>
              <w:t>9</w:t>
            </w:r>
          </w:p>
        </w:tc>
        <w:tc>
          <w:tcPr>
            <w:tcW w:w="567" w:type="dxa"/>
            <w:shd w:val="clear" w:color="auto" w:fill="auto"/>
            <w:tcMar>
              <w:right w:w="28" w:type="dxa"/>
            </w:tcMar>
            <w:vAlign w:val="bottom"/>
          </w:tcPr>
          <w:p w14:paraId="4A35AA0E" w14:textId="77777777" w:rsidR="0034003B" w:rsidRPr="0034003B" w:rsidRDefault="0034003B" w:rsidP="0034003B">
            <w:pPr>
              <w:spacing w:before="40" w:after="40" w:line="220" w:lineRule="atLeast"/>
              <w:jc w:val="right"/>
              <w:rPr>
                <w:sz w:val="18"/>
                <w:szCs w:val="18"/>
              </w:rPr>
            </w:pPr>
            <w:r w:rsidRPr="0034003B">
              <w:rPr>
                <w:sz w:val="18"/>
                <w:szCs w:val="18"/>
                <w:lang w:val="fr-FR"/>
              </w:rPr>
              <w:t>103</w:t>
            </w:r>
          </w:p>
        </w:tc>
        <w:tc>
          <w:tcPr>
            <w:tcW w:w="283" w:type="dxa"/>
            <w:shd w:val="clear" w:color="auto" w:fill="auto"/>
            <w:tcMar>
              <w:right w:w="28" w:type="dxa"/>
            </w:tcMar>
            <w:vAlign w:val="bottom"/>
          </w:tcPr>
          <w:p w14:paraId="07C9B53A"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05" w:type="dxa"/>
            <w:shd w:val="clear" w:color="auto" w:fill="auto"/>
            <w:tcMar>
              <w:right w:w="28" w:type="dxa"/>
            </w:tcMar>
            <w:vAlign w:val="bottom"/>
          </w:tcPr>
          <w:p w14:paraId="603A3940"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7" w:type="dxa"/>
            <w:shd w:val="clear" w:color="auto" w:fill="auto"/>
            <w:vAlign w:val="bottom"/>
          </w:tcPr>
          <w:p w14:paraId="34B33B85"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324" w:type="dxa"/>
            <w:shd w:val="clear" w:color="auto" w:fill="auto"/>
            <w:tcMar>
              <w:right w:w="28" w:type="dxa"/>
            </w:tcMar>
            <w:vAlign w:val="bottom"/>
          </w:tcPr>
          <w:p w14:paraId="5AFF2D0A"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83" w:type="dxa"/>
            <w:shd w:val="clear" w:color="auto" w:fill="auto"/>
            <w:tcMar>
              <w:right w:w="28" w:type="dxa"/>
            </w:tcMar>
            <w:vAlign w:val="bottom"/>
          </w:tcPr>
          <w:p w14:paraId="0A6FBCAA" w14:textId="77777777" w:rsidR="0034003B" w:rsidRPr="0034003B" w:rsidRDefault="0034003B" w:rsidP="0034003B">
            <w:pPr>
              <w:spacing w:before="40" w:after="40" w:line="220" w:lineRule="atLeast"/>
              <w:jc w:val="right"/>
              <w:rPr>
                <w:sz w:val="18"/>
                <w:szCs w:val="18"/>
              </w:rPr>
            </w:pPr>
            <w:r w:rsidRPr="0034003B">
              <w:rPr>
                <w:sz w:val="18"/>
                <w:szCs w:val="18"/>
                <w:lang w:val="fr-FR"/>
              </w:rPr>
              <w:t>57</w:t>
            </w:r>
          </w:p>
        </w:tc>
        <w:tc>
          <w:tcPr>
            <w:tcW w:w="325" w:type="dxa"/>
            <w:shd w:val="clear" w:color="auto" w:fill="auto"/>
            <w:tcMar>
              <w:right w:w="28" w:type="dxa"/>
            </w:tcMar>
            <w:vAlign w:val="bottom"/>
          </w:tcPr>
          <w:p w14:paraId="7BA58C0A"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32" w:type="dxa"/>
            <w:shd w:val="clear" w:color="auto" w:fill="auto"/>
            <w:vAlign w:val="bottom"/>
          </w:tcPr>
          <w:p w14:paraId="18FA4403"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426" w:type="dxa"/>
            <w:shd w:val="clear" w:color="auto" w:fill="auto"/>
            <w:vAlign w:val="bottom"/>
          </w:tcPr>
          <w:p w14:paraId="540FDB9D"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shd w:val="clear" w:color="auto" w:fill="auto"/>
            <w:vAlign w:val="bottom"/>
          </w:tcPr>
          <w:p w14:paraId="7F68FC89" w14:textId="77777777" w:rsidR="0034003B" w:rsidRPr="0034003B" w:rsidRDefault="0034003B" w:rsidP="0034003B">
            <w:pPr>
              <w:spacing w:before="40" w:after="40" w:line="220" w:lineRule="atLeast"/>
              <w:jc w:val="right"/>
              <w:rPr>
                <w:sz w:val="18"/>
                <w:szCs w:val="18"/>
              </w:rPr>
            </w:pPr>
            <w:r w:rsidRPr="0034003B">
              <w:rPr>
                <w:sz w:val="18"/>
                <w:szCs w:val="18"/>
                <w:lang w:val="fr-FR"/>
              </w:rPr>
              <w:t>14</w:t>
            </w:r>
          </w:p>
        </w:tc>
        <w:tc>
          <w:tcPr>
            <w:tcW w:w="283" w:type="dxa"/>
            <w:shd w:val="clear" w:color="auto" w:fill="auto"/>
            <w:tcMar>
              <w:right w:w="28" w:type="dxa"/>
            </w:tcMar>
            <w:vAlign w:val="bottom"/>
          </w:tcPr>
          <w:p w14:paraId="79AD0030"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4" w:type="dxa"/>
            <w:shd w:val="clear" w:color="auto" w:fill="auto"/>
            <w:vAlign w:val="bottom"/>
          </w:tcPr>
          <w:p w14:paraId="7CED2B58"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425" w:type="dxa"/>
            <w:shd w:val="clear" w:color="auto" w:fill="auto"/>
            <w:tcMar>
              <w:right w:w="28" w:type="dxa"/>
            </w:tcMar>
            <w:vAlign w:val="bottom"/>
          </w:tcPr>
          <w:p w14:paraId="31A4BD31"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425" w:type="dxa"/>
            <w:shd w:val="clear" w:color="auto" w:fill="auto"/>
            <w:tcMar>
              <w:right w:w="28" w:type="dxa"/>
            </w:tcMar>
            <w:vAlign w:val="bottom"/>
          </w:tcPr>
          <w:p w14:paraId="17FABBC6"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shd w:val="clear" w:color="auto" w:fill="auto"/>
            <w:tcMar>
              <w:right w:w="28" w:type="dxa"/>
            </w:tcMar>
            <w:vAlign w:val="bottom"/>
          </w:tcPr>
          <w:p w14:paraId="09024C89" w14:textId="77777777" w:rsidR="0034003B" w:rsidRPr="0034003B" w:rsidRDefault="0034003B" w:rsidP="0034003B">
            <w:pPr>
              <w:spacing w:before="40" w:after="40" w:line="220" w:lineRule="atLeast"/>
              <w:jc w:val="right"/>
              <w:rPr>
                <w:sz w:val="18"/>
                <w:szCs w:val="18"/>
              </w:rPr>
            </w:pPr>
            <w:r w:rsidRPr="0034003B">
              <w:rPr>
                <w:sz w:val="18"/>
                <w:szCs w:val="18"/>
                <w:lang w:val="fr-FR"/>
              </w:rPr>
              <w:t>192</w:t>
            </w:r>
          </w:p>
        </w:tc>
      </w:tr>
      <w:tr w:rsidR="0034003B" w:rsidRPr="0034003B" w14:paraId="79335DA0" w14:textId="77777777" w:rsidTr="0034003B">
        <w:tc>
          <w:tcPr>
            <w:tcW w:w="648" w:type="dxa"/>
            <w:tcBorders>
              <w:bottom w:val="single" w:sz="4" w:space="0" w:color="auto"/>
            </w:tcBorders>
            <w:shd w:val="clear" w:color="auto" w:fill="auto"/>
          </w:tcPr>
          <w:p w14:paraId="5F3E8D43" w14:textId="77777777" w:rsidR="0034003B" w:rsidRPr="0034003B" w:rsidRDefault="0034003B" w:rsidP="0034003B">
            <w:pPr>
              <w:spacing w:before="40" w:after="40" w:line="220" w:lineRule="atLeast"/>
              <w:rPr>
                <w:sz w:val="18"/>
                <w:szCs w:val="18"/>
              </w:rPr>
            </w:pPr>
            <w:r w:rsidRPr="0034003B">
              <w:rPr>
                <w:sz w:val="18"/>
                <w:szCs w:val="18"/>
              </w:rPr>
              <w:t>2021</w:t>
            </w:r>
            <w:r w:rsidRPr="0034003B">
              <w:rPr>
                <w:i/>
                <w:sz w:val="18"/>
                <w:szCs w:val="18"/>
                <w:vertAlign w:val="superscript"/>
              </w:rPr>
              <w:t>a</w:t>
            </w:r>
          </w:p>
        </w:tc>
        <w:tc>
          <w:tcPr>
            <w:tcW w:w="325" w:type="dxa"/>
            <w:tcBorders>
              <w:bottom w:val="single" w:sz="4" w:space="0" w:color="auto"/>
            </w:tcBorders>
            <w:shd w:val="clear" w:color="auto" w:fill="auto"/>
            <w:tcMar>
              <w:right w:w="28" w:type="dxa"/>
            </w:tcMar>
            <w:vAlign w:val="bottom"/>
          </w:tcPr>
          <w:p w14:paraId="7DBE2E8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tcBorders>
              <w:bottom w:val="single" w:sz="4" w:space="0" w:color="auto"/>
            </w:tcBorders>
            <w:shd w:val="clear" w:color="auto" w:fill="auto"/>
            <w:tcMar>
              <w:right w:w="28" w:type="dxa"/>
            </w:tcMar>
            <w:vAlign w:val="bottom"/>
          </w:tcPr>
          <w:p w14:paraId="040D216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tcBorders>
              <w:bottom w:val="single" w:sz="4" w:space="0" w:color="auto"/>
            </w:tcBorders>
            <w:shd w:val="clear" w:color="auto" w:fill="auto"/>
            <w:vAlign w:val="bottom"/>
          </w:tcPr>
          <w:p w14:paraId="06C662C7"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tcBorders>
              <w:bottom w:val="single" w:sz="4" w:space="0" w:color="auto"/>
            </w:tcBorders>
            <w:shd w:val="clear" w:color="auto" w:fill="auto"/>
            <w:tcMar>
              <w:right w:w="28" w:type="dxa"/>
            </w:tcMar>
            <w:vAlign w:val="bottom"/>
          </w:tcPr>
          <w:p w14:paraId="03C82C4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tcBorders>
              <w:bottom w:val="single" w:sz="4" w:space="0" w:color="auto"/>
            </w:tcBorders>
            <w:shd w:val="clear" w:color="auto" w:fill="auto"/>
            <w:vAlign w:val="bottom"/>
          </w:tcPr>
          <w:p w14:paraId="3157A4A4"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3" w:type="dxa"/>
            <w:tcBorders>
              <w:bottom w:val="single" w:sz="4" w:space="0" w:color="auto"/>
            </w:tcBorders>
            <w:shd w:val="clear" w:color="auto" w:fill="auto"/>
            <w:tcMar>
              <w:right w:w="28" w:type="dxa"/>
            </w:tcMar>
            <w:vAlign w:val="bottom"/>
          </w:tcPr>
          <w:p w14:paraId="0A54034B"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53" w:type="dxa"/>
            <w:tcBorders>
              <w:bottom w:val="single" w:sz="4" w:space="0" w:color="auto"/>
            </w:tcBorders>
            <w:shd w:val="clear" w:color="auto" w:fill="auto"/>
            <w:tcMar>
              <w:right w:w="28" w:type="dxa"/>
            </w:tcMar>
            <w:vAlign w:val="bottom"/>
          </w:tcPr>
          <w:p w14:paraId="540F144F"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6" w:type="dxa"/>
            <w:tcBorders>
              <w:bottom w:val="single" w:sz="4" w:space="0" w:color="auto"/>
            </w:tcBorders>
            <w:shd w:val="clear" w:color="auto" w:fill="auto"/>
            <w:tcMar>
              <w:right w:w="28" w:type="dxa"/>
            </w:tcMar>
            <w:vAlign w:val="bottom"/>
          </w:tcPr>
          <w:p w14:paraId="618B0027"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9" w:type="dxa"/>
            <w:tcBorders>
              <w:bottom w:val="single" w:sz="4" w:space="0" w:color="auto"/>
            </w:tcBorders>
            <w:shd w:val="clear" w:color="auto" w:fill="auto"/>
            <w:tcMar>
              <w:right w:w="28" w:type="dxa"/>
            </w:tcMar>
            <w:vAlign w:val="bottom"/>
          </w:tcPr>
          <w:p w14:paraId="2C91AFC3" w14:textId="77777777" w:rsidR="0034003B" w:rsidRPr="0034003B" w:rsidRDefault="0034003B" w:rsidP="0034003B">
            <w:pPr>
              <w:spacing w:before="40" w:after="40" w:line="220" w:lineRule="atLeast"/>
              <w:jc w:val="right"/>
              <w:rPr>
                <w:sz w:val="18"/>
                <w:szCs w:val="18"/>
              </w:rPr>
            </w:pPr>
            <w:r w:rsidRPr="0034003B">
              <w:rPr>
                <w:sz w:val="18"/>
                <w:szCs w:val="18"/>
              </w:rPr>
              <w:t>1</w:t>
            </w:r>
          </w:p>
        </w:tc>
        <w:tc>
          <w:tcPr>
            <w:tcW w:w="567" w:type="dxa"/>
            <w:tcBorders>
              <w:bottom w:val="single" w:sz="4" w:space="0" w:color="auto"/>
            </w:tcBorders>
            <w:shd w:val="clear" w:color="auto" w:fill="auto"/>
            <w:tcMar>
              <w:right w:w="28" w:type="dxa"/>
            </w:tcMar>
            <w:vAlign w:val="bottom"/>
          </w:tcPr>
          <w:p w14:paraId="6C108C47" w14:textId="77777777" w:rsidR="0034003B" w:rsidRPr="0034003B" w:rsidRDefault="0034003B" w:rsidP="0034003B">
            <w:pPr>
              <w:spacing w:before="40" w:after="40" w:line="220" w:lineRule="atLeast"/>
              <w:jc w:val="right"/>
              <w:rPr>
                <w:sz w:val="18"/>
                <w:szCs w:val="18"/>
              </w:rPr>
            </w:pPr>
            <w:r w:rsidRPr="0034003B">
              <w:rPr>
                <w:sz w:val="18"/>
                <w:szCs w:val="18"/>
              </w:rPr>
              <w:t>1</w:t>
            </w:r>
          </w:p>
        </w:tc>
        <w:tc>
          <w:tcPr>
            <w:tcW w:w="283" w:type="dxa"/>
            <w:tcBorders>
              <w:bottom w:val="single" w:sz="4" w:space="0" w:color="auto"/>
            </w:tcBorders>
            <w:shd w:val="clear" w:color="auto" w:fill="auto"/>
            <w:tcMar>
              <w:right w:w="28" w:type="dxa"/>
            </w:tcMar>
            <w:vAlign w:val="bottom"/>
          </w:tcPr>
          <w:p w14:paraId="51E261B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05" w:type="dxa"/>
            <w:tcBorders>
              <w:bottom w:val="single" w:sz="4" w:space="0" w:color="auto"/>
            </w:tcBorders>
            <w:shd w:val="clear" w:color="auto" w:fill="auto"/>
            <w:tcMar>
              <w:right w:w="28" w:type="dxa"/>
            </w:tcMar>
            <w:vAlign w:val="bottom"/>
          </w:tcPr>
          <w:p w14:paraId="74CBDFA1"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57" w:type="dxa"/>
            <w:tcBorders>
              <w:bottom w:val="single" w:sz="4" w:space="0" w:color="auto"/>
            </w:tcBorders>
            <w:shd w:val="clear" w:color="auto" w:fill="auto"/>
            <w:vAlign w:val="bottom"/>
          </w:tcPr>
          <w:p w14:paraId="4C4F1322"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324" w:type="dxa"/>
            <w:tcBorders>
              <w:bottom w:val="single" w:sz="4" w:space="0" w:color="auto"/>
            </w:tcBorders>
            <w:shd w:val="clear" w:color="auto" w:fill="auto"/>
            <w:tcMar>
              <w:right w:w="28" w:type="dxa"/>
            </w:tcMar>
            <w:vAlign w:val="bottom"/>
          </w:tcPr>
          <w:p w14:paraId="109DCBB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83" w:type="dxa"/>
            <w:tcBorders>
              <w:bottom w:val="single" w:sz="4" w:space="0" w:color="auto"/>
            </w:tcBorders>
            <w:shd w:val="clear" w:color="auto" w:fill="auto"/>
            <w:tcMar>
              <w:right w:w="28" w:type="dxa"/>
            </w:tcMar>
            <w:vAlign w:val="bottom"/>
          </w:tcPr>
          <w:p w14:paraId="109C95C1" w14:textId="77777777" w:rsidR="0034003B" w:rsidRPr="0034003B" w:rsidRDefault="0034003B" w:rsidP="0034003B">
            <w:pPr>
              <w:spacing w:before="40" w:after="40" w:line="220" w:lineRule="atLeast"/>
              <w:jc w:val="right"/>
              <w:rPr>
                <w:sz w:val="18"/>
                <w:szCs w:val="18"/>
              </w:rPr>
            </w:pPr>
            <w:r w:rsidRPr="0034003B">
              <w:rPr>
                <w:sz w:val="18"/>
                <w:szCs w:val="18"/>
                <w:lang w:val="fr-FR"/>
              </w:rPr>
              <w:t>8</w:t>
            </w:r>
          </w:p>
        </w:tc>
        <w:tc>
          <w:tcPr>
            <w:tcW w:w="325" w:type="dxa"/>
            <w:tcBorders>
              <w:bottom w:val="single" w:sz="4" w:space="0" w:color="auto"/>
            </w:tcBorders>
            <w:shd w:val="clear" w:color="auto" w:fill="auto"/>
            <w:tcMar>
              <w:right w:w="28" w:type="dxa"/>
            </w:tcMar>
            <w:vAlign w:val="bottom"/>
          </w:tcPr>
          <w:p w14:paraId="6229CD06" w14:textId="77777777" w:rsidR="0034003B" w:rsidRPr="0034003B" w:rsidRDefault="0034003B" w:rsidP="0034003B">
            <w:pPr>
              <w:spacing w:before="40" w:after="40" w:line="220" w:lineRule="atLeast"/>
              <w:jc w:val="right"/>
              <w:rPr>
                <w:sz w:val="18"/>
                <w:szCs w:val="18"/>
              </w:rPr>
            </w:pPr>
            <w:r w:rsidRPr="0034003B">
              <w:rPr>
                <w:sz w:val="18"/>
                <w:szCs w:val="18"/>
              </w:rPr>
              <w:t>1</w:t>
            </w:r>
          </w:p>
        </w:tc>
        <w:tc>
          <w:tcPr>
            <w:tcW w:w="332" w:type="dxa"/>
            <w:tcBorders>
              <w:bottom w:val="single" w:sz="4" w:space="0" w:color="auto"/>
            </w:tcBorders>
            <w:shd w:val="clear" w:color="auto" w:fill="auto"/>
            <w:vAlign w:val="bottom"/>
          </w:tcPr>
          <w:p w14:paraId="78AB5D0E"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6" w:type="dxa"/>
            <w:tcBorders>
              <w:bottom w:val="single" w:sz="4" w:space="0" w:color="auto"/>
            </w:tcBorders>
            <w:shd w:val="clear" w:color="auto" w:fill="auto"/>
            <w:vAlign w:val="bottom"/>
          </w:tcPr>
          <w:p w14:paraId="611DE848" w14:textId="77777777" w:rsidR="0034003B" w:rsidRPr="0034003B" w:rsidRDefault="0034003B" w:rsidP="0034003B">
            <w:pPr>
              <w:spacing w:before="40" w:after="40" w:line="220" w:lineRule="atLeast"/>
              <w:jc w:val="right"/>
              <w:rPr>
                <w:sz w:val="18"/>
                <w:szCs w:val="18"/>
              </w:rPr>
            </w:pPr>
            <w:r w:rsidRPr="0034003B">
              <w:rPr>
                <w:sz w:val="18"/>
                <w:szCs w:val="18"/>
                <w:lang w:val="fr-FR"/>
              </w:rPr>
              <w:t>1</w:t>
            </w:r>
          </w:p>
        </w:tc>
        <w:tc>
          <w:tcPr>
            <w:tcW w:w="425" w:type="dxa"/>
            <w:tcBorders>
              <w:bottom w:val="single" w:sz="4" w:space="0" w:color="auto"/>
            </w:tcBorders>
            <w:shd w:val="clear" w:color="auto" w:fill="auto"/>
            <w:vAlign w:val="bottom"/>
          </w:tcPr>
          <w:p w14:paraId="5364F848"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3" w:type="dxa"/>
            <w:tcBorders>
              <w:bottom w:val="single" w:sz="4" w:space="0" w:color="auto"/>
            </w:tcBorders>
            <w:shd w:val="clear" w:color="auto" w:fill="auto"/>
            <w:tcMar>
              <w:right w:w="28" w:type="dxa"/>
            </w:tcMar>
            <w:vAlign w:val="bottom"/>
          </w:tcPr>
          <w:p w14:paraId="6395D21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284" w:type="dxa"/>
            <w:tcBorders>
              <w:bottom w:val="single" w:sz="4" w:space="0" w:color="auto"/>
            </w:tcBorders>
            <w:shd w:val="clear" w:color="auto" w:fill="auto"/>
            <w:vAlign w:val="bottom"/>
          </w:tcPr>
          <w:p w14:paraId="05A9F129"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tcBorders>
              <w:bottom w:val="single" w:sz="4" w:space="0" w:color="auto"/>
            </w:tcBorders>
            <w:shd w:val="clear" w:color="auto" w:fill="auto"/>
            <w:tcMar>
              <w:right w:w="28" w:type="dxa"/>
            </w:tcMar>
            <w:vAlign w:val="bottom"/>
          </w:tcPr>
          <w:p w14:paraId="639570D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425" w:type="dxa"/>
            <w:tcBorders>
              <w:bottom w:val="single" w:sz="4" w:space="0" w:color="auto"/>
            </w:tcBorders>
            <w:shd w:val="clear" w:color="auto" w:fill="auto"/>
            <w:tcMar>
              <w:right w:w="28" w:type="dxa"/>
            </w:tcMar>
            <w:vAlign w:val="bottom"/>
          </w:tcPr>
          <w:p w14:paraId="77168B65" w14:textId="77777777" w:rsidR="0034003B" w:rsidRPr="0034003B" w:rsidRDefault="0034003B" w:rsidP="0034003B">
            <w:pPr>
              <w:spacing w:before="40" w:after="40" w:line="220" w:lineRule="atLeast"/>
              <w:jc w:val="right"/>
              <w:rPr>
                <w:sz w:val="18"/>
                <w:szCs w:val="18"/>
              </w:rPr>
            </w:pPr>
            <w:r w:rsidRPr="0034003B">
              <w:rPr>
                <w:sz w:val="18"/>
                <w:szCs w:val="18"/>
              </w:rPr>
              <w:t>-</w:t>
            </w:r>
          </w:p>
        </w:tc>
        <w:tc>
          <w:tcPr>
            <w:tcW w:w="567" w:type="dxa"/>
            <w:tcBorders>
              <w:bottom w:val="single" w:sz="4" w:space="0" w:color="auto"/>
            </w:tcBorders>
            <w:shd w:val="clear" w:color="auto" w:fill="auto"/>
            <w:tcMar>
              <w:right w:w="28" w:type="dxa"/>
            </w:tcMar>
            <w:vAlign w:val="bottom"/>
          </w:tcPr>
          <w:p w14:paraId="36EE90BC" w14:textId="77777777" w:rsidR="0034003B" w:rsidRPr="0034003B" w:rsidRDefault="0034003B" w:rsidP="0034003B">
            <w:pPr>
              <w:spacing w:before="40" w:after="40" w:line="220" w:lineRule="atLeast"/>
              <w:jc w:val="right"/>
              <w:rPr>
                <w:sz w:val="18"/>
                <w:szCs w:val="18"/>
              </w:rPr>
            </w:pPr>
            <w:r w:rsidRPr="0034003B">
              <w:rPr>
                <w:sz w:val="18"/>
                <w:szCs w:val="18"/>
                <w:lang w:val="fr-FR"/>
              </w:rPr>
              <w:t>12</w:t>
            </w:r>
          </w:p>
        </w:tc>
      </w:tr>
      <w:tr w:rsidR="0034003B" w:rsidRPr="0034003B" w14:paraId="51FFBF3D" w14:textId="77777777" w:rsidTr="0034003B">
        <w:tc>
          <w:tcPr>
            <w:tcW w:w="648" w:type="dxa"/>
            <w:tcBorders>
              <w:top w:val="single" w:sz="4" w:space="0" w:color="auto"/>
              <w:bottom w:val="single" w:sz="12" w:space="0" w:color="auto"/>
            </w:tcBorders>
            <w:shd w:val="clear" w:color="auto" w:fill="auto"/>
          </w:tcPr>
          <w:p w14:paraId="429BC174" w14:textId="77777777" w:rsidR="0034003B" w:rsidRPr="0034003B" w:rsidRDefault="0034003B" w:rsidP="0034003B">
            <w:pPr>
              <w:spacing w:before="80" w:after="80" w:line="220" w:lineRule="atLeast"/>
              <w:ind w:left="57"/>
              <w:rPr>
                <w:b/>
                <w:bCs/>
                <w:sz w:val="18"/>
                <w:szCs w:val="18"/>
              </w:rPr>
            </w:pPr>
            <w:r w:rsidRPr="0034003B">
              <w:rPr>
                <w:b/>
                <w:bCs/>
                <w:sz w:val="18"/>
                <w:szCs w:val="18"/>
                <w:lang w:val="fr-FR"/>
              </w:rPr>
              <w:t>Total</w:t>
            </w:r>
          </w:p>
        </w:tc>
        <w:tc>
          <w:tcPr>
            <w:tcW w:w="325" w:type="dxa"/>
            <w:tcBorders>
              <w:top w:val="single" w:sz="4" w:space="0" w:color="auto"/>
              <w:bottom w:val="single" w:sz="12" w:space="0" w:color="auto"/>
            </w:tcBorders>
            <w:shd w:val="clear" w:color="auto" w:fill="auto"/>
            <w:tcMar>
              <w:right w:w="28" w:type="dxa"/>
            </w:tcMar>
            <w:vAlign w:val="bottom"/>
          </w:tcPr>
          <w:p w14:paraId="6C596291"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3</w:t>
            </w:r>
          </w:p>
        </w:tc>
        <w:tc>
          <w:tcPr>
            <w:tcW w:w="323" w:type="dxa"/>
            <w:tcBorders>
              <w:top w:val="single" w:sz="4" w:space="0" w:color="auto"/>
              <w:bottom w:val="single" w:sz="12" w:space="0" w:color="auto"/>
            </w:tcBorders>
            <w:shd w:val="clear" w:color="auto" w:fill="auto"/>
            <w:tcMar>
              <w:right w:w="28" w:type="dxa"/>
            </w:tcMar>
            <w:vAlign w:val="bottom"/>
          </w:tcPr>
          <w:p w14:paraId="3C27564D"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324" w:type="dxa"/>
            <w:tcBorders>
              <w:top w:val="single" w:sz="4" w:space="0" w:color="auto"/>
              <w:bottom w:val="single" w:sz="12" w:space="0" w:color="auto"/>
            </w:tcBorders>
            <w:shd w:val="clear" w:color="auto" w:fill="auto"/>
            <w:vAlign w:val="bottom"/>
          </w:tcPr>
          <w:p w14:paraId="4C26AB1A"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323" w:type="dxa"/>
            <w:tcBorders>
              <w:top w:val="single" w:sz="4" w:space="0" w:color="auto"/>
              <w:bottom w:val="single" w:sz="12" w:space="0" w:color="auto"/>
            </w:tcBorders>
            <w:shd w:val="clear" w:color="auto" w:fill="auto"/>
            <w:tcMar>
              <w:right w:w="28" w:type="dxa"/>
            </w:tcMar>
            <w:vAlign w:val="bottom"/>
          </w:tcPr>
          <w:p w14:paraId="027EEA34"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324" w:type="dxa"/>
            <w:tcBorders>
              <w:top w:val="single" w:sz="4" w:space="0" w:color="auto"/>
              <w:bottom w:val="single" w:sz="12" w:space="0" w:color="auto"/>
            </w:tcBorders>
            <w:shd w:val="clear" w:color="auto" w:fill="auto"/>
            <w:vAlign w:val="bottom"/>
          </w:tcPr>
          <w:p w14:paraId="59EB73A1"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323" w:type="dxa"/>
            <w:tcBorders>
              <w:top w:val="single" w:sz="4" w:space="0" w:color="auto"/>
              <w:bottom w:val="single" w:sz="12" w:space="0" w:color="auto"/>
            </w:tcBorders>
            <w:shd w:val="clear" w:color="auto" w:fill="auto"/>
            <w:tcMar>
              <w:right w:w="28" w:type="dxa"/>
            </w:tcMar>
            <w:vAlign w:val="bottom"/>
          </w:tcPr>
          <w:p w14:paraId="38BFBDCF"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4</w:t>
            </w:r>
          </w:p>
        </w:tc>
        <w:tc>
          <w:tcPr>
            <w:tcW w:w="453" w:type="dxa"/>
            <w:tcBorders>
              <w:top w:val="single" w:sz="4" w:space="0" w:color="auto"/>
              <w:bottom w:val="single" w:sz="12" w:space="0" w:color="auto"/>
            </w:tcBorders>
            <w:shd w:val="clear" w:color="auto" w:fill="auto"/>
            <w:tcMar>
              <w:right w:w="28" w:type="dxa"/>
            </w:tcMar>
            <w:vAlign w:val="bottom"/>
          </w:tcPr>
          <w:p w14:paraId="2EE18245"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24</w:t>
            </w:r>
          </w:p>
        </w:tc>
        <w:tc>
          <w:tcPr>
            <w:tcW w:w="356" w:type="dxa"/>
            <w:tcBorders>
              <w:top w:val="single" w:sz="4" w:space="0" w:color="auto"/>
              <w:bottom w:val="single" w:sz="12" w:space="0" w:color="auto"/>
            </w:tcBorders>
            <w:shd w:val="clear" w:color="auto" w:fill="auto"/>
            <w:tcMar>
              <w:right w:w="28" w:type="dxa"/>
            </w:tcMar>
            <w:vAlign w:val="bottom"/>
          </w:tcPr>
          <w:p w14:paraId="1C4F6344"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4</w:t>
            </w:r>
          </w:p>
        </w:tc>
        <w:tc>
          <w:tcPr>
            <w:tcW w:w="429" w:type="dxa"/>
            <w:tcBorders>
              <w:top w:val="single" w:sz="4" w:space="0" w:color="auto"/>
              <w:bottom w:val="single" w:sz="12" w:space="0" w:color="auto"/>
            </w:tcBorders>
            <w:shd w:val="clear" w:color="auto" w:fill="auto"/>
            <w:tcMar>
              <w:right w:w="28" w:type="dxa"/>
            </w:tcMar>
            <w:vAlign w:val="bottom"/>
          </w:tcPr>
          <w:p w14:paraId="2C9FE525"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23</w:t>
            </w:r>
          </w:p>
        </w:tc>
        <w:tc>
          <w:tcPr>
            <w:tcW w:w="567" w:type="dxa"/>
            <w:tcBorders>
              <w:top w:val="single" w:sz="4" w:space="0" w:color="auto"/>
              <w:bottom w:val="single" w:sz="12" w:space="0" w:color="auto"/>
            </w:tcBorders>
            <w:shd w:val="clear" w:color="auto" w:fill="auto"/>
            <w:tcMar>
              <w:right w:w="28" w:type="dxa"/>
            </w:tcMar>
            <w:vAlign w:val="bottom"/>
          </w:tcPr>
          <w:p w14:paraId="0D269430"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492</w:t>
            </w:r>
          </w:p>
        </w:tc>
        <w:tc>
          <w:tcPr>
            <w:tcW w:w="283" w:type="dxa"/>
            <w:tcBorders>
              <w:top w:val="single" w:sz="4" w:space="0" w:color="auto"/>
              <w:bottom w:val="single" w:sz="12" w:space="0" w:color="auto"/>
            </w:tcBorders>
            <w:shd w:val="clear" w:color="auto" w:fill="auto"/>
            <w:tcMar>
              <w:right w:w="28" w:type="dxa"/>
            </w:tcMar>
            <w:vAlign w:val="bottom"/>
          </w:tcPr>
          <w:p w14:paraId="1C0F9D74"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2</w:t>
            </w:r>
          </w:p>
        </w:tc>
        <w:tc>
          <w:tcPr>
            <w:tcW w:w="305" w:type="dxa"/>
            <w:tcBorders>
              <w:top w:val="single" w:sz="4" w:space="0" w:color="auto"/>
              <w:bottom w:val="single" w:sz="12" w:space="0" w:color="auto"/>
            </w:tcBorders>
            <w:shd w:val="clear" w:color="auto" w:fill="auto"/>
            <w:tcMar>
              <w:right w:w="28" w:type="dxa"/>
            </w:tcMar>
            <w:vAlign w:val="bottom"/>
          </w:tcPr>
          <w:p w14:paraId="1E181E78"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2</w:t>
            </w:r>
          </w:p>
        </w:tc>
        <w:tc>
          <w:tcPr>
            <w:tcW w:w="357" w:type="dxa"/>
            <w:tcBorders>
              <w:top w:val="single" w:sz="4" w:space="0" w:color="auto"/>
              <w:bottom w:val="single" w:sz="12" w:space="0" w:color="auto"/>
            </w:tcBorders>
            <w:shd w:val="clear" w:color="auto" w:fill="auto"/>
            <w:vAlign w:val="bottom"/>
          </w:tcPr>
          <w:p w14:paraId="1E55A555"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324" w:type="dxa"/>
            <w:tcBorders>
              <w:top w:val="single" w:sz="4" w:space="0" w:color="auto"/>
              <w:bottom w:val="single" w:sz="12" w:space="0" w:color="auto"/>
            </w:tcBorders>
            <w:shd w:val="clear" w:color="auto" w:fill="auto"/>
            <w:tcMar>
              <w:right w:w="28" w:type="dxa"/>
            </w:tcMar>
            <w:vAlign w:val="bottom"/>
          </w:tcPr>
          <w:p w14:paraId="56B46925"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483" w:type="dxa"/>
            <w:tcBorders>
              <w:top w:val="single" w:sz="4" w:space="0" w:color="auto"/>
              <w:bottom w:val="single" w:sz="12" w:space="0" w:color="auto"/>
            </w:tcBorders>
            <w:shd w:val="clear" w:color="auto" w:fill="auto"/>
            <w:tcMar>
              <w:right w:w="28" w:type="dxa"/>
            </w:tcMar>
            <w:vAlign w:val="bottom"/>
          </w:tcPr>
          <w:p w14:paraId="6232A447"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424</w:t>
            </w:r>
          </w:p>
        </w:tc>
        <w:tc>
          <w:tcPr>
            <w:tcW w:w="325" w:type="dxa"/>
            <w:tcBorders>
              <w:top w:val="single" w:sz="4" w:space="0" w:color="auto"/>
              <w:bottom w:val="single" w:sz="12" w:space="0" w:color="auto"/>
            </w:tcBorders>
            <w:shd w:val="clear" w:color="auto" w:fill="auto"/>
            <w:tcMar>
              <w:right w:w="28" w:type="dxa"/>
            </w:tcMar>
            <w:vAlign w:val="bottom"/>
          </w:tcPr>
          <w:p w14:paraId="4BD530F4"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4</w:t>
            </w:r>
          </w:p>
        </w:tc>
        <w:tc>
          <w:tcPr>
            <w:tcW w:w="332" w:type="dxa"/>
            <w:tcBorders>
              <w:top w:val="single" w:sz="4" w:space="0" w:color="auto"/>
              <w:bottom w:val="single" w:sz="12" w:space="0" w:color="auto"/>
            </w:tcBorders>
            <w:shd w:val="clear" w:color="auto" w:fill="auto"/>
            <w:vAlign w:val="bottom"/>
          </w:tcPr>
          <w:p w14:paraId="4CC3CF77"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426" w:type="dxa"/>
            <w:tcBorders>
              <w:top w:val="single" w:sz="4" w:space="0" w:color="auto"/>
              <w:bottom w:val="single" w:sz="12" w:space="0" w:color="auto"/>
            </w:tcBorders>
            <w:shd w:val="clear" w:color="auto" w:fill="auto"/>
            <w:vAlign w:val="bottom"/>
          </w:tcPr>
          <w:p w14:paraId="0EFAE55F"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425" w:type="dxa"/>
            <w:tcBorders>
              <w:top w:val="single" w:sz="4" w:space="0" w:color="auto"/>
              <w:bottom w:val="single" w:sz="12" w:space="0" w:color="auto"/>
            </w:tcBorders>
            <w:shd w:val="clear" w:color="auto" w:fill="auto"/>
            <w:vAlign w:val="bottom"/>
          </w:tcPr>
          <w:p w14:paraId="4A3E1885"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14</w:t>
            </w:r>
          </w:p>
        </w:tc>
        <w:tc>
          <w:tcPr>
            <w:tcW w:w="283" w:type="dxa"/>
            <w:tcBorders>
              <w:top w:val="single" w:sz="4" w:space="0" w:color="auto"/>
              <w:bottom w:val="single" w:sz="12" w:space="0" w:color="auto"/>
            </w:tcBorders>
            <w:shd w:val="clear" w:color="auto" w:fill="auto"/>
            <w:tcMar>
              <w:right w:w="28" w:type="dxa"/>
            </w:tcMar>
            <w:vAlign w:val="bottom"/>
          </w:tcPr>
          <w:p w14:paraId="4B3F8A32"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284" w:type="dxa"/>
            <w:tcBorders>
              <w:top w:val="single" w:sz="4" w:space="0" w:color="auto"/>
              <w:bottom w:val="single" w:sz="12" w:space="0" w:color="auto"/>
            </w:tcBorders>
            <w:shd w:val="clear" w:color="auto" w:fill="auto"/>
            <w:vAlign w:val="bottom"/>
          </w:tcPr>
          <w:p w14:paraId="5FA57EDF"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425" w:type="dxa"/>
            <w:tcBorders>
              <w:top w:val="single" w:sz="4" w:space="0" w:color="auto"/>
              <w:bottom w:val="single" w:sz="12" w:space="0" w:color="auto"/>
            </w:tcBorders>
            <w:shd w:val="clear" w:color="auto" w:fill="auto"/>
            <w:tcMar>
              <w:right w:w="28" w:type="dxa"/>
            </w:tcMar>
            <w:vAlign w:val="bottom"/>
          </w:tcPr>
          <w:p w14:paraId="6B0121A0"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3</w:t>
            </w:r>
          </w:p>
        </w:tc>
        <w:tc>
          <w:tcPr>
            <w:tcW w:w="425" w:type="dxa"/>
            <w:tcBorders>
              <w:top w:val="single" w:sz="4" w:space="0" w:color="auto"/>
              <w:bottom w:val="single" w:sz="12" w:space="0" w:color="auto"/>
            </w:tcBorders>
            <w:shd w:val="clear" w:color="auto" w:fill="auto"/>
            <w:tcMar>
              <w:right w:w="28" w:type="dxa"/>
            </w:tcMar>
            <w:vAlign w:val="bottom"/>
          </w:tcPr>
          <w:p w14:paraId="2573F78E"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w:t>
            </w:r>
          </w:p>
        </w:tc>
        <w:tc>
          <w:tcPr>
            <w:tcW w:w="567" w:type="dxa"/>
            <w:tcBorders>
              <w:top w:val="single" w:sz="4" w:space="0" w:color="auto"/>
              <w:bottom w:val="single" w:sz="12" w:space="0" w:color="auto"/>
            </w:tcBorders>
            <w:shd w:val="clear" w:color="auto" w:fill="auto"/>
            <w:tcMar>
              <w:right w:w="28" w:type="dxa"/>
            </w:tcMar>
            <w:vAlign w:val="bottom"/>
          </w:tcPr>
          <w:p w14:paraId="6CECC2F2" w14:textId="77777777" w:rsidR="0034003B" w:rsidRPr="0034003B" w:rsidRDefault="0034003B" w:rsidP="0034003B">
            <w:pPr>
              <w:spacing w:before="80" w:after="80" w:line="220" w:lineRule="atLeast"/>
              <w:jc w:val="right"/>
              <w:rPr>
                <w:b/>
                <w:bCs/>
                <w:sz w:val="18"/>
                <w:szCs w:val="18"/>
              </w:rPr>
            </w:pPr>
            <w:r w:rsidRPr="0034003B">
              <w:rPr>
                <w:b/>
                <w:bCs/>
                <w:sz w:val="18"/>
                <w:szCs w:val="18"/>
                <w:lang w:val="fr-FR"/>
              </w:rPr>
              <w:t>1 013</w:t>
            </w:r>
          </w:p>
        </w:tc>
      </w:tr>
    </w:tbl>
    <w:p w14:paraId="5B5874C7" w14:textId="77777777" w:rsidR="0034003B" w:rsidRPr="002008A4" w:rsidRDefault="0034003B" w:rsidP="0034003B">
      <w:pPr>
        <w:spacing w:before="120" w:after="240"/>
        <w:ind w:firstLine="170"/>
        <w:rPr>
          <w:sz w:val="18"/>
        </w:rPr>
      </w:pPr>
      <w:r w:rsidRPr="002008A4">
        <w:rPr>
          <w:i/>
          <w:iCs/>
          <w:sz w:val="18"/>
          <w:vertAlign w:val="superscript"/>
          <w:lang w:val="fr-FR"/>
        </w:rPr>
        <w:t>a</w:t>
      </w:r>
      <w:r>
        <w:rPr>
          <w:i/>
          <w:iCs/>
          <w:sz w:val="18"/>
          <w:vertAlign w:val="superscript"/>
          <w:lang w:val="fr-FR"/>
        </w:rPr>
        <w:t xml:space="preserve">  </w:t>
      </w:r>
      <w:r w:rsidRPr="002008A4">
        <w:rPr>
          <w:sz w:val="18"/>
          <w:lang w:val="fr-FR"/>
        </w:rPr>
        <w:t xml:space="preserve">Au </w:t>
      </w:r>
      <w:r>
        <w:rPr>
          <w:sz w:val="18"/>
          <w:lang w:val="fr-FR"/>
        </w:rPr>
        <w:t>1</w:t>
      </w:r>
      <w:r w:rsidRPr="00BF3535">
        <w:rPr>
          <w:sz w:val="18"/>
          <w:vertAlign w:val="superscript"/>
          <w:lang w:val="fr-FR"/>
        </w:rPr>
        <w:t>er</w:t>
      </w:r>
      <w:r>
        <w:rPr>
          <w:sz w:val="18"/>
          <w:lang w:val="fr-FR"/>
        </w:rPr>
        <w:t xml:space="preserve"> avril</w:t>
      </w:r>
      <w:r w:rsidRPr="002008A4">
        <w:rPr>
          <w:sz w:val="18"/>
          <w:lang w:val="fr-FR"/>
        </w:rPr>
        <w:t xml:space="preserve"> 2021.</w:t>
      </w:r>
    </w:p>
    <w:p w14:paraId="6B84EC87" w14:textId="36CA7C00" w:rsidR="0034003B" w:rsidRPr="00A242DA" w:rsidRDefault="0034003B" w:rsidP="00B76901">
      <w:pPr>
        <w:pStyle w:val="H1G"/>
      </w:pPr>
      <w:r>
        <w:rPr>
          <w:lang w:val="fr-FR"/>
        </w:rPr>
        <w:tab/>
        <w:t>C.</w:t>
      </w:r>
      <w:r>
        <w:rPr>
          <w:lang w:val="fr-FR"/>
        </w:rPr>
        <w:tab/>
        <w:t xml:space="preserve">Point sur la situation depuis la dix-neuvième session </w:t>
      </w:r>
      <w:r>
        <w:rPr>
          <w:lang w:val="fr-FR"/>
        </w:rPr>
        <w:br/>
        <w:t>(jusqu’au 1</w:t>
      </w:r>
      <w:r w:rsidRPr="00BF3535">
        <w:rPr>
          <w:vertAlign w:val="superscript"/>
          <w:lang w:val="fr-FR"/>
        </w:rPr>
        <w:t>er</w:t>
      </w:r>
      <w:r w:rsidR="00B76901">
        <w:rPr>
          <w:lang w:val="fr-FR"/>
        </w:rPr>
        <w:t> </w:t>
      </w:r>
      <w:r>
        <w:rPr>
          <w:lang w:val="fr-FR"/>
        </w:rPr>
        <w:t>avril 2021)</w:t>
      </w:r>
    </w:p>
    <w:p w14:paraId="6572E902" w14:textId="7A667887" w:rsidR="0034003B" w:rsidRPr="00A242DA" w:rsidRDefault="0034003B" w:rsidP="00B76901">
      <w:pPr>
        <w:pStyle w:val="SingleTxtG"/>
      </w:pPr>
      <w:r>
        <w:rPr>
          <w:lang w:val="fr-FR"/>
        </w:rPr>
        <w:t>4.</w:t>
      </w:r>
      <w:r>
        <w:rPr>
          <w:lang w:val="fr-FR"/>
        </w:rPr>
        <w:tab/>
        <w:t>En 2020, le Comité a enregistré 192</w:t>
      </w:r>
      <w:r w:rsidR="00B76901">
        <w:rPr>
          <w:lang w:val="fr-FR"/>
        </w:rPr>
        <w:t> </w:t>
      </w:r>
      <w:r>
        <w:rPr>
          <w:lang w:val="fr-FR"/>
        </w:rPr>
        <w:t>nouvelles demandes d’action en urgence et envoyé 102</w:t>
      </w:r>
      <w:r w:rsidR="00B76901">
        <w:rPr>
          <w:lang w:val="fr-FR"/>
        </w:rPr>
        <w:t> </w:t>
      </w:r>
      <w:r>
        <w:rPr>
          <w:lang w:val="fr-FR"/>
        </w:rPr>
        <w:t>notes de suivi dans lesquelles il formulait à l’intention des États parties concernés des recommandations ciblées relatives aux procédures de recherche et d’enquête concernant la disparition forcée signalée. Entre le 1</w:t>
      </w:r>
      <w:r w:rsidRPr="002008A4">
        <w:rPr>
          <w:vertAlign w:val="superscript"/>
          <w:lang w:val="fr-FR"/>
        </w:rPr>
        <w:t>er</w:t>
      </w:r>
      <w:r w:rsidR="00B76901">
        <w:rPr>
          <w:lang w:val="fr-FR"/>
        </w:rPr>
        <w:t> </w:t>
      </w:r>
      <w:r>
        <w:rPr>
          <w:lang w:val="fr-FR"/>
        </w:rPr>
        <w:t>janvier et le 1</w:t>
      </w:r>
      <w:r w:rsidRPr="00BF3535">
        <w:rPr>
          <w:vertAlign w:val="superscript"/>
          <w:lang w:val="fr-FR"/>
        </w:rPr>
        <w:t>er</w:t>
      </w:r>
      <w:r w:rsidR="00B76901">
        <w:rPr>
          <w:lang w:val="fr-FR"/>
        </w:rPr>
        <w:t> </w:t>
      </w:r>
      <w:r>
        <w:rPr>
          <w:lang w:val="fr-FR"/>
        </w:rPr>
        <w:t>avril 2021, le Comité a enregistré 12</w:t>
      </w:r>
      <w:r w:rsidR="00B76901">
        <w:rPr>
          <w:lang w:val="fr-FR"/>
        </w:rPr>
        <w:t> </w:t>
      </w:r>
      <w:r>
        <w:rPr>
          <w:lang w:val="fr-FR"/>
        </w:rPr>
        <w:t>nouvelles demandes d’action en urgence et adressé 17</w:t>
      </w:r>
      <w:r w:rsidR="00B76901">
        <w:rPr>
          <w:lang w:val="fr-FR"/>
        </w:rPr>
        <w:t> </w:t>
      </w:r>
      <w:r>
        <w:rPr>
          <w:lang w:val="fr-FR"/>
        </w:rPr>
        <w:t>notes de suivi.</w:t>
      </w:r>
    </w:p>
    <w:p w14:paraId="0461D636" w14:textId="77777777" w:rsidR="0034003B" w:rsidRPr="00A242DA" w:rsidRDefault="0034003B" w:rsidP="00B76901">
      <w:pPr>
        <w:pStyle w:val="SingleTxtG"/>
      </w:pPr>
      <w:r>
        <w:rPr>
          <w:lang w:val="fr-FR"/>
        </w:rPr>
        <w:t>5.</w:t>
      </w:r>
      <w:r>
        <w:rPr>
          <w:lang w:val="fr-FR"/>
        </w:rPr>
        <w:tab/>
        <w:t>Tout au long de la procédure, le Comité entretient des contacts permanents avec les États parties, par l’intermédiaire de leur mission permanente, et avec les auteurs des demandes d’action en urgence, au moyen de notes et de lettres, ainsi que dans le cadre de réunions et par téléphone. Le Comité compte aussi beaucoup sur la collaboration du Haut</w:t>
      </w:r>
      <w:r>
        <w:rPr>
          <w:lang w:val="fr-FR"/>
        </w:rPr>
        <w:noBreakHyphen/>
        <w:t>Commissariat des Nations Unies aux droits de l’homme et des présences des Nations Unies sur le terrain, qui souvent relaient les informations entre les auteurs des demandes d’action en urgence (principalement les parents des personnes disparues) et le Comité.</w:t>
      </w:r>
    </w:p>
    <w:p w14:paraId="386378FC" w14:textId="77777777" w:rsidR="0034003B" w:rsidRPr="00A242DA" w:rsidRDefault="0034003B" w:rsidP="00B76901">
      <w:pPr>
        <w:pStyle w:val="SingleTxtG"/>
      </w:pPr>
      <w:r>
        <w:rPr>
          <w:lang w:val="fr-FR"/>
        </w:rPr>
        <w:t>6.</w:t>
      </w:r>
      <w:r>
        <w:rPr>
          <w:lang w:val="fr-FR"/>
        </w:rPr>
        <w:tab/>
        <w:t>Les informations fournies dans le cadre de la procédure d’action en urgence confirment plusieurs des tendances décrites dans les rapports que le Comité a adoptés à ses onzième à dix-neuvième sessions</w:t>
      </w:r>
      <w:r w:rsidRPr="00B76901">
        <w:rPr>
          <w:rStyle w:val="Appelnotedebasdep"/>
        </w:rPr>
        <w:footnoteReference w:id="4"/>
      </w:r>
      <w:r>
        <w:rPr>
          <w:lang w:val="fr-FR"/>
        </w:rPr>
        <w:t>. Depuis la dix-neuvième session, environ la moitié des cas ayant donné lieu à l’enregistrement par le Comité d’une demande d’action en urgence sont liés aux événements en Iraq.</w:t>
      </w:r>
    </w:p>
    <w:p w14:paraId="5B252B32" w14:textId="77777777" w:rsidR="0034003B" w:rsidRPr="00A242DA" w:rsidRDefault="0034003B" w:rsidP="00B76901">
      <w:pPr>
        <w:pStyle w:val="H23G"/>
      </w:pPr>
      <w:r>
        <w:rPr>
          <w:lang w:val="fr-FR"/>
        </w:rPr>
        <w:tab/>
        <w:t>1.</w:t>
      </w:r>
      <w:r>
        <w:rPr>
          <w:lang w:val="fr-FR"/>
        </w:rPr>
        <w:tab/>
        <w:t>Tendances générales observées au cours de la période considérée</w:t>
      </w:r>
    </w:p>
    <w:p w14:paraId="3BF6FA3A" w14:textId="77777777" w:rsidR="0034003B" w:rsidRPr="00A242DA" w:rsidRDefault="0034003B" w:rsidP="00B76901">
      <w:pPr>
        <w:pStyle w:val="SingleTxtG"/>
      </w:pPr>
      <w:r>
        <w:rPr>
          <w:lang w:val="fr-FR"/>
        </w:rPr>
        <w:t>7.</w:t>
      </w:r>
      <w:r>
        <w:rPr>
          <w:lang w:val="fr-FR"/>
        </w:rPr>
        <w:tab/>
        <w:t xml:space="preserve">Sans prétendre à une analyse exhaustive de toutes les informations reçues au titre de la procédure d’action en urgence, les paragraphes ci-après comportent une description des </w:t>
      </w:r>
      <w:r>
        <w:rPr>
          <w:lang w:val="fr-FR"/>
        </w:rPr>
        <w:lastRenderedPageBreak/>
        <w:t>problèmes constatés et des tendances générales observées dans certains des États parties au cours de la période considérée.</w:t>
      </w:r>
    </w:p>
    <w:p w14:paraId="0CEA4D7A" w14:textId="77777777" w:rsidR="0034003B" w:rsidRPr="00A242DA" w:rsidRDefault="0034003B" w:rsidP="00B76901">
      <w:pPr>
        <w:pStyle w:val="SingleTxtG"/>
      </w:pPr>
      <w:r>
        <w:rPr>
          <w:lang w:val="fr-FR"/>
        </w:rPr>
        <w:t>8.</w:t>
      </w:r>
      <w:r>
        <w:rPr>
          <w:lang w:val="fr-FR"/>
        </w:rPr>
        <w:tab/>
        <w:t>Pendant la période considérée, le Comité a recensé six catégories de problèmes à analyser au regard des informations reçues dans le cadre de la procédure d’action en urgence, qui sont présentées ci-après.</w:t>
      </w:r>
    </w:p>
    <w:p w14:paraId="13AB02F6" w14:textId="42AA8655" w:rsidR="0034003B" w:rsidRPr="00A242DA" w:rsidRDefault="0034003B" w:rsidP="00B76901">
      <w:pPr>
        <w:pStyle w:val="H23G"/>
      </w:pPr>
      <w:r>
        <w:rPr>
          <w:lang w:val="fr-FR"/>
        </w:rPr>
        <w:tab/>
        <w:t>a)</w:t>
      </w:r>
      <w:r>
        <w:rPr>
          <w:lang w:val="fr-FR"/>
        </w:rPr>
        <w:tab/>
        <w:t xml:space="preserve">Aucune réponse de l’État partie concerné ou de l’auteur de la demande </w:t>
      </w:r>
      <w:r w:rsidR="00B76901">
        <w:rPr>
          <w:lang w:val="fr-FR"/>
        </w:rPr>
        <w:br/>
      </w:r>
      <w:r>
        <w:rPr>
          <w:lang w:val="fr-FR"/>
        </w:rPr>
        <w:t>d’action en urgence</w:t>
      </w:r>
    </w:p>
    <w:p w14:paraId="229D4F57" w14:textId="26D6577B" w:rsidR="0034003B" w:rsidRPr="00A242DA" w:rsidRDefault="0034003B" w:rsidP="00B76901">
      <w:pPr>
        <w:pStyle w:val="SingleTxtG"/>
      </w:pPr>
      <w:r>
        <w:rPr>
          <w:lang w:val="fr-FR"/>
        </w:rPr>
        <w:t>9.</w:t>
      </w:r>
      <w:r>
        <w:rPr>
          <w:lang w:val="fr-FR"/>
        </w:rPr>
        <w:tab/>
        <w:t>Chaque fois que l’État partie concerné ou l’auteur de la demande d’action en urgence ne fournit pas d’informations de suivi dans le délai fixé par le Comité, celui-ci lui adresse jusqu’à trois rappels. La plupart des États parties collaborent avec le Comité en lui fournissant des informations de suivi et en répondant à ses recommandations et demandes de renseignements. Toutefois, lorsqu’un État partie ne répond pas après le troisième rappel, le Comité envoie un nouveau et dernier rappel, dans lequel il met en relief le non-respect par l’État partie des obligations que lui fait l’article</w:t>
      </w:r>
      <w:r w:rsidR="00B76901">
        <w:rPr>
          <w:lang w:val="fr-FR"/>
        </w:rPr>
        <w:t> </w:t>
      </w:r>
      <w:r>
        <w:rPr>
          <w:lang w:val="fr-FR"/>
        </w:rPr>
        <w:t>30 de la Convention concernant les actions en urgence, et indique qu’il pourrait décider de rendre cette situation publique à sa prochaine session en en faisant état dans son rapport sur les actions en urgence, puis dans son prochain rapport à l’Assemblée générale. Au 1</w:t>
      </w:r>
      <w:r w:rsidRPr="00BF3535">
        <w:rPr>
          <w:vertAlign w:val="superscript"/>
          <w:lang w:val="fr-FR"/>
        </w:rPr>
        <w:t>er</w:t>
      </w:r>
      <w:r w:rsidR="00B76901">
        <w:rPr>
          <w:lang w:val="fr-FR"/>
        </w:rPr>
        <w:t> </w:t>
      </w:r>
      <w:r>
        <w:rPr>
          <w:lang w:val="fr-FR"/>
        </w:rPr>
        <w:t>avril 2021, le Comité avait envoyé à l’Iraq un dernier rappel concernant 280</w:t>
      </w:r>
      <w:r w:rsidR="00B76901">
        <w:rPr>
          <w:lang w:val="fr-FR"/>
        </w:rPr>
        <w:t> </w:t>
      </w:r>
      <w:r>
        <w:rPr>
          <w:lang w:val="fr-FR"/>
        </w:rPr>
        <w:t>demandes d’action en urgence.</w:t>
      </w:r>
    </w:p>
    <w:p w14:paraId="07F98A63" w14:textId="04CCF3AB" w:rsidR="0034003B" w:rsidRPr="00A242DA" w:rsidRDefault="0034003B" w:rsidP="00B76901">
      <w:pPr>
        <w:pStyle w:val="SingleTxtG"/>
      </w:pPr>
      <w:r>
        <w:rPr>
          <w:lang w:val="fr-FR"/>
        </w:rPr>
        <w:t>10.</w:t>
      </w:r>
      <w:r>
        <w:rPr>
          <w:lang w:val="fr-FR"/>
        </w:rPr>
        <w:tab/>
        <w:t>Il convient de noter que le Comité a déjà signalé, dans ses trois précédents rapports à l’Assemblée générale, que l’Iraq ne respectait pas les obligations qui lui incombaient en vertu de l’article</w:t>
      </w:r>
      <w:r w:rsidR="00B76901">
        <w:rPr>
          <w:lang w:val="fr-FR"/>
        </w:rPr>
        <w:t> </w:t>
      </w:r>
      <w:r>
        <w:rPr>
          <w:lang w:val="fr-FR"/>
        </w:rPr>
        <w:t>30 de la Convention</w:t>
      </w:r>
      <w:r w:rsidRPr="002C4E77">
        <w:rPr>
          <w:rStyle w:val="Appelnotedebasdep"/>
        </w:rPr>
        <w:footnoteReference w:id="5"/>
      </w:r>
      <w:r>
        <w:rPr>
          <w:lang w:val="fr-FR"/>
        </w:rPr>
        <w:t xml:space="preserve">. </w:t>
      </w:r>
      <w:r>
        <w:t>Le Comité a également attiré l’attention de l’État partie sur ce non-respect à sa dix-neuvième session, dans le cadre de son examen des renseignements complémentaires soumis par l’Iraq en vertu de l’article</w:t>
      </w:r>
      <w:r w:rsidR="00B76901">
        <w:t> </w:t>
      </w:r>
      <w:r>
        <w:t>29 (par.</w:t>
      </w:r>
      <w:r w:rsidR="00B76901">
        <w:t> </w:t>
      </w:r>
      <w:r>
        <w:t>4) de la Convention</w:t>
      </w:r>
      <w:r w:rsidRPr="002C4E77">
        <w:rPr>
          <w:rStyle w:val="Appelnotedebasdep"/>
        </w:rPr>
        <w:footnoteReference w:id="6"/>
      </w:r>
      <w:r>
        <w:t>.</w:t>
      </w:r>
    </w:p>
    <w:p w14:paraId="0B3E99E9" w14:textId="77777777" w:rsidR="0034003B" w:rsidRPr="00A242DA" w:rsidRDefault="0034003B" w:rsidP="00B76901">
      <w:pPr>
        <w:pStyle w:val="H23G"/>
      </w:pPr>
      <w:r>
        <w:rPr>
          <w:lang w:val="fr-FR"/>
        </w:rPr>
        <w:tab/>
        <w:t>b)</w:t>
      </w:r>
      <w:r>
        <w:rPr>
          <w:lang w:val="fr-FR"/>
        </w:rPr>
        <w:tab/>
        <w:t>Absence de stratégie de recherche et d’enquête adaptée à chaque cas</w:t>
      </w:r>
    </w:p>
    <w:p w14:paraId="7BA33DFB" w14:textId="07CB073E" w:rsidR="0034003B" w:rsidRPr="00A242DA" w:rsidRDefault="0034003B" w:rsidP="00B76901">
      <w:pPr>
        <w:pStyle w:val="SingleTxtG"/>
      </w:pPr>
      <w:r>
        <w:rPr>
          <w:lang w:val="fr-FR"/>
        </w:rPr>
        <w:t>11.</w:t>
      </w:r>
      <w:r>
        <w:rPr>
          <w:lang w:val="fr-FR"/>
        </w:rPr>
        <w:tab/>
        <w:t>Dans presque tous les cas ayant donné lieu à l’enregistrement d’une demande d’action en urgence, le Comité a fait part de sa préoccupation quant au fait que l’État partie n’avait pas défini et mis en œuvre une stratégie d’ensemble pour la recherche de la personne disparue et l’enquête sur sa disparition, conformément aux articles</w:t>
      </w:r>
      <w:r w:rsidR="00B76901">
        <w:rPr>
          <w:lang w:val="fr-FR"/>
        </w:rPr>
        <w:t> </w:t>
      </w:r>
      <w:r>
        <w:rPr>
          <w:lang w:val="fr-FR"/>
        </w:rPr>
        <w:t>12 et 24 de la Convention, y compris un plan d’action et un calendrier révisés périodiquement. Malgré les efforts déployés dans certains cas, les recherches et l’enquête semblaient généralement être menées dans le cadre d’une action isolée et souvent non coordonnée, sans stratégie claire. En pareils cas, le Comité a demandé à l’État partie concerné de veiller à ce qu’une stratégie soit élaborée et appliquée à chaque étape des recherches et de l’enquête, dans le respect du principe de diligence due, qui veut notamment que l’enquête soit menée immédiatement et de manière approfondie et exhaustive par des professionnels compétents et indépendants, et conformément au principe 8 des Principes directeurs concernant la recherche de personnes disparues</w:t>
      </w:r>
      <w:r w:rsidRPr="002C4E77">
        <w:rPr>
          <w:rStyle w:val="Appelnotedebasdep"/>
        </w:rPr>
        <w:footnoteReference w:id="7"/>
      </w:r>
      <w:r>
        <w:rPr>
          <w:lang w:val="fr-FR"/>
        </w:rPr>
        <w:t>. La stratégie adoptée doit fixer les activités et mesures de diligence à mettre en œuvre de manière intégrée, et prévoir les moyens et procédures nécessaires pour retrouver la personne disparue et enquêter sur sa disparition. Au cours de la période considérée, de telles recommandations ont été adressées à l’Argentine, au Cambodge, à la Colombie, au Honduras, à l’Iraq, à la Lituanie et au Mexique.</w:t>
      </w:r>
    </w:p>
    <w:p w14:paraId="408DCB2E" w14:textId="77777777" w:rsidR="0034003B" w:rsidRPr="00A242DA" w:rsidRDefault="0034003B" w:rsidP="00B76901">
      <w:pPr>
        <w:pStyle w:val="H23G"/>
      </w:pPr>
      <w:r>
        <w:rPr>
          <w:lang w:val="fr-FR"/>
        </w:rPr>
        <w:tab/>
        <w:t>c)</w:t>
      </w:r>
      <w:r>
        <w:rPr>
          <w:lang w:val="fr-FR"/>
        </w:rPr>
        <w:tab/>
        <w:t>Manque de coordination des procédures de recherche et d’enquête</w:t>
      </w:r>
    </w:p>
    <w:p w14:paraId="1AB88D70" w14:textId="699D43DF" w:rsidR="0034003B" w:rsidRPr="00A802AB" w:rsidRDefault="0034003B" w:rsidP="00B76901">
      <w:pPr>
        <w:pStyle w:val="SingleTxtG"/>
        <w:rPr>
          <w:lang w:val="fr-FR"/>
        </w:rPr>
      </w:pPr>
      <w:r>
        <w:rPr>
          <w:lang w:val="fr-FR"/>
        </w:rPr>
        <w:t>12.</w:t>
      </w:r>
      <w:r>
        <w:rPr>
          <w:lang w:val="fr-FR"/>
        </w:rPr>
        <w:tab/>
        <w:t xml:space="preserve">Le Comité a continué de constater un manque apparent de coordination des procédures de recherche et d’enquête dans la majorité des cas ayant donné lieu à l’enregistrement d’une demande d’action en urgence. Ce manque de coordination est généralement dû au fait que les autorités compétentes de l’État partie ne partagent pas les informations et les éléments qu’elles ont recueillis dans l’exercice de leurs mandats respectifs, ou qu’elles ne le font pas de manière systématique. Le Comité a constaté que ce manque de coordination entraîne un chevauchement des activités dans certains cas et des </w:t>
      </w:r>
      <w:r>
        <w:rPr>
          <w:lang w:val="fr-FR"/>
        </w:rPr>
        <w:lastRenderedPageBreak/>
        <w:t>lacunes dans l’information dans d’autres, de sorte que</w:t>
      </w:r>
      <w:r w:rsidR="00B76901">
        <w:rPr>
          <w:lang w:val="fr-FR"/>
        </w:rPr>
        <w:t xml:space="preserve"> </w:t>
      </w:r>
      <w:r>
        <w:rPr>
          <w:lang w:val="fr-FR"/>
        </w:rPr>
        <w:t>les recherches comme dans les enquêtes souffrent de retards. Dans de tels cas, le Comité a recommandé une coordination entre les autorités chargées des recherches et celles chargées de l’enquête, comme le prévoit le principe 13 des Principes directeurs concernant la recherche des personnes disparues.</w:t>
      </w:r>
    </w:p>
    <w:p w14:paraId="3516C07A" w14:textId="77777777" w:rsidR="0034003B" w:rsidRPr="00A242DA" w:rsidRDefault="0034003B" w:rsidP="00B76901">
      <w:pPr>
        <w:pStyle w:val="H23G"/>
      </w:pPr>
      <w:r>
        <w:rPr>
          <w:lang w:val="fr-FR"/>
        </w:rPr>
        <w:tab/>
        <w:t>d)</w:t>
      </w:r>
      <w:r>
        <w:rPr>
          <w:lang w:val="fr-FR"/>
        </w:rPr>
        <w:tab/>
        <w:t>Manque de coordination entre les autorités fédérales et celles des États fédérés</w:t>
      </w:r>
    </w:p>
    <w:p w14:paraId="44E2EA67" w14:textId="608E4321" w:rsidR="0034003B" w:rsidRPr="00A242DA" w:rsidRDefault="0034003B" w:rsidP="00B76901">
      <w:pPr>
        <w:pStyle w:val="SingleTxtG"/>
      </w:pPr>
      <w:r>
        <w:rPr>
          <w:lang w:val="fr-FR"/>
        </w:rPr>
        <w:t>13.</w:t>
      </w:r>
      <w:r>
        <w:rPr>
          <w:lang w:val="fr-FR"/>
        </w:rPr>
        <w:tab/>
        <w:t>Dans plusieurs cas de demande d’action en urgence concernant des disparitions dans des États fédéraux, le Comité a constaté un manque de coordination entre les autorités fédérales et fédérées chargées des recherches et des enquêtes. Ce manque de coordination a eu pour conséquence que des enquêtes ont été menées simultanément aux niveaux fédéral et fédéré, avec des activités menées en double et un manque d’information sur les résultats. Dans de tels cas, le Comité a systématiquement recommandé une coordination entre les autorités chargées des enquêtes au niveau fédéral et</w:t>
      </w:r>
      <w:r w:rsidR="00B76901">
        <w:rPr>
          <w:lang w:val="fr-FR"/>
        </w:rPr>
        <w:t xml:space="preserve"> </w:t>
      </w:r>
      <w:r>
        <w:rPr>
          <w:lang w:val="fr-FR"/>
        </w:rPr>
        <w:t>au niveau fédéré, et que leurs fonctions respectives soient clairement définies.</w:t>
      </w:r>
    </w:p>
    <w:p w14:paraId="50474257" w14:textId="77777777" w:rsidR="0034003B" w:rsidRPr="00A242DA" w:rsidRDefault="0034003B" w:rsidP="00B76901">
      <w:pPr>
        <w:pStyle w:val="H23G"/>
      </w:pPr>
      <w:r>
        <w:rPr>
          <w:lang w:val="fr-FR"/>
        </w:rPr>
        <w:tab/>
        <w:t>e)</w:t>
      </w:r>
      <w:r>
        <w:rPr>
          <w:lang w:val="fr-FR"/>
        </w:rPr>
        <w:tab/>
        <w:t>Obstacles à la participation effective des proches aux recherches et à l’enquête</w:t>
      </w:r>
    </w:p>
    <w:p w14:paraId="58C8E409" w14:textId="767E36A5" w:rsidR="0034003B" w:rsidRPr="00A242DA" w:rsidRDefault="0034003B" w:rsidP="00B76901">
      <w:pPr>
        <w:pStyle w:val="SingleTxtG"/>
      </w:pPr>
      <w:r>
        <w:rPr>
          <w:lang w:val="fr-FR"/>
        </w:rPr>
        <w:t>14.</w:t>
      </w:r>
      <w:r>
        <w:rPr>
          <w:lang w:val="fr-FR"/>
        </w:rPr>
        <w:tab/>
        <w:t>Dans la majorité des cas, il a été indiqué au Comité que les proches des personnes disparues n’étaient pas suffisamment informés des mesures prises et des résultats obtenus dans le cadre des recherches et de l’enquête, et que les proches qui souhaitaient participer à celles-ci rencontraient des obstacles. En pareils cas, le Comité a recommandé aux États parties concernés de mettre en place des mécanismes officiels clairs et bien définis pour informer périodiquement les proches et les représentants des personnes disparues de l’état d’avancement des recherches et de l’enquête et pour leur permettre d’y participer pleinement, en leur donnant accès à toute information utile sur leur déroulement et leurs résultats, conformément à l’article</w:t>
      </w:r>
      <w:r w:rsidR="00B76901">
        <w:rPr>
          <w:lang w:val="fr-FR"/>
        </w:rPr>
        <w:t> </w:t>
      </w:r>
      <w:r>
        <w:rPr>
          <w:lang w:val="fr-FR"/>
        </w:rPr>
        <w:t>24 de la Convention et au principe</w:t>
      </w:r>
      <w:r w:rsidR="00B76901">
        <w:rPr>
          <w:lang w:val="fr-FR"/>
        </w:rPr>
        <w:t> </w:t>
      </w:r>
      <w:r>
        <w:rPr>
          <w:lang w:val="fr-FR"/>
        </w:rPr>
        <w:t>5 des Principes directeurs concernant la recherche des personnes disparues.</w:t>
      </w:r>
    </w:p>
    <w:p w14:paraId="2DE124B5" w14:textId="18B383F4" w:rsidR="0034003B" w:rsidRPr="00A242DA" w:rsidRDefault="0034003B" w:rsidP="00B76901">
      <w:pPr>
        <w:pStyle w:val="H23G"/>
      </w:pPr>
      <w:r>
        <w:rPr>
          <w:lang w:val="fr-FR"/>
        </w:rPr>
        <w:tab/>
        <w:t>f)</w:t>
      </w:r>
      <w:r>
        <w:rPr>
          <w:lang w:val="fr-FR"/>
        </w:rPr>
        <w:tab/>
        <w:t xml:space="preserve">Principales difficultés touchant la mise en œuvre des mesures </w:t>
      </w:r>
      <w:r w:rsidR="00B76901">
        <w:rPr>
          <w:lang w:val="fr-FR"/>
        </w:rPr>
        <w:br/>
      </w:r>
      <w:r>
        <w:rPr>
          <w:lang w:val="fr-FR"/>
        </w:rPr>
        <w:t>de protection demandées par le Comité</w:t>
      </w:r>
    </w:p>
    <w:p w14:paraId="3149FBC3" w14:textId="77777777" w:rsidR="0034003B" w:rsidRPr="00A242DA" w:rsidRDefault="0034003B" w:rsidP="00B76901">
      <w:pPr>
        <w:pStyle w:val="SingleTxtG"/>
      </w:pPr>
      <w:r>
        <w:rPr>
          <w:lang w:val="fr-FR"/>
        </w:rPr>
        <w:t>15.</w:t>
      </w:r>
      <w:r>
        <w:rPr>
          <w:lang w:val="fr-FR"/>
        </w:rPr>
        <w:tab/>
        <w:t>Pendant la période considérée, le Comité a été informé du fait que des proches de personnes disparues avaient fait l’objet de menaces et de manœuvres d’intimidation pour avoir réclamé avec insistance une enquête sur la disparition forcée des intéressés. Ces menaces présentaient les mêmes caractéristiques que celles constatées pendant les périodes couvertes par les précédents rapports et revêtaient différentes formes : menaces de mort, rondes autour du domicile des personnes visées et décisions de procédure qui nuisaient à la protection des personnes concernées. En pareils cas, le Comité a demandé à l’État partie concerné de prendre les mesures provisoires nécessaires pour protéger la vie des intéressés et assurer leur sécurité, et pour permettre aux particuliers de rechercher leurs proches disparus sans être soumis à des actes de violence et de harcèlement. Le Comité a aussi souligné l’importance de revoir régulièrement les plans de protection en consultation avec les personnes à qui ils sont destinés, en particulier en ce qui concerne les modalités des mesures de protection et les institutions responsables de leur mise en œuvre, afin d’obtenir la pleine confiance de ces personnes.</w:t>
      </w:r>
    </w:p>
    <w:p w14:paraId="7E4C30AB" w14:textId="77777777" w:rsidR="0034003B" w:rsidRPr="00A242DA" w:rsidRDefault="0034003B" w:rsidP="00B76901">
      <w:pPr>
        <w:pStyle w:val="H23G"/>
      </w:pPr>
      <w:r>
        <w:rPr>
          <w:lang w:val="fr-FR"/>
        </w:rPr>
        <w:tab/>
        <w:t>2.</w:t>
      </w:r>
      <w:r>
        <w:rPr>
          <w:lang w:val="fr-FR"/>
        </w:rPr>
        <w:tab/>
        <w:t>Tendances observées en Iraq et au Mexique</w:t>
      </w:r>
    </w:p>
    <w:p w14:paraId="4BF3FF3D" w14:textId="0FE99154" w:rsidR="0034003B" w:rsidRPr="00A242DA" w:rsidRDefault="0034003B" w:rsidP="00B76901">
      <w:pPr>
        <w:pStyle w:val="SingleTxtG"/>
      </w:pPr>
      <w:r>
        <w:rPr>
          <w:lang w:val="fr-FR"/>
        </w:rPr>
        <w:t>16.</w:t>
      </w:r>
      <w:r>
        <w:rPr>
          <w:lang w:val="fr-FR"/>
        </w:rPr>
        <w:tab/>
        <w:t xml:space="preserve">Pendant la période considérée, l’Iraq et le Mexique sont restés les deux États parties ayant fait l’objet du plus grand nombre de demandes </w:t>
      </w:r>
      <w:r w:rsidRPr="003065A2">
        <w:rPr>
          <w:lang w:val="fr-FR"/>
        </w:rPr>
        <w:t>d</w:t>
      </w:r>
      <w:r>
        <w:rPr>
          <w:lang w:val="fr-FR"/>
        </w:rPr>
        <w:t>’</w:t>
      </w:r>
      <w:r w:rsidRPr="003065A2">
        <w:rPr>
          <w:lang w:val="fr-FR"/>
        </w:rPr>
        <w:t>action</w:t>
      </w:r>
      <w:r>
        <w:rPr>
          <w:lang w:val="fr-FR"/>
        </w:rPr>
        <w:t xml:space="preserve"> en urgence enregistrées ; à ce jour, 91</w:t>
      </w:r>
      <w:r w:rsidR="00B76901">
        <w:rPr>
          <w:lang w:val="fr-FR"/>
        </w:rPr>
        <w:t> </w:t>
      </w:r>
      <w:r>
        <w:rPr>
          <w:lang w:val="fr-FR"/>
        </w:rPr>
        <w:t>% de l’ensemble des demandes d’action en urgence enregistrées concernent ces deux pays. Le Comité estime qu’il convient de mettre en relief les principales tendances observées dans ces cas.</w:t>
      </w:r>
    </w:p>
    <w:p w14:paraId="6A93AF62" w14:textId="77777777" w:rsidR="0034003B" w:rsidRPr="00A242DA" w:rsidRDefault="0034003B" w:rsidP="00B76901">
      <w:pPr>
        <w:pStyle w:val="H23G"/>
      </w:pPr>
      <w:r>
        <w:rPr>
          <w:lang w:val="fr-FR"/>
        </w:rPr>
        <w:tab/>
        <w:t>a)</w:t>
      </w:r>
      <w:r>
        <w:rPr>
          <w:lang w:val="fr-FR"/>
        </w:rPr>
        <w:tab/>
        <w:t>Iraq</w:t>
      </w:r>
    </w:p>
    <w:p w14:paraId="3EBC35D7" w14:textId="56C9BF96" w:rsidR="0034003B" w:rsidRPr="00A242DA" w:rsidRDefault="0034003B" w:rsidP="00B76901">
      <w:pPr>
        <w:pStyle w:val="SingleTxtG"/>
      </w:pPr>
      <w:r>
        <w:rPr>
          <w:lang w:val="fr-FR"/>
        </w:rPr>
        <w:t>17.</w:t>
      </w:r>
      <w:r>
        <w:rPr>
          <w:lang w:val="fr-FR"/>
        </w:rPr>
        <w:tab/>
        <w:t>Au 1</w:t>
      </w:r>
      <w:r w:rsidRPr="00BF3535">
        <w:rPr>
          <w:vertAlign w:val="superscript"/>
          <w:lang w:val="fr-FR"/>
        </w:rPr>
        <w:t>er</w:t>
      </w:r>
      <w:r w:rsidR="00B76901">
        <w:rPr>
          <w:lang w:val="fr-FR"/>
        </w:rPr>
        <w:t> </w:t>
      </w:r>
      <w:r>
        <w:rPr>
          <w:lang w:val="fr-FR"/>
        </w:rPr>
        <w:t>avril 2021, le Comité avait enregistré un total de 492</w:t>
      </w:r>
      <w:r w:rsidR="00B76901">
        <w:rPr>
          <w:lang w:val="fr-FR"/>
        </w:rPr>
        <w:t> </w:t>
      </w:r>
      <w:r>
        <w:rPr>
          <w:lang w:val="fr-FR"/>
        </w:rPr>
        <w:t>cas liés à des faits survenus en Iraq, ce qui représente 49</w:t>
      </w:r>
      <w:r w:rsidR="00B76901">
        <w:rPr>
          <w:lang w:val="fr-FR"/>
        </w:rPr>
        <w:t> </w:t>
      </w:r>
      <w:r>
        <w:rPr>
          <w:lang w:val="fr-FR"/>
        </w:rPr>
        <w:t>% de toutes les demandes d’action en urgence enregistrées à ce jour. Le Comité est très préoccupé par le fait que les personnes disparues n’ont été retrouvées que dans 26 de ces cas.</w:t>
      </w:r>
    </w:p>
    <w:p w14:paraId="556A60E1" w14:textId="77777777" w:rsidR="0034003B" w:rsidRPr="00A242DA" w:rsidRDefault="0034003B" w:rsidP="00B76901">
      <w:pPr>
        <w:pStyle w:val="SingleTxtG"/>
      </w:pPr>
      <w:r>
        <w:rPr>
          <w:lang w:val="fr-FR"/>
        </w:rPr>
        <w:lastRenderedPageBreak/>
        <w:t>18.</w:t>
      </w:r>
      <w:r>
        <w:rPr>
          <w:lang w:val="fr-FR"/>
        </w:rPr>
        <w:tab/>
        <w:t>Le Comité est également préoccupé par le fait que, malgré plusieurs rappels, l’Iraq n’a toujours pas répondu à la majorité des demandes d’action en urgence enregistrées concernant des faits survenus sur son territoire. Pendant la période considérée, quatre rappels ont été envoyés concernant 280 des demandes d’action en urgence enregistrées. Le Comité souligne avec préoccupation que, dans certains cas, l’État partie a répondu à un dernier rappel par une demande de renseignements personnels sur les victimes, lesquels avaient déjà été fournis dans la note d’enregistrement initiale.</w:t>
      </w:r>
    </w:p>
    <w:p w14:paraId="6D138787" w14:textId="77777777" w:rsidR="0034003B" w:rsidRPr="00A242DA" w:rsidRDefault="0034003B" w:rsidP="00B76901">
      <w:pPr>
        <w:pStyle w:val="SingleTxtG"/>
      </w:pPr>
      <w:r>
        <w:rPr>
          <w:lang w:val="fr-FR"/>
        </w:rPr>
        <w:t>19.</w:t>
      </w:r>
      <w:r>
        <w:rPr>
          <w:lang w:val="fr-FR"/>
        </w:rPr>
        <w:tab/>
        <w:t>Lorsque l’État partie a envoyé des réponses au Comité, elles suivaient la même tendance que celle décrite par le Comité dans ses précédents rapports, à savoir que l’État partie n’a communiqué aucune information sur les mesures prises pour rechercher les personnes disparues ou pour mener une enquête sur leur disparition forcée présumée. En outre, l’État partie n’a pas précisé les moyens d’action dont disposaient les victimes.</w:t>
      </w:r>
    </w:p>
    <w:p w14:paraId="2143468C" w14:textId="77777777" w:rsidR="0034003B" w:rsidRPr="00A242DA" w:rsidRDefault="0034003B" w:rsidP="00B76901">
      <w:pPr>
        <w:pStyle w:val="SingleTxtG"/>
      </w:pPr>
      <w:r>
        <w:rPr>
          <w:lang w:val="fr-FR"/>
        </w:rPr>
        <w:t>20.</w:t>
      </w:r>
      <w:r>
        <w:rPr>
          <w:lang w:val="fr-FR"/>
        </w:rPr>
        <w:tab/>
        <w:t>Dans plusieurs de ses réponses, l’État partie s’est borné, comme précédemment, à affirmer que les victimes présumées étaient affiliées à des groupes terroristes, sans fournir d’autres renseignements sur les accusations précises portées contre elles, les procédures engagées ou les mandats d’arrêt délivrés à leur encontre. Dans ces cas, le Comité a rappelé à l’État partie qu’il avait le devoir de rechercher toute personne disparue et d’enquêter sur sa disparition, indépendamment de son profil ou de son appartenance politique.</w:t>
      </w:r>
    </w:p>
    <w:p w14:paraId="2CF6301E" w14:textId="77777777" w:rsidR="0034003B" w:rsidRPr="00A242DA" w:rsidRDefault="0034003B" w:rsidP="00B76901">
      <w:pPr>
        <w:pStyle w:val="SingleTxtG"/>
      </w:pPr>
      <w:r>
        <w:rPr>
          <w:lang w:val="fr-FR"/>
        </w:rPr>
        <w:t>21.</w:t>
      </w:r>
      <w:r>
        <w:rPr>
          <w:lang w:val="fr-FR"/>
        </w:rPr>
        <w:tab/>
        <w:t>Dans un certain nombre de cas ayant donné lieu à l’enregistrement d’une demande d’action en urgence, l’État partie a informé le Comité que, dans le cadre de l’enquête sur la disparition forcée présumée, le service de médecine légale du Ministère de la santé demandait que des parents au premier degré de la personne disparue se présentent, au cas où ils pourraient identifier la personne disparue sur une photographie de corps non identifiés. Cependant, l’État partie n’a pas précisé s’il avait déjà envoyé des invitations à se présenter aux parents et, dans la négative, les raisons pour lesquelles il ne l’avait pas fait.</w:t>
      </w:r>
    </w:p>
    <w:p w14:paraId="7BA0BEC5" w14:textId="77777777" w:rsidR="0034003B" w:rsidRPr="00A242DA" w:rsidRDefault="0034003B" w:rsidP="00B76901">
      <w:pPr>
        <w:pStyle w:val="SingleTxtG"/>
      </w:pPr>
      <w:r>
        <w:rPr>
          <w:lang w:val="fr-FR"/>
        </w:rPr>
        <w:t>22.</w:t>
      </w:r>
      <w:r>
        <w:rPr>
          <w:lang w:val="fr-FR"/>
        </w:rPr>
        <w:tab/>
        <w:t>Au cours de la période considérée, le Comité n’a enregistré aucune demande d’action en urgence supplémentaire concernant la disparition de personnes ayant participé aux manifestations qui ont commencé en octobre 2019, principalement sur la place Tahrir à Bagdad, ou qui ont apporté un soutien quelconque aux participants, question dont le Comité avait largement traité dans le rapport sur les demandes d’action en urgence qu’il a adopté à sa dix-neuvième session. Le nombre de ces demandes est donc toujours de 28, et l’État partie n’a pas encore répondu à 13 d’entre elles.</w:t>
      </w:r>
    </w:p>
    <w:p w14:paraId="60C37D88" w14:textId="77777777" w:rsidR="0034003B" w:rsidRPr="00A242DA" w:rsidRDefault="0034003B" w:rsidP="00B76901">
      <w:pPr>
        <w:pStyle w:val="H23G"/>
      </w:pPr>
      <w:r>
        <w:rPr>
          <w:lang w:val="fr-FR"/>
        </w:rPr>
        <w:tab/>
        <w:t>b)</w:t>
      </w:r>
      <w:r>
        <w:rPr>
          <w:lang w:val="fr-FR"/>
        </w:rPr>
        <w:tab/>
        <w:t>Mexique</w:t>
      </w:r>
    </w:p>
    <w:p w14:paraId="46B3AEE3" w14:textId="04AE639C" w:rsidR="0034003B" w:rsidRPr="00A242DA" w:rsidRDefault="0034003B" w:rsidP="00B76901">
      <w:pPr>
        <w:pStyle w:val="SingleTxtG"/>
      </w:pPr>
      <w:r>
        <w:rPr>
          <w:lang w:val="fr-FR"/>
        </w:rPr>
        <w:t>23.</w:t>
      </w:r>
      <w:r>
        <w:rPr>
          <w:lang w:val="fr-FR"/>
        </w:rPr>
        <w:tab/>
        <w:t>Au 1</w:t>
      </w:r>
      <w:r w:rsidRPr="00BF3535">
        <w:rPr>
          <w:vertAlign w:val="superscript"/>
          <w:lang w:val="fr-FR"/>
        </w:rPr>
        <w:t>er</w:t>
      </w:r>
      <w:r w:rsidR="00B76901">
        <w:rPr>
          <w:lang w:val="fr-FR"/>
        </w:rPr>
        <w:t> </w:t>
      </w:r>
      <w:r>
        <w:rPr>
          <w:lang w:val="fr-FR"/>
        </w:rPr>
        <w:t>avril 2021, le Comité avait enregistré un total de 424</w:t>
      </w:r>
      <w:r w:rsidR="00B76901">
        <w:rPr>
          <w:lang w:val="fr-FR"/>
        </w:rPr>
        <w:t> </w:t>
      </w:r>
      <w:r>
        <w:rPr>
          <w:lang w:val="fr-FR"/>
        </w:rPr>
        <w:t>demandes d’action en urgence liées à des faits survenus au Mexique, ce qui représente 42</w:t>
      </w:r>
      <w:r w:rsidR="00B76901">
        <w:rPr>
          <w:lang w:val="fr-FR"/>
        </w:rPr>
        <w:t> </w:t>
      </w:r>
      <w:r>
        <w:rPr>
          <w:lang w:val="fr-FR"/>
        </w:rPr>
        <w:t>% de toutes les demandes d’action en urgence enregistrées à ce jour. Sur ces 424</w:t>
      </w:r>
      <w:r w:rsidR="00B76901">
        <w:rPr>
          <w:lang w:val="fr-FR"/>
        </w:rPr>
        <w:t> </w:t>
      </w:r>
      <w:r>
        <w:rPr>
          <w:lang w:val="fr-FR"/>
        </w:rPr>
        <w:t>actions en urgence, 46 ont été clôturées car les personnes disparues avaient été retrouvées ; les autres restent ouvertes ou ont été suspendues (voir les paragraphes</w:t>
      </w:r>
      <w:r w:rsidR="00B76901">
        <w:rPr>
          <w:lang w:val="fr-FR"/>
        </w:rPr>
        <w:t> </w:t>
      </w:r>
      <w:r>
        <w:rPr>
          <w:lang w:val="fr-FR"/>
        </w:rPr>
        <w:t>32 et 33 ci-dessous). Le Comité se félicite de l’augmentation du nombre de réponses de l’État partie concernant les demandes enregistrées, bien que des rappels aient encore été envoyés pour environ la moitié des cas. Dans la grande majorité des cas, dès réception des informations demandées, le Comité a envoyé des notes de suivi, dans lesquelles il a réitéré plusieurs de ses recommandations relatives à l’élaboration et à la mise en œuvre de stratégies de recherche et d’enquête par les autorités compétentes (voir les paragraphes</w:t>
      </w:r>
      <w:r w:rsidR="00B76901">
        <w:rPr>
          <w:lang w:val="fr-FR"/>
        </w:rPr>
        <w:t> </w:t>
      </w:r>
      <w:r>
        <w:rPr>
          <w:lang w:val="fr-FR"/>
        </w:rPr>
        <w:t>11 à 13 ci-dessus).</w:t>
      </w:r>
    </w:p>
    <w:p w14:paraId="76490431" w14:textId="1C115801" w:rsidR="0034003B" w:rsidRPr="00A242DA" w:rsidRDefault="0034003B" w:rsidP="00B76901">
      <w:pPr>
        <w:pStyle w:val="SingleTxtG"/>
      </w:pPr>
      <w:r>
        <w:rPr>
          <w:lang w:val="fr-FR"/>
        </w:rPr>
        <w:t>24.</w:t>
      </w:r>
      <w:r>
        <w:rPr>
          <w:lang w:val="fr-FR"/>
        </w:rPr>
        <w:tab/>
        <w:t>Il a souvent été indiqué au Comité qu’il y avait un manque de coordination entre les autorités fédérales et fédérées chargées des recherches et des enquêtes au Mexique, ce qui entravait lesdites recherches et enquêtes, voire les empêchait de progresser. Dans certains cas, le Comité a été informé que les autorités fédérées avaient refusé de collaborer avec les autorités fédérales. Dans ces cas, le Comité a envoyé des notes de suivi, dans lesquelles il demandait que les autorités responsables aux différents niveaux définissent clairement et coordonnent leurs fonctions respectives (voir le paragraphe</w:t>
      </w:r>
      <w:r w:rsidR="00B76901">
        <w:rPr>
          <w:lang w:val="fr-FR"/>
        </w:rPr>
        <w:t> </w:t>
      </w:r>
      <w:r>
        <w:rPr>
          <w:lang w:val="fr-FR"/>
        </w:rPr>
        <w:t>13 ci-dessus).</w:t>
      </w:r>
    </w:p>
    <w:p w14:paraId="6A32C1D0" w14:textId="77777777" w:rsidR="0034003B" w:rsidRPr="00A242DA" w:rsidRDefault="0034003B" w:rsidP="00B76901">
      <w:pPr>
        <w:pStyle w:val="SingleTxtG"/>
      </w:pPr>
      <w:r>
        <w:rPr>
          <w:lang w:val="fr-FR"/>
        </w:rPr>
        <w:t>25.</w:t>
      </w:r>
      <w:r>
        <w:rPr>
          <w:lang w:val="fr-FR"/>
        </w:rPr>
        <w:tab/>
        <w:t xml:space="preserve">Dans ses recommandations, le Comité a insisté à diverses reprises sur l’obligation faite à l’État partie par la Convention de veiller à ce que les victimes soient régulièrement informées des mesures prises par les autorités chargées des recherches et des enquêtes, et de les associer à ces activités. Au cours de la période considérée, les progrès réalisés dépendaient </w:t>
      </w:r>
      <w:r>
        <w:rPr>
          <w:lang w:val="fr-FR"/>
        </w:rPr>
        <w:lastRenderedPageBreak/>
        <w:t>encore dans une très large mesure des initiatives prises et des démarches engagées par les proches des personnes disparues. Dans plusieurs cas, le fait que les victimes avaient eu la possibilité d’avoir des échanges avec les autorités de l’État partie chargées des recherches et des enquêtes avait été déterminant pour la réalisation de certains progrès. Cela étant, les auteurs des demandes d’action en urgence ont souvent signalé qu’ils avaient des difficultés à obtenir des autorités qu’elles prennent en considération avec toute la diligence voulue les informations qu’ils leur communiquaient. Ils ont aussi souvent regretté qu’il était fréquent qu’aucune enquête ne soit menée sur le terrain et que les éléments de preuve disponibles ne fassent pas l’objet d’un examen approfondi.</w:t>
      </w:r>
    </w:p>
    <w:p w14:paraId="384225B3" w14:textId="77777777" w:rsidR="0034003B" w:rsidRPr="00A242DA" w:rsidRDefault="0034003B" w:rsidP="00B76901">
      <w:pPr>
        <w:pStyle w:val="SingleTxtG"/>
      </w:pPr>
      <w:r>
        <w:rPr>
          <w:lang w:val="fr-FR"/>
        </w:rPr>
        <w:t>26.</w:t>
      </w:r>
      <w:r>
        <w:rPr>
          <w:lang w:val="fr-FR"/>
        </w:rPr>
        <w:tab/>
        <w:t>Les auteurs de demandes d’action en urgence concernant des faits survenus au Mexique ont continué de formuler de nombreuses allégations selon lesquelles les autorités étaient directement ou indirectement impliquées dans les faits entourant les disparitions forcées et les procédures étaient au point mort. S’agissant d’événements survenus plusieurs années auparavant, les auteurs ont souvent mis en cause les autorités de l’État partie pour leur manque de diligence, soulignant que leur inaction était devenue un facteur d’aggravation de leur responsabilité dans la disparition forcée alléguée. En pareils cas, le Comité a appelé l’attention de l’État partie sur l’importance que revêtait la création de mécanismes permettant de demander des comptes aux fonctionnaires chargés des recherches et des enquêtes, et il l’a invité à ouvrir des enquêtes sur les allégations selon lesquelles certains de ces fonctionnaires avaient entravé le bon déroulement des procédures.</w:t>
      </w:r>
    </w:p>
    <w:p w14:paraId="5CAD1566" w14:textId="51355A9B" w:rsidR="0034003B" w:rsidRPr="00A242DA" w:rsidRDefault="0034003B" w:rsidP="00B76901">
      <w:pPr>
        <w:pStyle w:val="SingleTxtG"/>
      </w:pPr>
      <w:r>
        <w:rPr>
          <w:lang w:val="fr-FR"/>
        </w:rPr>
        <w:t>27.</w:t>
      </w:r>
      <w:r>
        <w:rPr>
          <w:lang w:val="fr-FR"/>
        </w:rPr>
        <w:tab/>
        <w:t>Au cours de la période considérée, le Comité a reçu 45</w:t>
      </w:r>
      <w:r w:rsidR="00B76901">
        <w:rPr>
          <w:lang w:val="fr-FR"/>
        </w:rPr>
        <w:t> </w:t>
      </w:r>
      <w:r>
        <w:rPr>
          <w:lang w:val="fr-FR"/>
        </w:rPr>
        <w:t>demandes d’action en urgence concernant des cas de disparition présumée dans l’État de Nayarit, disparitions qui auraient été commises avec la participation directe ou indirecte du personnel du Bureau du Procureur général de l’État de Nayarit. Dans ces demandes, il était allégué que l’ancien Procureur général de Nayarit, Edgar Veytia, qui a été reconnu coupable de trafic de stupéfiants aux États-Unis d’Amérique, entretenait des liens avec le crime organisé et avait lui-même été impliqué dans de nombreuses affaires de disparition forcée et d’autres violations des droits de l’homme dans l’État. Dans certaines des demandes d’action en urgence, il a également été allégué que des membres actuels du personnel du Bureau du Procureur spécial chargé d’enquêter sur les disparitions de personnes de l’État de Nayarit avaient été impliqués dans les disparitions forcées ou avaient travaillé en étroite collaboration avec M.</w:t>
      </w:r>
      <w:r w:rsidR="00B76901">
        <w:rPr>
          <w:lang w:val="fr-FR"/>
        </w:rPr>
        <w:t> </w:t>
      </w:r>
      <w:r>
        <w:rPr>
          <w:lang w:val="fr-FR"/>
        </w:rPr>
        <w:t>Veytia. Si dans certains cas les auteurs présumés des faits ont été identifiés, aucune enquête n’a été menée pour établir leur responsabilité. Dans ces cas, le Comité a demandé à l’État partie de prendre les mesures nécessaires pour enquêter sur toute activité ou intervention des autorités visant à entraver les recherches et les enquêtes liées aux disparitions forcées et d’en punir les responsables, et, en particulier, d’enquêter sur les membres du personnel du Bureau du Procureur qui auraient pu avoir des liens avec M. Veytia afin de déterminer s’ils auraient pu être impliqués dans les disparitions en question. Le Comité a en outre demandé à l’État partie de garantir la compétence et l’indépendance du Bureau du Procureur spécial.</w:t>
      </w:r>
    </w:p>
    <w:p w14:paraId="771ACDEE" w14:textId="5EE008BD" w:rsidR="0034003B" w:rsidRPr="00A242DA" w:rsidRDefault="0034003B" w:rsidP="00B76901">
      <w:pPr>
        <w:pStyle w:val="SingleTxtG"/>
      </w:pPr>
      <w:r>
        <w:rPr>
          <w:lang w:val="fr-FR"/>
        </w:rPr>
        <w:t>28.</w:t>
      </w:r>
      <w:r>
        <w:rPr>
          <w:lang w:val="fr-FR"/>
        </w:rPr>
        <w:tab/>
        <w:t>Les auteurs de demandes d’action en urgence ont souvent fait état des difficultés qu’avaient les proches de personnes disparues à obtenir l’aide à laquelle ils avaient droit en vertu de la législation nationale et de l’article</w:t>
      </w:r>
      <w:r w:rsidR="00B76901">
        <w:rPr>
          <w:lang w:val="fr-FR"/>
        </w:rPr>
        <w:t> </w:t>
      </w:r>
      <w:r>
        <w:rPr>
          <w:lang w:val="fr-FR"/>
        </w:rPr>
        <w:t>24 (par.</w:t>
      </w:r>
      <w:r w:rsidR="00B76901">
        <w:rPr>
          <w:lang w:val="fr-FR"/>
        </w:rPr>
        <w:t> </w:t>
      </w:r>
      <w:r>
        <w:rPr>
          <w:lang w:val="fr-FR"/>
        </w:rPr>
        <w:t xml:space="preserve">6) de la Convention. En vertu de cet article, les États parties sont tenus de prendre des mesures appropriées en ce qui concerne la situation juridique des personnes disparues dont le sort n’a pas été élucidé et de leurs proches, notamment pour ce qui touche à la protection sociale, aux questions financières, au droit de la famille et aux droits de propriété. Dans chacun de ces cas, le Comité a indiqué à l’État partie les mesures qu’il était tenu de prendre en fonction des besoins particuliers des proches de la personne disparue, notamment en ce qui concernait l’accès à la nourriture, à l’éducation, au logement ou aux services de santé. Le Comité a également rappelé l’obligation incombant aux autorités compétentes de l’État partie d’informer les proches de la personne disparue de la nature et de l’étendue de l’aide qu’ils étaient en droit d’attendre de ces autorités et de la durée pendant laquelle cette aide était accordée. Le Comité a demandé à l’État partie de veiller à ce que la situation et les besoins des intéressés soient dûment pris en compte par la Commission exécutive d’aide aux victimes dans le cadre de l’élaboration et de la révision des plans d’aide. </w:t>
      </w:r>
    </w:p>
    <w:p w14:paraId="5A5B2888" w14:textId="77777777" w:rsidR="0034003B" w:rsidRPr="00A242DA" w:rsidRDefault="0034003B" w:rsidP="00B76901">
      <w:pPr>
        <w:pStyle w:val="H23G"/>
      </w:pPr>
      <w:r>
        <w:rPr>
          <w:lang w:val="fr-FR"/>
        </w:rPr>
        <w:lastRenderedPageBreak/>
        <w:tab/>
        <w:t>3.</w:t>
      </w:r>
      <w:r>
        <w:rPr>
          <w:lang w:val="fr-FR"/>
        </w:rPr>
        <w:tab/>
        <w:t>Éléments nouveaux concernant le Burkina Faso, le Maroc, le Paraguay et le Pérou</w:t>
      </w:r>
    </w:p>
    <w:p w14:paraId="762EDA05" w14:textId="77777777" w:rsidR="0034003B" w:rsidRPr="00A242DA" w:rsidRDefault="0034003B" w:rsidP="00B76901">
      <w:pPr>
        <w:pStyle w:val="SingleTxtG"/>
      </w:pPr>
      <w:r>
        <w:rPr>
          <w:lang w:val="fr-FR"/>
        </w:rPr>
        <w:t>29.</w:t>
      </w:r>
      <w:r>
        <w:rPr>
          <w:lang w:val="fr-FR"/>
        </w:rPr>
        <w:tab/>
      </w:r>
      <w:r w:rsidRPr="00BF3535">
        <w:rPr>
          <w:b/>
          <w:bCs/>
          <w:lang w:val="fr-FR"/>
        </w:rPr>
        <w:t>Disparition forcée d</w:t>
      </w:r>
      <w:r>
        <w:rPr>
          <w:b/>
          <w:bCs/>
          <w:lang w:val="fr-FR"/>
        </w:rPr>
        <w:t>’</w:t>
      </w:r>
      <w:r w:rsidRPr="00BF3535">
        <w:rPr>
          <w:b/>
          <w:bCs/>
          <w:lang w:val="fr-FR"/>
        </w:rPr>
        <w:t>un membre d</w:t>
      </w:r>
      <w:r>
        <w:rPr>
          <w:b/>
          <w:bCs/>
          <w:lang w:val="fr-FR"/>
        </w:rPr>
        <w:t>’</w:t>
      </w:r>
      <w:r w:rsidRPr="00BF3535">
        <w:rPr>
          <w:b/>
          <w:bCs/>
          <w:lang w:val="fr-FR"/>
        </w:rPr>
        <w:t xml:space="preserve">un groupe autochtone. </w:t>
      </w:r>
      <w:r>
        <w:rPr>
          <w:lang w:val="fr-FR"/>
        </w:rPr>
        <w:t>Au cours de la période considérée, le Comité a enregistré la première demande d’action en urgence intéressant le Burkina Faso. La demande concernait la disparition forcée présumée d’un membre du groupe ethnique des Peuls, après qu’il a été arrêté par des gendarmes.</w:t>
      </w:r>
    </w:p>
    <w:p w14:paraId="7E6EF23D" w14:textId="77777777" w:rsidR="0034003B" w:rsidRPr="00A242DA" w:rsidRDefault="0034003B" w:rsidP="00B76901">
      <w:pPr>
        <w:pStyle w:val="SingleTxtG"/>
      </w:pPr>
      <w:r>
        <w:rPr>
          <w:lang w:val="fr-FR"/>
        </w:rPr>
        <w:t>30.</w:t>
      </w:r>
      <w:r>
        <w:rPr>
          <w:lang w:val="fr-FR"/>
        </w:rPr>
        <w:tab/>
      </w:r>
      <w:r w:rsidRPr="00BF3535">
        <w:rPr>
          <w:b/>
          <w:bCs/>
          <w:lang w:val="fr-FR"/>
        </w:rPr>
        <w:t xml:space="preserve">Disparition forcée dans le cadre de la lutte contre une </w:t>
      </w:r>
      <w:r w:rsidRPr="00404C39">
        <w:rPr>
          <w:b/>
          <w:bCs/>
          <w:lang w:val="fr-FR"/>
        </w:rPr>
        <w:t>guérilla</w:t>
      </w:r>
      <w:r w:rsidRPr="00BF3535">
        <w:rPr>
          <w:b/>
          <w:bCs/>
          <w:lang w:val="fr-FR"/>
        </w:rPr>
        <w:t>.</w:t>
      </w:r>
      <w:r>
        <w:rPr>
          <w:lang w:val="fr-FR"/>
        </w:rPr>
        <w:t xml:space="preserve"> Le Comité a également enregistré la première demande d’action en urgence intéressant le Paraguay. La demande concernait la disparition forcée présumée d’une fille dans le cadre d’une opération menée par une équipe spéciale conjointe de la police et de l’armée créée pour lutter contre l’Ejército del Pueblo Paraguayo (Armée du peuple paraguayen), une organisation de guérilla. </w:t>
      </w:r>
      <w:r>
        <w:t>Dans sa note de suivi, le Comité s’est dit préoccupé par l’absence d’informations sur les mesures concrètes prises pour rechercher et localiser la fille et enquêter sur sa disparition, notamment en explorant la possibilité qu’elle soit détenue par l’Ejército del Pueblo Paraguayo.</w:t>
      </w:r>
    </w:p>
    <w:p w14:paraId="01501B41" w14:textId="1F69CF72" w:rsidR="0034003B" w:rsidRDefault="0034003B" w:rsidP="00B76901">
      <w:pPr>
        <w:pStyle w:val="SingleTxtG"/>
        <w:rPr>
          <w:lang w:val="fr-FR"/>
        </w:rPr>
      </w:pPr>
      <w:r>
        <w:rPr>
          <w:lang w:val="fr-FR"/>
        </w:rPr>
        <w:t>31.</w:t>
      </w:r>
      <w:r>
        <w:rPr>
          <w:lang w:val="fr-FR"/>
        </w:rPr>
        <w:tab/>
      </w:r>
      <w:r w:rsidRPr="00BF3535">
        <w:rPr>
          <w:b/>
          <w:bCs/>
          <w:lang w:val="fr-FR"/>
        </w:rPr>
        <w:t>Disparition forcée dans le cadre de manifestations.</w:t>
      </w:r>
      <w:r>
        <w:rPr>
          <w:lang w:val="fr-FR"/>
        </w:rPr>
        <w:t xml:space="preserve"> Le Comité a enregistré 13</w:t>
      </w:r>
      <w:r w:rsidR="00B76901">
        <w:rPr>
          <w:lang w:val="fr-FR"/>
        </w:rPr>
        <w:t> </w:t>
      </w:r>
      <w:r>
        <w:rPr>
          <w:lang w:val="fr-FR"/>
        </w:rPr>
        <w:t>demandes d’action en urgence concernant le Pérou. Les demandes concernaient la disparition forcée présumée de participants aux manifestations contre le Président qui avaient eu lieu à Lima en novembre 2020. Ces actions ont été clôturées après que les détenus ont été localisés et libérés (voir le paragraphe</w:t>
      </w:r>
      <w:r w:rsidR="00B76901">
        <w:rPr>
          <w:lang w:val="fr-FR"/>
        </w:rPr>
        <w:t> </w:t>
      </w:r>
      <w:r>
        <w:rPr>
          <w:lang w:val="fr-FR"/>
        </w:rPr>
        <w:t>37 ci-dessous).</w:t>
      </w:r>
    </w:p>
    <w:p w14:paraId="79324149" w14:textId="1D6B5F67" w:rsidR="0034003B" w:rsidRPr="00BF3535" w:rsidRDefault="0034003B" w:rsidP="00B76901">
      <w:pPr>
        <w:pStyle w:val="SingleTxtG"/>
        <w:rPr>
          <w:b/>
          <w:bCs/>
        </w:rPr>
      </w:pPr>
      <w:r>
        <w:rPr>
          <w:lang w:val="fr-FR"/>
        </w:rPr>
        <w:t>32.</w:t>
      </w:r>
      <w:r>
        <w:rPr>
          <w:lang w:val="fr-FR"/>
        </w:rPr>
        <w:tab/>
      </w:r>
      <w:r>
        <w:rPr>
          <w:b/>
          <w:bCs/>
          <w:lang w:val="fr-FR"/>
        </w:rPr>
        <w:t xml:space="preserve">Disparition forcée dans le cadre d’une extradition. </w:t>
      </w:r>
      <w:r>
        <w:t>Le Comité a enregistré une demande d’action en urgence concernant la disparition d’un individu qui avait été extradé du Maroc vers l’Arabie saoudite et dont le lieu où il se trouvait n’avait pas été révélé aux proches par les autorités saoudiennes. Dans ce cas, le Comité a demandé à l’État partie de coopérer avec les autorités saoudiennes en vue de déterminer le lieu où se trouvait l’individu et d’enquêter sur sa disparition forcée présumée, conformément aux obligations qui lui incombent en vertu des articles</w:t>
      </w:r>
      <w:r w:rsidR="00B76901">
        <w:t> </w:t>
      </w:r>
      <w:r>
        <w:t>14 et 15 de la Convention.</w:t>
      </w:r>
      <w:r>
        <w:rPr>
          <w:b/>
          <w:bCs/>
          <w:lang w:val="fr-FR"/>
        </w:rPr>
        <w:t xml:space="preserve"> </w:t>
      </w:r>
    </w:p>
    <w:p w14:paraId="17FF81F6" w14:textId="77777777" w:rsidR="0034003B" w:rsidRPr="00A242DA" w:rsidRDefault="0034003B" w:rsidP="00B76901">
      <w:pPr>
        <w:pStyle w:val="H1G"/>
      </w:pPr>
      <w:r>
        <w:rPr>
          <w:lang w:val="fr-FR"/>
        </w:rPr>
        <w:tab/>
        <w:t>D.</w:t>
      </w:r>
      <w:r>
        <w:rPr>
          <w:lang w:val="fr-FR"/>
        </w:rPr>
        <w:tab/>
        <w:t xml:space="preserve">Actions en urgence classées, clôturées, maintenues ouvertes </w:t>
      </w:r>
      <w:r>
        <w:rPr>
          <w:lang w:val="fr-FR"/>
        </w:rPr>
        <w:br/>
        <w:t>ou suspendues aux fins de la protection des personnes en faveur desquelles des mesures de protection ont été recommandées</w:t>
      </w:r>
    </w:p>
    <w:p w14:paraId="402983B9" w14:textId="77777777" w:rsidR="0034003B" w:rsidRPr="00A242DA" w:rsidRDefault="0034003B" w:rsidP="00B76901">
      <w:pPr>
        <w:pStyle w:val="SingleTxtG"/>
        <w:keepNext/>
      </w:pPr>
      <w:r>
        <w:rPr>
          <w:lang w:val="fr-FR"/>
        </w:rPr>
        <w:t>33.</w:t>
      </w:r>
      <w:r>
        <w:rPr>
          <w:lang w:val="fr-FR"/>
        </w:rPr>
        <w:tab/>
        <w:t>En application des critères adoptés par le Comité en séance plénière à sa huitième session :</w:t>
      </w:r>
    </w:p>
    <w:p w14:paraId="13AF2361" w14:textId="77777777" w:rsidR="0034003B" w:rsidRPr="00A242DA" w:rsidRDefault="0034003B" w:rsidP="00B76901">
      <w:pPr>
        <w:pStyle w:val="SingleTxtG"/>
        <w:ind w:firstLine="567"/>
      </w:pPr>
      <w:r>
        <w:rPr>
          <w:lang w:val="fr-FR"/>
        </w:rPr>
        <w:t>a)</w:t>
      </w:r>
      <w:r>
        <w:rPr>
          <w:lang w:val="fr-FR"/>
        </w:rPr>
        <w:tab/>
        <w:t>Une action en urgence est classée lorsque la personne disparue a été retrouvée, mais qu’elle est toujours en détention ; en effet, en pareil cas, la personne est particulièrement exposée au risque de disparaître à nouveau et d’être soustraite à la protection de la loi ;</w:t>
      </w:r>
    </w:p>
    <w:p w14:paraId="40ED0B8B" w14:textId="77777777" w:rsidR="0034003B" w:rsidRPr="00A242DA" w:rsidRDefault="0034003B" w:rsidP="00B76901">
      <w:pPr>
        <w:pStyle w:val="SingleTxtG"/>
        <w:ind w:firstLine="567"/>
      </w:pPr>
      <w:r>
        <w:rPr>
          <w:lang w:val="fr-FR"/>
        </w:rPr>
        <w:t>b)</w:t>
      </w:r>
      <w:r>
        <w:rPr>
          <w:lang w:val="fr-FR"/>
        </w:rPr>
        <w:tab/>
        <w:t>Une action en urgence est clôturée lorsque la personne disparue a été retrouvée libre, quand elle a été retrouvée puis libérée ou quand elle a été retrouvée morte, à condition que les membres de la famille ou les auteurs ne contestent pas ces faits ;</w:t>
      </w:r>
    </w:p>
    <w:p w14:paraId="60E09C06" w14:textId="77777777" w:rsidR="0034003B" w:rsidRPr="00A242DA" w:rsidRDefault="0034003B" w:rsidP="00B76901">
      <w:pPr>
        <w:pStyle w:val="SingleTxtG"/>
        <w:ind w:firstLine="567"/>
      </w:pPr>
      <w:r>
        <w:rPr>
          <w:lang w:val="fr-FR"/>
        </w:rPr>
        <w:t>c)</w:t>
      </w:r>
      <w:r>
        <w:rPr>
          <w:lang w:val="fr-FR"/>
        </w:rPr>
        <w:tab/>
        <w:t>Une action en urgence est maintenue ouverte si la personne disparue a été retrouvée, mais que les personnes auxquelles des mesures de protection ont été accordées dans le cadre de l’action en urgence restent menacées ; en pareil cas, le Comité se borne à assurer le suivi des mesures de protection.</w:t>
      </w:r>
    </w:p>
    <w:p w14:paraId="23CE8BCA" w14:textId="77777777" w:rsidR="0034003B" w:rsidRPr="00A242DA" w:rsidRDefault="0034003B" w:rsidP="00B76901">
      <w:pPr>
        <w:pStyle w:val="SingleTxtG"/>
        <w:keepNext/>
      </w:pPr>
      <w:r>
        <w:rPr>
          <w:lang w:val="fr-FR"/>
        </w:rPr>
        <w:t>34.</w:t>
      </w:r>
      <w:r>
        <w:rPr>
          <w:lang w:val="fr-FR"/>
        </w:rPr>
        <w:tab/>
        <w:t>Outre ces critères, le Comité a adopté la nouvelle catégorie de cas suivante à sa vingtième session :</w:t>
      </w:r>
    </w:p>
    <w:p w14:paraId="45D596A7" w14:textId="77777777" w:rsidR="0034003B" w:rsidRPr="00A242DA" w:rsidRDefault="0034003B" w:rsidP="00B76901">
      <w:pPr>
        <w:pStyle w:val="SingleTxtG"/>
        <w:ind w:firstLine="567"/>
      </w:pPr>
      <w:r>
        <w:rPr>
          <w:lang w:val="fr-FR"/>
        </w:rPr>
        <w:t>d)</w:t>
      </w:r>
      <w:r>
        <w:rPr>
          <w:lang w:val="fr-FR"/>
        </w:rPr>
        <w:tab/>
        <w:t>Une action en urgence, et son suivi par le Comité, sont suspendus lorsque l’auteur de la demande d’action en urgence a perdu le contact avec les membres de la famille de la personne disparue et ne peut plus fournir d’informations de suivi ; une action en urgence suspendue peut être rouverte si l’auteur informe le Comité qu’il a repris contact avec les membres de la famille.</w:t>
      </w:r>
    </w:p>
    <w:p w14:paraId="2E016F71" w14:textId="7F9A194F" w:rsidR="0034003B" w:rsidRPr="00A242DA" w:rsidRDefault="0034003B" w:rsidP="00B76901">
      <w:pPr>
        <w:pStyle w:val="SingleTxtG"/>
      </w:pPr>
      <w:r>
        <w:rPr>
          <w:lang w:val="fr-FR"/>
        </w:rPr>
        <w:t>35.</w:t>
      </w:r>
      <w:r>
        <w:rPr>
          <w:lang w:val="fr-FR"/>
        </w:rPr>
        <w:tab/>
        <w:t>Au 1</w:t>
      </w:r>
      <w:r w:rsidRPr="00BF3535">
        <w:rPr>
          <w:vertAlign w:val="superscript"/>
          <w:lang w:val="fr-FR"/>
        </w:rPr>
        <w:t>er</w:t>
      </w:r>
      <w:r w:rsidR="00B76901">
        <w:rPr>
          <w:lang w:val="fr-FR"/>
        </w:rPr>
        <w:t> </w:t>
      </w:r>
      <w:r>
        <w:rPr>
          <w:lang w:val="fr-FR"/>
        </w:rPr>
        <w:t>avril 2021, le Comité avait clôturé 89</w:t>
      </w:r>
      <w:r w:rsidR="00B76901">
        <w:rPr>
          <w:lang w:val="fr-FR"/>
        </w:rPr>
        <w:t> </w:t>
      </w:r>
      <w:r>
        <w:rPr>
          <w:lang w:val="fr-FR"/>
        </w:rPr>
        <w:t>actions en urgence, en avait classé 15 et en avait suspendu 96. Au total, 813</w:t>
      </w:r>
      <w:r w:rsidR="00B76901">
        <w:rPr>
          <w:lang w:val="fr-FR"/>
        </w:rPr>
        <w:t> </w:t>
      </w:r>
      <w:r>
        <w:rPr>
          <w:lang w:val="fr-FR"/>
        </w:rPr>
        <w:t>actions en urgence restaient ouvertes.</w:t>
      </w:r>
      <w:bookmarkStart w:id="0" w:name="_Hlk45551809"/>
    </w:p>
    <w:p w14:paraId="081D15AD" w14:textId="4FBB5496" w:rsidR="0034003B" w:rsidRPr="00A242DA" w:rsidRDefault="0034003B" w:rsidP="00B76901">
      <w:pPr>
        <w:pStyle w:val="SingleTxtG"/>
      </w:pPr>
      <w:r>
        <w:rPr>
          <w:lang w:val="fr-FR"/>
        </w:rPr>
        <w:lastRenderedPageBreak/>
        <w:t>36.</w:t>
      </w:r>
      <w:r>
        <w:rPr>
          <w:lang w:val="fr-FR"/>
        </w:rPr>
        <w:tab/>
        <w:t>Dans deux cas ayant donné lieu à une action en urgence dans lesquels la personne disparue avait été retrouvée morte (</w:t>
      </w:r>
      <w:r w:rsidRPr="006A34D5">
        <w:rPr>
          <w:rFonts w:eastAsia="MS Mincho"/>
          <w:lang w:val="fr-FR"/>
        </w:rPr>
        <w:t>n</w:t>
      </w:r>
      <w:r w:rsidRPr="006A34D5">
        <w:rPr>
          <w:rFonts w:eastAsia="MS Mincho"/>
          <w:vertAlign w:val="superscript"/>
          <w:lang w:val="fr-FR"/>
        </w:rPr>
        <w:t>o</w:t>
      </w:r>
      <w:r w:rsidR="00B76901">
        <w:rPr>
          <w:lang w:val="fr-FR"/>
        </w:rPr>
        <w:t> </w:t>
      </w:r>
      <w:r>
        <w:rPr>
          <w:lang w:val="fr-FR"/>
        </w:rPr>
        <w:t xml:space="preserve">12/2014, concernant la Colombie, et </w:t>
      </w:r>
      <w:r w:rsidRPr="006A34D5">
        <w:rPr>
          <w:rFonts w:eastAsia="MS Mincho"/>
          <w:lang w:val="fr-FR"/>
        </w:rPr>
        <w:t>n</w:t>
      </w:r>
      <w:r w:rsidRPr="006A34D5">
        <w:rPr>
          <w:rFonts w:eastAsia="MS Mincho"/>
          <w:vertAlign w:val="superscript"/>
          <w:lang w:val="fr-FR"/>
        </w:rPr>
        <w:t>o</w:t>
      </w:r>
      <w:r w:rsidR="00B76901">
        <w:rPr>
          <w:lang w:val="fr-FR"/>
        </w:rPr>
        <w:t> </w:t>
      </w:r>
      <w:r>
        <w:rPr>
          <w:lang w:val="fr-FR"/>
        </w:rPr>
        <w:t>8/2013, concernant le Mexique), l’action en urgence demeurait ouverte car les personnes en faveur desquelles des mesures provisoires de protection avaient été prises continuaient de faire l’objet de menaces.</w:t>
      </w:r>
      <w:bookmarkEnd w:id="0"/>
    </w:p>
    <w:p w14:paraId="5ED5363C" w14:textId="3F5057FF" w:rsidR="0034003B" w:rsidRPr="00A242DA" w:rsidRDefault="0034003B" w:rsidP="00B76901">
      <w:pPr>
        <w:pStyle w:val="SingleTxtG"/>
      </w:pPr>
      <w:r>
        <w:rPr>
          <w:lang w:val="fr-FR"/>
        </w:rPr>
        <w:t>37.</w:t>
      </w:r>
      <w:r>
        <w:rPr>
          <w:lang w:val="fr-FR"/>
        </w:rPr>
        <w:tab/>
        <w:t>Le Comité se félicite du fait qu’à ce jour, 106</w:t>
      </w:r>
      <w:r w:rsidR="00B76901">
        <w:rPr>
          <w:lang w:val="fr-FR"/>
        </w:rPr>
        <w:t> </w:t>
      </w:r>
      <w:r>
        <w:rPr>
          <w:lang w:val="fr-FR"/>
        </w:rPr>
        <w:t xml:space="preserve">personnes disparues ont été retrouvées. </w:t>
      </w:r>
      <w:r>
        <w:t>Il se félicite en particulier de ce que dans 82</w:t>
      </w:r>
      <w:r w:rsidR="00B76901">
        <w:t> </w:t>
      </w:r>
      <w:r>
        <w:t>cas la personne concernée a été retrouvée vivante.</w:t>
      </w:r>
      <w:r>
        <w:rPr>
          <w:lang w:val="fr-FR"/>
        </w:rPr>
        <w:t xml:space="preserve"> À cet égard, le Comité souhaite mettre en relief l’issue positive de demandes d’action en urgence enregistrées au cours de la période considérée concernant des cas au Cambodge, au Mexique et au Pérou. Concernant le cas faisant l’objet de la demande intéressant le Cambodge (</w:t>
      </w:r>
      <w:r w:rsidRPr="006A34D5">
        <w:rPr>
          <w:rFonts w:eastAsia="MS Mincho"/>
          <w:lang w:val="fr-FR"/>
        </w:rPr>
        <w:t>n</w:t>
      </w:r>
      <w:r w:rsidRPr="006A34D5">
        <w:rPr>
          <w:rFonts w:eastAsia="MS Mincho"/>
          <w:vertAlign w:val="superscript"/>
          <w:lang w:val="fr-FR"/>
        </w:rPr>
        <w:t>o</w:t>
      </w:r>
      <w:r w:rsidR="00B76901">
        <w:rPr>
          <w:lang w:val="fr-FR"/>
        </w:rPr>
        <w:t> </w:t>
      </w:r>
      <w:r>
        <w:rPr>
          <w:lang w:val="fr-FR"/>
        </w:rPr>
        <w:t>782/2020), dans lequel la personne a été retrouvée et détenue en Turquie, le Comité a néanmoins regretté que l’État partie n’ait pas coopéré avec l’État dont la personne disparue était ressortissante, le Mexique, afin d’aider les victimes et de rechercher, localiser et libérer la personne disparue, conformément à l’article</w:t>
      </w:r>
      <w:r w:rsidR="00B76901">
        <w:rPr>
          <w:lang w:val="fr-FR"/>
        </w:rPr>
        <w:t> </w:t>
      </w:r>
      <w:r>
        <w:rPr>
          <w:lang w:val="fr-FR"/>
        </w:rPr>
        <w:t>15 de la Convention.</w:t>
      </w:r>
    </w:p>
    <w:p w14:paraId="348E71F7" w14:textId="28C8A488" w:rsidR="0034003B" w:rsidRDefault="0034003B" w:rsidP="00B76901">
      <w:pPr>
        <w:pStyle w:val="SingleTxtG"/>
        <w:rPr>
          <w:lang w:val="fr-FR"/>
        </w:rPr>
      </w:pPr>
      <w:r>
        <w:rPr>
          <w:lang w:val="fr-FR"/>
        </w:rPr>
        <w:t>38.</w:t>
      </w:r>
      <w:r>
        <w:rPr>
          <w:lang w:val="fr-FR"/>
        </w:rPr>
        <w:tab/>
        <w:t>S’agissant d’une demande d’action en urgence concernant la Lituanie (</w:t>
      </w:r>
      <w:r w:rsidRPr="006A34D5">
        <w:rPr>
          <w:rFonts w:eastAsia="MS Mincho"/>
          <w:lang w:val="fr-FR"/>
        </w:rPr>
        <w:t>n</w:t>
      </w:r>
      <w:r w:rsidRPr="006A34D5">
        <w:rPr>
          <w:rFonts w:eastAsia="MS Mincho"/>
          <w:vertAlign w:val="superscript"/>
          <w:lang w:val="fr-FR"/>
        </w:rPr>
        <w:t>o</w:t>
      </w:r>
      <w:r w:rsidR="00B76901">
        <w:rPr>
          <w:lang w:val="fr-FR"/>
        </w:rPr>
        <w:t> </w:t>
      </w:r>
      <w:r>
        <w:rPr>
          <w:lang w:val="fr-FR"/>
        </w:rPr>
        <w:t>569/2019), le Comité a été informé par la personne au nom de laquelle la demande d’action en urgence avait été soumise et par le parent qui en est le gardien que celle-ci était prise en charge par un programme de protection des témoins, que le lieu où elle se trouvait était connu et qu’elle ne souhaitait pas être représentée par l’auteur de la demande d’action en urgence. L’action a donc été clôturée et toutes les parties concernées ont été informées en conséquence.</w:t>
      </w:r>
    </w:p>
    <w:p w14:paraId="345CB878" w14:textId="68186095" w:rsidR="00B76901" w:rsidRPr="00B76901" w:rsidRDefault="00B76901" w:rsidP="00B76901">
      <w:pPr>
        <w:pStyle w:val="SingleTxtG"/>
        <w:spacing w:before="240" w:after="0"/>
        <w:jc w:val="center"/>
        <w:rPr>
          <w:u w:val="single"/>
        </w:rPr>
      </w:pPr>
      <w:r>
        <w:rPr>
          <w:u w:val="single"/>
        </w:rPr>
        <w:tab/>
      </w:r>
      <w:r>
        <w:rPr>
          <w:u w:val="single"/>
        </w:rPr>
        <w:tab/>
      </w:r>
      <w:r>
        <w:rPr>
          <w:u w:val="single"/>
        </w:rPr>
        <w:tab/>
      </w:r>
    </w:p>
    <w:sectPr w:rsidR="00B76901" w:rsidRPr="00B76901" w:rsidSect="003400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99513" w14:textId="77777777" w:rsidR="0034003B" w:rsidRDefault="0034003B" w:rsidP="00F95C08">
      <w:pPr>
        <w:spacing w:line="240" w:lineRule="auto"/>
      </w:pPr>
    </w:p>
  </w:endnote>
  <w:endnote w:type="continuationSeparator" w:id="0">
    <w:p w14:paraId="3479B593" w14:textId="77777777" w:rsidR="0034003B" w:rsidRPr="00AC3823" w:rsidRDefault="0034003B" w:rsidP="00AC3823">
      <w:pPr>
        <w:pStyle w:val="Pieddepage"/>
      </w:pPr>
    </w:p>
  </w:endnote>
  <w:endnote w:type="continuationNotice" w:id="1">
    <w:p w14:paraId="3E8E683A" w14:textId="77777777" w:rsidR="0034003B" w:rsidRDefault="003400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74FC15" w14:textId="77777777" w:rsidR="0034003B" w:rsidRPr="0034003B" w:rsidRDefault="0034003B" w:rsidP="0034003B">
    <w:pPr>
      <w:pStyle w:val="Pieddepage"/>
      <w:tabs>
        <w:tab w:val="right" w:pos="9638"/>
      </w:tabs>
    </w:pPr>
    <w:r w:rsidRPr="0034003B">
      <w:rPr>
        <w:b/>
        <w:sz w:val="18"/>
      </w:rPr>
      <w:fldChar w:fldCharType="begin"/>
    </w:r>
    <w:r w:rsidRPr="0034003B">
      <w:rPr>
        <w:b/>
        <w:sz w:val="18"/>
      </w:rPr>
      <w:instrText xml:space="preserve"> PAGE  \* MERGEFORMAT </w:instrText>
    </w:r>
    <w:r w:rsidRPr="0034003B">
      <w:rPr>
        <w:b/>
        <w:sz w:val="18"/>
      </w:rPr>
      <w:fldChar w:fldCharType="separate"/>
    </w:r>
    <w:r w:rsidRPr="0034003B">
      <w:rPr>
        <w:b/>
        <w:noProof/>
        <w:sz w:val="18"/>
      </w:rPr>
      <w:t>2</w:t>
    </w:r>
    <w:r w:rsidRPr="0034003B">
      <w:rPr>
        <w:b/>
        <w:sz w:val="18"/>
      </w:rPr>
      <w:fldChar w:fldCharType="end"/>
    </w:r>
    <w:r>
      <w:rPr>
        <w:b/>
        <w:sz w:val="18"/>
      </w:rPr>
      <w:tab/>
    </w:r>
    <w:r>
      <w:t>GE.21-06993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277AA" w14:textId="77777777" w:rsidR="0034003B" w:rsidRPr="0034003B" w:rsidRDefault="0034003B" w:rsidP="0034003B">
    <w:pPr>
      <w:pStyle w:val="Pieddepage"/>
      <w:tabs>
        <w:tab w:val="right" w:pos="9638"/>
      </w:tabs>
      <w:rPr>
        <w:b/>
        <w:sz w:val="18"/>
      </w:rPr>
    </w:pPr>
    <w:r>
      <w:t>GE.21-06993</w:t>
    </w:r>
    <w:r>
      <w:tab/>
    </w:r>
    <w:r w:rsidRPr="0034003B">
      <w:rPr>
        <w:b/>
        <w:sz w:val="18"/>
      </w:rPr>
      <w:fldChar w:fldCharType="begin"/>
    </w:r>
    <w:r w:rsidRPr="0034003B">
      <w:rPr>
        <w:b/>
        <w:sz w:val="18"/>
      </w:rPr>
      <w:instrText xml:space="preserve"> PAGE  \* MERGEFORMAT </w:instrText>
    </w:r>
    <w:r w:rsidRPr="0034003B">
      <w:rPr>
        <w:b/>
        <w:sz w:val="18"/>
      </w:rPr>
      <w:fldChar w:fldCharType="separate"/>
    </w:r>
    <w:r w:rsidRPr="0034003B">
      <w:rPr>
        <w:b/>
        <w:noProof/>
        <w:sz w:val="18"/>
      </w:rPr>
      <w:t>3</w:t>
    </w:r>
    <w:r w:rsidRPr="003400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C1AFC" w14:textId="16EA2F23" w:rsidR="0034003B" w:rsidRPr="0034003B" w:rsidRDefault="0034003B" w:rsidP="0034003B">
    <w:pPr>
      <w:spacing w:before="120" w:line="240" w:lineRule="auto"/>
    </w:pPr>
    <w:r>
      <w:t>GE.</w:t>
    </w:r>
    <w:r>
      <w:rPr>
        <w:noProof/>
        <w:lang w:eastAsia="fr-CH"/>
      </w:rPr>
      <w:drawing>
        <wp:anchor distT="0" distB="0" distL="114300" distR="114300" simplePos="0" relativeHeight="251659264" behindDoc="0" locked="0" layoutInCell="1" allowOverlap="1" wp14:anchorId="3CBE76D4" wp14:editId="71E177C2">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21-06993  (F)</w:t>
    </w:r>
    <w:r>
      <w:rPr>
        <w:noProof/>
      </w:rPr>
      <w:drawing>
        <wp:anchor distT="0" distB="0" distL="114300" distR="114300" simplePos="0" relativeHeight="251660288" behindDoc="0" locked="0" layoutInCell="1" allowOverlap="1" wp14:anchorId="6B9DDD89" wp14:editId="2248B80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140921    150921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0458E8" w14:textId="77777777" w:rsidR="0034003B" w:rsidRPr="00AC3823" w:rsidRDefault="0034003B" w:rsidP="00AC3823">
      <w:pPr>
        <w:pStyle w:val="Pieddepage"/>
        <w:tabs>
          <w:tab w:val="right" w:pos="2155"/>
        </w:tabs>
        <w:spacing w:after="80" w:line="240" w:lineRule="atLeast"/>
        <w:ind w:left="680"/>
        <w:rPr>
          <w:u w:val="single"/>
        </w:rPr>
      </w:pPr>
      <w:r>
        <w:rPr>
          <w:u w:val="single"/>
        </w:rPr>
        <w:tab/>
      </w:r>
    </w:p>
  </w:footnote>
  <w:footnote w:type="continuationSeparator" w:id="0">
    <w:p w14:paraId="0864D7CC" w14:textId="77777777" w:rsidR="0034003B" w:rsidRPr="00AC3823" w:rsidRDefault="0034003B" w:rsidP="00AC3823">
      <w:pPr>
        <w:pStyle w:val="Pieddepage"/>
        <w:tabs>
          <w:tab w:val="right" w:pos="2155"/>
        </w:tabs>
        <w:spacing w:after="80" w:line="240" w:lineRule="atLeast"/>
        <w:ind w:left="680"/>
        <w:rPr>
          <w:u w:val="single"/>
        </w:rPr>
      </w:pPr>
      <w:r>
        <w:rPr>
          <w:u w:val="single"/>
        </w:rPr>
        <w:tab/>
      </w:r>
    </w:p>
  </w:footnote>
  <w:footnote w:type="continuationNotice" w:id="1">
    <w:p w14:paraId="5C066960" w14:textId="77777777" w:rsidR="0034003B" w:rsidRPr="00AC3823" w:rsidRDefault="0034003B">
      <w:pPr>
        <w:spacing w:line="240" w:lineRule="auto"/>
        <w:rPr>
          <w:sz w:val="2"/>
          <w:szCs w:val="2"/>
        </w:rPr>
      </w:pPr>
    </w:p>
  </w:footnote>
  <w:footnote w:id="2">
    <w:p w14:paraId="209A85DA" w14:textId="56A52122" w:rsidR="0034003B" w:rsidRDefault="0034003B" w:rsidP="0034003B">
      <w:pPr>
        <w:pStyle w:val="Notedebasdepage"/>
      </w:pPr>
      <w:r w:rsidRPr="0034003B">
        <w:rPr>
          <w:rStyle w:val="Appelnotedebasdep"/>
          <w:sz w:val="20"/>
          <w:szCs w:val="22"/>
          <w:vertAlign w:val="baseline"/>
        </w:rPr>
        <w:tab/>
      </w:r>
      <w:r w:rsidRPr="0034003B">
        <w:rPr>
          <w:rStyle w:val="Appelnotedebasdep"/>
          <w:sz w:val="20"/>
          <w:szCs w:val="22"/>
          <w:vertAlign w:val="baseline"/>
        </w:rPr>
        <w:sym w:font="Symbol" w:char="F02A"/>
      </w:r>
      <w:r w:rsidRPr="0034003B">
        <w:rPr>
          <w:sz w:val="20"/>
          <w:szCs w:val="22"/>
        </w:rPr>
        <w:tab/>
      </w:r>
      <w:r>
        <w:t>Adopté par le Comité à sa vingtième session (12 avril-7 mai 2021).</w:t>
      </w:r>
    </w:p>
  </w:footnote>
  <w:footnote w:id="3">
    <w:p w14:paraId="630DB4B0" w14:textId="294E86D8" w:rsidR="0034003B" w:rsidRPr="0034003B" w:rsidRDefault="0034003B" w:rsidP="0034003B">
      <w:pPr>
        <w:pStyle w:val="Notedebasdepage"/>
        <w:rPr>
          <w:lang w:val="en-US"/>
        </w:rPr>
      </w:pPr>
      <w:r>
        <w:rPr>
          <w:lang w:val="en-US"/>
        </w:rPr>
        <w:tab/>
      </w:r>
      <w:r w:rsidRPr="002C4E77">
        <w:rPr>
          <w:rStyle w:val="Appelnotedebasdep"/>
        </w:rPr>
        <w:footnoteRef/>
      </w:r>
      <w:r>
        <w:rPr>
          <w:lang w:val="en-US"/>
        </w:rPr>
        <w:tab/>
      </w:r>
      <w:r w:rsidRPr="0034003B">
        <w:rPr>
          <w:lang w:val="en-US"/>
        </w:rPr>
        <w:t>CED/C/19/2.</w:t>
      </w:r>
    </w:p>
  </w:footnote>
  <w:footnote w:id="4">
    <w:p w14:paraId="1FD9C27E" w14:textId="4AC97F5F" w:rsidR="0034003B" w:rsidRPr="00BF3535" w:rsidRDefault="00B76901" w:rsidP="0034003B">
      <w:pPr>
        <w:pStyle w:val="Notedebasdepage"/>
        <w:rPr>
          <w:lang w:val="en-CA"/>
        </w:rPr>
      </w:pPr>
      <w:r>
        <w:rPr>
          <w:lang w:val="en-CA"/>
        </w:rPr>
        <w:tab/>
      </w:r>
      <w:r w:rsidR="0034003B" w:rsidRPr="002C4E77">
        <w:rPr>
          <w:rStyle w:val="Appelnotedebasdep"/>
        </w:rPr>
        <w:footnoteRef/>
      </w:r>
      <w:r>
        <w:rPr>
          <w:lang w:val="en-CA"/>
        </w:rPr>
        <w:tab/>
      </w:r>
      <w:r w:rsidR="0034003B" w:rsidRPr="00BF3535">
        <w:rPr>
          <w:lang w:val="en-CA"/>
        </w:rPr>
        <w:t>CED/C/11/3, CED/C/12/2, CED/C/13/3, CED/C/14/2, CED/C/15/3, CED/C/16/3, CED/C/17/2 et CED/C/19/2</w:t>
      </w:r>
      <w:r w:rsidR="0034003B">
        <w:rPr>
          <w:lang w:val="en-CA"/>
        </w:rPr>
        <w:t>.</w:t>
      </w:r>
    </w:p>
  </w:footnote>
  <w:footnote w:id="5">
    <w:p w14:paraId="2E6D078C" w14:textId="5B94168D" w:rsidR="0034003B" w:rsidRDefault="00B76901" w:rsidP="0034003B">
      <w:pPr>
        <w:pStyle w:val="Notedebasdepage"/>
      </w:pPr>
      <w:r>
        <w:tab/>
      </w:r>
      <w:r w:rsidR="0034003B" w:rsidRPr="002C4E77">
        <w:rPr>
          <w:rStyle w:val="Appelnotedebasdep"/>
        </w:rPr>
        <w:footnoteRef/>
      </w:r>
      <w:r>
        <w:tab/>
      </w:r>
      <w:r w:rsidR="0034003B" w:rsidRPr="003B070B">
        <w:t>A/73/56</w:t>
      </w:r>
      <w:r w:rsidR="0034003B">
        <w:t xml:space="preserve">, </w:t>
      </w:r>
      <w:r w:rsidR="0034003B" w:rsidRPr="003B070B">
        <w:t>A/74/56</w:t>
      </w:r>
      <w:r w:rsidR="0034003B">
        <w:t xml:space="preserve"> et </w:t>
      </w:r>
      <w:r w:rsidR="0034003B" w:rsidRPr="003B070B">
        <w:t>A/75/56</w:t>
      </w:r>
      <w:r w:rsidR="0034003B">
        <w:t>.</w:t>
      </w:r>
    </w:p>
  </w:footnote>
  <w:footnote w:id="6">
    <w:p w14:paraId="27C74BD8" w14:textId="7DD5CD37" w:rsidR="0034003B" w:rsidRDefault="00B76901" w:rsidP="0034003B">
      <w:pPr>
        <w:pStyle w:val="Notedebasdepage"/>
      </w:pPr>
      <w:r>
        <w:tab/>
      </w:r>
      <w:r w:rsidR="0034003B" w:rsidRPr="002C4E77">
        <w:rPr>
          <w:rStyle w:val="Appelnotedebasdep"/>
        </w:rPr>
        <w:footnoteRef/>
      </w:r>
      <w:r>
        <w:tab/>
      </w:r>
      <w:r w:rsidR="0034003B" w:rsidRPr="009021DA">
        <w:t>CED/C/IRQ/AI/1</w:t>
      </w:r>
      <w:r w:rsidR="0034003B">
        <w:t>.</w:t>
      </w:r>
    </w:p>
  </w:footnote>
  <w:footnote w:id="7">
    <w:p w14:paraId="23B5779C" w14:textId="31531687" w:rsidR="0034003B" w:rsidRDefault="00B76901" w:rsidP="0034003B">
      <w:pPr>
        <w:pStyle w:val="Notedebasdepage"/>
      </w:pPr>
      <w:r>
        <w:tab/>
      </w:r>
      <w:r w:rsidR="0034003B" w:rsidRPr="002C4E77">
        <w:rPr>
          <w:rStyle w:val="Appelnotedebasdep"/>
        </w:rPr>
        <w:footnoteRef/>
      </w:r>
      <w:r>
        <w:tab/>
      </w:r>
      <w:r w:rsidR="0034003B" w:rsidRPr="00F51BB9">
        <w:t>CED/C/7</w:t>
      </w:r>
      <w:r w:rsidR="0034003B">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FACB5" w14:textId="076DC238" w:rsidR="0034003B" w:rsidRPr="0034003B" w:rsidRDefault="0034003B">
    <w:pPr>
      <w:pStyle w:val="En-tte"/>
    </w:pPr>
    <w:fldSimple w:instr=" TITLE  \* MERGEFORMAT ">
      <w:r w:rsidR="001E2A16">
        <w:t>CED/C/20/2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AEA61" w14:textId="2FAC8B32" w:rsidR="0034003B" w:rsidRPr="0034003B" w:rsidRDefault="0034003B" w:rsidP="0034003B">
    <w:pPr>
      <w:pStyle w:val="En-tte"/>
      <w:jc w:val="right"/>
    </w:pPr>
    <w:fldSimple w:instr=" TITLE  \* MERGEFORMAT ">
      <w:r w:rsidR="001E2A16">
        <w:t>CED/C/20/2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7"/>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363"/>
    <w:rsid w:val="00017F94"/>
    <w:rsid w:val="00023842"/>
    <w:rsid w:val="000334F9"/>
    <w:rsid w:val="000440F6"/>
    <w:rsid w:val="00064C0C"/>
    <w:rsid w:val="0007796D"/>
    <w:rsid w:val="000B7790"/>
    <w:rsid w:val="00111F2F"/>
    <w:rsid w:val="0014365E"/>
    <w:rsid w:val="00176178"/>
    <w:rsid w:val="001E2A16"/>
    <w:rsid w:val="001F525A"/>
    <w:rsid w:val="00223272"/>
    <w:rsid w:val="0024779E"/>
    <w:rsid w:val="002B6ADE"/>
    <w:rsid w:val="002E4AEE"/>
    <w:rsid w:val="0034003B"/>
    <w:rsid w:val="00392B1D"/>
    <w:rsid w:val="003E7AAF"/>
    <w:rsid w:val="00434E56"/>
    <w:rsid w:val="00446FE5"/>
    <w:rsid w:val="00452396"/>
    <w:rsid w:val="004B7363"/>
    <w:rsid w:val="005505B7"/>
    <w:rsid w:val="00573BE5"/>
    <w:rsid w:val="00586ED3"/>
    <w:rsid w:val="00596AA9"/>
    <w:rsid w:val="005D7CC6"/>
    <w:rsid w:val="005F5009"/>
    <w:rsid w:val="00704090"/>
    <w:rsid w:val="0071601D"/>
    <w:rsid w:val="007A62E6"/>
    <w:rsid w:val="0080684C"/>
    <w:rsid w:val="00871C75"/>
    <w:rsid w:val="008776DC"/>
    <w:rsid w:val="008C4AC7"/>
    <w:rsid w:val="009025F4"/>
    <w:rsid w:val="009705C8"/>
    <w:rsid w:val="009C38BD"/>
    <w:rsid w:val="00A30353"/>
    <w:rsid w:val="00AC3823"/>
    <w:rsid w:val="00AE323C"/>
    <w:rsid w:val="00B00181"/>
    <w:rsid w:val="00B10FB9"/>
    <w:rsid w:val="00B55DBB"/>
    <w:rsid w:val="00B5730C"/>
    <w:rsid w:val="00B765F7"/>
    <w:rsid w:val="00B76901"/>
    <w:rsid w:val="00BA0CA9"/>
    <w:rsid w:val="00BE1063"/>
    <w:rsid w:val="00C02897"/>
    <w:rsid w:val="00C87731"/>
    <w:rsid w:val="00C92DA9"/>
    <w:rsid w:val="00CF2BDE"/>
    <w:rsid w:val="00D3439C"/>
    <w:rsid w:val="00D64731"/>
    <w:rsid w:val="00DB1831"/>
    <w:rsid w:val="00DD3BFD"/>
    <w:rsid w:val="00DF6678"/>
    <w:rsid w:val="00E70DD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BC3806"/>
  <w15:docId w15:val="{46785A1F-FF14-46E0-8C43-EC7C3F782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0684C"/>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440F6"/>
    <w:rPr>
      <w:color w:val="0000FF"/>
      <w:u w:val="none"/>
    </w:rPr>
  </w:style>
  <w:style w:type="character" w:styleId="Lienhypertextesuivivisit">
    <w:name w:val="FollowedHyperlink"/>
    <w:basedOn w:val="Policepardfaut"/>
    <w:unhideWhenUsed/>
    <w:rsid w:val="000440F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394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E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CED1.dotm</Template>
  <TotalTime>1</TotalTime>
  <Pages>8</Pages>
  <Words>4651</Words>
  <Characters>23568</Characters>
  <Application>Microsoft Office Word</Application>
  <DocSecurity>0</DocSecurity>
  <Lines>643</Lines>
  <Paragraphs>368</Paragraphs>
  <ScaleCrop>false</ScaleCrop>
  <HeadingPairs>
    <vt:vector size="4" baseType="variant">
      <vt:variant>
        <vt:lpstr>Titre</vt:lpstr>
      </vt:variant>
      <vt:variant>
        <vt:i4>1</vt:i4>
      </vt:variant>
      <vt:variant>
        <vt:lpstr>Название</vt:lpstr>
      </vt:variant>
      <vt:variant>
        <vt:i4>1</vt:i4>
      </vt:variant>
    </vt:vector>
  </HeadingPairs>
  <TitlesOfParts>
    <vt:vector size="2" baseType="lpstr">
      <vt:lpstr>CED/C/20/2</vt:lpstr>
      <vt:lpstr/>
    </vt:vector>
  </TitlesOfParts>
  <Company>DCM</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CED/C/20/2</dc:title>
  <dc:subject/>
  <dc:creator>Christine CHAUTAGNAT</dc:creator>
  <cp:keywords/>
  <cp:lastModifiedBy>Christine Chautagnat</cp:lastModifiedBy>
  <cp:revision>3</cp:revision>
  <cp:lastPrinted>2021-09-15T07:23:00Z</cp:lastPrinted>
  <dcterms:created xsi:type="dcterms:W3CDTF">2021-09-15T07:23:00Z</dcterms:created>
  <dcterms:modified xsi:type="dcterms:W3CDTF">2021-09-15T07:24:00Z</dcterms:modified>
</cp:coreProperties>
</file>