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646A8C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8469C6" w14:textId="77777777" w:rsidR="002D5AAC" w:rsidRDefault="002D5AAC" w:rsidP="004059B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ADA89B9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E27246" w14:textId="14EEADCF" w:rsidR="002D5AAC" w:rsidRDefault="004059B6" w:rsidP="004059B6">
            <w:pPr>
              <w:jc w:val="right"/>
            </w:pPr>
            <w:r w:rsidRPr="004059B6">
              <w:rPr>
                <w:sz w:val="40"/>
              </w:rPr>
              <w:t>A</w:t>
            </w:r>
            <w:r>
              <w:t>/HRC/RES/51/28</w:t>
            </w:r>
          </w:p>
        </w:tc>
      </w:tr>
      <w:tr w:rsidR="002D5AAC" w14:paraId="6387C15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C5500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1DC7136" wp14:editId="60F000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9BFAC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B5E606C" w14:textId="77777777" w:rsidR="002D5AAC" w:rsidRDefault="004059B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E5E0957" w14:textId="77777777" w:rsidR="004059B6" w:rsidRDefault="004059B6" w:rsidP="004059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2022</w:t>
            </w:r>
          </w:p>
          <w:p w14:paraId="3E78A70D" w14:textId="77777777" w:rsidR="004059B6" w:rsidRDefault="004059B6" w:rsidP="004059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DF177A4" w14:textId="59BF8D45" w:rsidR="004059B6" w:rsidRPr="00E71476" w:rsidRDefault="004059B6" w:rsidP="004059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A12177A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E61E3CA" w14:textId="77777777" w:rsidR="004059B6" w:rsidRPr="00F74EC4" w:rsidRDefault="004059B6" w:rsidP="004059B6">
      <w:pPr>
        <w:rPr>
          <w:b/>
        </w:rPr>
      </w:pPr>
      <w:r>
        <w:rPr>
          <w:b/>
          <w:bCs/>
        </w:rPr>
        <w:t>Пятьдесят первая сессия</w:t>
      </w:r>
    </w:p>
    <w:p w14:paraId="1C6CA43C" w14:textId="77777777" w:rsidR="004059B6" w:rsidRPr="00F74EC4" w:rsidRDefault="004059B6" w:rsidP="004059B6">
      <w:r>
        <w:t>12 сентября — 7 октября 2022 года</w:t>
      </w:r>
    </w:p>
    <w:p w14:paraId="0EE56233" w14:textId="77777777" w:rsidR="004059B6" w:rsidRPr="00F74EC4" w:rsidRDefault="004059B6" w:rsidP="004059B6">
      <w:r>
        <w:t>Пункт 4 повестки дня</w:t>
      </w:r>
    </w:p>
    <w:p w14:paraId="10F4EE2F" w14:textId="77777777" w:rsidR="004059B6" w:rsidRPr="00F74EC4" w:rsidRDefault="004059B6" w:rsidP="004059B6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1F6248A2" w14:textId="0CB54BAC" w:rsidR="004059B6" w:rsidRPr="00F74EC4" w:rsidRDefault="004059B6" w:rsidP="004059B6">
      <w:pPr>
        <w:pStyle w:val="HChG"/>
      </w:pPr>
      <w:r>
        <w:tab/>
      </w:r>
      <w:r>
        <w:tab/>
      </w:r>
      <w:r w:rsidRPr="009D369D">
        <w:t xml:space="preserve">Резолюция, принятая Советом по правам человека </w:t>
      </w:r>
      <w:r w:rsidRPr="000C2132">
        <w:t>7</w:t>
      </w:r>
      <w:r>
        <w:t> </w:t>
      </w:r>
      <w:r w:rsidRPr="009D369D">
        <w:t>октября 2022 года</w:t>
      </w:r>
    </w:p>
    <w:p w14:paraId="1889343D" w14:textId="1EEAD6A1" w:rsidR="004059B6" w:rsidRPr="004059B6" w:rsidRDefault="004059B6" w:rsidP="004059B6">
      <w:pPr>
        <w:pStyle w:val="H1G"/>
      </w:pPr>
      <w:r>
        <w:tab/>
      </w:r>
      <w:r w:rsidRPr="004059B6">
        <w:t>51/28</w:t>
      </w:r>
      <w:r>
        <w:t>.</w:t>
      </w:r>
      <w:r w:rsidRPr="004059B6">
        <w:tab/>
        <w:t>Положение в области права человека в Бурунди</w:t>
      </w:r>
    </w:p>
    <w:p w14:paraId="62A5C347" w14:textId="77777777" w:rsidR="004059B6" w:rsidRPr="00F74EC4" w:rsidRDefault="004059B6" w:rsidP="004059B6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0C4160B3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 и другими соответствующими международными договорами по правам человека,</w:t>
      </w:r>
    </w:p>
    <w:p w14:paraId="432767B4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ссылаясь</w:t>
      </w:r>
      <w:r>
        <w:t xml:space="preserve"> на резолюции Совета по правам человека 30/27 от 2 октября 2015 года, S-24/1 от 17 декабря 2015 года, 33/24 от 30 сентября 2016 года, 36/2 от 28 сентября 2017 года, 36/19 от 29 сентября 2017 года, 39/14 от 28 сентября 2018 года, 42/26 от 27</w:t>
      </w:r>
      <w:r>
        <w:rPr>
          <w:lang w:val="en-US"/>
        </w:rPr>
        <w:t> </w:t>
      </w:r>
      <w:r>
        <w:t>сентября 2019 года, 45/19 от 6 октября 2020 года и 48/16 от 8 октября 2021 года, а</w:t>
      </w:r>
      <w:r>
        <w:rPr>
          <w:lang w:val="en-US"/>
        </w:rPr>
        <w:t> </w:t>
      </w:r>
      <w:r>
        <w:t>также на все соответствующие резолюции Генеральной Ассамблеи и Совета Безопасности,</w:t>
      </w:r>
    </w:p>
    <w:p w14:paraId="59C23277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ссылаясь также</w:t>
      </w:r>
      <w:r>
        <w:t xml:space="preserve"> на Арушское соглашение о мире и примирении в Бурунди, которое опирается на принципы прав человека и правосудия переходного периода и закладывает основу для прочного мира, справедливости, национального примирения, безопасности и стабильности в Бурунди,</w:t>
      </w:r>
    </w:p>
    <w:p w14:paraId="0A16E36A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вновь подтверждая</w:t>
      </w:r>
      <w:r>
        <w:t xml:space="preserve"> полное уважение суверенитета, политической независимости, территориальной целостности и национального единства Бурунди,</w:t>
      </w:r>
    </w:p>
    <w:p w14:paraId="2B1F075E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вновь подтверждая также</w:t>
      </w:r>
      <w:r>
        <w:t>, что государства обязаны уважать, защищать и осуществлять все права человека и основные свободы,</w:t>
      </w:r>
    </w:p>
    <w:p w14:paraId="606A5AEB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подчеркивая</w:t>
      </w:r>
      <w:r>
        <w:t>, что правительство Бурунди несет главную ответственность за обеспечение безопасности на территории своей страны и защиту своего населения при соблюдении международного права прав человека и международного гуманитарного права, в зависимости от конкретного случая,</w:t>
      </w:r>
    </w:p>
    <w:p w14:paraId="6B2EC4EE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 w:rsidRPr="00F74EC4">
        <w:rPr>
          <w:i/>
          <w:iCs/>
        </w:rPr>
        <w:t>учитывая</w:t>
      </w:r>
      <w:r>
        <w:t>, что международное сообщество и система Организации Объединенных Наций, включая Совет по правам человека и его механизмы, могут играть важнейшую роль в укреплении защиты прав человека, предотвращении нарушений и ущемления прав человека и уменьшении опасности эскалации конфликтов и ухудшения гуманитарных ситуаций,</w:t>
      </w:r>
    </w:p>
    <w:p w14:paraId="7C45DD50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lastRenderedPageBreak/>
        <w:t xml:space="preserve">приветствуя </w:t>
      </w:r>
      <w:r>
        <w:t xml:space="preserve">доклад Специального докладчика </w:t>
      </w:r>
      <w:bookmarkStart w:id="0" w:name="_Hlk117521796"/>
      <w:r>
        <w:t>по вопросу о положении в области прав человека в Бурунди</w:t>
      </w:r>
      <w:bookmarkEnd w:id="0"/>
      <w:r>
        <w:t>, представленный Совету по правам человека на его пятьдесят первой сессии</w:t>
      </w:r>
      <w:r>
        <w:rPr>
          <w:rStyle w:val="aa"/>
          <w:rFonts w:eastAsia="SimSun"/>
          <w:iCs/>
          <w:lang w:eastAsia="hi-IN" w:bidi="hi-IN"/>
        </w:rPr>
        <w:footnoteReference w:id="1"/>
      </w:r>
      <w:r>
        <w:t>,</w:t>
      </w:r>
    </w:p>
    <w:p w14:paraId="1F4833D6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с удовлетворением отмечая</w:t>
      </w:r>
      <w:r>
        <w:t xml:space="preserve"> прогресс, достигнутый в отношении регионального и международного участия, борьбы с торговлей людьми и репатриации бурундийских беженцев, о чем упоминает Специальный докладчик в своем докладе, а</w:t>
      </w:r>
      <w:r>
        <w:rPr>
          <w:lang w:val="en-US"/>
        </w:rPr>
        <w:t> </w:t>
      </w:r>
      <w:r>
        <w:t xml:space="preserve">также отмечая обязательства по достижению дальнейшего улучшения положения в области прав человека, надлежащего управления и верховенства закона, </w:t>
      </w:r>
    </w:p>
    <w:p w14:paraId="2FF95044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rPr>
          <w:i/>
          <w:iCs/>
        </w:rPr>
        <w:t>выражая</w:t>
      </w:r>
      <w:r>
        <w:t xml:space="preserve"> глубокую обеспокоенность продолжающимися нарушениями и ущемлением прав человека в Бурунди и сожалея, что правительство Бурунди не сотрудничало со Специальным докладчиком и что отсутствует прогресс в возобновлении работы странового отделения Управления Верховного комиссара Организации Объединенных Наций по правам человека, </w:t>
      </w:r>
    </w:p>
    <w:p w14:paraId="0A890B09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1.</w:t>
      </w:r>
      <w:r>
        <w:tab/>
      </w:r>
      <w:r>
        <w:rPr>
          <w:i/>
          <w:iCs/>
        </w:rPr>
        <w:t>решительным образом осуждает</w:t>
      </w:r>
      <w:r>
        <w:t xml:space="preserve"> все нарушения и акты ущемления прав человека, совершенные в Бурунди, включая внесудебные казни, насильственные исчезновения, произвольные аресты и задержания, пытки и другие жестокие, бесчеловечные или унижающие достоинство виды обращения и наказания и сексуальное и гендерное насилие, и призывает к немедленному прекращению этих нарушений и ущемлений и к полному уважению всех прав человека и основных свобод; </w:t>
      </w:r>
    </w:p>
    <w:p w14:paraId="467912F0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2.</w:t>
      </w:r>
      <w:r>
        <w:tab/>
      </w:r>
      <w:r>
        <w:rPr>
          <w:i/>
          <w:iCs/>
        </w:rPr>
        <w:t>выражает сожаление</w:t>
      </w:r>
      <w:r>
        <w:t xml:space="preserve"> по поводу сохраняющихся ограничений прав на свободу мнений и их свободное выражение и свободу мирных собраний и ассоциации и по поводу сужения пространства для гражданского общества и гражданской активности и подчеркивает необходимость того, чтобы правительство Бурунди обеспечило безопасные и благоприятные условия для гражданского общества, правозащитников, журналистов, блогеров и других работников средств массовой информации, чтобы они могли выполнять свою работу независимо, без запугивания или необоснованного вмешательства, и освободить всех тех, кто все еще находится в заключении за свою деятельность в защиту прав человека; </w:t>
      </w:r>
    </w:p>
    <w:p w14:paraId="2DD863A5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3.</w:t>
      </w:r>
      <w:r>
        <w:tab/>
      </w:r>
      <w:r w:rsidRPr="00F74EC4">
        <w:rPr>
          <w:i/>
          <w:iCs/>
        </w:rPr>
        <w:t>осуждает</w:t>
      </w:r>
      <w:r>
        <w:t xml:space="preserve"> широко распространенную безнаказанность за все нарушения и акты ущемления прав человека и настоятельно призывает правительство Бурунди привлечь всех виновных, независимо от их принадлежности или статуса, включая сотрудников сил обороны и безопасности и членов молодежной лиги «Имбонеракуре» правящей партии, к ответственности за их действия и обеспечить жертвам возможность добиваться справедливости и восстановления в правах;</w:t>
      </w:r>
    </w:p>
    <w:p w14:paraId="61737E57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4.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гарантировать независимость судебной системы от исполнительной власти;</w:t>
      </w:r>
    </w:p>
    <w:p w14:paraId="26C2C1CC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5.</w:t>
      </w:r>
      <w:r>
        <w:tab/>
      </w:r>
      <w:r>
        <w:rPr>
          <w:i/>
          <w:iCs/>
        </w:rPr>
        <w:t>также призывает</w:t>
      </w:r>
      <w:r>
        <w:t xml:space="preserve"> правительство Бурунди предоставить Национальной независимой комиссии по правам человека все средства, необходимые для выполнения ее функций по поощрению и защите прав человека в соответствии с принципами, касающимися статуса национальных учреждений по поощрению и защите прав человека (Парижские принципы);</w:t>
      </w:r>
    </w:p>
    <w:p w14:paraId="1891820F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6.</w:t>
      </w:r>
      <w:r>
        <w:tab/>
      </w:r>
      <w:r>
        <w:rPr>
          <w:i/>
          <w:iCs/>
        </w:rPr>
        <w:t>призывает далее</w:t>
      </w:r>
      <w:r>
        <w:t xml:space="preserve"> правительство Бурунди полностью выполнить рекомендации Специального докладчика </w:t>
      </w:r>
      <w:r w:rsidRPr="000C2132">
        <w:t xml:space="preserve">по вопросу о положении в области прав человека в Бурунди </w:t>
      </w:r>
      <w:r>
        <w:t>и Комиссии по расследованию событий в Бурунди, содержащиеся в их докладах, а также рекомендации, принятые к исполнению по итогам универсального периодического обзора, и в полной мере сотрудничать с мандатариями специальных процедур и соответствующими договорными органами;</w:t>
      </w:r>
    </w:p>
    <w:p w14:paraId="21372FD9" w14:textId="77777777" w:rsidR="004059B6" w:rsidRPr="00F74EC4" w:rsidDel="002E46F5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7.</w:t>
      </w:r>
      <w:r>
        <w:tab/>
      </w:r>
      <w:r w:rsidRPr="00F74EC4">
        <w:rPr>
          <w:i/>
          <w:iCs/>
        </w:rPr>
        <w:t>призывает</w:t>
      </w:r>
      <w:r>
        <w:t xml:space="preserve"> правительство Бурунди воздерживаться от любых актов запугивания или репрессий в отношении правозащитников, в том числе тех, кто сотрудничает с международными правозащитными механизмами и Советом по правам человека;</w:t>
      </w:r>
    </w:p>
    <w:p w14:paraId="5D336CB9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lastRenderedPageBreak/>
        <w:t>8.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взаимодействовать в подлинном и инклюзивном духе со всеми бурундийскими заинтересованными сторонами, действующими как внутри страны, так и за ее пределами, для эффективного решения многочисленных глубоко укоренившихся проблем, с которыми сталкивается Бурунди, и для прочной реинтеграции возвращенцев в бурундийское общество;</w:t>
      </w:r>
    </w:p>
    <w:p w14:paraId="18DEEDB2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9.</w:t>
      </w:r>
      <w:r>
        <w:tab/>
      </w:r>
      <w:r>
        <w:rPr>
          <w:i/>
          <w:iCs/>
        </w:rPr>
        <w:t xml:space="preserve">постановляет </w:t>
      </w:r>
      <w:r>
        <w:t>продлить еще на один год мандат Специального докладчика по вопросу о положении в области прав человека в Бурунди и просит Специального докладчика представить Совету по правам человека на его пятьдесят третьей сессии устную обновленную информацию о положении в области прав человека в Бурунди, а также представить Совету на его пятьдесят четвертой сессии и Генеральной Ассамблее на ее семьдесят восьмой сессии всеобъемлющий доклад;</w:t>
      </w:r>
    </w:p>
    <w:p w14:paraId="3B517C23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10.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Бурунди в полной мере сотрудничать со Специальным докладчиком, в том числе разрешив ему беспрепятственный доступ в страну, предоставив ему всю информацию, необходимую для надлежащего выполнения мандата, и содействуя обеспечению совместных обменов и синергии с Национальной независимой комиссией по правам человека в соответствии с публичными обязательствами нынешней администрации по продвижению прав человека и восстановлению взаимодействия с международным сообществом;</w:t>
      </w:r>
    </w:p>
    <w:p w14:paraId="40142694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11.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Бурунди конструктивно сотрудничать с Управлением Верховного комиссара Организации Объединенных Наций по правам человека, в частности с его региональным отделением для Центральной Африки, представить график возобновления работы странового отделения Управления Верховного комиссара в Бурунди и продолжать сотрудничать со страновой группой Организации Объединенных Наций в Бурунди;</w:t>
      </w:r>
    </w:p>
    <w:p w14:paraId="6018C9C4" w14:textId="77777777" w:rsidR="004059B6" w:rsidRPr="00F74EC4" w:rsidRDefault="004059B6" w:rsidP="004059B6">
      <w:pPr>
        <w:spacing w:after="120"/>
        <w:ind w:left="1134" w:right="1134" w:firstLine="567"/>
        <w:jc w:val="both"/>
        <w:rPr>
          <w:rFonts w:eastAsia="SimSun"/>
          <w:iCs/>
        </w:rPr>
      </w:pPr>
      <w:r>
        <w:t>12.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помощь и все ресурсы, необходимые для выполнения мандата;</w:t>
      </w:r>
    </w:p>
    <w:p w14:paraId="3201416A" w14:textId="77777777" w:rsidR="004059B6" w:rsidRDefault="004059B6" w:rsidP="004059B6">
      <w:pPr>
        <w:spacing w:after="120"/>
        <w:ind w:left="1134" w:right="1134" w:firstLine="567"/>
        <w:jc w:val="both"/>
      </w:pPr>
      <w:r>
        <w:t>13.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753757D8" w14:textId="77777777" w:rsidR="004059B6" w:rsidRPr="00E2743E" w:rsidRDefault="004059B6" w:rsidP="004059B6">
      <w:pPr>
        <w:spacing w:after="120"/>
        <w:ind w:left="1134" w:right="1134"/>
        <w:jc w:val="right"/>
        <w:rPr>
          <w:rFonts w:eastAsia="Times New Roman" w:cs="Times New Roman"/>
          <w:i/>
          <w:iCs/>
          <w:szCs w:val="20"/>
        </w:rPr>
      </w:pPr>
      <w:r>
        <w:rPr>
          <w:rFonts w:eastAsia="Times New Roman" w:cs="Times New Roman"/>
          <w:i/>
          <w:iCs/>
          <w:szCs w:val="20"/>
        </w:rPr>
        <w:t>4</w:t>
      </w:r>
      <w:r w:rsidRPr="008E1B53">
        <w:rPr>
          <w:rFonts w:eastAsia="Times New Roman" w:cs="Times New Roman"/>
          <w:i/>
          <w:iCs/>
          <w:szCs w:val="20"/>
        </w:rPr>
        <w:t>3</w:t>
      </w:r>
      <w:r>
        <w:rPr>
          <w:rFonts w:eastAsia="Times New Roman" w:cs="Times New Roman"/>
          <w:i/>
          <w:iCs/>
          <w:szCs w:val="20"/>
        </w:rPr>
        <w:t>-е заседание</w:t>
      </w:r>
      <w:r w:rsidRPr="00E2743E">
        <w:rPr>
          <w:rFonts w:eastAsia="Times New Roman" w:cs="Times New Roman"/>
          <w:i/>
          <w:iCs/>
          <w:szCs w:val="20"/>
        </w:rPr>
        <w:br/>
      </w:r>
      <w:r w:rsidRPr="008E1B53">
        <w:rPr>
          <w:rFonts w:eastAsia="Times New Roman" w:cs="Times New Roman"/>
          <w:i/>
          <w:iCs/>
          <w:szCs w:val="20"/>
        </w:rPr>
        <w:t>7</w:t>
      </w:r>
      <w:r>
        <w:rPr>
          <w:rFonts w:eastAsia="Times New Roman" w:cs="Times New Roman"/>
          <w:i/>
          <w:iCs/>
          <w:szCs w:val="20"/>
        </w:rPr>
        <w:t xml:space="preserve"> октября 2022 года</w:t>
      </w:r>
    </w:p>
    <w:p w14:paraId="6731FF97" w14:textId="77777777" w:rsidR="004059B6" w:rsidRPr="008E1B53" w:rsidRDefault="004059B6" w:rsidP="004059B6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E2743E">
        <w:t>[</w:t>
      </w:r>
      <w:r w:rsidRPr="008E1B53">
        <w:rPr>
          <w:rFonts w:eastAsia="Times New Roman" w:cs="Times New Roman"/>
          <w:szCs w:val="20"/>
        </w:rPr>
        <w:t xml:space="preserve">Принята в результате заносимого в отчет о заседании голосования 22 голосами против 12 при 13 воздержавшихся. Голоса распределились следующим образом: </w:t>
      </w:r>
    </w:p>
    <w:p w14:paraId="04272318" w14:textId="77777777" w:rsidR="004059B6" w:rsidRPr="008E1B53" w:rsidRDefault="004059B6" w:rsidP="004059B6">
      <w:pPr>
        <w:ind w:left="1701" w:right="1134"/>
        <w:jc w:val="both"/>
        <w:rPr>
          <w:rFonts w:eastAsia="Times New Roman" w:cs="Times New Roman"/>
          <w:szCs w:val="20"/>
        </w:rPr>
      </w:pPr>
      <w:r w:rsidRPr="008E1B53">
        <w:rPr>
          <w:rFonts w:eastAsia="Times New Roman" w:cs="Times New Roman"/>
          <w:i/>
          <w:iCs/>
          <w:szCs w:val="20"/>
        </w:rPr>
        <w:t>Голосовали за</w:t>
      </w:r>
      <w:r w:rsidRPr="008E1B53">
        <w:rPr>
          <w:rFonts w:eastAsia="Times New Roman" w:cs="Times New Roman"/>
          <w:szCs w:val="20"/>
        </w:rPr>
        <w:t xml:space="preserve">: </w:t>
      </w:r>
    </w:p>
    <w:p w14:paraId="6C79FE06" w14:textId="48751BA3" w:rsidR="004059B6" w:rsidRPr="008E1B53" w:rsidRDefault="004059B6" w:rsidP="004059B6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bookmarkStart w:id="1" w:name="_Hlk116290610"/>
      <w:r w:rsidRPr="008E1B53">
        <w:rPr>
          <w:rFonts w:eastAsia="Times New Roman" w:cs="Times New Roman"/>
          <w:szCs w:val="20"/>
        </w:rPr>
        <w:t>Аргентина, Армения, Бразилия, Гамбия, Германия, Гондурас, Литва, Люксембург, Маршалловы Острова, Мексика, Нидерланды, Парагвай, Польша, Республика Корея, Соединенное Королевство Великобритании и Северной Ирландии, Соединенные Штаты Америки, Украина, Финляндия, Франция, Черногория, Чехия и Япония</w:t>
      </w:r>
      <w:r w:rsidR="00FA6049">
        <w:rPr>
          <w:rFonts w:eastAsia="Times New Roman" w:cs="Times New Roman"/>
          <w:szCs w:val="20"/>
        </w:rPr>
        <w:t>.</w:t>
      </w:r>
    </w:p>
    <w:bookmarkEnd w:id="1"/>
    <w:p w14:paraId="1F130FC3" w14:textId="77777777" w:rsidR="004059B6" w:rsidRPr="008E1B53" w:rsidRDefault="004059B6" w:rsidP="004059B6">
      <w:pPr>
        <w:ind w:left="1701" w:right="1134"/>
        <w:jc w:val="both"/>
        <w:rPr>
          <w:rFonts w:eastAsia="Times New Roman" w:cs="Times New Roman"/>
          <w:szCs w:val="20"/>
        </w:rPr>
      </w:pPr>
      <w:r w:rsidRPr="008E1B53">
        <w:rPr>
          <w:rFonts w:eastAsia="Times New Roman" w:cs="Times New Roman"/>
          <w:i/>
          <w:iCs/>
          <w:szCs w:val="20"/>
        </w:rPr>
        <w:t>Голосовали против:</w:t>
      </w:r>
    </w:p>
    <w:p w14:paraId="39506EC0" w14:textId="4FB21F7F" w:rsidR="004059B6" w:rsidRPr="008E1B53" w:rsidRDefault="004059B6" w:rsidP="004059B6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bookmarkStart w:id="2" w:name="_Hlk116290627"/>
      <w:r w:rsidRPr="008E1B53">
        <w:rPr>
          <w:rFonts w:eastAsia="Times New Roman" w:cs="Times New Roman"/>
          <w:szCs w:val="20"/>
        </w:rPr>
        <w:t>Боливия (Многонациональное Государство), Венесуэла (Боливарианская Республика), Габон, Камерун, Китай, Куба, Ливия, Мавритания, Объединенные Арабские Эмираты, Пакистан, Сомали и Эритрея</w:t>
      </w:r>
      <w:r w:rsidR="00FA6049">
        <w:rPr>
          <w:rFonts w:eastAsia="Times New Roman" w:cs="Times New Roman"/>
          <w:szCs w:val="20"/>
        </w:rPr>
        <w:t>.</w:t>
      </w:r>
      <w:r w:rsidRPr="008E1B53">
        <w:rPr>
          <w:rFonts w:eastAsia="Times New Roman" w:cs="Times New Roman"/>
          <w:szCs w:val="20"/>
        </w:rPr>
        <w:t xml:space="preserve"> </w:t>
      </w:r>
    </w:p>
    <w:bookmarkEnd w:id="2"/>
    <w:p w14:paraId="5DB59D74" w14:textId="77777777" w:rsidR="004059B6" w:rsidRPr="008E1B53" w:rsidRDefault="004059B6" w:rsidP="004059B6">
      <w:pPr>
        <w:ind w:left="1701" w:right="1134"/>
        <w:jc w:val="both"/>
        <w:rPr>
          <w:rFonts w:eastAsia="Times New Roman" w:cs="Times New Roman"/>
          <w:szCs w:val="20"/>
        </w:rPr>
      </w:pPr>
      <w:r w:rsidRPr="008E1B53">
        <w:rPr>
          <w:rFonts w:eastAsia="Times New Roman" w:cs="Times New Roman"/>
          <w:i/>
          <w:iCs/>
          <w:szCs w:val="20"/>
        </w:rPr>
        <w:t>Воздержались</w:t>
      </w:r>
      <w:r w:rsidRPr="008E1B53">
        <w:rPr>
          <w:rFonts w:eastAsia="Times New Roman" w:cs="Times New Roman"/>
          <w:szCs w:val="20"/>
        </w:rPr>
        <w:t xml:space="preserve">: </w:t>
      </w:r>
    </w:p>
    <w:p w14:paraId="1B6665F3" w14:textId="7F6F1876" w:rsidR="004059B6" w:rsidRPr="008E1B53" w:rsidRDefault="004059B6" w:rsidP="004059B6">
      <w:pPr>
        <w:spacing w:after="120"/>
        <w:ind w:left="2268" w:right="1134"/>
        <w:jc w:val="both"/>
        <w:rPr>
          <w:rFonts w:eastAsia="SimSun" w:cs="Times New Roman"/>
          <w:iCs/>
          <w:szCs w:val="20"/>
          <w:u w:val="single"/>
        </w:rPr>
      </w:pPr>
      <w:r w:rsidRPr="008E1B53">
        <w:rPr>
          <w:rFonts w:eastAsia="Times New Roman" w:cs="Times New Roman"/>
          <w:szCs w:val="20"/>
        </w:rPr>
        <w:t>Бенин, Индия, Индонезия, Казахстан, Катар, Кот-д’Ивуар, Малави, Малайзия, Намибия, Непал, Сенегал, Судан и Узбекистан</w:t>
      </w:r>
      <w:r w:rsidR="00FA6049">
        <w:rPr>
          <w:rFonts w:eastAsia="Times New Roman" w:cs="Times New Roman"/>
          <w:szCs w:val="20"/>
        </w:rPr>
        <w:t>.</w:t>
      </w:r>
      <w:r w:rsidRPr="008E1B53">
        <w:rPr>
          <w:rFonts w:eastAsia="Times New Roman" w:cs="Times New Roman"/>
          <w:szCs w:val="20"/>
        </w:rPr>
        <w:t>]</w:t>
      </w:r>
    </w:p>
    <w:p w14:paraId="4261E9F4" w14:textId="77777777" w:rsidR="004059B6" w:rsidRPr="003D40E4" w:rsidRDefault="004059B6" w:rsidP="004059B6">
      <w:pPr>
        <w:spacing w:before="240"/>
        <w:ind w:left="1134" w:right="1134"/>
        <w:jc w:val="center"/>
        <w:rPr>
          <w:u w:val="single"/>
        </w:rPr>
      </w:pPr>
      <w:r w:rsidRPr="00F74EC4">
        <w:rPr>
          <w:rFonts w:eastAsia="SimSun"/>
          <w:iCs/>
          <w:u w:val="single"/>
          <w:lang w:eastAsia="hi-IN" w:bidi="hi-IN"/>
        </w:rPr>
        <w:tab/>
      </w:r>
      <w:r w:rsidRPr="00F74EC4">
        <w:rPr>
          <w:rFonts w:eastAsia="SimSun"/>
          <w:iCs/>
          <w:u w:val="single"/>
          <w:lang w:eastAsia="hi-IN" w:bidi="hi-IN"/>
        </w:rPr>
        <w:tab/>
      </w:r>
      <w:r w:rsidRPr="00F74EC4">
        <w:rPr>
          <w:rFonts w:eastAsia="SimSun"/>
          <w:iCs/>
          <w:u w:val="single"/>
          <w:lang w:eastAsia="hi-IN" w:bidi="hi-IN"/>
        </w:rPr>
        <w:tab/>
      </w:r>
      <w:r w:rsidRPr="00F74EC4">
        <w:rPr>
          <w:rFonts w:eastAsia="SimSun"/>
          <w:iCs/>
          <w:u w:val="single"/>
          <w:lang w:eastAsia="hi-IN" w:bidi="hi-IN"/>
        </w:rPr>
        <w:tab/>
      </w:r>
    </w:p>
    <w:p w14:paraId="0AA3C4B5" w14:textId="77777777" w:rsidR="00CB0692" w:rsidRPr="004059B6" w:rsidRDefault="00CB0692" w:rsidP="002E5067"/>
    <w:sectPr w:rsidR="00CB0692" w:rsidRPr="004059B6" w:rsidSect="004059B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CC6E3" w14:textId="77777777" w:rsidR="0086472E" w:rsidRPr="00A312BC" w:rsidRDefault="0086472E" w:rsidP="00A312BC"/>
  </w:endnote>
  <w:endnote w:type="continuationSeparator" w:id="0">
    <w:p w14:paraId="12397169" w14:textId="77777777" w:rsidR="0086472E" w:rsidRPr="00A312BC" w:rsidRDefault="008647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7BDC" w14:textId="68FEF485" w:rsidR="004059B6" w:rsidRPr="004059B6" w:rsidRDefault="004059B6">
    <w:pPr>
      <w:pStyle w:val="a8"/>
    </w:pPr>
    <w:r w:rsidRPr="004059B6">
      <w:rPr>
        <w:b/>
        <w:sz w:val="18"/>
      </w:rPr>
      <w:fldChar w:fldCharType="begin"/>
    </w:r>
    <w:r w:rsidRPr="004059B6">
      <w:rPr>
        <w:b/>
        <w:sz w:val="18"/>
      </w:rPr>
      <w:instrText xml:space="preserve"> PAGE  \* MERGEFORMAT </w:instrText>
    </w:r>
    <w:r w:rsidRPr="004059B6">
      <w:rPr>
        <w:b/>
        <w:sz w:val="18"/>
      </w:rPr>
      <w:fldChar w:fldCharType="separate"/>
    </w:r>
    <w:r w:rsidRPr="004059B6">
      <w:rPr>
        <w:b/>
        <w:noProof/>
        <w:sz w:val="18"/>
      </w:rPr>
      <w:t>2</w:t>
    </w:r>
    <w:r w:rsidRPr="004059B6">
      <w:rPr>
        <w:b/>
        <w:sz w:val="18"/>
      </w:rPr>
      <w:fldChar w:fldCharType="end"/>
    </w:r>
    <w:r>
      <w:rPr>
        <w:b/>
        <w:sz w:val="18"/>
      </w:rPr>
      <w:tab/>
    </w:r>
    <w:r>
      <w:t>GE.22-16644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0D37" w14:textId="1CDFF2BA" w:rsidR="004059B6" w:rsidRPr="004059B6" w:rsidRDefault="004059B6" w:rsidP="004059B6">
    <w:pPr>
      <w:pStyle w:val="a8"/>
      <w:tabs>
        <w:tab w:val="clear" w:pos="9639"/>
        <w:tab w:val="right" w:pos="9638"/>
      </w:tabs>
      <w:rPr>
        <w:b/>
        <w:sz w:val="18"/>
      </w:rPr>
    </w:pPr>
    <w:r>
      <w:t>GE.22-16644</w:t>
    </w:r>
    <w:r>
      <w:tab/>
    </w:r>
    <w:r w:rsidRPr="004059B6">
      <w:rPr>
        <w:b/>
        <w:sz w:val="18"/>
      </w:rPr>
      <w:fldChar w:fldCharType="begin"/>
    </w:r>
    <w:r w:rsidRPr="004059B6">
      <w:rPr>
        <w:b/>
        <w:sz w:val="18"/>
      </w:rPr>
      <w:instrText xml:space="preserve"> PAGE  \* MERGEFORMAT </w:instrText>
    </w:r>
    <w:r w:rsidRPr="004059B6">
      <w:rPr>
        <w:b/>
        <w:sz w:val="18"/>
      </w:rPr>
      <w:fldChar w:fldCharType="separate"/>
    </w:r>
    <w:r w:rsidRPr="004059B6">
      <w:rPr>
        <w:b/>
        <w:noProof/>
        <w:sz w:val="18"/>
      </w:rPr>
      <w:t>3</w:t>
    </w:r>
    <w:r w:rsidRPr="004059B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2AB6" w14:textId="24C6BB52" w:rsidR="00042B72" w:rsidRPr="004059B6" w:rsidRDefault="004059B6" w:rsidP="004059B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3A9C4B2" wp14:editId="127E85C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22-16644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B0AE41" wp14:editId="01A3564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241022  251022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07BE8" w14:textId="77777777" w:rsidR="0086472E" w:rsidRPr="001075E9" w:rsidRDefault="008647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CEDF2BA" w14:textId="77777777" w:rsidR="0086472E" w:rsidRDefault="008647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15904D7" w14:textId="77777777" w:rsidR="004059B6" w:rsidRPr="00354BBF" w:rsidRDefault="004059B6" w:rsidP="004059B6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r>
        <w:rPr>
          <w:lang w:val="en-US"/>
        </w:rPr>
        <w:t>A/HRC/51/44.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DE17C" w14:textId="18BD5DBE" w:rsidR="004059B6" w:rsidRPr="004059B6" w:rsidRDefault="004059B6">
    <w:pPr>
      <w:pStyle w:val="a5"/>
    </w:pPr>
    <w:fldSimple w:instr=" TITLE  \* MERGEFORMAT ">
      <w:r w:rsidR="00721FB2">
        <w:t>A/HRC/RES/51/28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3C424" w14:textId="346110C0" w:rsidR="004059B6" w:rsidRPr="004059B6" w:rsidRDefault="004059B6" w:rsidP="004059B6">
    <w:pPr>
      <w:pStyle w:val="a5"/>
      <w:jc w:val="right"/>
    </w:pPr>
    <w:fldSimple w:instr=" TITLE  \* MERGEFORMAT ">
      <w:r w:rsidR="00721FB2">
        <w:t>A/HRC/RES/51/28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2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59B6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1FB2"/>
    <w:rsid w:val="00757357"/>
    <w:rsid w:val="00782C09"/>
    <w:rsid w:val="007D3BD5"/>
    <w:rsid w:val="007D5A02"/>
    <w:rsid w:val="00825F8D"/>
    <w:rsid w:val="00834B71"/>
    <w:rsid w:val="0086445C"/>
    <w:rsid w:val="0086472E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1EE4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A6049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9787"/>
  <w15:docId w15:val="{60CA2D3B-FDC0-4F0D-8B0A-52249B46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1083</Words>
  <Characters>7482</Characters>
  <Application>Microsoft Office Word</Application>
  <DocSecurity>0</DocSecurity>
  <Lines>831</Lines>
  <Paragraphs>356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A/HRC/RES/51/28</vt:lpstr>
      <vt:lpstr>A/</vt:lpstr>
      <vt:lpstr>A/</vt:lpstr>
      <vt:lpstr>A/</vt:lpstr>
    </vt:vector>
  </TitlesOfParts>
  <Company>DCM</Company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A/HRC/RES/51/28</dc:title>
  <dc:subject/>
  <dc:creator>Uliana ANTIPOVA</dc:creator>
  <cp:keywords/>
  <cp:lastModifiedBy>Uliana Antipova</cp:lastModifiedBy>
  <cp:revision>3</cp:revision>
  <cp:lastPrinted>2022-10-25T07:36:00Z</cp:lastPrinted>
  <dcterms:created xsi:type="dcterms:W3CDTF">2022-10-25T07:36:00Z</dcterms:created>
  <dcterms:modified xsi:type="dcterms:W3CDTF">2022-10-25T07:37:00Z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