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20828" w14:textId="77777777" w:rsidR="00910CEA" w:rsidRPr="00C74C7F" w:rsidRDefault="00910CEA" w:rsidP="00910CEA">
      <w:pPr>
        <w:spacing w:line="240" w:lineRule="auto"/>
        <w:rPr>
          <w:sz w:val="2"/>
        </w:rPr>
        <w:sectPr w:rsidR="00910CEA" w:rsidRPr="00C74C7F" w:rsidSect="0087185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C74C7F">
        <w:rPr>
          <w:rStyle w:val="CommentReference"/>
        </w:rPr>
        <w:commentReference w:id="0"/>
      </w:r>
    </w:p>
    <w:p w14:paraId="01815D2C" w14:textId="77777777" w:rsidR="00871851" w:rsidRPr="00C74C7F" w:rsidRDefault="00871851" w:rsidP="0074079A">
      <w:pPr>
        <w:pStyle w:val="H1"/>
        <w:tabs>
          <w:tab w:val="right" w:pos="1022"/>
          <w:tab w:val="left" w:pos="1267"/>
          <w:tab w:val="left" w:pos="1742"/>
          <w:tab w:val="left" w:pos="2218"/>
          <w:tab w:val="left" w:pos="2693"/>
          <w:tab w:val="left" w:pos="3182"/>
          <w:tab w:val="left" w:pos="3658"/>
          <w:tab w:val="left" w:pos="4133"/>
          <w:tab w:val="left" w:pos="5573"/>
          <w:tab w:val="left" w:pos="6048"/>
        </w:tabs>
        <w:ind w:right="4620"/>
      </w:pPr>
      <w:r w:rsidRPr="00C74C7F">
        <w:rPr>
          <w:lang w:val="fr-FR"/>
        </w:rPr>
        <w:t>Comité pour l’élimination de la discrimination à l’égard des femmes</w:t>
      </w:r>
    </w:p>
    <w:p w14:paraId="5AE022FF" w14:textId="77777777" w:rsidR="00871851" w:rsidRPr="00C74C7F" w:rsidRDefault="00871851" w:rsidP="00F33A52">
      <w:pPr>
        <w:pStyle w:val="Session"/>
      </w:pPr>
      <w:r w:rsidRPr="00C74C7F">
        <w:t>Quatre-vingt-sixième session</w:t>
      </w:r>
    </w:p>
    <w:p w14:paraId="63AB6B73" w14:textId="77777777" w:rsidR="00871851" w:rsidRPr="00C74C7F" w:rsidRDefault="00871851" w:rsidP="00F33A5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9-27 octobre 2023</w:t>
      </w:r>
    </w:p>
    <w:p w14:paraId="424605C6" w14:textId="77777777" w:rsidR="00871851" w:rsidRPr="00C74C7F" w:rsidRDefault="00871851" w:rsidP="00F33A5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74C7F">
        <w:rPr>
          <w:lang w:val="fr-FR"/>
        </w:rPr>
        <w:t>Point 2 de l’ordre du jour provisoire</w:t>
      </w:r>
    </w:p>
    <w:p w14:paraId="13586575" w14:textId="77777777" w:rsidR="00871851" w:rsidRPr="00C74C7F" w:rsidRDefault="00871851" w:rsidP="00F33A5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74C7F">
        <w:rPr>
          <w:lang w:val="fr-FR"/>
        </w:rPr>
        <w:t>Adoption de l’ordre du jour et organisation des travaux</w:t>
      </w:r>
    </w:p>
    <w:p w14:paraId="4138FBE4" w14:textId="53FB3B74" w:rsidR="00871851" w:rsidRPr="00C74C7F" w:rsidRDefault="00871851" w:rsidP="00F33A52">
      <w:pPr>
        <w:pStyle w:val="SingleTxt"/>
        <w:spacing w:after="0" w:line="120" w:lineRule="exact"/>
        <w:rPr>
          <w:sz w:val="10"/>
        </w:rPr>
      </w:pPr>
    </w:p>
    <w:p w14:paraId="6824B1B9" w14:textId="41C71CCB" w:rsidR="00F33A52" w:rsidRPr="00C74C7F" w:rsidRDefault="00F33A52" w:rsidP="00F33A52">
      <w:pPr>
        <w:pStyle w:val="SingleTxt"/>
        <w:spacing w:after="0" w:line="120" w:lineRule="exact"/>
        <w:rPr>
          <w:sz w:val="10"/>
        </w:rPr>
      </w:pPr>
    </w:p>
    <w:p w14:paraId="0EA85DA8" w14:textId="6C1DBB90" w:rsidR="00F33A52" w:rsidRPr="00C74C7F" w:rsidRDefault="00F33A52" w:rsidP="00F33A52">
      <w:pPr>
        <w:pStyle w:val="SingleTxt"/>
        <w:spacing w:after="0" w:line="120" w:lineRule="exact"/>
        <w:rPr>
          <w:sz w:val="10"/>
        </w:rPr>
      </w:pPr>
    </w:p>
    <w:p w14:paraId="3CA14CDB" w14:textId="082F7BE1" w:rsidR="00871851" w:rsidRPr="00C74C7F" w:rsidRDefault="00F33A52" w:rsidP="00F33A52">
      <w:pPr>
        <w:pStyle w:val="TitleHCH"/>
        <w:ind w:right="1260"/>
      </w:pPr>
      <w:r w:rsidRPr="00C74C7F">
        <w:rPr>
          <w:lang w:val="fr-FR"/>
        </w:rPr>
        <w:tab/>
      </w:r>
      <w:r w:rsidRPr="00C74C7F">
        <w:rPr>
          <w:lang w:val="fr-FR"/>
        </w:rPr>
        <w:tab/>
      </w:r>
      <w:r w:rsidR="00871851" w:rsidRPr="00C74C7F">
        <w:rPr>
          <w:lang w:val="fr-FR"/>
        </w:rPr>
        <w:t>Ordre du jour provisoire annoté</w:t>
      </w:r>
    </w:p>
    <w:p w14:paraId="130E2F0D" w14:textId="0D9E2824" w:rsidR="00871851" w:rsidRPr="00C74C7F" w:rsidRDefault="00871851" w:rsidP="00F33A52">
      <w:pPr>
        <w:pStyle w:val="SingleTxt"/>
        <w:spacing w:after="0" w:line="120" w:lineRule="exact"/>
        <w:rPr>
          <w:sz w:val="10"/>
        </w:rPr>
      </w:pPr>
    </w:p>
    <w:p w14:paraId="07769A30" w14:textId="6C05E440" w:rsidR="00F33A52" w:rsidRPr="00C74C7F" w:rsidRDefault="00F33A52" w:rsidP="00F33A52">
      <w:pPr>
        <w:pStyle w:val="SingleTxt"/>
        <w:spacing w:after="0" w:line="120" w:lineRule="exact"/>
        <w:rPr>
          <w:sz w:val="10"/>
        </w:rPr>
      </w:pPr>
    </w:p>
    <w:p w14:paraId="1C2E47B6" w14:textId="681F0243" w:rsidR="00871851" w:rsidRPr="00C74C7F" w:rsidRDefault="00F33A52" w:rsidP="00F33A52">
      <w:pPr>
        <w:pStyle w:val="TitleH1"/>
        <w:ind w:right="1260"/>
      </w:pPr>
      <w:r w:rsidRPr="00C74C7F">
        <w:rPr>
          <w:lang w:val="fr-FR"/>
        </w:rPr>
        <w:tab/>
      </w:r>
      <w:r w:rsidRPr="00C74C7F">
        <w:rPr>
          <w:lang w:val="fr-FR"/>
        </w:rPr>
        <w:tab/>
      </w:r>
      <w:r w:rsidR="00871851" w:rsidRPr="00C74C7F">
        <w:rPr>
          <w:lang w:val="fr-FR"/>
        </w:rPr>
        <w:t>Ordre du jour provisoire</w:t>
      </w:r>
    </w:p>
    <w:p w14:paraId="3681C7F7" w14:textId="54543C10" w:rsidR="00871851" w:rsidRPr="00C74C7F" w:rsidRDefault="00871851" w:rsidP="00F33A52">
      <w:pPr>
        <w:pStyle w:val="SingleTxt"/>
        <w:spacing w:after="0" w:line="120" w:lineRule="exact"/>
        <w:rPr>
          <w:sz w:val="10"/>
        </w:rPr>
      </w:pPr>
    </w:p>
    <w:p w14:paraId="3E911F48" w14:textId="6069F574" w:rsidR="00F33A52" w:rsidRPr="00C74C7F" w:rsidRDefault="00F33A52" w:rsidP="00F33A52">
      <w:pPr>
        <w:pStyle w:val="SingleTxt"/>
        <w:spacing w:after="0" w:line="120" w:lineRule="exact"/>
        <w:rPr>
          <w:sz w:val="10"/>
        </w:rPr>
      </w:pPr>
    </w:p>
    <w:p w14:paraId="77A4BD4B" w14:textId="77777777" w:rsidR="00871851" w:rsidRPr="00C74C7F" w:rsidRDefault="00871851" w:rsidP="00F33A52">
      <w:pPr>
        <w:pStyle w:val="SingleTxt"/>
        <w:jc w:val="left"/>
      </w:pPr>
      <w:r w:rsidRPr="00C74C7F">
        <w:rPr>
          <w:lang w:val="fr-FR"/>
        </w:rPr>
        <w:t>1.</w:t>
      </w:r>
      <w:r w:rsidRPr="00C74C7F">
        <w:rPr>
          <w:lang w:val="fr-FR"/>
        </w:rPr>
        <w:tab/>
        <w:t>Ouverture de la session.</w:t>
      </w:r>
    </w:p>
    <w:p w14:paraId="05FEEBB2" w14:textId="77777777" w:rsidR="00871851" w:rsidRPr="00C74C7F" w:rsidRDefault="00871851" w:rsidP="00F33A52">
      <w:pPr>
        <w:pStyle w:val="SingleTxt"/>
        <w:jc w:val="left"/>
      </w:pPr>
      <w:r w:rsidRPr="00C74C7F">
        <w:rPr>
          <w:lang w:val="fr-FR"/>
        </w:rPr>
        <w:t>2.</w:t>
      </w:r>
      <w:r w:rsidRPr="00C74C7F">
        <w:rPr>
          <w:lang w:val="fr-FR"/>
        </w:rPr>
        <w:tab/>
        <w:t>Adoption de l’ordre du jour et organisation des travaux.</w:t>
      </w:r>
    </w:p>
    <w:p w14:paraId="1FA4D279" w14:textId="77777777" w:rsidR="00871851" w:rsidRPr="00C74C7F" w:rsidRDefault="00871851" w:rsidP="00F33A52">
      <w:pPr>
        <w:pStyle w:val="SingleTxt"/>
        <w:ind w:left="1742" w:hanging="475"/>
        <w:jc w:val="left"/>
      </w:pPr>
      <w:r w:rsidRPr="00C74C7F">
        <w:rPr>
          <w:lang w:val="fr-FR"/>
        </w:rPr>
        <w:t>3.</w:t>
      </w:r>
      <w:r w:rsidRPr="00C74C7F">
        <w:rPr>
          <w:lang w:val="fr-FR"/>
        </w:rPr>
        <w:tab/>
        <w:t>Rapport de la présidence sur les activités menées entre la quatre-vingt-cinquième et la quatre-vingt-sixième session du Comité.</w:t>
      </w:r>
    </w:p>
    <w:p w14:paraId="112B3863" w14:textId="77777777" w:rsidR="00871851" w:rsidRPr="00C74C7F" w:rsidRDefault="00871851" w:rsidP="00F33A52">
      <w:pPr>
        <w:pStyle w:val="SingleTxt"/>
        <w:ind w:left="1742" w:hanging="475"/>
        <w:jc w:val="left"/>
      </w:pPr>
      <w:r w:rsidRPr="00C74C7F">
        <w:rPr>
          <w:lang w:val="fr-FR"/>
        </w:rPr>
        <w:t>4.</w:t>
      </w:r>
      <w:r w:rsidRPr="00C74C7F">
        <w:rPr>
          <w:lang w:val="fr-FR"/>
        </w:rPr>
        <w:tab/>
        <w:t>Examen des rapports soumis par les États parties en application de l’article 18 de la Convention sur l’élimination de toutes les formes de discrimination à l’égard des femmes.</w:t>
      </w:r>
    </w:p>
    <w:p w14:paraId="421EEBEE" w14:textId="77777777" w:rsidR="00871851" w:rsidRPr="00C74C7F" w:rsidRDefault="00871851" w:rsidP="00F33A52">
      <w:pPr>
        <w:pStyle w:val="SingleTxt"/>
        <w:ind w:left="1742" w:hanging="475"/>
        <w:jc w:val="left"/>
      </w:pPr>
      <w:r w:rsidRPr="00C74C7F">
        <w:rPr>
          <w:lang w:val="fr-FR"/>
        </w:rPr>
        <w:t>5.</w:t>
      </w:r>
      <w:r w:rsidRPr="00C74C7F">
        <w:rPr>
          <w:lang w:val="fr-FR"/>
        </w:rPr>
        <w:tab/>
        <w:t>Suite donnée à l’examen des rapports soumis par les États parties en application de l’article 18 de la Convention.</w:t>
      </w:r>
    </w:p>
    <w:p w14:paraId="374DEB9E" w14:textId="77777777" w:rsidR="00871851" w:rsidRPr="00C74C7F" w:rsidRDefault="00871851" w:rsidP="00F33A52">
      <w:pPr>
        <w:pStyle w:val="SingleTxt"/>
        <w:jc w:val="left"/>
      </w:pPr>
      <w:r w:rsidRPr="00C74C7F">
        <w:rPr>
          <w:lang w:val="fr-FR"/>
        </w:rPr>
        <w:t>6.</w:t>
      </w:r>
      <w:r w:rsidRPr="00C74C7F">
        <w:rPr>
          <w:lang w:val="fr-FR"/>
        </w:rPr>
        <w:tab/>
        <w:t>Application des articles 21 et 22 de la Convention.</w:t>
      </w:r>
    </w:p>
    <w:p w14:paraId="4354E44A" w14:textId="77777777" w:rsidR="00871851" w:rsidRPr="00C74C7F" w:rsidRDefault="00871851" w:rsidP="00F33A52">
      <w:pPr>
        <w:pStyle w:val="SingleTxt"/>
        <w:jc w:val="left"/>
      </w:pPr>
      <w:r w:rsidRPr="00C74C7F">
        <w:rPr>
          <w:lang w:val="fr-FR"/>
        </w:rPr>
        <w:t>7.</w:t>
      </w:r>
      <w:r w:rsidRPr="00C74C7F">
        <w:rPr>
          <w:lang w:val="fr-FR"/>
        </w:rPr>
        <w:tab/>
        <w:t>Moyens d’accélérer les travaux du Comité.</w:t>
      </w:r>
    </w:p>
    <w:p w14:paraId="2AC6C732" w14:textId="77777777" w:rsidR="00871851" w:rsidRPr="00C74C7F" w:rsidRDefault="00871851" w:rsidP="00F33A52">
      <w:pPr>
        <w:pStyle w:val="SingleTxt"/>
        <w:ind w:left="1742" w:hanging="475"/>
        <w:jc w:val="left"/>
      </w:pPr>
      <w:r w:rsidRPr="00C74C7F">
        <w:rPr>
          <w:lang w:val="fr-FR"/>
        </w:rPr>
        <w:t>8.</w:t>
      </w:r>
      <w:r w:rsidRPr="00C74C7F">
        <w:rPr>
          <w:lang w:val="fr-FR"/>
        </w:rPr>
        <w:tab/>
        <w:t>Activités menées par le Comité au titre du Protocole facultatif à la Convention.</w:t>
      </w:r>
    </w:p>
    <w:p w14:paraId="26D49A9D" w14:textId="77777777" w:rsidR="00871851" w:rsidRPr="00C74C7F" w:rsidRDefault="00871851" w:rsidP="00F33A52">
      <w:pPr>
        <w:pStyle w:val="SingleTxt"/>
        <w:jc w:val="left"/>
      </w:pPr>
      <w:r w:rsidRPr="00C74C7F">
        <w:rPr>
          <w:lang w:val="fr-FR"/>
        </w:rPr>
        <w:t>9.</w:t>
      </w:r>
      <w:r w:rsidRPr="00C74C7F">
        <w:rPr>
          <w:lang w:val="fr-FR"/>
        </w:rPr>
        <w:tab/>
        <w:t>Ordre du jour provisoire de la quatre-vingt-septième session du Comité.</w:t>
      </w:r>
    </w:p>
    <w:p w14:paraId="453C3D85" w14:textId="77777777" w:rsidR="00871851" w:rsidRPr="00C74C7F" w:rsidRDefault="00871851" w:rsidP="00F33A52">
      <w:pPr>
        <w:pStyle w:val="SingleTxt"/>
        <w:ind w:left="1742" w:hanging="475"/>
        <w:jc w:val="left"/>
      </w:pPr>
      <w:r w:rsidRPr="00C74C7F">
        <w:rPr>
          <w:lang w:val="fr-FR"/>
        </w:rPr>
        <w:t>10.</w:t>
      </w:r>
      <w:r w:rsidRPr="00C74C7F">
        <w:rPr>
          <w:lang w:val="fr-FR"/>
        </w:rPr>
        <w:tab/>
        <w:t>Adoption du rapport du Comité sur les travaux de sa quatre-vingt-sixième session.</w:t>
      </w:r>
    </w:p>
    <w:p w14:paraId="3310F1E8" w14:textId="255C2F71" w:rsidR="00871851" w:rsidRPr="00C74C7F" w:rsidRDefault="00871851" w:rsidP="00F33A52">
      <w:pPr>
        <w:pStyle w:val="SingleTxt"/>
        <w:spacing w:after="0" w:line="120" w:lineRule="exact"/>
        <w:rPr>
          <w:sz w:val="10"/>
        </w:rPr>
      </w:pPr>
    </w:p>
    <w:p w14:paraId="5C94BF31" w14:textId="51779D08" w:rsidR="00F33A52" w:rsidRPr="00C74C7F" w:rsidRDefault="00F33A52" w:rsidP="00F33A52">
      <w:pPr>
        <w:pStyle w:val="SingleTxt"/>
        <w:spacing w:after="0" w:line="120" w:lineRule="exact"/>
        <w:rPr>
          <w:sz w:val="10"/>
        </w:rPr>
      </w:pPr>
    </w:p>
    <w:p w14:paraId="73C4902F" w14:textId="77777777" w:rsidR="00871851" w:rsidRPr="00C74C7F" w:rsidRDefault="00871851" w:rsidP="002F72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ab/>
      </w:r>
      <w:r w:rsidRPr="00C74C7F">
        <w:rPr>
          <w:lang w:val="fr-FR"/>
        </w:rPr>
        <w:tab/>
        <w:t>Annotations</w:t>
      </w:r>
    </w:p>
    <w:p w14:paraId="56DC5368" w14:textId="603EBAB2" w:rsidR="00871851" w:rsidRPr="00C74C7F" w:rsidRDefault="00871851" w:rsidP="00F33A52">
      <w:pPr>
        <w:pStyle w:val="SingleTxt"/>
        <w:spacing w:after="0" w:line="120" w:lineRule="exact"/>
        <w:rPr>
          <w:sz w:val="10"/>
        </w:rPr>
      </w:pPr>
    </w:p>
    <w:p w14:paraId="618D2337" w14:textId="7E8CEC0A" w:rsidR="00F33A52" w:rsidRPr="00C74C7F" w:rsidRDefault="00F33A52" w:rsidP="00F33A52">
      <w:pPr>
        <w:pStyle w:val="SingleTxt"/>
        <w:spacing w:after="0" w:line="120" w:lineRule="exact"/>
        <w:rPr>
          <w:sz w:val="10"/>
        </w:rPr>
      </w:pPr>
    </w:p>
    <w:p w14:paraId="7A58F3D7" w14:textId="0F074B1E" w:rsidR="00871851" w:rsidRPr="00C74C7F" w:rsidRDefault="00F33A52"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1.</w:t>
      </w:r>
      <w:r w:rsidR="00871851" w:rsidRPr="00C74C7F">
        <w:tab/>
      </w:r>
      <w:r w:rsidR="00871851" w:rsidRPr="00C74C7F">
        <w:rPr>
          <w:lang w:val="fr-FR"/>
        </w:rPr>
        <w:t>Ouverture de la session</w:t>
      </w:r>
    </w:p>
    <w:p w14:paraId="418F6A7A" w14:textId="5E20494A" w:rsidR="00871851" w:rsidRPr="00C74C7F" w:rsidRDefault="00871851" w:rsidP="00F33A52">
      <w:pPr>
        <w:pStyle w:val="SingleTxt"/>
        <w:spacing w:after="0" w:line="120" w:lineRule="exact"/>
        <w:rPr>
          <w:sz w:val="10"/>
        </w:rPr>
      </w:pPr>
    </w:p>
    <w:p w14:paraId="35F4AF66" w14:textId="192D40B6" w:rsidR="00871851" w:rsidRPr="00C74C7F" w:rsidRDefault="00871851" w:rsidP="00871851">
      <w:pPr>
        <w:pStyle w:val="SingleTxt"/>
        <w:rPr>
          <w:lang w:val="fr-FR"/>
        </w:rPr>
      </w:pPr>
      <w:r w:rsidRPr="00C74C7F">
        <w:rPr>
          <w:lang w:val="fr-FR"/>
        </w:rPr>
        <w:t>La quatre-vingt-sixième session du Comité pour l’élimination de la discrimination à l’égard des femmes sera ouverte par la présidence du Comité le 9 octobre 2023.</w:t>
      </w:r>
    </w:p>
    <w:p w14:paraId="78184069" w14:textId="556BE21F" w:rsidR="000009B2" w:rsidRPr="00C74C7F" w:rsidRDefault="000009B2" w:rsidP="000009B2">
      <w:pPr>
        <w:pStyle w:val="SingleTxt"/>
        <w:spacing w:after="0" w:line="120" w:lineRule="exact"/>
        <w:rPr>
          <w:sz w:val="10"/>
          <w:lang w:val="fr-FR"/>
        </w:rPr>
      </w:pPr>
    </w:p>
    <w:p w14:paraId="34F4C1AA" w14:textId="4545A47E" w:rsidR="00871851" w:rsidRPr="00C74C7F" w:rsidRDefault="000009B2"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lastRenderedPageBreak/>
        <w:tab/>
      </w:r>
      <w:r w:rsidR="00871851" w:rsidRPr="00C74C7F">
        <w:t>2.</w:t>
      </w:r>
      <w:r w:rsidR="00871851" w:rsidRPr="00C74C7F">
        <w:tab/>
      </w:r>
      <w:r w:rsidR="00871851" w:rsidRPr="00C74C7F">
        <w:rPr>
          <w:lang w:val="fr-FR"/>
        </w:rPr>
        <w:t>Adoption de l’ordre du jour et organisation des travaux</w:t>
      </w:r>
    </w:p>
    <w:p w14:paraId="2CB676D1" w14:textId="1BC4413B" w:rsidR="00871851" w:rsidRPr="00C74C7F" w:rsidRDefault="00871851" w:rsidP="000009B2">
      <w:pPr>
        <w:pStyle w:val="SingleTxt"/>
        <w:spacing w:after="0" w:line="120" w:lineRule="exact"/>
        <w:rPr>
          <w:sz w:val="10"/>
        </w:rPr>
      </w:pPr>
    </w:p>
    <w:p w14:paraId="6EF90484" w14:textId="77777777" w:rsidR="00871851" w:rsidRPr="00C74C7F" w:rsidRDefault="00871851" w:rsidP="00871851">
      <w:pPr>
        <w:pStyle w:val="SingleTxt"/>
      </w:pPr>
      <w:r w:rsidRPr="00C74C7F">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622F3EED" w14:textId="77777777" w:rsidR="00871851" w:rsidRPr="00C74C7F" w:rsidRDefault="00871851" w:rsidP="00871851">
      <w:pPr>
        <w:pStyle w:val="SingleTxt"/>
      </w:pPr>
      <w:r w:rsidRPr="00C74C7F">
        <w:rPr>
          <w:lang w:val="fr-FR"/>
        </w:rPr>
        <w:t>À sa quatre-vingt-cinquième session, le Comité a approuvé l’ordre du jour provisoire de la quatre-vingt-sixième session.</w:t>
      </w:r>
    </w:p>
    <w:p w14:paraId="6994C750" w14:textId="0BAF40ED" w:rsidR="000009B2" w:rsidRPr="00C74C7F" w:rsidRDefault="000009B2" w:rsidP="000009B2">
      <w:pPr>
        <w:pStyle w:val="SingleTxt"/>
        <w:spacing w:after="0" w:line="120" w:lineRule="exact"/>
        <w:rPr>
          <w:sz w:val="10"/>
        </w:rPr>
      </w:pPr>
    </w:p>
    <w:p w14:paraId="66599E3C" w14:textId="257CEED1" w:rsidR="00871851" w:rsidRPr="00C74C7F" w:rsidRDefault="000009B2"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3.</w:t>
      </w:r>
      <w:r w:rsidR="00871851" w:rsidRPr="00C74C7F">
        <w:tab/>
      </w:r>
      <w:r w:rsidR="00871851" w:rsidRPr="00C74C7F">
        <w:rPr>
          <w:lang w:val="fr-FR"/>
        </w:rPr>
        <w:t>Rapport de la présidence sur les activités menées entre la quatre-vingt-cinquième et la quatre-vingt-sixième session du Comité</w:t>
      </w:r>
    </w:p>
    <w:p w14:paraId="7DE4110E" w14:textId="316F3834" w:rsidR="000009B2" w:rsidRPr="00C74C7F" w:rsidRDefault="000009B2" w:rsidP="000009B2">
      <w:pPr>
        <w:pStyle w:val="SingleTxt"/>
        <w:spacing w:after="0" w:line="120" w:lineRule="exact"/>
        <w:rPr>
          <w:sz w:val="10"/>
        </w:rPr>
      </w:pPr>
    </w:p>
    <w:p w14:paraId="1857A402" w14:textId="77777777" w:rsidR="00871851" w:rsidRPr="00C74C7F" w:rsidRDefault="00871851" w:rsidP="00871851">
      <w:pPr>
        <w:pStyle w:val="SingleTxt"/>
      </w:pPr>
      <w:r w:rsidRPr="00C74C7F">
        <w:rPr>
          <w:lang w:val="fr-FR"/>
        </w:rPr>
        <w:t xml:space="preserve">La présidence rendra compte au Comité des activités menées et des faits nouveaux survenus depuis la session précédente qui </w:t>
      </w:r>
      <w:r w:rsidRPr="00C74C7F">
        <w:rPr>
          <w:spacing w:val="0"/>
          <w:w w:val="101"/>
          <w:lang w:val="fr-FR"/>
        </w:rPr>
        <w:t>ont eu une incidence sur les travaux du Comité.</w:t>
      </w:r>
    </w:p>
    <w:p w14:paraId="73594ED0" w14:textId="77777777" w:rsidR="000009B2" w:rsidRPr="00C74C7F" w:rsidRDefault="000009B2" w:rsidP="000009B2">
      <w:pPr>
        <w:pStyle w:val="SingleTxt"/>
        <w:spacing w:after="0" w:line="120" w:lineRule="exact"/>
        <w:rPr>
          <w:i/>
          <w:sz w:val="10"/>
          <w:lang w:val="fr-FR"/>
        </w:rPr>
      </w:pPr>
    </w:p>
    <w:p w14:paraId="0E182DDF" w14:textId="3E418A09" w:rsidR="00871851" w:rsidRPr="00C74C7F" w:rsidRDefault="00871851" w:rsidP="000009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ab/>
      </w:r>
      <w:r w:rsidRPr="00C74C7F">
        <w:rPr>
          <w:lang w:val="fr-FR"/>
        </w:rPr>
        <w:tab/>
        <w:t>Documentation</w:t>
      </w:r>
    </w:p>
    <w:p w14:paraId="50A472FE" w14:textId="77AF3B31" w:rsidR="00871851" w:rsidRPr="00C74C7F" w:rsidRDefault="00871851" w:rsidP="000009B2">
      <w:pPr>
        <w:pStyle w:val="SingleTxt"/>
        <w:spacing w:after="0" w:line="120" w:lineRule="exact"/>
        <w:rPr>
          <w:sz w:val="10"/>
        </w:rPr>
      </w:pPr>
    </w:p>
    <w:p w14:paraId="4FDC4FD7" w14:textId="0C6735E3" w:rsidR="00871851" w:rsidRPr="00C74C7F" w:rsidRDefault="00871851" w:rsidP="00871851">
      <w:pPr>
        <w:pStyle w:val="SingleTxt"/>
      </w:pPr>
      <w:r w:rsidRPr="00C74C7F">
        <w:rPr>
          <w:lang w:val="fr-FR"/>
        </w:rPr>
        <w:t>Ordre du jour provisoire annoté (</w:t>
      </w:r>
      <w:hyperlink r:id="rId17" w:history="1">
        <w:r w:rsidRPr="0074079A">
          <w:rPr>
            <w:rStyle w:val="Hyperlink"/>
            <w:lang w:val="fr-FR"/>
          </w:rPr>
          <w:t>CEDAW/C/86/1</w:t>
        </w:r>
      </w:hyperlink>
      <w:r w:rsidRPr="00C74C7F">
        <w:rPr>
          <w:lang w:val="fr-FR"/>
        </w:rPr>
        <w:t>)</w:t>
      </w:r>
    </w:p>
    <w:p w14:paraId="26C185DA" w14:textId="77777777" w:rsidR="002F72DE" w:rsidRPr="00C74C7F" w:rsidRDefault="002F72DE" w:rsidP="002F72DE">
      <w:pPr>
        <w:pStyle w:val="SingleTxt"/>
        <w:spacing w:after="0" w:line="120" w:lineRule="exact"/>
        <w:rPr>
          <w:b/>
          <w:sz w:val="10"/>
        </w:rPr>
      </w:pPr>
    </w:p>
    <w:p w14:paraId="78E16CDF" w14:textId="6D15B3AE" w:rsidR="00871851" w:rsidRPr="00C74C7F" w:rsidRDefault="002F72DE"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4.</w:t>
      </w:r>
      <w:r w:rsidR="00871851" w:rsidRPr="00C74C7F">
        <w:tab/>
      </w:r>
      <w:r w:rsidR="00871851" w:rsidRPr="00C74C7F">
        <w:rPr>
          <w:lang w:val="fr-FR"/>
        </w:rPr>
        <w:t>Examen des rapports soumis par les États parties en application de l’article</w:t>
      </w:r>
      <w:r w:rsidRPr="00C74C7F">
        <w:rPr>
          <w:lang w:val="fr-FR"/>
        </w:rPr>
        <w:t> </w:t>
      </w:r>
      <w:r w:rsidR="00871851" w:rsidRPr="00C74C7F">
        <w:rPr>
          <w:lang w:val="fr-FR"/>
        </w:rPr>
        <w:t>18 de</w:t>
      </w:r>
      <w:r w:rsidRPr="00C74C7F">
        <w:rPr>
          <w:lang w:val="fr-FR"/>
        </w:rPr>
        <w:t> </w:t>
      </w:r>
      <w:r w:rsidR="00871851" w:rsidRPr="00C74C7F">
        <w:rPr>
          <w:lang w:val="fr-FR"/>
        </w:rPr>
        <w:t>la Convention sur l’élimination de toutes les formes de discrimination à</w:t>
      </w:r>
      <w:r w:rsidRPr="00C74C7F">
        <w:rPr>
          <w:lang w:val="fr-FR"/>
        </w:rPr>
        <w:t> </w:t>
      </w:r>
      <w:r w:rsidR="00871851" w:rsidRPr="00C74C7F">
        <w:rPr>
          <w:lang w:val="fr-FR"/>
        </w:rPr>
        <w:t>l’égard des femmes</w:t>
      </w:r>
    </w:p>
    <w:p w14:paraId="7B1AAC9B" w14:textId="107AC912" w:rsidR="00871851" w:rsidRPr="00C74C7F" w:rsidRDefault="00871851" w:rsidP="002F72DE">
      <w:pPr>
        <w:pStyle w:val="SingleTxt"/>
        <w:spacing w:after="0" w:line="120" w:lineRule="exact"/>
        <w:rPr>
          <w:sz w:val="10"/>
        </w:rPr>
      </w:pPr>
    </w:p>
    <w:p w14:paraId="495CB16A" w14:textId="77777777" w:rsidR="00871851" w:rsidRPr="00C74C7F" w:rsidRDefault="00871851" w:rsidP="00871851">
      <w:pPr>
        <w:pStyle w:val="SingleTxt"/>
      </w:pPr>
      <w:r w:rsidRPr="00C74C7F">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040F1A22" w14:textId="77777777" w:rsidR="00871851" w:rsidRPr="00C74C7F" w:rsidRDefault="00871851" w:rsidP="00871851">
      <w:pPr>
        <w:pStyle w:val="SingleTxt"/>
      </w:pPr>
      <w:r w:rsidRPr="00C74C7F">
        <w:rPr>
          <w:lang w:val="fr-FR"/>
        </w:rPr>
        <w:t>À sa quatre-vingt-sixième session, le Comité examinera les rapports des États parties suivants : Albanie, Bhoutan, France, Guatemala, Jamaïque, Malawi, Nicaragua, Philippines et Uruguay.</w:t>
      </w:r>
    </w:p>
    <w:p w14:paraId="526A5009" w14:textId="77777777" w:rsidR="00871851" w:rsidRPr="00C74C7F" w:rsidRDefault="00871851" w:rsidP="00871851">
      <w:pPr>
        <w:pStyle w:val="SingleTxt"/>
      </w:pPr>
      <w:r w:rsidRPr="00C74C7F">
        <w:rPr>
          <w:lang w:val="fr-FR"/>
        </w:rPr>
        <w:t>Au titre de l’article 51 du Règlement intérieur, les États parties sont représentés aux réunions du Comité au cours desquelles leurs rapports sont examinés ; leurs représentant(e)s participent aux débats et répondent aux questions ayant trait aux rapports. Le paragraphe 5 de l’article 51 prévoit que si un État partie invité à se faire représenter à la séance du Comité au cours de laquelle son rapport est examiné ne peut répondre à cette invitation, l’examen de son rapport est reporté à une autre session. Si, à cette session ultérieure, l’État partie en question, dûment informé que son rapport y sera examiné, n’est pas représenté, le Comité procède à l’examen du rapport en l’absence de tout représentant de l’État partie.</w:t>
      </w:r>
    </w:p>
    <w:p w14:paraId="538D4043" w14:textId="77777777" w:rsidR="00871851" w:rsidRPr="00C74C7F" w:rsidRDefault="00871851" w:rsidP="00871851">
      <w:pPr>
        <w:pStyle w:val="SingleTxt"/>
      </w:pPr>
      <w:r w:rsidRPr="00C74C7F">
        <w:rPr>
          <w:lang w:val="fr-FR"/>
        </w:rPr>
        <w:t xml:space="preserve">En application de l’article 49 du Règlement intérieur, à chaque session, le Secrétaire général fait savoir au Comité quels sont les États parties qui n’ont pas soumis les rapports prévus par l’article 18 de la Convention. En outre, il lui fournit périodiquement une liste des rapports soumis par les États parties, </w:t>
      </w:r>
      <w:r w:rsidRPr="00C74C7F">
        <w:rPr>
          <w:spacing w:val="0"/>
          <w:w w:val="101"/>
          <w:lang w:val="fr-FR"/>
        </w:rPr>
        <w:t>ainsi qu’une liste des rapports soumis par les États parties qui n’ont pas encore été examinés par le Comité.</w:t>
      </w:r>
    </w:p>
    <w:p w14:paraId="6CE71FC1" w14:textId="163B6A5A" w:rsidR="00871851" w:rsidRPr="00C74C7F" w:rsidRDefault="00871851" w:rsidP="00871851">
      <w:pPr>
        <w:pStyle w:val="SingleTxt"/>
      </w:pPr>
      <w:r w:rsidRPr="00C74C7F">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quatre-vingt-sixième session s’est réuni du 27 février au 3 mars 2023. Le Comité sera saisi de son rapport (</w:t>
      </w:r>
      <w:hyperlink r:id="rId18" w:history="1">
        <w:r w:rsidRPr="0074079A">
          <w:rPr>
            <w:rStyle w:val="Hyperlink"/>
            <w:lang w:val="fr-FR"/>
          </w:rPr>
          <w:t>CEDAW/C/PSWG/86/1</w:t>
        </w:r>
      </w:hyperlink>
      <w:r w:rsidRPr="00C74C7F">
        <w:rPr>
          <w:lang w:val="fr-FR"/>
        </w:rPr>
        <w:t>).</w:t>
      </w:r>
    </w:p>
    <w:p w14:paraId="79BA3203" w14:textId="5452FDC1" w:rsidR="00871851" w:rsidRPr="00C74C7F" w:rsidRDefault="00871851" w:rsidP="002F72DE">
      <w:pPr>
        <w:pStyle w:val="SingleTxt"/>
        <w:spacing w:after="0" w:line="120" w:lineRule="exact"/>
        <w:rPr>
          <w:sz w:val="10"/>
        </w:rPr>
      </w:pPr>
    </w:p>
    <w:p w14:paraId="771D8384" w14:textId="77777777" w:rsidR="00871851" w:rsidRPr="00C74C7F" w:rsidRDefault="00871851"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lastRenderedPageBreak/>
        <w:tab/>
      </w:r>
      <w:r w:rsidRPr="00C74C7F">
        <w:rPr>
          <w:lang w:val="fr-FR"/>
        </w:rPr>
        <w:tab/>
        <w:t>Documentation</w:t>
      </w:r>
    </w:p>
    <w:p w14:paraId="424B447B" w14:textId="00F02D92" w:rsidR="00871851" w:rsidRPr="00C74C7F" w:rsidRDefault="00871851" w:rsidP="002F72DE">
      <w:pPr>
        <w:pStyle w:val="SingleTxt"/>
        <w:spacing w:after="0" w:line="120" w:lineRule="exact"/>
        <w:rPr>
          <w:sz w:val="10"/>
        </w:rPr>
      </w:pPr>
    </w:p>
    <w:p w14:paraId="5C8F0151" w14:textId="77777777" w:rsidR="00871851" w:rsidRPr="00C74C7F" w:rsidRDefault="00871851" w:rsidP="002F72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ab/>
      </w:r>
      <w:r w:rsidRPr="00C74C7F">
        <w:rPr>
          <w:lang w:val="fr-FR"/>
        </w:rPr>
        <w:tab/>
        <w:t>Rapports</w:t>
      </w:r>
    </w:p>
    <w:p w14:paraId="75326A12" w14:textId="62BA6B59" w:rsidR="00871851" w:rsidRPr="00C74C7F" w:rsidRDefault="00871851" w:rsidP="002F72DE">
      <w:pPr>
        <w:pStyle w:val="SingleTxt"/>
        <w:spacing w:after="0" w:line="120" w:lineRule="exact"/>
        <w:rPr>
          <w:sz w:val="10"/>
        </w:rPr>
      </w:pPr>
    </w:p>
    <w:p w14:paraId="2A1C3917" w14:textId="75A0AD48" w:rsidR="00871851" w:rsidRPr="00C74C7F" w:rsidRDefault="00871851" w:rsidP="00871851">
      <w:pPr>
        <w:pStyle w:val="SingleTxt"/>
      </w:pPr>
      <w:r w:rsidRPr="00C74C7F">
        <w:rPr>
          <w:lang w:val="fr-FR"/>
        </w:rPr>
        <w:t>Cinquième rapport périodique de l’Albanie (</w:t>
      </w:r>
      <w:hyperlink r:id="rId19" w:history="1">
        <w:r w:rsidRPr="0074079A">
          <w:rPr>
            <w:rStyle w:val="Hyperlink"/>
            <w:lang w:val="fr-FR"/>
          </w:rPr>
          <w:t>CEDAW/C/ALB/5</w:t>
        </w:r>
      </w:hyperlink>
      <w:r w:rsidRPr="00C74C7F">
        <w:rPr>
          <w:lang w:val="fr-FR"/>
        </w:rPr>
        <w:t>)</w:t>
      </w:r>
    </w:p>
    <w:p w14:paraId="17C6E746" w14:textId="40FAFA7F" w:rsidR="00871851" w:rsidRPr="00C74C7F" w:rsidRDefault="00871851" w:rsidP="00871851">
      <w:pPr>
        <w:pStyle w:val="SingleTxt"/>
      </w:pPr>
      <w:r w:rsidRPr="00C74C7F">
        <w:rPr>
          <w:lang w:val="fr-FR"/>
        </w:rPr>
        <w:t>Dixième rapport périodique du Bhoutan, soumis selon la procédure simplifiée d’établissement des rapports (</w:t>
      </w:r>
      <w:hyperlink r:id="rId20" w:history="1">
        <w:r w:rsidRPr="0074079A">
          <w:rPr>
            <w:rStyle w:val="Hyperlink"/>
            <w:lang w:val="fr-FR"/>
          </w:rPr>
          <w:t>CEDAW/C/BTN/10</w:t>
        </w:r>
      </w:hyperlink>
      <w:r w:rsidRPr="00C74C7F">
        <w:rPr>
          <w:lang w:val="fr-FR"/>
        </w:rPr>
        <w:t>)</w:t>
      </w:r>
    </w:p>
    <w:p w14:paraId="44A31995" w14:textId="4187A9EB" w:rsidR="00871851" w:rsidRPr="00C74C7F" w:rsidRDefault="00871851" w:rsidP="00871851">
      <w:pPr>
        <w:pStyle w:val="SingleTxt"/>
      </w:pPr>
      <w:r w:rsidRPr="00C74C7F">
        <w:rPr>
          <w:lang w:val="fr-FR"/>
        </w:rPr>
        <w:t>Neuvième rapport périodique de la France (</w:t>
      </w:r>
      <w:hyperlink r:id="rId21" w:history="1">
        <w:r w:rsidRPr="0074079A">
          <w:rPr>
            <w:rStyle w:val="Hyperlink"/>
            <w:lang w:val="fr-FR"/>
          </w:rPr>
          <w:t>CEDAW/C/FRA/9</w:t>
        </w:r>
      </w:hyperlink>
      <w:r w:rsidRPr="00C74C7F">
        <w:rPr>
          <w:lang w:val="fr-FR"/>
        </w:rPr>
        <w:t>)</w:t>
      </w:r>
    </w:p>
    <w:p w14:paraId="401948F6" w14:textId="58C20AB4" w:rsidR="00871851" w:rsidRPr="00C74C7F" w:rsidRDefault="00871851" w:rsidP="00871851">
      <w:pPr>
        <w:pStyle w:val="SingleTxt"/>
      </w:pPr>
      <w:r w:rsidRPr="00C74C7F">
        <w:rPr>
          <w:lang w:val="fr-FR"/>
        </w:rPr>
        <w:t>Dixième rapport périodique du Guatemala (</w:t>
      </w:r>
      <w:hyperlink r:id="rId22" w:history="1">
        <w:r w:rsidRPr="0074079A">
          <w:rPr>
            <w:rStyle w:val="Hyperlink"/>
            <w:lang w:val="fr-FR"/>
          </w:rPr>
          <w:t>CEDAW/C/GTM/10</w:t>
        </w:r>
      </w:hyperlink>
      <w:r w:rsidRPr="00C74C7F">
        <w:rPr>
          <w:lang w:val="fr-FR"/>
        </w:rPr>
        <w:t>)</w:t>
      </w:r>
    </w:p>
    <w:p w14:paraId="2510EB6C" w14:textId="7BC82F7C" w:rsidR="00871851" w:rsidRPr="00C74C7F" w:rsidRDefault="00871851" w:rsidP="00871851">
      <w:pPr>
        <w:pStyle w:val="SingleTxt"/>
      </w:pPr>
      <w:r w:rsidRPr="00C74C7F">
        <w:rPr>
          <w:lang w:val="fr-FR"/>
        </w:rPr>
        <w:t>Huitième rapport périodique de la Jamaïque (</w:t>
      </w:r>
      <w:hyperlink r:id="rId23" w:history="1">
        <w:r w:rsidRPr="0074079A">
          <w:rPr>
            <w:rStyle w:val="Hyperlink"/>
            <w:lang w:val="fr-FR"/>
          </w:rPr>
          <w:t>CEDAW/C/JAM/8</w:t>
        </w:r>
      </w:hyperlink>
      <w:r w:rsidRPr="00C74C7F">
        <w:rPr>
          <w:lang w:val="fr-FR"/>
        </w:rPr>
        <w:t>)</w:t>
      </w:r>
    </w:p>
    <w:p w14:paraId="152450D9" w14:textId="143EF90E" w:rsidR="00871851" w:rsidRPr="00C74C7F" w:rsidRDefault="00871851" w:rsidP="00871851">
      <w:pPr>
        <w:pStyle w:val="SingleTxt"/>
      </w:pPr>
      <w:r w:rsidRPr="00C74C7F">
        <w:rPr>
          <w:lang w:val="fr-FR"/>
        </w:rPr>
        <w:t>Huitième rapport périodique du Malawi (</w:t>
      </w:r>
      <w:hyperlink r:id="rId24" w:history="1">
        <w:r w:rsidRPr="0074079A">
          <w:rPr>
            <w:rStyle w:val="Hyperlink"/>
            <w:lang w:val="fr-FR"/>
          </w:rPr>
          <w:t>CEDAW/C/MWI/8</w:t>
        </w:r>
      </w:hyperlink>
      <w:r w:rsidRPr="00C74C7F">
        <w:rPr>
          <w:lang w:val="fr-FR"/>
        </w:rPr>
        <w:t>)</w:t>
      </w:r>
    </w:p>
    <w:p w14:paraId="2D3E5AAB" w14:textId="54A031CA" w:rsidR="00871851" w:rsidRPr="00C74C7F" w:rsidRDefault="00871851" w:rsidP="00871851">
      <w:pPr>
        <w:pStyle w:val="SingleTxt"/>
        <w:rPr>
          <w:spacing w:val="0"/>
          <w:w w:val="101"/>
        </w:rPr>
      </w:pPr>
      <w:r w:rsidRPr="00C74C7F">
        <w:rPr>
          <w:spacing w:val="0"/>
          <w:w w:val="101"/>
          <w:lang w:val="fr-FR"/>
        </w:rPr>
        <w:t>Rapport unique du Nicaragua valant septième à dixième rapports périodiques (</w:t>
      </w:r>
      <w:hyperlink r:id="rId25" w:history="1">
        <w:r w:rsidRPr="0074079A">
          <w:rPr>
            <w:rStyle w:val="Hyperlink"/>
            <w:spacing w:val="0"/>
            <w:w w:val="101"/>
            <w:lang w:val="fr-FR"/>
          </w:rPr>
          <w:t>CEDAW/C/NIC/7-10</w:t>
        </w:r>
      </w:hyperlink>
      <w:r w:rsidRPr="00C74C7F">
        <w:rPr>
          <w:spacing w:val="0"/>
          <w:w w:val="101"/>
          <w:lang w:val="fr-FR"/>
        </w:rPr>
        <w:t>)</w:t>
      </w:r>
    </w:p>
    <w:p w14:paraId="4C2910B0" w14:textId="77FB21EC" w:rsidR="00871851" w:rsidRPr="00C74C7F" w:rsidRDefault="00871851" w:rsidP="00871851">
      <w:pPr>
        <w:pStyle w:val="SingleTxt"/>
      </w:pPr>
      <w:r w:rsidRPr="00C74C7F">
        <w:rPr>
          <w:lang w:val="fr-FR"/>
        </w:rPr>
        <w:t>Neuvième rapport périodique des Philippines (</w:t>
      </w:r>
      <w:hyperlink r:id="rId26" w:history="1">
        <w:r w:rsidRPr="0074079A">
          <w:rPr>
            <w:rStyle w:val="Hyperlink"/>
            <w:lang w:val="fr-FR"/>
          </w:rPr>
          <w:t>CEDAW/C/PHL/9</w:t>
        </w:r>
      </w:hyperlink>
      <w:r w:rsidRPr="00C74C7F">
        <w:rPr>
          <w:lang w:val="fr-FR"/>
        </w:rPr>
        <w:t>)</w:t>
      </w:r>
    </w:p>
    <w:p w14:paraId="5E71FD1D" w14:textId="5FCEA753" w:rsidR="00871851" w:rsidRPr="00C74C7F" w:rsidRDefault="00871851" w:rsidP="00871851">
      <w:pPr>
        <w:pStyle w:val="SingleTxt"/>
      </w:pPr>
      <w:r w:rsidRPr="00C74C7F">
        <w:rPr>
          <w:lang w:val="fr-FR"/>
        </w:rPr>
        <w:t>Dixième rapport périodique de l’Uruguay, présenté selon la procédure simplifiée d’établissement des rapports (</w:t>
      </w:r>
      <w:hyperlink r:id="rId27" w:history="1">
        <w:r w:rsidRPr="0074079A">
          <w:rPr>
            <w:rStyle w:val="Hyperlink"/>
            <w:lang w:val="fr-FR"/>
          </w:rPr>
          <w:t>CEDAW/C/URY/10</w:t>
        </w:r>
      </w:hyperlink>
      <w:r w:rsidRPr="00C74C7F">
        <w:rPr>
          <w:lang w:val="fr-FR"/>
        </w:rPr>
        <w:t>)</w:t>
      </w:r>
    </w:p>
    <w:p w14:paraId="56081ED2" w14:textId="541BF9BD" w:rsidR="00871851" w:rsidRPr="00C74C7F" w:rsidRDefault="00871851" w:rsidP="002F72DE">
      <w:pPr>
        <w:pStyle w:val="SingleTxt"/>
        <w:spacing w:after="0" w:line="120" w:lineRule="exact"/>
        <w:rPr>
          <w:sz w:val="10"/>
        </w:rPr>
      </w:pPr>
    </w:p>
    <w:p w14:paraId="10933D9A" w14:textId="77777777" w:rsidR="00871851" w:rsidRPr="00C74C7F" w:rsidRDefault="00871851" w:rsidP="002F72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ab/>
      </w:r>
      <w:r w:rsidRPr="00C74C7F">
        <w:rPr>
          <w:lang w:val="fr-FR"/>
        </w:rPr>
        <w:tab/>
        <w:t>Listes de points et de questions</w:t>
      </w:r>
    </w:p>
    <w:p w14:paraId="7BAEF237" w14:textId="4FAF8025" w:rsidR="00871851" w:rsidRPr="00C74C7F" w:rsidRDefault="00871851" w:rsidP="002F72DE">
      <w:pPr>
        <w:pStyle w:val="SingleTxt"/>
        <w:spacing w:after="0" w:line="120" w:lineRule="exact"/>
        <w:rPr>
          <w:sz w:val="10"/>
        </w:rPr>
      </w:pPr>
    </w:p>
    <w:p w14:paraId="018F2DCE" w14:textId="46A5798F" w:rsidR="00871851" w:rsidRPr="00C74C7F" w:rsidRDefault="00871851" w:rsidP="00871851">
      <w:pPr>
        <w:pStyle w:val="SingleTxt"/>
      </w:pPr>
      <w:r w:rsidRPr="00C74C7F">
        <w:rPr>
          <w:lang w:val="fr-FR"/>
        </w:rPr>
        <w:t>Albanie (</w:t>
      </w:r>
      <w:hyperlink r:id="rId28" w:history="1">
        <w:r w:rsidRPr="0074079A">
          <w:rPr>
            <w:rStyle w:val="Hyperlink"/>
            <w:lang w:val="fr-FR"/>
          </w:rPr>
          <w:t>CEDAW/C/ALB/Q/5</w:t>
        </w:r>
      </w:hyperlink>
      <w:r w:rsidRPr="00C74C7F">
        <w:rPr>
          <w:lang w:val="fr-FR"/>
        </w:rPr>
        <w:t>)</w:t>
      </w:r>
    </w:p>
    <w:p w14:paraId="6CDCFB32" w14:textId="0BA72672" w:rsidR="00871851" w:rsidRPr="00C74C7F" w:rsidRDefault="00871851" w:rsidP="00871851">
      <w:pPr>
        <w:pStyle w:val="SingleTxt"/>
      </w:pPr>
      <w:r w:rsidRPr="00C74C7F">
        <w:rPr>
          <w:lang w:val="fr-FR"/>
        </w:rPr>
        <w:t>Bhoutan (</w:t>
      </w:r>
      <w:hyperlink r:id="rId29" w:history="1">
        <w:r w:rsidRPr="0074079A">
          <w:rPr>
            <w:rStyle w:val="Hyperlink"/>
            <w:lang w:val="fr-FR"/>
          </w:rPr>
          <w:t>CEDAW/C/BTN/QPR/10</w:t>
        </w:r>
      </w:hyperlink>
      <w:r w:rsidRPr="00C74C7F">
        <w:rPr>
          <w:lang w:val="fr-FR"/>
        </w:rPr>
        <w:t>)</w:t>
      </w:r>
    </w:p>
    <w:p w14:paraId="749D9251" w14:textId="1FA057E2" w:rsidR="00871851" w:rsidRPr="00C74C7F" w:rsidRDefault="00871851" w:rsidP="00871851">
      <w:pPr>
        <w:pStyle w:val="SingleTxt"/>
      </w:pPr>
      <w:r w:rsidRPr="00C74C7F">
        <w:rPr>
          <w:lang w:val="fr-FR"/>
        </w:rPr>
        <w:t>France (</w:t>
      </w:r>
      <w:hyperlink r:id="rId30" w:history="1">
        <w:r w:rsidRPr="0074079A">
          <w:rPr>
            <w:rStyle w:val="Hyperlink"/>
            <w:lang w:val="fr-FR"/>
          </w:rPr>
          <w:t>CEDAW/C/FRA/Q/9</w:t>
        </w:r>
      </w:hyperlink>
      <w:r w:rsidRPr="00C74C7F">
        <w:rPr>
          <w:lang w:val="fr-FR"/>
        </w:rPr>
        <w:t>)</w:t>
      </w:r>
    </w:p>
    <w:p w14:paraId="5C031B0B" w14:textId="384DEFE1" w:rsidR="00871851" w:rsidRPr="00C74C7F" w:rsidRDefault="00871851" w:rsidP="00871851">
      <w:pPr>
        <w:pStyle w:val="SingleTxt"/>
      </w:pPr>
      <w:r w:rsidRPr="00C74C7F">
        <w:t>Guatemala (</w:t>
      </w:r>
      <w:hyperlink r:id="rId31" w:history="1">
        <w:r w:rsidRPr="0074079A">
          <w:rPr>
            <w:rStyle w:val="Hyperlink"/>
          </w:rPr>
          <w:t>CEDAW/C/GTM/Q/10</w:t>
        </w:r>
      </w:hyperlink>
      <w:r w:rsidRPr="00C74C7F">
        <w:t>)</w:t>
      </w:r>
    </w:p>
    <w:p w14:paraId="7E316B4E" w14:textId="7F976131" w:rsidR="00871851" w:rsidRPr="00C74C7F" w:rsidRDefault="00871851" w:rsidP="00871851">
      <w:pPr>
        <w:pStyle w:val="SingleTxt"/>
      </w:pPr>
      <w:r w:rsidRPr="00C74C7F">
        <w:rPr>
          <w:lang w:val="fr-FR"/>
        </w:rPr>
        <w:t>Jamaïque (</w:t>
      </w:r>
      <w:hyperlink r:id="rId32" w:history="1">
        <w:r w:rsidRPr="0074079A">
          <w:rPr>
            <w:rStyle w:val="Hyperlink"/>
            <w:lang w:val="fr-FR"/>
          </w:rPr>
          <w:t>CEDAW/C/JAM/Q/8</w:t>
        </w:r>
      </w:hyperlink>
      <w:r w:rsidRPr="00C74C7F">
        <w:rPr>
          <w:lang w:val="fr-FR"/>
        </w:rPr>
        <w:t>)</w:t>
      </w:r>
    </w:p>
    <w:p w14:paraId="48EE8845" w14:textId="63388C3E" w:rsidR="00871851" w:rsidRPr="00C74C7F" w:rsidRDefault="00871851" w:rsidP="00871851">
      <w:pPr>
        <w:pStyle w:val="SingleTxt"/>
      </w:pPr>
      <w:r w:rsidRPr="00C74C7F">
        <w:rPr>
          <w:lang w:val="fr-FR"/>
        </w:rPr>
        <w:t>Malawi (</w:t>
      </w:r>
      <w:hyperlink r:id="rId33" w:history="1">
        <w:r w:rsidRPr="0074079A">
          <w:rPr>
            <w:rStyle w:val="Hyperlink"/>
            <w:lang w:val="fr-FR"/>
          </w:rPr>
          <w:t>CEDAW/C/MWI/Q/8</w:t>
        </w:r>
      </w:hyperlink>
      <w:r w:rsidRPr="00C74C7F">
        <w:rPr>
          <w:lang w:val="fr-FR"/>
        </w:rPr>
        <w:t>)</w:t>
      </w:r>
    </w:p>
    <w:p w14:paraId="01EE9F81" w14:textId="7F60943C" w:rsidR="00871851" w:rsidRPr="001E6902" w:rsidRDefault="00871851" w:rsidP="00871851">
      <w:pPr>
        <w:pStyle w:val="SingleTxt"/>
        <w:rPr>
          <w:lang w:val="fr-FR"/>
        </w:rPr>
      </w:pPr>
      <w:r w:rsidRPr="00C74C7F">
        <w:rPr>
          <w:lang w:val="es-ES"/>
        </w:rPr>
        <w:t>Nicaragua (</w:t>
      </w:r>
      <w:hyperlink r:id="rId34" w:history="1">
        <w:r w:rsidRPr="0074079A">
          <w:rPr>
            <w:rStyle w:val="Hyperlink"/>
            <w:lang w:val="es-ES"/>
          </w:rPr>
          <w:t>CEDAW/C/NIC/Q/7-10</w:t>
        </w:r>
      </w:hyperlink>
      <w:r w:rsidRPr="00C74C7F">
        <w:rPr>
          <w:lang w:val="es-ES"/>
        </w:rPr>
        <w:t>)</w:t>
      </w:r>
    </w:p>
    <w:p w14:paraId="3A69C293" w14:textId="03F48D0B" w:rsidR="00871851" w:rsidRPr="00C74C7F" w:rsidRDefault="00871851" w:rsidP="00871851">
      <w:pPr>
        <w:pStyle w:val="SingleTxt"/>
        <w:rPr>
          <w:lang w:val="es-ES"/>
        </w:rPr>
      </w:pPr>
      <w:r w:rsidRPr="001E6902">
        <w:rPr>
          <w:lang w:val="fr-FR"/>
        </w:rPr>
        <w:t>Philippines</w:t>
      </w:r>
      <w:r w:rsidRPr="00C74C7F">
        <w:rPr>
          <w:lang w:val="es-ES"/>
        </w:rPr>
        <w:t xml:space="preserve"> (</w:t>
      </w:r>
      <w:hyperlink r:id="rId35" w:history="1">
        <w:r w:rsidRPr="0074079A">
          <w:rPr>
            <w:rStyle w:val="Hyperlink"/>
            <w:lang w:val="es-ES"/>
          </w:rPr>
          <w:t>CEDAW/C/PHL/Q/9</w:t>
        </w:r>
      </w:hyperlink>
      <w:r w:rsidRPr="00C74C7F">
        <w:rPr>
          <w:lang w:val="es-ES"/>
        </w:rPr>
        <w:t>)</w:t>
      </w:r>
    </w:p>
    <w:p w14:paraId="065A496A" w14:textId="4B7BBA8A" w:rsidR="00871851" w:rsidRPr="00C74C7F" w:rsidRDefault="00871851" w:rsidP="00871851">
      <w:pPr>
        <w:pStyle w:val="SingleTxt"/>
        <w:rPr>
          <w:lang w:val="es-ES"/>
        </w:rPr>
      </w:pPr>
      <w:r w:rsidRPr="00C74C7F">
        <w:rPr>
          <w:lang w:val="es-ES"/>
        </w:rPr>
        <w:t>Uruguay (</w:t>
      </w:r>
      <w:hyperlink r:id="rId36" w:history="1">
        <w:r w:rsidRPr="0074079A">
          <w:rPr>
            <w:rStyle w:val="Hyperlink"/>
            <w:lang w:val="es-ES"/>
          </w:rPr>
          <w:t>CEDAW/C/URY/QPR/10</w:t>
        </w:r>
      </w:hyperlink>
      <w:r w:rsidRPr="00C74C7F">
        <w:rPr>
          <w:lang w:val="es-ES"/>
        </w:rPr>
        <w:t>)</w:t>
      </w:r>
    </w:p>
    <w:p w14:paraId="50BF20FA" w14:textId="4FD5F865" w:rsidR="00871851" w:rsidRPr="00C74C7F" w:rsidRDefault="00871851" w:rsidP="002F72DE">
      <w:pPr>
        <w:pStyle w:val="SingleTxt"/>
        <w:spacing w:after="0" w:line="120" w:lineRule="exact"/>
        <w:rPr>
          <w:sz w:val="10"/>
          <w:lang w:val="es-ES"/>
        </w:rPr>
      </w:pPr>
    </w:p>
    <w:p w14:paraId="4F60FCDF" w14:textId="77777777" w:rsidR="00871851" w:rsidRPr="00C74C7F" w:rsidRDefault="00871851" w:rsidP="002F72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es-ES"/>
        </w:rPr>
        <w:tab/>
      </w:r>
      <w:r w:rsidRPr="00C74C7F">
        <w:rPr>
          <w:lang w:val="es-ES"/>
        </w:rPr>
        <w:tab/>
      </w:r>
      <w:r w:rsidRPr="00C74C7F">
        <w:rPr>
          <w:lang w:val="fr-FR"/>
        </w:rPr>
        <w:t>Réponses aux listes de points et de questions</w:t>
      </w:r>
    </w:p>
    <w:p w14:paraId="56D1DFFC" w14:textId="01BC0844" w:rsidR="00871851" w:rsidRPr="00C74C7F" w:rsidRDefault="00871851" w:rsidP="002F72DE">
      <w:pPr>
        <w:pStyle w:val="SingleTxt"/>
        <w:spacing w:after="0" w:line="120" w:lineRule="exact"/>
        <w:rPr>
          <w:sz w:val="10"/>
        </w:rPr>
      </w:pPr>
    </w:p>
    <w:p w14:paraId="6955E8D1" w14:textId="02A3C7B6" w:rsidR="00871851" w:rsidRPr="00C74C7F" w:rsidRDefault="00871851" w:rsidP="00527999">
      <w:pPr>
        <w:pStyle w:val="SingleTxt"/>
      </w:pPr>
      <w:r w:rsidRPr="00C74C7F">
        <w:rPr>
          <w:lang w:val="fr-FR"/>
        </w:rPr>
        <w:t>Albanie (</w:t>
      </w:r>
      <w:hyperlink r:id="rId37" w:history="1">
        <w:r w:rsidRPr="0074079A">
          <w:rPr>
            <w:rStyle w:val="Hyperlink"/>
            <w:lang w:val="fr-FR"/>
          </w:rPr>
          <w:t>CEDAW/C/ALB/RQ/5</w:t>
        </w:r>
      </w:hyperlink>
      <w:r w:rsidRPr="00C74C7F">
        <w:rPr>
          <w:lang w:val="fr-FR"/>
        </w:rPr>
        <w:t>)</w:t>
      </w:r>
    </w:p>
    <w:p w14:paraId="45B9E53B" w14:textId="3AB52BE2" w:rsidR="00527999" w:rsidRPr="00C74C7F" w:rsidRDefault="00527999" w:rsidP="0052799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C74C7F">
        <w:rPr>
          <w:noProof/>
          <w:w w:val="100"/>
        </w:rPr>
        <mc:AlternateContent>
          <mc:Choice Requires="wps">
            <w:drawing>
              <wp:anchor distT="0" distB="0" distL="114300" distR="114300" simplePos="0" relativeHeight="251661312" behindDoc="0" locked="0" layoutInCell="1" allowOverlap="1" wp14:anchorId="6205D49E" wp14:editId="536295FF">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E1961F"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74C7F">
        <w:rPr>
          <w:spacing w:val="5"/>
          <w:w w:val="104"/>
          <w:sz w:val="17"/>
          <w:szCs w:val="20"/>
        </w:rPr>
        <w:tab/>
        <w:t>*</w:t>
      </w:r>
      <w:r w:rsidRPr="00C74C7F">
        <w:rPr>
          <w:spacing w:val="5"/>
          <w:w w:val="104"/>
          <w:sz w:val="17"/>
          <w:szCs w:val="20"/>
        </w:rPr>
        <w:tab/>
      </w:r>
      <w:r w:rsidRPr="00C74C7F">
        <w:rPr>
          <w:spacing w:val="5"/>
          <w:w w:val="104"/>
          <w:sz w:val="17"/>
          <w:szCs w:val="20"/>
          <w:lang w:val="fr-FR"/>
        </w:rPr>
        <w:t>Réponses non reçues au 26 juin 2023.</w:t>
      </w:r>
    </w:p>
    <w:p w14:paraId="1FD1775D" w14:textId="08CFD8AA" w:rsidR="00871851" w:rsidRPr="00C74C7F" w:rsidRDefault="00871851" w:rsidP="00871851">
      <w:pPr>
        <w:pStyle w:val="SingleTxt"/>
      </w:pPr>
      <w:r w:rsidRPr="00C74C7F">
        <w:rPr>
          <w:lang w:val="fr-FR"/>
        </w:rPr>
        <w:t>France (</w:t>
      </w:r>
      <w:hyperlink r:id="rId38" w:history="1">
        <w:r w:rsidRPr="0074079A">
          <w:rPr>
            <w:rStyle w:val="Hyperlink"/>
            <w:lang w:val="fr-FR"/>
          </w:rPr>
          <w:t>CEDAW/C/FRA/RQ/9</w:t>
        </w:r>
      </w:hyperlink>
      <w:r w:rsidRPr="00C74C7F">
        <w:rPr>
          <w:lang w:val="fr-FR"/>
        </w:rPr>
        <w:t>)*</w:t>
      </w:r>
    </w:p>
    <w:p w14:paraId="41DCF1AB" w14:textId="145DF6E9" w:rsidR="00871851" w:rsidRPr="00C74C7F" w:rsidRDefault="00871851" w:rsidP="00871851">
      <w:pPr>
        <w:pStyle w:val="SingleTxt"/>
      </w:pPr>
      <w:r w:rsidRPr="00C74C7F">
        <w:t>Guatemala (</w:t>
      </w:r>
      <w:hyperlink r:id="rId39" w:history="1">
        <w:r w:rsidRPr="0074079A">
          <w:rPr>
            <w:rStyle w:val="Hyperlink"/>
          </w:rPr>
          <w:t>CEDAW/C/GTM/RQ/10</w:t>
        </w:r>
      </w:hyperlink>
      <w:r w:rsidRPr="00C74C7F">
        <w:t>)</w:t>
      </w:r>
    </w:p>
    <w:p w14:paraId="54300084" w14:textId="286B1F56" w:rsidR="00871851" w:rsidRPr="00C74C7F" w:rsidRDefault="00871851" w:rsidP="00871851">
      <w:pPr>
        <w:pStyle w:val="SingleTxt"/>
      </w:pPr>
      <w:r w:rsidRPr="00C74C7F">
        <w:rPr>
          <w:lang w:val="fr-FR"/>
        </w:rPr>
        <w:t>Jamaïque (</w:t>
      </w:r>
      <w:hyperlink r:id="rId40" w:history="1">
        <w:r w:rsidRPr="0074079A">
          <w:rPr>
            <w:rStyle w:val="Hyperlink"/>
            <w:lang w:val="fr-FR"/>
          </w:rPr>
          <w:t>CEDAW/C/JAM/RQ/8</w:t>
        </w:r>
      </w:hyperlink>
      <w:r w:rsidRPr="00C74C7F">
        <w:rPr>
          <w:lang w:val="fr-FR"/>
        </w:rPr>
        <w:t>)*</w:t>
      </w:r>
    </w:p>
    <w:p w14:paraId="5090A829" w14:textId="4F9B0046" w:rsidR="00871851" w:rsidRPr="00C74C7F" w:rsidRDefault="00871851" w:rsidP="00871851">
      <w:pPr>
        <w:pStyle w:val="SingleTxt"/>
      </w:pPr>
      <w:r w:rsidRPr="00C74C7F">
        <w:rPr>
          <w:lang w:val="fr-FR"/>
        </w:rPr>
        <w:t>Malawi (</w:t>
      </w:r>
      <w:hyperlink r:id="rId41" w:history="1">
        <w:r w:rsidRPr="0074079A">
          <w:rPr>
            <w:rStyle w:val="Hyperlink"/>
            <w:lang w:val="fr-FR"/>
          </w:rPr>
          <w:t>CEDAW/C/MWI/RQ/8</w:t>
        </w:r>
      </w:hyperlink>
      <w:r w:rsidRPr="00C74C7F">
        <w:rPr>
          <w:lang w:val="fr-FR"/>
        </w:rPr>
        <w:t>)</w:t>
      </w:r>
    </w:p>
    <w:p w14:paraId="58900F6D" w14:textId="0BC66274" w:rsidR="00871851" w:rsidRPr="00C74C7F" w:rsidRDefault="00871851" w:rsidP="00871851">
      <w:pPr>
        <w:pStyle w:val="SingleTxt"/>
        <w:rPr>
          <w:lang w:val="es-ES"/>
        </w:rPr>
      </w:pPr>
      <w:r w:rsidRPr="00C74C7F">
        <w:rPr>
          <w:lang w:val="es-ES"/>
        </w:rPr>
        <w:t>Nicaragua (</w:t>
      </w:r>
      <w:hyperlink r:id="rId42" w:history="1">
        <w:r w:rsidRPr="0074079A">
          <w:rPr>
            <w:rStyle w:val="Hyperlink"/>
            <w:lang w:val="es-ES"/>
          </w:rPr>
          <w:t>CEDAW/C/NIC/RQ/7-10</w:t>
        </w:r>
      </w:hyperlink>
      <w:r w:rsidRPr="00C74C7F">
        <w:rPr>
          <w:lang w:val="es-ES"/>
        </w:rPr>
        <w:t>)*</w:t>
      </w:r>
    </w:p>
    <w:p w14:paraId="29AC9CF8" w14:textId="4F96B049" w:rsidR="00871851" w:rsidRPr="00C74C7F" w:rsidRDefault="00871851" w:rsidP="00871851">
      <w:pPr>
        <w:pStyle w:val="SingleTxt"/>
        <w:rPr>
          <w:lang w:val="fr-FR"/>
        </w:rPr>
      </w:pPr>
      <w:r w:rsidRPr="00C74C7F">
        <w:rPr>
          <w:lang w:val="fr-FR"/>
        </w:rPr>
        <w:t>Philippines (</w:t>
      </w:r>
      <w:hyperlink r:id="rId43" w:history="1">
        <w:r w:rsidRPr="0074079A">
          <w:rPr>
            <w:rStyle w:val="Hyperlink"/>
            <w:lang w:val="fr-FR"/>
          </w:rPr>
          <w:t>CEDAW/C/PHL/RQ/9</w:t>
        </w:r>
      </w:hyperlink>
      <w:r w:rsidRPr="00C74C7F">
        <w:rPr>
          <w:lang w:val="fr-FR"/>
        </w:rPr>
        <w:t>)</w:t>
      </w:r>
    </w:p>
    <w:p w14:paraId="6687B29D" w14:textId="7EDC0E9E" w:rsidR="00527999" w:rsidRPr="00C74C7F" w:rsidRDefault="00527999" w:rsidP="00527999">
      <w:pPr>
        <w:pStyle w:val="SingleTxt"/>
        <w:spacing w:after="0" w:line="120" w:lineRule="exact"/>
        <w:rPr>
          <w:sz w:val="10"/>
          <w:lang w:val="fr-FR"/>
        </w:rPr>
      </w:pPr>
    </w:p>
    <w:p w14:paraId="71C894CA" w14:textId="6F5C4016" w:rsidR="00871851" w:rsidRPr="00C74C7F" w:rsidRDefault="002F72DE" w:rsidP="00527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C74C7F">
        <w:tab/>
      </w:r>
      <w:r w:rsidR="00871851" w:rsidRPr="00C74C7F">
        <w:t>5.</w:t>
      </w:r>
      <w:r w:rsidR="00871851" w:rsidRPr="00C74C7F">
        <w:tab/>
      </w:r>
      <w:r w:rsidR="00871851" w:rsidRPr="00C74C7F">
        <w:rPr>
          <w:lang w:val="fr-FR"/>
        </w:rPr>
        <w:t>Suite donnée à l’examen des rapports soumis par les États parties en application de l’article 18 de la Convention</w:t>
      </w:r>
    </w:p>
    <w:p w14:paraId="370108FD" w14:textId="071B2478" w:rsidR="00871851" w:rsidRPr="00C74C7F" w:rsidRDefault="00871851" w:rsidP="002F72DE">
      <w:pPr>
        <w:pStyle w:val="SingleTxt"/>
        <w:spacing w:after="0" w:line="120" w:lineRule="exact"/>
        <w:rPr>
          <w:sz w:val="10"/>
        </w:rPr>
      </w:pPr>
    </w:p>
    <w:p w14:paraId="3DC29246" w14:textId="77777777" w:rsidR="00871851" w:rsidRPr="00C74C7F" w:rsidRDefault="00871851" w:rsidP="00871851">
      <w:pPr>
        <w:pStyle w:val="SingleTxt"/>
        <w:rPr>
          <w:spacing w:val="0"/>
          <w:w w:val="100"/>
        </w:rPr>
      </w:pPr>
      <w:r w:rsidRPr="00C74C7F">
        <w:rPr>
          <w:spacing w:val="0"/>
          <w:w w:val="100"/>
          <w:lang w:val="fr-FR"/>
        </w:rPr>
        <w:t>Le Comité examinera les questions se rapportant à la suite donnée à ses observations finales.</w:t>
      </w:r>
    </w:p>
    <w:p w14:paraId="6C726264" w14:textId="7EFDE518" w:rsidR="00871851" w:rsidRPr="00C74C7F" w:rsidRDefault="00871851" w:rsidP="002F72DE">
      <w:pPr>
        <w:pStyle w:val="SingleTxt"/>
        <w:spacing w:after="0" w:line="120" w:lineRule="exact"/>
        <w:rPr>
          <w:sz w:val="10"/>
        </w:rPr>
      </w:pPr>
    </w:p>
    <w:p w14:paraId="7B3583CC" w14:textId="2C8493D2" w:rsidR="00871851" w:rsidRPr="00C74C7F" w:rsidRDefault="002F72DE"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lastRenderedPageBreak/>
        <w:tab/>
      </w:r>
      <w:r w:rsidR="00871851" w:rsidRPr="00C74C7F">
        <w:t>6.</w:t>
      </w:r>
      <w:r w:rsidR="00871851" w:rsidRPr="00C74C7F">
        <w:tab/>
      </w:r>
      <w:r w:rsidR="00871851" w:rsidRPr="00C74C7F">
        <w:rPr>
          <w:lang w:val="fr-FR"/>
        </w:rPr>
        <w:t>Application des articles 21 et 22 de la Convention</w:t>
      </w:r>
    </w:p>
    <w:p w14:paraId="4F0E117C" w14:textId="55547CB8" w:rsidR="00871851" w:rsidRPr="00C74C7F" w:rsidRDefault="00871851" w:rsidP="002F72DE">
      <w:pPr>
        <w:pStyle w:val="SingleTxt"/>
        <w:spacing w:after="0" w:line="120" w:lineRule="exact"/>
        <w:rPr>
          <w:sz w:val="10"/>
        </w:rPr>
      </w:pPr>
    </w:p>
    <w:p w14:paraId="69C19CEF" w14:textId="77777777" w:rsidR="00871851" w:rsidRPr="00C74C7F" w:rsidRDefault="00871851" w:rsidP="00871851">
      <w:pPr>
        <w:pStyle w:val="SingleTxt"/>
      </w:pPr>
      <w:r w:rsidRPr="00C74C7F">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43AE6354" w14:textId="77777777" w:rsidR="00871851" w:rsidRPr="00C74C7F" w:rsidRDefault="00871851" w:rsidP="00871851">
      <w:pPr>
        <w:pStyle w:val="SingleTxt"/>
      </w:pPr>
      <w:r w:rsidRPr="00C74C7F">
        <w:rPr>
          <w:lang w:val="fr-FR"/>
        </w:rPr>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14255394" w14:textId="7527B5FA" w:rsidR="00871851" w:rsidRPr="00C74C7F" w:rsidRDefault="00871851" w:rsidP="002F72DE">
      <w:pPr>
        <w:pStyle w:val="SingleTxt"/>
        <w:spacing w:after="0" w:line="120" w:lineRule="exact"/>
        <w:rPr>
          <w:sz w:val="10"/>
        </w:rPr>
      </w:pPr>
    </w:p>
    <w:p w14:paraId="770401DF" w14:textId="77777777" w:rsidR="00871851" w:rsidRPr="00C74C7F" w:rsidRDefault="00871851" w:rsidP="002F72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ab/>
      </w:r>
      <w:r w:rsidRPr="00C74C7F">
        <w:rPr>
          <w:lang w:val="fr-FR"/>
        </w:rPr>
        <w:tab/>
        <w:t>Documentation</w:t>
      </w:r>
    </w:p>
    <w:p w14:paraId="6FC8AF2F" w14:textId="435DDD9A" w:rsidR="00871851" w:rsidRPr="00C74C7F" w:rsidRDefault="00871851" w:rsidP="002F72DE">
      <w:pPr>
        <w:pStyle w:val="SingleTxt"/>
        <w:spacing w:after="0" w:line="120" w:lineRule="exact"/>
        <w:rPr>
          <w:sz w:val="10"/>
        </w:rPr>
      </w:pPr>
    </w:p>
    <w:p w14:paraId="00F5A2ED" w14:textId="77777777" w:rsidR="00871851" w:rsidRPr="00C74C7F" w:rsidRDefault="00871851" w:rsidP="00871851">
      <w:pPr>
        <w:pStyle w:val="SingleTxt"/>
      </w:pPr>
      <w:r w:rsidRPr="00C74C7F">
        <w:rPr>
          <w:lang w:val="fr-FR"/>
        </w:rPr>
        <w:t>Rapports présentés par les institutions spécialisées des Nations Unies sur l’application de la Convention dans les domaines qui entrent dans le cadre de leurs activités.</w:t>
      </w:r>
    </w:p>
    <w:p w14:paraId="6A781385" w14:textId="6238980F" w:rsidR="00871851" w:rsidRPr="00C74C7F" w:rsidRDefault="00871851" w:rsidP="002F72DE">
      <w:pPr>
        <w:pStyle w:val="SingleTxt"/>
        <w:spacing w:after="0" w:line="120" w:lineRule="exact"/>
        <w:rPr>
          <w:sz w:val="10"/>
        </w:rPr>
      </w:pPr>
    </w:p>
    <w:p w14:paraId="1B91C2B7" w14:textId="7D084002" w:rsidR="00871851" w:rsidRPr="00C74C7F" w:rsidRDefault="002F72DE"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7.</w:t>
      </w:r>
      <w:r w:rsidR="00871851" w:rsidRPr="00C74C7F">
        <w:tab/>
      </w:r>
      <w:r w:rsidR="00871851" w:rsidRPr="00C74C7F">
        <w:rPr>
          <w:lang w:val="fr-FR"/>
        </w:rPr>
        <w:t>Moyens d’accélérer les travaux du Comité</w:t>
      </w:r>
    </w:p>
    <w:p w14:paraId="41E7ACEA" w14:textId="48D0F377" w:rsidR="00871851" w:rsidRPr="00C74C7F" w:rsidRDefault="00871851" w:rsidP="002F72DE">
      <w:pPr>
        <w:pStyle w:val="SingleTxt"/>
        <w:spacing w:after="0" w:line="120" w:lineRule="exact"/>
        <w:rPr>
          <w:sz w:val="10"/>
        </w:rPr>
      </w:pPr>
    </w:p>
    <w:p w14:paraId="6FE15CF4" w14:textId="77777777" w:rsidR="00871851" w:rsidRPr="00C74C7F" w:rsidRDefault="00871851" w:rsidP="00871851">
      <w:pPr>
        <w:pStyle w:val="SingleTxt"/>
      </w:pPr>
      <w:r w:rsidRPr="00C74C7F">
        <w:rPr>
          <w:lang w:val="fr-FR"/>
        </w:rPr>
        <w:t>Le Comité examinera les questions se rapportant à ses méthodes de travail.</w:t>
      </w:r>
    </w:p>
    <w:p w14:paraId="33B7F593" w14:textId="40F812F3" w:rsidR="00871851" w:rsidRPr="00C74C7F" w:rsidRDefault="00871851" w:rsidP="002F72DE">
      <w:pPr>
        <w:pStyle w:val="SingleTxt"/>
        <w:spacing w:after="0" w:line="120" w:lineRule="exact"/>
        <w:rPr>
          <w:sz w:val="10"/>
        </w:rPr>
      </w:pPr>
    </w:p>
    <w:p w14:paraId="3354E8D6" w14:textId="63EB11E0" w:rsidR="00871851" w:rsidRPr="00C74C7F" w:rsidRDefault="002F72DE"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8.</w:t>
      </w:r>
      <w:r w:rsidR="00871851" w:rsidRPr="00C74C7F">
        <w:tab/>
      </w:r>
      <w:r w:rsidR="00871851" w:rsidRPr="00C74C7F">
        <w:rPr>
          <w:lang w:val="fr-FR"/>
        </w:rPr>
        <w:t>Activités menées par le Comité au titre du Protocole facultatif à la Convention</w:t>
      </w:r>
    </w:p>
    <w:p w14:paraId="5B752AD0" w14:textId="7415014D" w:rsidR="00871851" w:rsidRPr="00C74C7F" w:rsidRDefault="00871851" w:rsidP="002F72DE">
      <w:pPr>
        <w:pStyle w:val="SingleTxt"/>
        <w:spacing w:after="0" w:line="120" w:lineRule="exact"/>
        <w:rPr>
          <w:sz w:val="10"/>
        </w:rPr>
      </w:pPr>
    </w:p>
    <w:p w14:paraId="38F85BEF" w14:textId="77777777" w:rsidR="00871851" w:rsidRPr="00C74C7F" w:rsidRDefault="00871851" w:rsidP="00871851">
      <w:pPr>
        <w:pStyle w:val="SingleTxt"/>
        <w:rPr>
          <w:lang w:val="fr-FR"/>
        </w:rPr>
      </w:pPr>
      <w:r w:rsidRPr="00C74C7F">
        <w:rPr>
          <w:lang w:val="fr-FR"/>
        </w:rPr>
        <w:t>La cinquante-septième session du Groupe de travail des communications soumises au titre du Protocole facultatif à la Convention se tiendra à Genève, du 4 au 6 octobre 2023.</w:t>
      </w:r>
    </w:p>
    <w:p w14:paraId="2AEBA8A8" w14:textId="77777777" w:rsidR="00871851" w:rsidRPr="00C74C7F" w:rsidRDefault="00871851" w:rsidP="00871851">
      <w:pPr>
        <w:pStyle w:val="SingleTxt"/>
      </w:pPr>
      <w:r w:rsidRPr="00C74C7F">
        <w:rPr>
          <w:lang w:val="fr-FR"/>
        </w:rPr>
        <w:t>La vingt-sixième session du Groupe de travail chargé des enquêtes menées au titre du Protocole facultatif se tiendra à Genève, les 5 et 6 octobre 2023.</w:t>
      </w:r>
    </w:p>
    <w:p w14:paraId="2DB1FDCA" w14:textId="77777777" w:rsidR="00871851" w:rsidRPr="00C74C7F" w:rsidRDefault="00871851" w:rsidP="00871851">
      <w:pPr>
        <w:pStyle w:val="SingleTxt"/>
      </w:pPr>
      <w:r w:rsidRPr="00C74C7F">
        <w:rPr>
          <w:lang w:val="fr-FR"/>
        </w:rPr>
        <w:t>À sa quatre-vingt-sixième session, le Comité continuera de s’acquitter du mandat qu’il tient des articles 2 et 8 du Protocole facultatif à la Convention.</w:t>
      </w:r>
    </w:p>
    <w:p w14:paraId="2061F02C" w14:textId="7CBFFA93" w:rsidR="00871851" w:rsidRPr="00C74C7F" w:rsidRDefault="00871851" w:rsidP="002F72DE">
      <w:pPr>
        <w:pStyle w:val="SingleTxt"/>
        <w:spacing w:after="0" w:line="120" w:lineRule="exact"/>
        <w:rPr>
          <w:sz w:val="10"/>
        </w:rPr>
      </w:pPr>
    </w:p>
    <w:p w14:paraId="68478DE4" w14:textId="5CB69254" w:rsidR="00871851" w:rsidRPr="00C74C7F" w:rsidRDefault="002F72DE"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9.</w:t>
      </w:r>
      <w:r w:rsidR="00871851" w:rsidRPr="00C74C7F">
        <w:tab/>
      </w:r>
      <w:r w:rsidR="00871851" w:rsidRPr="00C74C7F">
        <w:rPr>
          <w:lang w:val="fr-FR"/>
        </w:rPr>
        <w:t>Ordre du jour provisoire de la quatre-vingt-septième session du Comité</w:t>
      </w:r>
    </w:p>
    <w:p w14:paraId="1C1B4FBA" w14:textId="0ABDFD01" w:rsidR="00871851" w:rsidRPr="00C74C7F" w:rsidRDefault="00871851" w:rsidP="002F72DE">
      <w:pPr>
        <w:pStyle w:val="SingleTxt"/>
        <w:spacing w:after="0" w:line="120" w:lineRule="exact"/>
        <w:rPr>
          <w:sz w:val="10"/>
        </w:rPr>
      </w:pPr>
    </w:p>
    <w:p w14:paraId="5ECE5BA0" w14:textId="77777777" w:rsidR="00871851" w:rsidRPr="00C74C7F" w:rsidRDefault="00871851" w:rsidP="002F72D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rPr>
          <w:lang w:val="fr-FR"/>
        </w:rPr>
        <w:tab/>
      </w:r>
      <w:r w:rsidRPr="00C74C7F">
        <w:rPr>
          <w:lang w:val="fr-FR"/>
        </w:rPr>
        <w:tab/>
        <w:t>Documentation</w:t>
      </w:r>
    </w:p>
    <w:p w14:paraId="2D9DE6C9" w14:textId="09C5AF48" w:rsidR="00871851" w:rsidRPr="00C74C7F" w:rsidRDefault="00871851" w:rsidP="002F72DE">
      <w:pPr>
        <w:pStyle w:val="SingleTxt"/>
        <w:spacing w:after="0" w:line="120" w:lineRule="exact"/>
        <w:rPr>
          <w:sz w:val="10"/>
        </w:rPr>
      </w:pPr>
    </w:p>
    <w:p w14:paraId="1DAB88CF" w14:textId="5198BC7D" w:rsidR="00871851" w:rsidRPr="00C74C7F" w:rsidRDefault="00871851" w:rsidP="00871851">
      <w:pPr>
        <w:pStyle w:val="SingleTxt"/>
      </w:pPr>
      <w:r w:rsidRPr="00C74C7F">
        <w:rPr>
          <w:lang w:val="fr-FR"/>
        </w:rPr>
        <w:t>Ordre du jour provisoire annoté de la quatre-vingt-septième session (</w:t>
      </w:r>
      <w:hyperlink r:id="rId44" w:history="1">
        <w:r w:rsidRPr="0074079A">
          <w:rPr>
            <w:rStyle w:val="Hyperlink"/>
            <w:lang w:val="fr-FR"/>
          </w:rPr>
          <w:t>CEDAW/C/87/1</w:t>
        </w:r>
      </w:hyperlink>
      <w:r w:rsidRPr="00C74C7F">
        <w:rPr>
          <w:lang w:val="fr-FR"/>
        </w:rPr>
        <w:t>)</w:t>
      </w:r>
    </w:p>
    <w:p w14:paraId="58AC343B" w14:textId="2170A853" w:rsidR="00871851" w:rsidRPr="00C74C7F" w:rsidRDefault="00871851" w:rsidP="002F72DE">
      <w:pPr>
        <w:pStyle w:val="SingleTxt"/>
        <w:spacing w:after="0" w:line="120" w:lineRule="exact"/>
        <w:rPr>
          <w:sz w:val="10"/>
        </w:rPr>
      </w:pPr>
    </w:p>
    <w:p w14:paraId="615C9CC4" w14:textId="7559011F" w:rsidR="00871851" w:rsidRPr="00C74C7F" w:rsidRDefault="002F72DE" w:rsidP="002F7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4C7F">
        <w:tab/>
      </w:r>
      <w:r w:rsidR="00871851" w:rsidRPr="00C74C7F">
        <w:t>10.</w:t>
      </w:r>
      <w:r w:rsidR="00871851" w:rsidRPr="00C74C7F">
        <w:tab/>
      </w:r>
      <w:r w:rsidR="00871851" w:rsidRPr="00C74C7F">
        <w:rPr>
          <w:lang w:val="fr-FR"/>
        </w:rPr>
        <w:t>Adoption du rapport du Comité sur les travaux de sa quatre-vingt-sixième session</w:t>
      </w:r>
    </w:p>
    <w:p w14:paraId="6A595E3E" w14:textId="075C0620" w:rsidR="00871851" w:rsidRPr="00C74C7F" w:rsidRDefault="00871851" w:rsidP="00B51AE4">
      <w:pPr>
        <w:pStyle w:val="SingleTxt"/>
        <w:rPr>
          <w:lang w:val="fr-FR"/>
        </w:rPr>
      </w:pPr>
      <w:bookmarkStart w:id="1" w:name="BeginPage"/>
      <w:bookmarkEnd w:id="1"/>
      <w:r w:rsidRPr="00C74C7F">
        <w:rPr>
          <w:lang w:val="en-GB"/>
        </w:rPr>
        <mc:AlternateContent>
          <mc:Choice Requires="wps">
            <w:drawing>
              <wp:anchor distT="0" distB="0" distL="114300" distR="114300" simplePos="0" relativeHeight="251659264" behindDoc="0" locked="0" layoutInCell="1" allowOverlap="1" wp14:anchorId="0137B175" wp14:editId="509F8B8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E6D7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71851" w:rsidRPr="00C74C7F" w:rsidSect="0087185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8T15:13:00Z" w:initials="Start">
    <w:p w14:paraId="67DB77B4" w14:textId="77777777" w:rsidR="00910CEA" w:rsidRPr="00871851" w:rsidRDefault="00910CEA">
      <w:pPr>
        <w:pStyle w:val="CommentText"/>
        <w:rPr>
          <w:lang w:val="en-US"/>
        </w:rPr>
      </w:pPr>
      <w:r>
        <w:rPr>
          <w:rStyle w:val="CommentReference"/>
        </w:rPr>
        <w:annotationRef/>
      </w:r>
      <w:r w:rsidRPr="00871851">
        <w:rPr>
          <w:lang w:val="en-US"/>
        </w:rPr>
        <w:t>&lt;&lt;ODS JOB NO&gt;&gt;N2318447F&lt;&lt;ODS JOB NO&gt;&gt;</w:t>
      </w:r>
    </w:p>
    <w:p w14:paraId="3EAB8C5B" w14:textId="77777777" w:rsidR="00910CEA" w:rsidRDefault="00910CEA">
      <w:pPr>
        <w:pStyle w:val="CommentText"/>
      </w:pPr>
      <w:r>
        <w:t>&lt;&lt;ODS DOC SYMBOL1&gt;&gt;CEDAW/C/86/1&lt;&lt;ODS DOC SYMBOL1&gt;&gt;</w:t>
      </w:r>
    </w:p>
    <w:p w14:paraId="5F8141DA" w14:textId="56344258" w:rsidR="00910CEA" w:rsidRDefault="00910CE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8141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12AB3" w16cex:dateUtc="2023-07-18T1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8141DA" w16cid:durableId="28612A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2E733" w14:textId="77777777" w:rsidR="00E87CD3" w:rsidRDefault="00E87CD3" w:rsidP="00CE36B6">
      <w:pPr>
        <w:spacing w:line="240" w:lineRule="auto"/>
      </w:pPr>
      <w:r>
        <w:separator/>
      </w:r>
    </w:p>
  </w:endnote>
  <w:endnote w:type="continuationSeparator" w:id="0">
    <w:p w14:paraId="6875F2D7" w14:textId="77777777" w:rsidR="00E87CD3" w:rsidRDefault="00E87CD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0CEA" w14:paraId="1AB29F20" w14:textId="77777777" w:rsidTr="00910CEA">
      <w:tblPrEx>
        <w:tblCellMar>
          <w:top w:w="0" w:type="dxa"/>
          <w:bottom w:w="0" w:type="dxa"/>
        </w:tblCellMar>
      </w:tblPrEx>
      <w:tc>
        <w:tcPr>
          <w:tcW w:w="4920" w:type="dxa"/>
          <w:shd w:val="clear" w:color="auto" w:fill="auto"/>
        </w:tcPr>
        <w:p w14:paraId="6A66D93D" w14:textId="1CCCC07D" w:rsidR="00910CEA" w:rsidRPr="00910CEA" w:rsidRDefault="00910CEA" w:rsidP="00910C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185E">
            <w:rPr>
              <w:b w:val="0"/>
              <w:w w:val="103"/>
              <w:sz w:val="14"/>
            </w:rPr>
            <w:t>23-12396</w:t>
          </w:r>
          <w:r>
            <w:rPr>
              <w:b w:val="0"/>
              <w:w w:val="103"/>
              <w:sz w:val="14"/>
            </w:rPr>
            <w:fldChar w:fldCharType="end"/>
          </w:r>
        </w:p>
      </w:tc>
      <w:tc>
        <w:tcPr>
          <w:tcW w:w="4920" w:type="dxa"/>
          <w:shd w:val="clear" w:color="auto" w:fill="auto"/>
        </w:tcPr>
        <w:p w14:paraId="06A8F459" w14:textId="78E00DBB" w:rsidR="00910CEA" w:rsidRPr="00910CEA" w:rsidRDefault="00910CEA" w:rsidP="00910CE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D1B0C0" w14:textId="77777777" w:rsidR="00910CEA" w:rsidRPr="00910CEA" w:rsidRDefault="00910CEA" w:rsidP="00910C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0CEA" w14:paraId="315D23AB" w14:textId="77777777" w:rsidTr="00910CEA">
      <w:tblPrEx>
        <w:tblCellMar>
          <w:top w:w="0" w:type="dxa"/>
          <w:bottom w:w="0" w:type="dxa"/>
        </w:tblCellMar>
      </w:tblPrEx>
      <w:tc>
        <w:tcPr>
          <w:tcW w:w="4920" w:type="dxa"/>
          <w:shd w:val="clear" w:color="auto" w:fill="auto"/>
        </w:tcPr>
        <w:p w14:paraId="3EE9B5AD" w14:textId="6B6A568D" w:rsidR="00910CEA" w:rsidRPr="00910CEA" w:rsidRDefault="00910CEA" w:rsidP="00910CE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6EB710F" w14:textId="2B24F5F3" w:rsidR="00910CEA" w:rsidRPr="00910CEA" w:rsidRDefault="00910CEA" w:rsidP="00910C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185E">
            <w:rPr>
              <w:b w:val="0"/>
              <w:w w:val="103"/>
              <w:sz w:val="14"/>
            </w:rPr>
            <w:t>23-12396</w:t>
          </w:r>
          <w:r>
            <w:rPr>
              <w:b w:val="0"/>
              <w:w w:val="103"/>
              <w:sz w:val="14"/>
            </w:rPr>
            <w:fldChar w:fldCharType="end"/>
          </w:r>
        </w:p>
      </w:tc>
    </w:tr>
  </w:tbl>
  <w:p w14:paraId="33E9D572" w14:textId="77777777" w:rsidR="00910CEA" w:rsidRPr="00910CEA" w:rsidRDefault="00910CEA" w:rsidP="00910C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05AD9" w14:textId="07999C9B" w:rsidR="00910CEA" w:rsidRDefault="00910CEA">
    <w:pPr>
      <w:pStyle w:val="Footer"/>
    </w:pPr>
    <w:r>
      <w:rPr>
        <w:noProof/>
      </w:rPr>
      <w:drawing>
        <wp:anchor distT="0" distB="0" distL="114300" distR="114300" simplePos="0" relativeHeight="251658240" behindDoc="0" locked="0" layoutInCell="1" allowOverlap="1" wp14:anchorId="3B8BF6CC" wp14:editId="3C84E00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10CEA" w14:paraId="06526D7C" w14:textId="77777777" w:rsidTr="00910CEA">
      <w:tblPrEx>
        <w:tblCellMar>
          <w:top w:w="0" w:type="dxa"/>
          <w:bottom w:w="0" w:type="dxa"/>
        </w:tblCellMar>
      </w:tblPrEx>
      <w:tc>
        <w:tcPr>
          <w:tcW w:w="3758" w:type="dxa"/>
        </w:tcPr>
        <w:p w14:paraId="02C95085" w14:textId="3FD7A2DD" w:rsidR="00910CEA" w:rsidRDefault="00910CEA" w:rsidP="00910CE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185E">
            <w:rPr>
              <w:b w:val="0"/>
              <w:sz w:val="20"/>
            </w:rPr>
            <w:t>23-12396 (F)</w:t>
          </w:r>
          <w:r>
            <w:rPr>
              <w:b w:val="0"/>
              <w:sz w:val="20"/>
            </w:rPr>
            <w:fldChar w:fldCharType="end"/>
          </w:r>
          <w:r>
            <w:rPr>
              <w:b w:val="0"/>
              <w:sz w:val="20"/>
            </w:rPr>
            <w:t xml:space="preserve">    </w:t>
          </w:r>
          <w:r w:rsidR="00F33A52">
            <w:rPr>
              <w:b w:val="0"/>
              <w:sz w:val="20"/>
            </w:rPr>
            <w:t>05</w:t>
          </w:r>
          <w:r>
            <w:rPr>
              <w:b w:val="0"/>
              <w:sz w:val="20"/>
            </w:rPr>
            <w:t>0723    1</w:t>
          </w:r>
          <w:r w:rsidR="00F33A52">
            <w:rPr>
              <w:b w:val="0"/>
              <w:sz w:val="20"/>
            </w:rPr>
            <w:t>9</w:t>
          </w:r>
          <w:r>
            <w:rPr>
              <w:b w:val="0"/>
              <w:sz w:val="20"/>
            </w:rPr>
            <w:t>0723</w:t>
          </w:r>
        </w:p>
        <w:p w14:paraId="0C218040" w14:textId="7ED8E328" w:rsidR="00910CEA" w:rsidRPr="00910CEA" w:rsidRDefault="00910CEA" w:rsidP="00910CE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7185E">
            <w:rPr>
              <w:rFonts w:ascii="Barcode 3 of 9 by request" w:hAnsi="Barcode 3 of 9 by request"/>
              <w:spacing w:val="0"/>
              <w:w w:val="100"/>
              <w:sz w:val="24"/>
            </w:rPr>
            <w:t>*2312396*</w:t>
          </w:r>
          <w:r>
            <w:rPr>
              <w:rFonts w:ascii="Barcode 3 of 9 by request" w:hAnsi="Barcode 3 of 9 by request"/>
              <w:spacing w:val="0"/>
              <w:w w:val="100"/>
              <w:sz w:val="24"/>
            </w:rPr>
            <w:fldChar w:fldCharType="end"/>
          </w:r>
        </w:p>
      </w:tc>
      <w:tc>
        <w:tcPr>
          <w:tcW w:w="4920" w:type="dxa"/>
        </w:tcPr>
        <w:p w14:paraId="7C41E09A" w14:textId="6D9E8190" w:rsidR="00910CEA" w:rsidRDefault="00910CEA" w:rsidP="00910CEA">
          <w:pPr>
            <w:pStyle w:val="Footer"/>
            <w:spacing w:line="240" w:lineRule="atLeast"/>
            <w:jc w:val="right"/>
            <w:rPr>
              <w:b w:val="0"/>
              <w:sz w:val="20"/>
            </w:rPr>
          </w:pPr>
          <w:r>
            <w:rPr>
              <w:b w:val="0"/>
              <w:noProof/>
              <w:sz w:val="20"/>
            </w:rPr>
            <w:drawing>
              <wp:inline distT="0" distB="0" distL="0" distR="0" wp14:anchorId="74DD629A" wp14:editId="2140D15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CFA8521" w14:textId="77777777" w:rsidR="00910CEA" w:rsidRPr="00910CEA" w:rsidRDefault="00910CEA" w:rsidP="00910CE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47BB7" w14:textId="77777777" w:rsidR="00E87CD3" w:rsidRDefault="00E87CD3" w:rsidP="00CE36B6">
      <w:pPr>
        <w:spacing w:line="240" w:lineRule="auto"/>
      </w:pPr>
      <w:r>
        <w:separator/>
      </w:r>
    </w:p>
  </w:footnote>
  <w:footnote w:type="continuationSeparator" w:id="0">
    <w:p w14:paraId="2F3D6608" w14:textId="77777777" w:rsidR="00E87CD3" w:rsidRDefault="00E87CD3"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10CEA" w14:paraId="3CB099D3" w14:textId="77777777" w:rsidTr="00910CEA">
      <w:tblPrEx>
        <w:tblCellMar>
          <w:top w:w="0" w:type="dxa"/>
          <w:bottom w:w="0" w:type="dxa"/>
        </w:tblCellMar>
      </w:tblPrEx>
      <w:trPr>
        <w:trHeight w:hRule="exact" w:val="864"/>
      </w:trPr>
      <w:tc>
        <w:tcPr>
          <w:tcW w:w="4920" w:type="dxa"/>
          <w:shd w:val="clear" w:color="auto" w:fill="auto"/>
          <w:vAlign w:val="bottom"/>
        </w:tcPr>
        <w:p w14:paraId="12589399" w14:textId="0C9B4A41" w:rsidR="00910CEA" w:rsidRPr="00910CEA" w:rsidRDefault="00910CEA" w:rsidP="00910CE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185E">
            <w:rPr>
              <w:b/>
              <w:color w:val="000000"/>
            </w:rPr>
            <w:t>CEDAW/C/86/1</w:t>
          </w:r>
          <w:r>
            <w:rPr>
              <w:b/>
              <w:color w:val="000000"/>
            </w:rPr>
            <w:fldChar w:fldCharType="end"/>
          </w:r>
        </w:p>
      </w:tc>
      <w:tc>
        <w:tcPr>
          <w:tcW w:w="4920" w:type="dxa"/>
          <w:shd w:val="clear" w:color="auto" w:fill="auto"/>
          <w:vAlign w:val="bottom"/>
        </w:tcPr>
        <w:p w14:paraId="6B231A30" w14:textId="77777777" w:rsidR="00910CEA" w:rsidRDefault="00910CEA" w:rsidP="00910CEA">
          <w:pPr>
            <w:pStyle w:val="Header"/>
          </w:pPr>
        </w:p>
      </w:tc>
    </w:tr>
  </w:tbl>
  <w:p w14:paraId="5ABB627E" w14:textId="77777777" w:rsidR="00910CEA" w:rsidRPr="00910CEA" w:rsidRDefault="00910CEA" w:rsidP="00910CE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10CEA" w14:paraId="24F05633" w14:textId="77777777" w:rsidTr="00910CEA">
      <w:tblPrEx>
        <w:tblCellMar>
          <w:top w:w="0" w:type="dxa"/>
          <w:bottom w:w="0" w:type="dxa"/>
        </w:tblCellMar>
      </w:tblPrEx>
      <w:trPr>
        <w:trHeight w:hRule="exact" w:val="864"/>
      </w:trPr>
      <w:tc>
        <w:tcPr>
          <w:tcW w:w="4920" w:type="dxa"/>
          <w:shd w:val="clear" w:color="auto" w:fill="auto"/>
          <w:vAlign w:val="bottom"/>
        </w:tcPr>
        <w:p w14:paraId="15F06B65" w14:textId="77777777" w:rsidR="00910CEA" w:rsidRDefault="00910CEA" w:rsidP="00910CEA">
          <w:pPr>
            <w:pStyle w:val="Header"/>
          </w:pPr>
        </w:p>
      </w:tc>
      <w:tc>
        <w:tcPr>
          <w:tcW w:w="4920" w:type="dxa"/>
          <w:shd w:val="clear" w:color="auto" w:fill="auto"/>
          <w:vAlign w:val="bottom"/>
        </w:tcPr>
        <w:p w14:paraId="4354BD56" w14:textId="0BF363D8" w:rsidR="00910CEA" w:rsidRPr="00910CEA" w:rsidRDefault="00910CEA" w:rsidP="00910CE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185E">
            <w:rPr>
              <w:b/>
              <w:color w:val="000000"/>
            </w:rPr>
            <w:t>CEDAW/C/86/1</w:t>
          </w:r>
          <w:r>
            <w:rPr>
              <w:b/>
              <w:color w:val="000000"/>
            </w:rPr>
            <w:fldChar w:fldCharType="end"/>
          </w:r>
        </w:p>
      </w:tc>
    </w:tr>
  </w:tbl>
  <w:p w14:paraId="62EF103D" w14:textId="77777777" w:rsidR="00910CEA" w:rsidRPr="00910CEA" w:rsidRDefault="00910CEA" w:rsidP="00910CE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10CEA" w14:paraId="0B6E5D84" w14:textId="77777777" w:rsidTr="00910CE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DD291F7" w14:textId="77777777" w:rsidR="00910CEA" w:rsidRDefault="00910CEA" w:rsidP="00910CEA">
          <w:pPr>
            <w:pStyle w:val="Header"/>
            <w:spacing w:after="120"/>
          </w:pPr>
        </w:p>
      </w:tc>
      <w:tc>
        <w:tcPr>
          <w:tcW w:w="2059" w:type="dxa"/>
          <w:tcBorders>
            <w:bottom w:val="single" w:sz="4" w:space="0" w:color="auto"/>
          </w:tcBorders>
          <w:shd w:val="clear" w:color="auto" w:fill="auto"/>
          <w:vAlign w:val="bottom"/>
        </w:tcPr>
        <w:p w14:paraId="4236B521" w14:textId="590E37DC" w:rsidR="00910CEA" w:rsidRPr="00910CEA" w:rsidRDefault="00910CEA" w:rsidP="00910CE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7CF8B54" w14:textId="77777777" w:rsidR="00910CEA" w:rsidRDefault="00910CEA" w:rsidP="00910CEA">
          <w:pPr>
            <w:pStyle w:val="Header"/>
            <w:spacing w:after="120"/>
          </w:pPr>
        </w:p>
      </w:tc>
      <w:tc>
        <w:tcPr>
          <w:tcW w:w="6466" w:type="dxa"/>
          <w:gridSpan w:val="3"/>
          <w:tcBorders>
            <w:bottom w:val="single" w:sz="4" w:space="0" w:color="auto"/>
          </w:tcBorders>
          <w:shd w:val="clear" w:color="auto" w:fill="auto"/>
          <w:vAlign w:val="bottom"/>
        </w:tcPr>
        <w:p w14:paraId="0020F547" w14:textId="3BF25982" w:rsidR="00910CEA" w:rsidRPr="00910CEA" w:rsidRDefault="00910CEA" w:rsidP="00910CEA">
          <w:pPr>
            <w:spacing w:after="80" w:line="240" w:lineRule="auto"/>
            <w:jc w:val="right"/>
            <w:rPr>
              <w:position w:val="-4"/>
            </w:rPr>
          </w:pPr>
          <w:r>
            <w:rPr>
              <w:position w:val="-4"/>
              <w:sz w:val="40"/>
            </w:rPr>
            <w:t>CEDAW</w:t>
          </w:r>
          <w:r>
            <w:rPr>
              <w:position w:val="-4"/>
            </w:rPr>
            <w:t>/C/86/1</w:t>
          </w:r>
        </w:p>
      </w:tc>
    </w:tr>
    <w:tr w:rsidR="00910CEA" w:rsidRPr="00910CEA" w14:paraId="01CE0E7B" w14:textId="77777777" w:rsidTr="00910CE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40657B0" w14:textId="4BB419EA" w:rsidR="00910CEA" w:rsidRPr="00910CEA" w:rsidRDefault="00910CEA" w:rsidP="00910CEA">
          <w:pPr>
            <w:pStyle w:val="Header"/>
            <w:spacing w:before="120" w:line="240" w:lineRule="auto"/>
            <w:ind w:left="-72"/>
            <w:jc w:val="center"/>
          </w:pPr>
          <w:r>
            <w:t xml:space="preserve">  </w:t>
          </w:r>
          <w:r>
            <w:rPr>
              <w:noProof/>
            </w:rPr>
            <w:drawing>
              <wp:inline distT="0" distB="0" distL="0" distR="0" wp14:anchorId="5752F85A" wp14:editId="505DDA9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5ECEC6" w14:textId="3B96FFE9" w:rsidR="00910CEA" w:rsidRPr="00910CEA" w:rsidRDefault="00910CEA" w:rsidP="00910CE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A2F5657" w14:textId="77777777" w:rsidR="00910CEA" w:rsidRPr="00871851" w:rsidRDefault="00910CEA" w:rsidP="00910CEA">
          <w:pPr>
            <w:pStyle w:val="Header"/>
            <w:spacing w:before="109"/>
            <w:rPr>
              <w:lang w:val="fr-FR"/>
            </w:rPr>
          </w:pPr>
        </w:p>
      </w:tc>
      <w:tc>
        <w:tcPr>
          <w:tcW w:w="3110" w:type="dxa"/>
          <w:tcBorders>
            <w:top w:val="single" w:sz="4" w:space="0" w:color="auto"/>
            <w:bottom w:val="single" w:sz="12" w:space="0" w:color="auto"/>
          </w:tcBorders>
          <w:shd w:val="clear" w:color="auto" w:fill="auto"/>
        </w:tcPr>
        <w:p w14:paraId="380FE91D" w14:textId="77777777" w:rsidR="00910CEA" w:rsidRPr="00871851" w:rsidRDefault="00910CEA" w:rsidP="00910CEA">
          <w:pPr>
            <w:pStyle w:val="Distribution"/>
            <w:rPr>
              <w:color w:val="000000"/>
              <w:lang w:val="fr-FR"/>
            </w:rPr>
          </w:pPr>
          <w:r w:rsidRPr="00871851">
            <w:rPr>
              <w:color w:val="000000"/>
              <w:lang w:val="fr-FR"/>
            </w:rPr>
            <w:t>Distr. générale</w:t>
          </w:r>
        </w:p>
        <w:p w14:paraId="31BF0739" w14:textId="77777777" w:rsidR="00910CEA" w:rsidRPr="00871851" w:rsidRDefault="00910CEA" w:rsidP="00910CEA">
          <w:pPr>
            <w:pStyle w:val="Publication"/>
            <w:rPr>
              <w:color w:val="000000"/>
              <w:lang w:val="fr-FR"/>
            </w:rPr>
          </w:pPr>
          <w:r w:rsidRPr="00871851">
            <w:rPr>
              <w:color w:val="000000"/>
              <w:lang w:val="fr-FR"/>
            </w:rPr>
            <w:t>27 juin 2023</w:t>
          </w:r>
        </w:p>
        <w:p w14:paraId="3A549897" w14:textId="77777777" w:rsidR="00910CEA" w:rsidRPr="00871851" w:rsidRDefault="00910CEA" w:rsidP="00910CEA">
          <w:pPr>
            <w:rPr>
              <w:lang w:val="fr-FR"/>
            </w:rPr>
          </w:pPr>
          <w:r w:rsidRPr="00871851">
            <w:rPr>
              <w:lang w:val="fr-FR"/>
            </w:rPr>
            <w:t>Français</w:t>
          </w:r>
        </w:p>
        <w:p w14:paraId="54DBD292" w14:textId="77777777" w:rsidR="00910CEA" w:rsidRDefault="00910CEA" w:rsidP="00910CEA">
          <w:pPr>
            <w:pStyle w:val="Original"/>
            <w:rPr>
              <w:color w:val="000000"/>
              <w:lang w:val="fr-FR"/>
            </w:rPr>
          </w:pPr>
          <w:r w:rsidRPr="00871851">
            <w:rPr>
              <w:color w:val="000000"/>
              <w:lang w:val="fr-FR"/>
            </w:rPr>
            <w:t>Original : anglais</w:t>
          </w:r>
        </w:p>
        <w:p w14:paraId="750FFF9D" w14:textId="7F6E47A8" w:rsidR="00871851" w:rsidRPr="00871851" w:rsidRDefault="00871851" w:rsidP="00871851">
          <w:pPr>
            <w:rPr>
              <w:lang w:val="fr-FR"/>
            </w:rPr>
          </w:pPr>
          <w:r>
            <w:rPr>
              <w:lang w:val="fr-FR"/>
            </w:rPr>
            <w:t xml:space="preserve">Anglais, </w:t>
          </w:r>
          <w:r w:rsidRPr="00871851">
            <w:rPr>
              <w:color w:val="000000"/>
              <w:lang w:val="fr-FR"/>
            </w:rPr>
            <w:t>espagnol</w:t>
          </w:r>
          <w:r>
            <w:rPr>
              <w:color w:val="000000"/>
              <w:lang w:val="fr-FR"/>
            </w:rPr>
            <w:t xml:space="preserve"> et </w:t>
          </w:r>
          <w:r w:rsidRPr="00871851">
            <w:rPr>
              <w:color w:val="000000"/>
              <w:lang w:val="fr-FR"/>
            </w:rPr>
            <w:t>français</w:t>
          </w:r>
          <w:r>
            <w:rPr>
              <w:color w:val="000000"/>
              <w:lang w:val="fr-FR"/>
            </w:rPr>
            <w:t xml:space="preserve"> </w:t>
          </w:r>
          <w:r w:rsidR="0074079A">
            <w:rPr>
              <w:color w:val="000000"/>
              <w:lang w:val="fr-FR"/>
            </w:rPr>
            <w:t>seulement</w:t>
          </w:r>
        </w:p>
      </w:tc>
    </w:tr>
  </w:tbl>
  <w:p w14:paraId="10CB7CA5" w14:textId="77777777" w:rsidR="00910CEA" w:rsidRPr="00871851" w:rsidRDefault="00910CEA" w:rsidP="00910CE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3245472">
    <w:abstractNumId w:val="2"/>
  </w:num>
  <w:num w:numId="2" w16cid:durableId="1021005401">
    <w:abstractNumId w:val="3"/>
  </w:num>
  <w:num w:numId="3" w16cid:durableId="2043674912">
    <w:abstractNumId w:val="0"/>
  </w:num>
  <w:num w:numId="4" w16cid:durableId="802580771">
    <w:abstractNumId w:val="1"/>
  </w:num>
  <w:num w:numId="5" w16cid:durableId="1803881032">
    <w:abstractNumId w:val="1"/>
  </w:num>
  <w:num w:numId="6" w16cid:durableId="1881630210">
    <w:abstractNumId w:val="1"/>
  </w:num>
  <w:num w:numId="7" w16cid:durableId="1236739064">
    <w:abstractNumId w:val="1"/>
  </w:num>
  <w:num w:numId="8" w16cid:durableId="811946552">
    <w:abstractNumId w:val="1"/>
  </w:num>
  <w:num w:numId="9" w16cid:durableId="1487934163">
    <w:abstractNumId w:val="1"/>
  </w:num>
  <w:num w:numId="10" w16cid:durableId="924143382">
    <w:abstractNumId w:val="1"/>
  </w:num>
  <w:num w:numId="11" w16cid:durableId="1490751861">
    <w:abstractNumId w:val="1"/>
  </w:num>
  <w:num w:numId="12" w16cid:durableId="1693679586">
    <w:abstractNumId w:val="1"/>
  </w:num>
  <w:num w:numId="13" w16cid:durableId="128786633">
    <w:abstractNumId w:val="2"/>
  </w:num>
  <w:num w:numId="14" w16cid:durableId="1899779848">
    <w:abstractNumId w:val="3"/>
  </w:num>
  <w:num w:numId="15" w16cid:durableId="255553385">
    <w:abstractNumId w:val="0"/>
  </w:num>
  <w:num w:numId="16" w16cid:durableId="1585727364">
    <w:abstractNumId w:val="1"/>
  </w:num>
  <w:num w:numId="17" w16cid:durableId="1459956767">
    <w:abstractNumId w:val="1"/>
  </w:num>
  <w:num w:numId="18" w16cid:durableId="1395465369">
    <w:abstractNumId w:val="1"/>
  </w:num>
  <w:num w:numId="19" w16cid:durableId="1667198269">
    <w:abstractNumId w:val="1"/>
  </w:num>
  <w:num w:numId="20" w16cid:durableId="345210779">
    <w:abstractNumId w:val="1"/>
  </w:num>
  <w:num w:numId="21" w16cid:durableId="709114663">
    <w:abstractNumId w:val="1"/>
  </w:num>
  <w:num w:numId="22" w16cid:durableId="388265606">
    <w:abstractNumId w:val="1"/>
  </w:num>
  <w:num w:numId="23" w16cid:durableId="1015959367">
    <w:abstractNumId w:val="1"/>
  </w:num>
  <w:num w:numId="24" w16cid:durableId="414671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312396*"/>
    <w:docVar w:name="CreationDt" w:val="18/07/2023 3:13: PM"/>
    <w:docVar w:name="DocCategory" w:val="Doc"/>
    <w:docVar w:name="DocType" w:val="Final"/>
    <w:docVar w:name="DutyStation" w:val="New York"/>
    <w:docVar w:name="FooterJN" w:val="23-12396"/>
    <w:docVar w:name="jobn" w:val="23-12396 (F)"/>
    <w:docVar w:name="jobnDT" w:val="23-12396 (F)   180723"/>
    <w:docVar w:name="jobnDTDT" w:val="23-12396 (F)   180723   180723"/>
    <w:docVar w:name="JobNo" w:val="2312396F"/>
    <w:docVar w:name="JobNo2" w:val="2318447F"/>
    <w:docVar w:name="LocalDrive" w:val="-1"/>
    <w:docVar w:name="OandT" w:val="Ago"/>
    <w:docVar w:name="Session1" w:val="Quatre-vingt-sixième session_x000d_"/>
    <w:docVar w:name="sss1" w:val="CEDAW/C/86/1"/>
    <w:docVar w:name="sss2" w:val="-"/>
    <w:docVar w:name="Symbol1" w:val="CEDAW/C/86/1"/>
    <w:docVar w:name="Symbol2" w:val="-"/>
    <w:docVar w:name="Title1" w:val="_x0009__x0009_Ordre du jour provisoire annoté_x000d_"/>
    <w:docVar w:name="Title2" w:val="_x0009__x0009_Ordre du jour provisoire_x000d_"/>
  </w:docVars>
  <w:rsids>
    <w:rsidRoot w:val="00E87CD3"/>
    <w:rsid w:val="000009B2"/>
    <w:rsid w:val="00022525"/>
    <w:rsid w:val="001E1C2D"/>
    <w:rsid w:val="001E6902"/>
    <w:rsid w:val="00224EDF"/>
    <w:rsid w:val="00226A00"/>
    <w:rsid w:val="002E5754"/>
    <w:rsid w:val="002F010E"/>
    <w:rsid w:val="002F72DE"/>
    <w:rsid w:val="0037185E"/>
    <w:rsid w:val="00380485"/>
    <w:rsid w:val="003831BF"/>
    <w:rsid w:val="00414B5E"/>
    <w:rsid w:val="00527999"/>
    <w:rsid w:val="005F0CF5"/>
    <w:rsid w:val="0069237B"/>
    <w:rsid w:val="0074079A"/>
    <w:rsid w:val="00823103"/>
    <w:rsid w:val="00871851"/>
    <w:rsid w:val="00910CEA"/>
    <w:rsid w:val="00926BDE"/>
    <w:rsid w:val="009E0C76"/>
    <w:rsid w:val="00A3283E"/>
    <w:rsid w:val="00B51AE4"/>
    <w:rsid w:val="00BE39F2"/>
    <w:rsid w:val="00C74C7F"/>
    <w:rsid w:val="00CC7ABD"/>
    <w:rsid w:val="00CE36B6"/>
    <w:rsid w:val="00E87CD3"/>
    <w:rsid w:val="00E905E6"/>
    <w:rsid w:val="00F33A52"/>
    <w:rsid w:val="00F532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DB288"/>
  <w15:chartTrackingRefBased/>
  <w15:docId w15:val="{8D194478-086E-4C91-9BC9-F2A9F95B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ED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24EDF"/>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24EDF"/>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24EDF"/>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24EDF"/>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24EDF"/>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24EDF"/>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24EDF"/>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24EDF"/>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24EDF"/>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224EDF"/>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224EDF"/>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224EDF"/>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224EDF"/>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224EDF"/>
    <w:pPr>
      <w:keepNext/>
      <w:keepLines/>
      <w:suppressAutoHyphens/>
      <w:spacing w:line="270" w:lineRule="exact"/>
      <w:outlineLvl w:val="0"/>
    </w:pPr>
    <w:rPr>
      <w:b/>
      <w:sz w:val="24"/>
    </w:rPr>
  </w:style>
  <w:style w:type="paragraph" w:customStyle="1" w:styleId="HCH">
    <w:name w:val="_ H _CH"/>
    <w:basedOn w:val="H1"/>
    <w:next w:val="SingleTxt"/>
    <w:qFormat/>
    <w:rsid w:val="00224EDF"/>
    <w:pPr>
      <w:spacing w:line="300" w:lineRule="exact"/>
    </w:pPr>
    <w:rPr>
      <w:spacing w:val="-2"/>
      <w:sz w:val="28"/>
    </w:rPr>
  </w:style>
  <w:style w:type="paragraph" w:customStyle="1" w:styleId="HM">
    <w:name w:val="_ H __M"/>
    <w:basedOn w:val="HCH"/>
    <w:next w:val="Normal"/>
    <w:qFormat/>
    <w:rsid w:val="00224EDF"/>
    <w:pPr>
      <w:spacing w:line="360" w:lineRule="exact"/>
    </w:pPr>
    <w:rPr>
      <w:spacing w:val="-3"/>
      <w:w w:val="99"/>
      <w:sz w:val="34"/>
    </w:rPr>
  </w:style>
  <w:style w:type="paragraph" w:customStyle="1" w:styleId="H23">
    <w:name w:val="_ H_2/3"/>
    <w:basedOn w:val="H1"/>
    <w:next w:val="SingleTxt"/>
    <w:qFormat/>
    <w:rsid w:val="00224EDF"/>
    <w:pPr>
      <w:spacing w:line="240" w:lineRule="exact"/>
      <w:outlineLvl w:val="1"/>
    </w:pPr>
    <w:rPr>
      <w:spacing w:val="2"/>
      <w:sz w:val="20"/>
    </w:rPr>
  </w:style>
  <w:style w:type="paragraph" w:customStyle="1" w:styleId="H4">
    <w:name w:val="_ H_4"/>
    <w:basedOn w:val="Normal"/>
    <w:next w:val="SingleTxt"/>
    <w:qFormat/>
    <w:rsid w:val="00224EDF"/>
    <w:pPr>
      <w:keepNext/>
      <w:keepLines/>
      <w:tabs>
        <w:tab w:val="right" w:pos="360"/>
      </w:tabs>
      <w:suppressAutoHyphens/>
      <w:outlineLvl w:val="3"/>
    </w:pPr>
    <w:rPr>
      <w:i/>
      <w:spacing w:val="3"/>
    </w:rPr>
  </w:style>
  <w:style w:type="paragraph" w:customStyle="1" w:styleId="H56">
    <w:name w:val="_ H_5/6"/>
    <w:basedOn w:val="Normal"/>
    <w:next w:val="SingleTxt"/>
    <w:qFormat/>
    <w:rsid w:val="00224ED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24ED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24ED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24EDF"/>
    <w:pPr>
      <w:spacing w:line="540" w:lineRule="exact"/>
    </w:pPr>
    <w:rPr>
      <w:spacing w:val="-8"/>
      <w:w w:val="96"/>
      <w:sz w:val="57"/>
    </w:rPr>
  </w:style>
  <w:style w:type="paragraph" w:customStyle="1" w:styleId="SS">
    <w:name w:val="__S_S"/>
    <w:basedOn w:val="HCH"/>
    <w:next w:val="Normal"/>
    <w:qFormat/>
    <w:rsid w:val="00224EDF"/>
    <w:pPr>
      <w:ind w:left="1267" w:right="1267"/>
    </w:pPr>
  </w:style>
  <w:style w:type="paragraph" w:customStyle="1" w:styleId="SingleTxt">
    <w:name w:val="__Single Txt"/>
    <w:basedOn w:val="Normal"/>
    <w:qFormat/>
    <w:rsid w:val="00224ED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24ED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224ED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24ED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24ED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24EDF"/>
    <w:pPr>
      <w:numPr>
        <w:numId w:val="13"/>
      </w:numPr>
      <w:spacing w:after="120"/>
      <w:ind w:right="1267"/>
      <w:jc w:val="both"/>
    </w:pPr>
  </w:style>
  <w:style w:type="paragraph" w:customStyle="1" w:styleId="Bullet2">
    <w:name w:val="Bullet 2"/>
    <w:basedOn w:val="Normal"/>
    <w:qFormat/>
    <w:rsid w:val="00224EDF"/>
    <w:pPr>
      <w:numPr>
        <w:numId w:val="14"/>
      </w:numPr>
      <w:spacing w:after="120"/>
      <w:ind w:right="1264"/>
      <w:jc w:val="both"/>
    </w:pPr>
  </w:style>
  <w:style w:type="paragraph" w:customStyle="1" w:styleId="Bullet3">
    <w:name w:val="Bullet 3"/>
    <w:basedOn w:val="SingleTxt"/>
    <w:qFormat/>
    <w:rsid w:val="00224EDF"/>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224EDF"/>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224E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24EDF"/>
    <w:pPr>
      <w:spacing w:line="210" w:lineRule="exact"/>
    </w:pPr>
    <w:rPr>
      <w:sz w:val="17"/>
      <w:szCs w:val="20"/>
    </w:rPr>
  </w:style>
  <w:style w:type="character" w:customStyle="1" w:styleId="EndnoteTextChar">
    <w:name w:val="Endnote Text Char"/>
    <w:link w:val="EndnoteText"/>
    <w:uiPriority w:val="99"/>
    <w:semiHidden/>
    <w:rsid w:val="00224EDF"/>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224ED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24EDF"/>
    <w:pPr>
      <w:spacing w:line="210" w:lineRule="exact"/>
    </w:pPr>
    <w:rPr>
      <w:sz w:val="17"/>
      <w:szCs w:val="20"/>
    </w:rPr>
  </w:style>
  <w:style w:type="character" w:customStyle="1" w:styleId="FootnoteTextChar">
    <w:name w:val="Footnote Text Char"/>
    <w:link w:val="FootnoteText"/>
    <w:uiPriority w:val="99"/>
    <w:rsid w:val="00224EDF"/>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224ED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24ED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24ED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24ED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24ED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24ED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24ED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24ED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24ED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24EDF"/>
    <w:rPr>
      <w:sz w:val="14"/>
    </w:rPr>
  </w:style>
  <w:style w:type="paragraph" w:styleId="ListParagraph">
    <w:name w:val="List Paragraph"/>
    <w:basedOn w:val="Normal"/>
    <w:uiPriority w:val="34"/>
    <w:rsid w:val="00224EDF"/>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224EDF"/>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224EDF"/>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24EDF"/>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224EDF"/>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224EDF"/>
    <w:pPr>
      <w:tabs>
        <w:tab w:val="right" w:pos="9965"/>
      </w:tabs>
      <w:spacing w:line="210" w:lineRule="exact"/>
    </w:pPr>
    <w:rPr>
      <w:spacing w:val="5"/>
      <w:w w:val="104"/>
      <w:sz w:val="17"/>
    </w:rPr>
  </w:style>
  <w:style w:type="paragraph" w:customStyle="1" w:styleId="SmallX">
    <w:name w:val="SmallX"/>
    <w:basedOn w:val="Small"/>
    <w:next w:val="Normal"/>
    <w:qFormat/>
    <w:rsid w:val="00224EDF"/>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224EDF"/>
    <w:rPr>
      <w:b/>
      <w:bCs/>
    </w:rPr>
  </w:style>
  <w:style w:type="paragraph" w:customStyle="1" w:styleId="Style1">
    <w:name w:val="Style1"/>
    <w:basedOn w:val="Normal"/>
    <w:qFormat/>
    <w:rsid w:val="00224EDF"/>
  </w:style>
  <w:style w:type="paragraph" w:customStyle="1" w:styleId="Style2">
    <w:name w:val="Style2"/>
    <w:basedOn w:val="Normal"/>
    <w:autoRedefine/>
    <w:qFormat/>
    <w:rsid w:val="00224EDF"/>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224E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224E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224E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24ED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10CEA"/>
    <w:rPr>
      <w:sz w:val="16"/>
      <w:szCs w:val="16"/>
    </w:rPr>
  </w:style>
  <w:style w:type="paragraph" w:styleId="CommentText">
    <w:name w:val="annotation text"/>
    <w:basedOn w:val="Normal"/>
    <w:link w:val="CommentTextChar"/>
    <w:uiPriority w:val="99"/>
    <w:semiHidden/>
    <w:unhideWhenUsed/>
    <w:rsid w:val="00910CEA"/>
    <w:pPr>
      <w:spacing w:line="240" w:lineRule="auto"/>
    </w:pPr>
    <w:rPr>
      <w:szCs w:val="20"/>
    </w:rPr>
  </w:style>
  <w:style w:type="character" w:customStyle="1" w:styleId="CommentTextChar">
    <w:name w:val="Comment Text Char"/>
    <w:basedOn w:val="DefaultParagraphFont"/>
    <w:link w:val="CommentText"/>
    <w:uiPriority w:val="99"/>
    <w:semiHidden/>
    <w:rsid w:val="00910CE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10CEA"/>
    <w:rPr>
      <w:b/>
      <w:bCs/>
    </w:rPr>
  </w:style>
  <w:style w:type="character" w:customStyle="1" w:styleId="CommentSubjectChar">
    <w:name w:val="Comment Subject Char"/>
    <w:basedOn w:val="CommentTextChar"/>
    <w:link w:val="CommentSubject"/>
    <w:uiPriority w:val="99"/>
    <w:semiHidden/>
    <w:rsid w:val="00910CEA"/>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823103"/>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C74C7F"/>
    <w:rPr>
      <w:color w:val="0000FF"/>
      <w:u w:val="none"/>
    </w:rPr>
  </w:style>
  <w:style w:type="character" w:styleId="FollowedHyperlink">
    <w:name w:val="FollowedHyperlink"/>
    <w:basedOn w:val="DefaultParagraphFont"/>
    <w:uiPriority w:val="99"/>
    <w:semiHidden/>
    <w:unhideWhenUsed/>
    <w:rsid w:val="00C74C7F"/>
    <w:rPr>
      <w:color w:val="0000FF"/>
      <w:u w:val="none"/>
    </w:rPr>
  </w:style>
  <w:style w:type="character" w:styleId="UnresolvedMention">
    <w:name w:val="Unresolved Mention"/>
    <w:basedOn w:val="DefaultParagraphFont"/>
    <w:uiPriority w:val="99"/>
    <w:semiHidden/>
    <w:unhideWhenUsed/>
    <w:rsid w:val="00C74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PSWG/86/1" TargetMode="External"/><Relationship Id="rId26" Type="http://schemas.openxmlformats.org/officeDocument/2006/relationships/hyperlink" Target="https://undocs.org/fr/CEDAW/C/PHL/9" TargetMode="External"/><Relationship Id="rId39" Type="http://schemas.openxmlformats.org/officeDocument/2006/relationships/hyperlink" Target="https://undocs.org/fr/CEDAW/C/GTM/RQ/10" TargetMode="External"/><Relationship Id="rId21" Type="http://schemas.openxmlformats.org/officeDocument/2006/relationships/hyperlink" Target="https://undocs.org/fr/CEDAW/C/FRA/9" TargetMode="External"/><Relationship Id="rId34" Type="http://schemas.openxmlformats.org/officeDocument/2006/relationships/hyperlink" Target="https://undocs.org/fr/CEDAW/C/NIC/Q/7-10" TargetMode="External"/><Relationship Id="rId42" Type="http://schemas.openxmlformats.org/officeDocument/2006/relationships/hyperlink" Target="https://undocs.org/fr/CEDAW/C/NIC/RQ/7-10"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fr/CEDAW/C/BTN/QPR/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WI/8" TargetMode="External"/><Relationship Id="rId32" Type="http://schemas.openxmlformats.org/officeDocument/2006/relationships/hyperlink" Target="https://undocs.org/fr/CEDAW/C/JAM/Q/8" TargetMode="External"/><Relationship Id="rId37" Type="http://schemas.openxmlformats.org/officeDocument/2006/relationships/hyperlink" Target="https://undocs.org/fr/CEDAW/C/ALB/RQ/5" TargetMode="External"/><Relationship Id="rId40" Type="http://schemas.openxmlformats.org/officeDocument/2006/relationships/hyperlink" Target="https://undocs.org/fr/CEDAW/C/JAM/RQ/8"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JAM/8" TargetMode="External"/><Relationship Id="rId28" Type="http://schemas.openxmlformats.org/officeDocument/2006/relationships/hyperlink" Target="https://undocs.org/fr/CEDAW/C/ALB/Q/5" TargetMode="External"/><Relationship Id="rId36" Type="http://schemas.openxmlformats.org/officeDocument/2006/relationships/hyperlink" Target="https://undocs.org/fr/CEDAW/C/URY/QPR/10" TargetMode="External"/><Relationship Id="rId10" Type="http://schemas.openxmlformats.org/officeDocument/2006/relationships/footer" Target="footer2.xml"/><Relationship Id="rId19" Type="http://schemas.openxmlformats.org/officeDocument/2006/relationships/hyperlink" Target="https://undocs.org/fr/CEDAW/C/ALB/5" TargetMode="External"/><Relationship Id="rId31" Type="http://schemas.openxmlformats.org/officeDocument/2006/relationships/hyperlink" Target="https://undocs.org/fr/CEDAW/C/GTM/Q/10" TargetMode="External"/><Relationship Id="rId44" Type="http://schemas.openxmlformats.org/officeDocument/2006/relationships/hyperlink" Target="https://undocs.org/fr/CEDAW/C/87/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TM/10" TargetMode="External"/><Relationship Id="rId27" Type="http://schemas.openxmlformats.org/officeDocument/2006/relationships/hyperlink" Target="https://undocs.org/fr/CEDAW/C/URY/10" TargetMode="External"/><Relationship Id="rId30" Type="http://schemas.openxmlformats.org/officeDocument/2006/relationships/hyperlink" Target="https://undocs.org/fr/CEDAW/C/FRA/Q/9" TargetMode="External"/><Relationship Id="rId35" Type="http://schemas.openxmlformats.org/officeDocument/2006/relationships/hyperlink" Target="https://undocs.org/fr/CEDAW/C/PHL/Q/9" TargetMode="External"/><Relationship Id="rId43" Type="http://schemas.openxmlformats.org/officeDocument/2006/relationships/hyperlink" Target="https://undocs.org/fr/CEDAW/C/PHL/RQ/9"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86/1" TargetMode="External"/><Relationship Id="rId25" Type="http://schemas.openxmlformats.org/officeDocument/2006/relationships/hyperlink" Target="https://undocs.org/fr/CEDAW/C/NIC/7-10" TargetMode="External"/><Relationship Id="rId33" Type="http://schemas.openxmlformats.org/officeDocument/2006/relationships/hyperlink" Target="https://undocs.org/fr/CEDAW/C/MWI/Q/8" TargetMode="External"/><Relationship Id="rId38" Type="http://schemas.openxmlformats.org/officeDocument/2006/relationships/hyperlink" Target="https://undocs.org/fr/CEDAW/C/FRA/RQ/9" TargetMode="External"/><Relationship Id="rId46" Type="http://schemas.openxmlformats.org/officeDocument/2006/relationships/theme" Target="theme/theme1.xml"/><Relationship Id="rId20" Type="http://schemas.openxmlformats.org/officeDocument/2006/relationships/hyperlink" Target="https://undocs.org/fr/CEDAW/C/BTN/10" TargetMode="External"/><Relationship Id="rId41" Type="http://schemas.openxmlformats.org/officeDocument/2006/relationships/hyperlink" Target="https://undocs.org/fr/CEDAW/C/MWI/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8270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2023-07-18T20:19:00Z</cp:lastPrinted>
  <dcterms:created xsi:type="dcterms:W3CDTF">2023-07-18T20:19:00Z</dcterms:created>
  <dcterms:modified xsi:type="dcterms:W3CDTF">2023-07-18T20:19:00Z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2312396F</vt:lpwstr>
  </property>
  <property fmtid="{D5CDD505-2E9C-101B-9397-08002B2CF9AE}" pid="3" name="ODSRefJobNo">
    <vt:lpwstr>2318447F</vt:lpwstr>
  </property>
  <property fmtid="{D5CDD505-2E9C-101B-9397-08002B2CF9AE}" pid="4" name="Symbol1">
    <vt:lpwstr>CEDAW/C/86/1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Quatre-vingt-sixième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