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7215B" w14:textId="77777777" w:rsidR="009365FE" w:rsidRDefault="009365FE" w:rsidP="009365FE">
      <w:pPr>
        <w:spacing w:line="240" w:lineRule="auto"/>
        <w:rPr>
          <w:sz w:val="2"/>
        </w:rPr>
        <w:sectPr w:rsidR="009365FE" w:rsidSect="006A78B2">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Pr>
          <w:rStyle w:val="CommentReference"/>
        </w:rPr>
        <w:commentReference w:id="0"/>
      </w:r>
    </w:p>
    <w:p w14:paraId="0BA8BC53" w14:textId="3BB046D1" w:rsidR="006A78B2" w:rsidRPr="006A78B2" w:rsidRDefault="006A78B2" w:rsidP="003620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6A78B2">
        <w:rPr>
          <w:lang w:val="fr-FR"/>
        </w:rPr>
        <w:t>Comité pour l</w:t>
      </w:r>
      <w:r>
        <w:rPr>
          <w:lang w:val="fr-FR"/>
        </w:rPr>
        <w:t>’</w:t>
      </w:r>
      <w:r w:rsidRPr="006A78B2">
        <w:rPr>
          <w:lang w:val="fr-FR"/>
        </w:rPr>
        <w:t>élimination de la discrimination à l</w:t>
      </w:r>
      <w:r>
        <w:rPr>
          <w:lang w:val="fr-FR"/>
        </w:rPr>
        <w:t>’</w:t>
      </w:r>
      <w:r w:rsidRPr="006A78B2">
        <w:rPr>
          <w:lang w:val="fr-FR"/>
        </w:rPr>
        <w:t>égard des femmes</w:t>
      </w:r>
    </w:p>
    <w:p w14:paraId="6C1E6AFE" w14:textId="77777777" w:rsidR="003620D3" w:rsidRPr="003620D3" w:rsidRDefault="003620D3" w:rsidP="003620D3">
      <w:pPr>
        <w:pStyle w:val="SingleTxt"/>
        <w:spacing w:after="0" w:line="120" w:lineRule="exact"/>
        <w:rPr>
          <w:b/>
          <w:sz w:val="10"/>
          <w:lang w:val="fr-FR"/>
        </w:rPr>
      </w:pPr>
    </w:p>
    <w:p w14:paraId="7D159C2C" w14:textId="77777777" w:rsidR="003620D3" w:rsidRPr="003620D3" w:rsidRDefault="003620D3" w:rsidP="003620D3">
      <w:pPr>
        <w:pStyle w:val="SingleTxt"/>
        <w:spacing w:after="0" w:line="120" w:lineRule="exact"/>
        <w:rPr>
          <w:b/>
          <w:sz w:val="10"/>
          <w:lang w:val="fr-FR"/>
        </w:rPr>
      </w:pPr>
    </w:p>
    <w:p w14:paraId="6855D237" w14:textId="77777777" w:rsidR="003620D3" w:rsidRPr="003620D3" w:rsidRDefault="003620D3" w:rsidP="003620D3">
      <w:pPr>
        <w:pStyle w:val="SingleTxt"/>
        <w:spacing w:after="0" w:line="120" w:lineRule="exact"/>
        <w:rPr>
          <w:b/>
          <w:sz w:val="10"/>
          <w:lang w:val="fr-FR"/>
        </w:rPr>
      </w:pPr>
    </w:p>
    <w:p w14:paraId="63F0938D" w14:textId="1261389F" w:rsidR="003620D3" w:rsidRPr="003620D3" w:rsidRDefault="003620D3" w:rsidP="003620D3">
      <w:pPr>
        <w:framePr w:w="9792" w:h="432" w:hSpace="180" w:wrap="around" w:vAnchor="page" w:hAnchor="page" w:x="1210" w:y="1370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3C11DCF3" wp14:editId="4B6C4A75">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ED9008"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sz w:val="17"/>
          <w:szCs w:val="20"/>
        </w:rPr>
        <w:tab/>
        <w:t>*</w:t>
      </w:r>
      <w:r>
        <w:rPr>
          <w:spacing w:val="5"/>
          <w:w w:val="104"/>
          <w:sz w:val="17"/>
          <w:szCs w:val="20"/>
        </w:rPr>
        <w:tab/>
      </w:r>
      <w:r w:rsidRPr="003620D3">
        <w:rPr>
          <w:spacing w:val="5"/>
          <w:w w:val="104"/>
          <w:sz w:val="17"/>
          <w:szCs w:val="20"/>
          <w:lang w:val="fr-FR"/>
        </w:rPr>
        <w:t>La version originale du présent document n’a pas été revue par les services d’édition.</w:t>
      </w:r>
    </w:p>
    <w:p w14:paraId="634D6B95" w14:textId="07BA4097" w:rsidR="006A78B2" w:rsidRDefault="006A78B2" w:rsidP="003620D3">
      <w:pPr>
        <w:pStyle w:val="TitleHCH"/>
        <w:ind w:right="1260"/>
        <w:rPr>
          <w:lang w:val="fr-FR"/>
        </w:rPr>
      </w:pPr>
      <w:r w:rsidRPr="006A78B2">
        <w:rPr>
          <w:lang w:val="fr-FR"/>
        </w:rPr>
        <w:tab/>
      </w:r>
      <w:r w:rsidRPr="006A78B2">
        <w:rPr>
          <w:lang w:val="fr-FR"/>
        </w:rPr>
        <w:tab/>
        <w:t>Renseignements reçus de la Bulgarie au sujet de la suite donnée aux observations finales concernant son huitième rapport périodique</w:t>
      </w:r>
      <w:r w:rsidR="003620D3" w:rsidRPr="003620D3">
        <w:rPr>
          <w:b w:val="0"/>
          <w:bCs/>
          <w:sz w:val="20"/>
          <w:szCs w:val="20"/>
          <w:lang w:val="fr-FR"/>
        </w:rPr>
        <w:t>*</w:t>
      </w:r>
    </w:p>
    <w:p w14:paraId="7839B9AE" w14:textId="59953588" w:rsidR="003620D3" w:rsidRPr="003620D3" w:rsidRDefault="003620D3" w:rsidP="003620D3">
      <w:pPr>
        <w:pStyle w:val="SingleTxt"/>
        <w:spacing w:after="0" w:line="120" w:lineRule="exact"/>
        <w:rPr>
          <w:sz w:val="10"/>
          <w:lang w:val="fr-FR"/>
        </w:rPr>
      </w:pPr>
    </w:p>
    <w:p w14:paraId="0D2FEC78" w14:textId="77777777" w:rsidR="003620D3" w:rsidRPr="003620D3" w:rsidRDefault="003620D3" w:rsidP="003620D3">
      <w:pPr>
        <w:pStyle w:val="SingleTxt"/>
        <w:spacing w:after="0" w:line="120" w:lineRule="exact"/>
        <w:rPr>
          <w:sz w:val="10"/>
          <w:lang w:val="fr-FR"/>
        </w:rPr>
      </w:pPr>
    </w:p>
    <w:p w14:paraId="2C250C25" w14:textId="6E494D85" w:rsidR="006A78B2" w:rsidRPr="006A78B2" w:rsidRDefault="006A78B2" w:rsidP="003620D3">
      <w:pPr>
        <w:pStyle w:val="SingleTxt"/>
        <w:jc w:val="right"/>
        <w:rPr>
          <w:lang w:val="fr-FR"/>
        </w:rPr>
      </w:pPr>
      <w:r w:rsidRPr="006A78B2">
        <w:rPr>
          <w:lang w:val="fr-FR"/>
        </w:rPr>
        <w:t>[Date de réception</w:t>
      </w:r>
      <w:r>
        <w:rPr>
          <w:lang w:val="fr-FR"/>
        </w:rPr>
        <w:t> :</w:t>
      </w:r>
      <w:r w:rsidRPr="006A78B2">
        <w:rPr>
          <w:lang w:val="fr-FR"/>
        </w:rPr>
        <w:t xml:space="preserve"> 10 mars 2022]</w:t>
      </w:r>
    </w:p>
    <w:p w14:paraId="7CC0C74C" w14:textId="5469175F" w:rsidR="006A78B2" w:rsidRDefault="006A78B2">
      <w:pPr>
        <w:spacing w:after="200" w:line="276" w:lineRule="auto"/>
      </w:pPr>
      <w:r>
        <w:br w:type="page"/>
      </w:r>
    </w:p>
    <w:p w14:paraId="230138E7" w14:textId="36C5F531" w:rsidR="006A78B2" w:rsidRDefault="006A78B2" w:rsidP="003620D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78B2">
        <w:rPr>
          <w:sz w:val="20"/>
          <w:lang w:val="fr-FR"/>
        </w:rPr>
        <w:lastRenderedPageBreak/>
        <w:tab/>
      </w:r>
      <w:r w:rsidRPr="006A78B2">
        <w:rPr>
          <w:lang w:val="fr-FR"/>
        </w:rPr>
        <w:tab/>
        <w:t>Renseignements sur la suite donnée aux observations finales</w:t>
      </w:r>
    </w:p>
    <w:p w14:paraId="635C32F0" w14:textId="631B0EBB" w:rsidR="003620D3" w:rsidRPr="003620D3" w:rsidRDefault="003620D3" w:rsidP="003620D3">
      <w:pPr>
        <w:pStyle w:val="SingleTxt"/>
        <w:spacing w:after="0" w:line="120" w:lineRule="exact"/>
        <w:rPr>
          <w:sz w:val="10"/>
          <w:lang w:val="fr-FR"/>
        </w:rPr>
      </w:pPr>
    </w:p>
    <w:p w14:paraId="20110B34" w14:textId="48E7999D" w:rsidR="003620D3" w:rsidRPr="003620D3" w:rsidRDefault="003620D3" w:rsidP="003620D3">
      <w:pPr>
        <w:pStyle w:val="SingleTxt"/>
        <w:spacing w:after="0" w:line="120" w:lineRule="exact"/>
        <w:rPr>
          <w:sz w:val="10"/>
          <w:lang w:val="fr-FR"/>
        </w:rPr>
      </w:pPr>
    </w:p>
    <w:p w14:paraId="34803B08" w14:textId="61156045" w:rsidR="003620D3" w:rsidRPr="00184760" w:rsidRDefault="006A78B2" w:rsidP="00184760">
      <w:pPr>
        <w:pStyle w:val="SingleTxt"/>
        <w:numPr>
          <w:ilvl w:val="0"/>
          <w:numId w:val="31"/>
        </w:numPr>
        <w:spacing w:line="240" w:lineRule="exact"/>
        <w:ind w:left="1267"/>
        <w:rPr>
          <w:lang w:val="fr-FR"/>
        </w:rPr>
      </w:pPr>
      <w:r w:rsidRPr="006A78B2">
        <w:rPr>
          <w:lang w:val="fr-FR"/>
        </w:rPr>
        <w:t>Les autorités bulgares ont soigneusement étudié les observations finales du Comité pour l</w:t>
      </w:r>
      <w:r w:rsidRPr="00184760">
        <w:rPr>
          <w:lang w:val="fr-FR"/>
        </w:rPr>
        <w:t>’</w:t>
      </w:r>
      <w:r w:rsidRPr="006A78B2">
        <w:rPr>
          <w:lang w:val="fr-FR"/>
        </w:rPr>
        <w:t>élimination de la discrimination à l</w:t>
      </w:r>
      <w:r w:rsidRPr="00184760">
        <w:rPr>
          <w:lang w:val="fr-FR"/>
        </w:rPr>
        <w:t>’</w:t>
      </w:r>
      <w:r w:rsidRPr="006A78B2">
        <w:rPr>
          <w:lang w:val="fr-FR"/>
        </w:rPr>
        <w:t>égard des femmes (ci-après « le Comité ») sur le huitième rapport périodique soumis par la Bulgarie. En ce qui concerne le paragraphe 50 du rapport, les autorités bulgares souhaitent fournir les informations suivantes</w:t>
      </w:r>
      <w:r w:rsidRPr="00184760">
        <w:rPr>
          <w:lang w:val="fr-FR"/>
        </w:rPr>
        <w:t> :</w:t>
      </w:r>
      <w:r w:rsidRPr="006A78B2">
        <w:rPr>
          <w:lang w:val="fr-FR"/>
        </w:rPr>
        <w:t xml:space="preserve"> </w:t>
      </w:r>
      <w:hyperlink r:id="rId17" w:history="1">
        <w:r w:rsidR="00184760" w:rsidRPr="00184760">
          <w:rPr>
            <w:rStyle w:val="Hyperlink"/>
            <w:lang w:val="fr-FR"/>
          </w:rPr>
          <w:t>CEDAW</w:t>
        </w:r>
        <w:r w:rsidR="00184760" w:rsidRPr="00184760">
          <w:rPr>
            <w:rStyle w:val="Hyperlink"/>
            <w:lang w:val="fr-FR"/>
          </w:rPr>
          <w:t>/</w:t>
        </w:r>
        <w:r w:rsidR="00184760" w:rsidRPr="00184760">
          <w:rPr>
            <w:rStyle w:val="Hyperlink"/>
            <w:lang w:val="fr-FR"/>
          </w:rPr>
          <w:t>C/BGR/CO/8</w:t>
        </w:r>
      </w:hyperlink>
      <w:r w:rsidR="00184760">
        <w:rPr>
          <w:lang w:val="fr-FR"/>
        </w:rPr>
        <w:t>.</w:t>
      </w:r>
    </w:p>
    <w:p w14:paraId="6AC56889" w14:textId="4652475D" w:rsidR="003620D3" w:rsidRPr="00184760" w:rsidRDefault="003620D3" w:rsidP="00184760">
      <w:pPr>
        <w:pStyle w:val="SingleTxt"/>
        <w:spacing w:after="0" w:line="120" w:lineRule="exact"/>
        <w:rPr>
          <w:b/>
          <w:sz w:val="10"/>
          <w:lang w:val="fr-FR"/>
        </w:rPr>
      </w:pPr>
    </w:p>
    <w:p w14:paraId="5D888A48" w14:textId="77777777" w:rsidR="00184760" w:rsidRPr="003620D3" w:rsidRDefault="00184760" w:rsidP="003620D3">
      <w:pPr>
        <w:pStyle w:val="SingleTxt"/>
        <w:spacing w:after="0" w:line="120" w:lineRule="exact"/>
        <w:rPr>
          <w:b/>
          <w:sz w:val="10"/>
          <w:lang w:val="fr-FR"/>
        </w:rPr>
      </w:pPr>
    </w:p>
    <w:p w14:paraId="2E7F3842" w14:textId="032FE3D4" w:rsidR="006A78B2" w:rsidRDefault="003620D3" w:rsidP="003620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70" w:hanging="1267"/>
        <w:rPr>
          <w:lang w:val="fr-FR"/>
        </w:rPr>
      </w:pPr>
      <w:r>
        <w:rPr>
          <w:lang w:val="fr-FR"/>
        </w:rPr>
        <w:tab/>
      </w:r>
      <w:r w:rsidR="006A78B2" w:rsidRPr="006A78B2">
        <w:rPr>
          <w:lang w:val="fr-FR"/>
        </w:rPr>
        <w:t>I.</w:t>
      </w:r>
      <w:r w:rsidR="006A78B2" w:rsidRPr="006A78B2">
        <w:rPr>
          <w:lang w:val="fr-FR"/>
        </w:rPr>
        <w:tab/>
        <w:t>Renseignements sur la suite donnée aux alinéas a) et b) du paragraphe 16 des observations finales</w:t>
      </w:r>
      <w:bookmarkStart w:id="1" w:name="_Hlk98092575"/>
      <w:bookmarkEnd w:id="1"/>
    </w:p>
    <w:p w14:paraId="5F43F509" w14:textId="63D5C44D" w:rsidR="003620D3" w:rsidRPr="003620D3" w:rsidRDefault="003620D3" w:rsidP="003620D3">
      <w:pPr>
        <w:pStyle w:val="SingleTxt"/>
        <w:spacing w:after="0" w:line="120" w:lineRule="exact"/>
        <w:rPr>
          <w:sz w:val="10"/>
          <w:lang w:val="fr-FR"/>
        </w:rPr>
      </w:pPr>
    </w:p>
    <w:p w14:paraId="1AD8B9FB" w14:textId="07639D44" w:rsidR="003620D3" w:rsidRPr="003620D3" w:rsidRDefault="003620D3" w:rsidP="003620D3">
      <w:pPr>
        <w:pStyle w:val="SingleTxt"/>
        <w:spacing w:after="0" w:line="120" w:lineRule="exact"/>
        <w:rPr>
          <w:sz w:val="10"/>
          <w:lang w:val="fr-FR"/>
        </w:rPr>
      </w:pPr>
    </w:p>
    <w:p w14:paraId="619E022F" w14:textId="53618F20" w:rsidR="006A78B2" w:rsidRDefault="006A78B2" w:rsidP="003620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78B2">
        <w:rPr>
          <w:lang w:val="fr-FR"/>
        </w:rPr>
        <w:tab/>
      </w:r>
      <w:r w:rsidRPr="006A78B2">
        <w:rPr>
          <w:lang w:val="fr-FR"/>
        </w:rPr>
        <w:tab/>
        <w:t xml:space="preserve">Organisations de la société civile </w:t>
      </w:r>
    </w:p>
    <w:p w14:paraId="60BC8FC5" w14:textId="3CE46DE8" w:rsidR="003620D3" w:rsidRPr="003620D3" w:rsidRDefault="003620D3" w:rsidP="003620D3">
      <w:pPr>
        <w:pStyle w:val="SingleTxt"/>
        <w:spacing w:after="0" w:line="120" w:lineRule="exact"/>
        <w:rPr>
          <w:sz w:val="10"/>
          <w:lang w:val="fr-FR"/>
        </w:rPr>
      </w:pPr>
    </w:p>
    <w:p w14:paraId="05C6B1FD" w14:textId="18B398F1" w:rsidR="006A78B2" w:rsidRPr="006A78B2" w:rsidRDefault="006A78B2" w:rsidP="003620D3">
      <w:pPr>
        <w:pStyle w:val="SingleTxt"/>
        <w:numPr>
          <w:ilvl w:val="0"/>
          <w:numId w:val="31"/>
        </w:numPr>
        <w:spacing w:line="240" w:lineRule="exact"/>
        <w:ind w:left="1267"/>
        <w:rPr>
          <w:bCs/>
          <w:lang w:val="fr-FR"/>
        </w:rPr>
      </w:pPr>
      <w:r w:rsidRPr="006A78B2">
        <w:rPr>
          <w:i/>
          <w:iCs/>
          <w:lang w:val="fr-FR"/>
        </w:rPr>
        <w:t>§ 16 a) Garantir un environnement qui soit sûr de jure et de facto dans lequel les organisations travaillant à la promotion des droits des femmes et de l</w:t>
      </w:r>
      <w:r>
        <w:rPr>
          <w:i/>
          <w:iCs/>
          <w:lang w:val="fr-FR"/>
        </w:rPr>
        <w:t>’</w:t>
      </w:r>
      <w:r w:rsidRPr="006A78B2">
        <w:rPr>
          <w:i/>
          <w:iCs/>
          <w:lang w:val="fr-FR"/>
        </w:rPr>
        <w:t>égalité des genres</w:t>
      </w:r>
      <w:r w:rsidRPr="006A78B2">
        <w:rPr>
          <w:i/>
          <w:vertAlign w:val="superscript"/>
          <w:lang w:val="fr-FR"/>
        </w:rPr>
        <w:footnoteReference w:id="1"/>
      </w:r>
      <w:r w:rsidRPr="006A78B2">
        <w:rPr>
          <w:i/>
          <w:iCs/>
          <w:lang w:val="fr-FR"/>
        </w:rPr>
        <w:t xml:space="preserve"> participent systématiquement à l</w:t>
      </w:r>
      <w:r>
        <w:rPr>
          <w:i/>
          <w:iCs/>
          <w:lang w:val="fr-FR"/>
        </w:rPr>
        <w:t>’</w:t>
      </w:r>
      <w:r w:rsidRPr="006A78B2">
        <w:rPr>
          <w:i/>
          <w:iCs/>
          <w:lang w:val="fr-FR"/>
        </w:rPr>
        <w:t>élaboration et à la mise en œuvre de la législation et des politiques pertinentes</w:t>
      </w:r>
      <w:r w:rsidRPr="006A78B2">
        <w:rPr>
          <w:iCs/>
          <w:lang w:val="fr-FR"/>
        </w:rPr>
        <w:t>.</w:t>
      </w:r>
    </w:p>
    <w:p w14:paraId="32A6D7BB" w14:textId="2A8A5A49" w:rsidR="006A78B2" w:rsidRPr="006A78B2" w:rsidRDefault="006A78B2" w:rsidP="003620D3">
      <w:pPr>
        <w:pStyle w:val="SingleTxt"/>
        <w:numPr>
          <w:ilvl w:val="0"/>
          <w:numId w:val="31"/>
        </w:numPr>
        <w:spacing w:line="240" w:lineRule="exact"/>
        <w:ind w:left="1267"/>
        <w:rPr>
          <w:lang w:val="fr-FR"/>
        </w:rPr>
      </w:pPr>
      <w:r w:rsidRPr="006A78B2">
        <w:rPr>
          <w:lang w:val="fr-FR"/>
        </w:rPr>
        <w:t>Les organisations travaillant à la promotion des droits des femmes participent activement aux groupes de travail pour les modifications des textes législatifs, aux tables rondes et aux initiatives nationales et régionales pertinentes. Il n</w:t>
      </w:r>
      <w:r>
        <w:rPr>
          <w:lang w:val="fr-FR"/>
        </w:rPr>
        <w:t>’</w:t>
      </w:r>
      <w:r w:rsidRPr="006A78B2">
        <w:rPr>
          <w:lang w:val="fr-FR"/>
        </w:rPr>
        <w:t>existe aucune restriction ou entrave à leur participation à l</w:t>
      </w:r>
      <w:r>
        <w:rPr>
          <w:lang w:val="fr-FR"/>
        </w:rPr>
        <w:t>’</w:t>
      </w:r>
      <w:r w:rsidRPr="006A78B2">
        <w:rPr>
          <w:lang w:val="fr-FR"/>
        </w:rPr>
        <w:t xml:space="preserve">élaboration et à la mise en œuvre des lois et des politiques pertinentes. Leur participation aux travaux, toutes formes confondues, est très appréciée et a un effet positif durable. </w:t>
      </w:r>
    </w:p>
    <w:p w14:paraId="45AEE9D7" w14:textId="7943C016" w:rsidR="006A78B2" w:rsidRPr="006A78B2" w:rsidRDefault="006A78B2" w:rsidP="003620D3">
      <w:pPr>
        <w:pStyle w:val="SingleTxt"/>
        <w:numPr>
          <w:ilvl w:val="0"/>
          <w:numId w:val="32"/>
        </w:numPr>
        <w:spacing w:line="240" w:lineRule="exact"/>
        <w:ind w:left="1267"/>
        <w:rPr>
          <w:lang w:val="fr-FR"/>
        </w:rPr>
      </w:pPr>
      <w:r w:rsidRPr="006A78B2">
        <w:rPr>
          <w:lang w:val="fr-FR"/>
        </w:rPr>
        <w:t>Depuis 2005, la Stratégie nationale de promotion de l</w:t>
      </w:r>
      <w:r>
        <w:rPr>
          <w:lang w:val="fr-FR"/>
        </w:rPr>
        <w:t>’</w:t>
      </w:r>
      <w:r w:rsidRPr="006A78B2">
        <w:rPr>
          <w:lang w:val="fr-FR"/>
        </w:rPr>
        <w:t>égalité des genres est mise en œuvre au moyen de plans d</w:t>
      </w:r>
      <w:r>
        <w:rPr>
          <w:lang w:val="fr-FR"/>
        </w:rPr>
        <w:t>’</w:t>
      </w:r>
      <w:r w:rsidRPr="006A78B2">
        <w:rPr>
          <w:lang w:val="fr-FR"/>
        </w:rPr>
        <w:t>action nationaux annuels exécutés à cette fin. Ils sont adoptés par le Conseil des ministres et consistent en des mesures spécifiques relevant de la compétence de diverses institutions et organisations, proposées par celles-ci, concernant les domaines prioritaires de la stratégie, les organes responsables, les moyens financiers et les indicateurs de mise en œuvre.</w:t>
      </w:r>
      <w:r>
        <w:rPr>
          <w:lang w:val="fr-FR"/>
        </w:rPr>
        <w:t xml:space="preserve"> </w:t>
      </w:r>
    </w:p>
    <w:p w14:paraId="624DACD4" w14:textId="2AB52D83" w:rsidR="006A78B2" w:rsidRPr="006A78B2" w:rsidRDefault="006A78B2" w:rsidP="003620D3">
      <w:pPr>
        <w:pStyle w:val="SingleTxt"/>
        <w:numPr>
          <w:ilvl w:val="0"/>
          <w:numId w:val="33"/>
        </w:numPr>
        <w:spacing w:line="240" w:lineRule="exact"/>
        <w:ind w:left="1267"/>
        <w:rPr>
          <w:bCs/>
          <w:lang w:val="fr-FR"/>
        </w:rPr>
      </w:pPr>
      <w:r w:rsidRPr="006A78B2">
        <w:rPr>
          <w:lang w:val="fr-FR"/>
        </w:rPr>
        <w:t>Le Programme de développement des ressources humaines (2021-2027), financé par le Fonds social européen Plus (FSE+), a confirmé le principe de partenariat comme un élément clé d</w:t>
      </w:r>
      <w:r>
        <w:rPr>
          <w:lang w:val="fr-FR"/>
        </w:rPr>
        <w:t>’</w:t>
      </w:r>
      <w:r w:rsidRPr="006A78B2">
        <w:rPr>
          <w:lang w:val="fr-FR"/>
        </w:rPr>
        <w:t>une bonne gestion de programme. Conformément au Règlement (UE) 2021/1060, la participation des partenaires nationaux, régionaux et locaux est garantie en fonction de leurs compétences. Il s</w:t>
      </w:r>
      <w:r>
        <w:rPr>
          <w:lang w:val="fr-FR"/>
        </w:rPr>
        <w:t>’</w:t>
      </w:r>
      <w:r w:rsidRPr="006A78B2">
        <w:rPr>
          <w:lang w:val="fr-FR"/>
        </w:rPr>
        <w:t>agit notamment des autorités publiques, des partenaires socioéconomiques, des employeurs, des organisations non gouvernementales et des organisations œuvrant pour l</w:t>
      </w:r>
      <w:r>
        <w:rPr>
          <w:lang w:val="fr-FR"/>
        </w:rPr>
        <w:t>’</w:t>
      </w:r>
      <w:r w:rsidRPr="006A78B2">
        <w:rPr>
          <w:lang w:val="fr-FR"/>
        </w:rPr>
        <w:t>inclusion sociale, les droits humains, l</w:t>
      </w:r>
      <w:r>
        <w:rPr>
          <w:lang w:val="fr-FR"/>
        </w:rPr>
        <w:t>’</w:t>
      </w:r>
      <w:r w:rsidRPr="006A78B2">
        <w:rPr>
          <w:lang w:val="fr-FR"/>
        </w:rPr>
        <w:t>égalité entre les femmes et les hommes, la non-discrimination et le respect des droits des personnes handicapées.</w:t>
      </w:r>
    </w:p>
    <w:p w14:paraId="58EC250B" w14:textId="37706B43" w:rsidR="006A78B2" w:rsidRPr="006A78B2" w:rsidRDefault="006A78B2" w:rsidP="003620D3">
      <w:pPr>
        <w:pStyle w:val="SingleTxt"/>
        <w:numPr>
          <w:ilvl w:val="0"/>
          <w:numId w:val="34"/>
        </w:numPr>
        <w:spacing w:line="240" w:lineRule="exact"/>
        <w:ind w:left="1267"/>
        <w:rPr>
          <w:bCs/>
          <w:lang w:val="fr-FR"/>
        </w:rPr>
      </w:pPr>
      <w:r w:rsidRPr="006A78B2">
        <w:rPr>
          <w:lang w:val="fr-FR"/>
        </w:rPr>
        <w:t>La participation de toutes les parties prenantes, y compris les ONG, est également garantie par le groupe de travail thématique spécialement créé pour l</w:t>
      </w:r>
      <w:r>
        <w:rPr>
          <w:lang w:val="fr-FR"/>
        </w:rPr>
        <w:t>’</w:t>
      </w:r>
      <w:r w:rsidRPr="006A78B2">
        <w:rPr>
          <w:lang w:val="fr-FR"/>
        </w:rPr>
        <w:t>élaboration du nouveau Programme de développement des ressources humaines (2021-2027). Des représentants d</w:t>
      </w:r>
      <w:r>
        <w:rPr>
          <w:lang w:val="fr-FR"/>
        </w:rPr>
        <w:t>’</w:t>
      </w:r>
      <w:r w:rsidRPr="006A78B2">
        <w:rPr>
          <w:lang w:val="fr-FR"/>
        </w:rPr>
        <w:t>ONG œuvrant pour l</w:t>
      </w:r>
      <w:r>
        <w:rPr>
          <w:lang w:val="fr-FR"/>
        </w:rPr>
        <w:t>’</w:t>
      </w:r>
      <w:r w:rsidRPr="006A78B2">
        <w:rPr>
          <w:lang w:val="fr-FR"/>
        </w:rPr>
        <w:t>égalité des genres et la non-discrimination prennent une part active aux activités des groupes de travail thématiques. Ces mécanismes offrent la possibilité de faire activement participer tous les partenaires au processus de programmation et permettent à chacun de contribuer à l</w:t>
      </w:r>
      <w:r>
        <w:rPr>
          <w:lang w:val="fr-FR"/>
        </w:rPr>
        <w:t>’</w:t>
      </w:r>
      <w:r w:rsidRPr="006A78B2">
        <w:rPr>
          <w:lang w:val="fr-FR"/>
        </w:rPr>
        <w:t>élaboration du programme.</w:t>
      </w:r>
    </w:p>
    <w:p w14:paraId="765603A4" w14:textId="414AEA98" w:rsidR="006A78B2" w:rsidRPr="006A78B2" w:rsidRDefault="006A78B2" w:rsidP="003620D3">
      <w:pPr>
        <w:pStyle w:val="SingleTxt"/>
        <w:numPr>
          <w:ilvl w:val="0"/>
          <w:numId w:val="35"/>
        </w:numPr>
        <w:spacing w:line="240" w:lineRule="exact"/>
        <w:ind w:left="1267"/>
        <w:rPr>
          <w:bCs/>
          <w:lang w:val="fr-FR"/>
        </w:rPr>
      </w:pPr>
      <w:r w:rsidRPr="006A78B2">
        <w:rPr>
          <w:lang w:val="fr-FR"/>
        </w:rPr>
        <w:lastRenderedPageBreak/>
        <w:t>Des représentants des partenaires sociaux et des ONG, ainsi que d</w:t>
      </w:r>
      <w:r>
        <w:rPr>
          <w:lang w:val="fr-FR"/>
        </w:rPr>
        <w:t>’</w:t>
      </w:r>
      <w:r w:rsidRPr="006A78B2">
        <w:rPr>
          <w:lang w:val="fr-FR"/>
        </w:rPr>
        <w:t>autres parties prenantes, feront également partie du comité de suivi du Programme de développement des ressources humaines (2021-2027).</w:t>
      </w:r>
    </w:p>
    <w:p w14:paraId="5CD692F4" w14:textId="654B3D85" w:rsidR="006A78B2" w:rsidRPr="006A78B2" w:rsidRDefault="006A78B2" w:rsidP="003620D3">
      <w:pPr>
        <w:pStyle w:val="SingleTxt"/>
        <w:numPr>
          <w:ilvl w:val="0"/>
          <w:numId w:val="36"/>
        </w:numPr>
        <w:spacing w:line="240" w:lineRule="exact"/>
        <w:ind w:left="1267"/>
        <w:rPr>
          <w:bCs/>
          <w:i/>
          <w:lang w:val="fr-FR"/>
        </w:rPr>
      </w:pPr>
      <w:r w:rsidRPr="006A78B2">
        <w:rPr>
          <w:i/>
          <w:iCs/>
          <w:lang w:val="fr-FR"/>
        </w:rPr>
        <w:t>§ 16 b) Soutenir financièrement les organisations de la société civile qui apportent une aide aux femmes victimes de discrimination, de violence fondée sur le genre et de violation de leurs droits, tout en veillant à ce que l</w:t>
      </w:r>
      <w:r>
        <w:rPr>
          <w:i/>
          <w:iCs/>
          <w:lang w:val="fr-FR"/>
        </w:rPr>
        <w:t>’</w:t>
      </w:r>
      <w:r w:rsidRPr="006A78B2">
        <w:rPr>
          <w:i/>
          <w:iCs/>
          <w:lang w:val="fr-FR"/>
        </w:rPr>
        <w:t>État partie conserve la responsabilité première de fournir à ces femmes des mesures de protection, de réadaptation et de réintégration ainsi que les autres services dont elles ont besoin.</w:t>
      </w:r>
    </w:p>
    <w:p w14:paraId="2ED07588" w14:textId="1531D916" w:rsidR="006A78B2" w:rsidRPr="006A78B2" w:rsidRDefault="006A78B2" w:rsidP="003620D3">
      <w:pPr>
        <w:pStyle w:val="SingleTxt"/>
        <w:numPr>
          <w:ilvl w:val="0"/>
          <w:numId w:val="37"/>
        </w:numPr>
        <w:spacing w:line="240" w:lineRule="exact"/>
        <w:ind w:left="1267"/>
        <w:rPr>
          <w:bCs/>
          <w:lang w:val="fr-FR"/>
        </w:rPr>
      </w:pPr>
      <w:r w:rsidRPr="006A78B2">
        <w:rPr>
          <w:lang w:val="fr-FR"/>
        </w:rPr>
        <w:t>En vertu de la loi sur la protection contre la violence domestique, des ressources sont affectées chaque année au budget du Ministère de la justice. Ce financement est dédié aux projets des personnes morales à but non lucratif dont les activités entre</w:t>
      </w:r>
      <w:r w:rsidR="00946F00">
        <w:rPr>
          <w:lang w:val="fr-FR"/>
        </w:rPr>
        <w:t>nt</w:t>
      </w:r>
      <w:r w:rsidRPr="006A78B2">
        <w:rPr>
          <w:lang w:val="fr-FR"/>
        </w:rPr>
        <w:t xml:space="preserve"> dans le cadre de cette loi. Il s</w:t>
      </w:r>
      <w:r>
        <w:rPr>
          <w:lang w:val="fr-FR"/>
        </w:rPr>
        <w:t>’</w:t>
      </w:r>
      <w:r w:rsidRPr="006A78B2">
        <w:rPr>
          <w:lang w:val="fr-FR"/>
        </w:rPr>
        <w:t>agit notamment de l</w:t>
      </w:r>
      <w:r>
        <w:rPr>
          <w:lang w:val="fr-FR"/>
        </w:rPr>
        <w:t>’</w:t>
      </w:r>
      <w:r w:rsidRPr="006A78B2">
        <w:rPr>
          <w:lang w:val="fr-FR"/>
        </w:rPr>
        <w:t>élaboration et de la mise en œuvre de programmes de prévention et de protection contre la violence domestique.</w:t>
      </w:r>
    </w:p>
    <w:p w14:paraId="0E39A28C" w14:textId="255D738E" w:rsidR="006A78B2" w:rsidRPr="006A78B2" w:rsidRDefault="006A78B2" w:rsidP="003620D3">
      <w:pPr>
        <w:pStyle w:val="SingleTxt"/>
        <w:numPr>
          <w:ilvl w:val="0"/>
          <w:numId w:val="38"/>
        </w:numPr>
        <w:spacing w:line="240" w:lineRule="exact"/>
        <w:ind w:left="1267"/>
        <w:rPr>
          <w:lang w:val="fr-FR"/>
        </w:rPr>
      </w:pPr>
      <w:r w:rsidRPr="006A78B2">
        <w:rPr>
          <w:lang w:val="fr-FR"/>
        </w:rPr>
        <w:t>En 2020, 18 propositions de projets soumises par des ONG ont été approuvées. Le montant total du financement des propositions de projets était d</w:t>
      </w:r>
      <w:r>
        <w:rPr>
          <w:lang w:val="fr-FR"/>
        </w:rPr>
        <w:t>’</w:t>
      </w:r>
      <w:r w:rsidRPr="006A78B2">
        <w:rPr>
          <w:lang w:val="fr-FR"/>
        </w:rPr>
        <w:t>environ 440 000 leva. En 2021, 19 propositions de projets ont été approuvées pour un financement total de 440 000 leva. Les projets ont été mis en œuvre et ont fait l</w:t>
      </w:r>
      <w:r>
        <w:rPr>
          <w:lang w:val="fr-FR"/>
        </w:rPr>
        <w:t>’</w:t>
      </w:r>
      <w:r w:rsidRPr="006A78B2">
        <w:rPr>
          <w:lang w:val="fr-FR"/>
        </w:rPr>
        <w:t>objet d</w:t>
      </w:r>
      <w:r>
        <w:rPr>
          <w:lang w:val="fr-FR"/>
        </w:rPr>
        <w:t>’</w:t>
      </w:r>
      <w:r w:rsidRPr="006A78B2">
        <w:rPr>
          <w:lang w:val="fr-FR"/>
        </w:rPr>
        <w:t>un rapport dans l</w:t>
      </w:r>
      <w:r>
        <w:rPr>
          <w:lang w:val="fr-FR"/>
        </w:rPr>
        <w:t>’</w:t>
      </w:r>
      <w:r w:rsidRPr="006A78B2">
        <w:rPr>
          <w:lang w:val="fr-FR"/>
        </w:rPr>
        <w:t>année. Le service SOS national mis en place pour les victimes de violence domestique a été financé dans le cadre des programmes nationaux de prévention et de protection contre la violence domestique de 2020 et de 2021. Le service est opérationnel et son financement pour 2022 sera assuré dans le cadre du même programme.</w:t>
      </w:r>
    </w:p>
    <w:p w14:paraId="6D23120B" w14:textId="77777777" w:rsidR="003620D3" w:rsidRPr="003620D3" w:rsidRDefault="003620D3" w:rsidP="003620D3">
      <w:pPr>
        <w:pStyle w:val="SingleTxt"/>
        <w:spacing w:after="0" w:line="120" w:lineRule="exact"/>
        <w:rPr>
          <w:b/>
          <w:bCs/>
          <w:sz w:val="10"/>
          <w:lang w:val="fr-FR"/>
        </w:rPr>
      </w:pPr>
    </w:p>
    <w:p w14:paraId="1E8A8A1A" w14:textId="77777777" w:rsidR="003620D3" w:rsidRPr="003620D3" w:rsidRDefault="003620D3" w:rsidP="003620D3">
      <w:pPr>
        <w:pStyle w:val="SingleTxt"/>
        <w:spacing w:after="0" w:line="120" w:lineRule="exact"/>
        <w:rPr>
          <w:b/>
          <w:bCs/>
          <w:sz w:val="10"/>
          <w:lang w:val="fr-FR"/>
        </w:rPr>
      </w:pPr>
    </w:p>
    <w:p w14:paraId="541D9AEB" w14:textId="204BC5EE" w:rsidR="006A78B2" w:rsidRDefault="003620D3" w:rsidP="003620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A78B2" w:rsidRPr="006A78B2">
        <w:rPr>
          <w:lang w:val="fr-FR"/>
        </w:rPr>
        <w:t>II.</w:t>
      </w:r>
      <w:r w:rsidR="006A78B2" w:rsidRPr="006A78B2">
        <w:rPr>
          <w:lang w:val="fr-FR"/>
        </w:rPr>
        <w:tab/>
        <w:t>Renseignements sur la suite donnée à l</w:t>
      </w:r>
      <w:r w:rsidR="006A78B2">
        <w:rPr>
          <w:lang w:val="fr-FR"/>
        </w:rPr>
        <w:t>’</w:t>
      </w:r>
      <w:r w:rsidR="006A78B2" w:rsidRPr="006A78B2">
        <w:rPr>
          <w:lang w:val="fr-FR"/>
        </w:rPr>
        <w:t>alinéa c) du paragraphe 24 des observations finales</w:t>
      </w:r>
      <w:bookmarkStart w:id="2" w:name="_Hlk98092765"/>
    </w:p>
    <w:p w14:paraId="15F50B1D" w14:textId="2BAD2340" w:rsidR="003620D3" w:rsidRPr="003620D3" w:rsidRDefault="003620D3" w:rsidP="003620D3">
      <w:pPr>
        <w:pStyle w:val="SingleTxt"/>
        <w:spacing w:after="0" w:line="120" w:lineRule="exact"/>
        <w:rPr>
          <w:sz w:val="10"/>
          <w:lang w:val="fr-FR"/>
        </w:rPr>
      </w:pPr>
    </w:p>
    <w:p w14:paraId="2C2E17E8" w14:textId="354052E2" w:rsidR="003620D3" w:rsidRPr="003620D3" w:rsidRDefault="003620D3" w:rsidP="003620D3">
      <w:pPr>
        <w:pStyle w:val="SingleTxt"/>
        <w:spacing w:after="0" w:line="120" w:lineRule="exact"/>
        <w:rPr>
          <w:sz w:val="10"/>
          <w:lang w:val="fr-FR"/>
        </w:rPr>
      </w:pPr>
    </w:p>
    <w:bookmarkEnd w:id="2"/>
    <w:p w14:paraId="0ECCFCD8" w14:textId="261790BB" w:rsidR="006A78B2" w:rsidRDefault="006A78B2" w:rsidP="003620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78B2">
        <w:rPr>
          <w:lang w:val="fr-FR"/>
        </w:rPr>
        <w:tab/>
      </w:r>
      <w:r w:rsidRPr="006A78B2">
        <w:rPr>
          <w:lang w:val="fr-FR"/>
        </w:rPr>
        <w:tab/>
        <w:t>Violence à l</w:t>
      </w:r>
      <w:r>
        <w:rPr>
          <w:lang w:val="fr-FR"/>
        </w:rPr>
        <w:t>’</w:t>
      </w:r>
      <w:r w:rsidRPr="006A78B2">
        <w:rPr>
          <w:lang w:val="fr-FR"/>
        </w:rPr>
        <w:t xml:space="preserve">égard des femmes </w:t>
      </w:r>
    </w:p>
    <w:p w14:paraId="7118146C" w14:textId="43D45FCE" w:rsidR="003620D3" w:rsidRPr="003620D3" w:rsidRDefault="003620D3" w:rsidP="003620D3">
      <w:pPr>
        <w:pStyle w:val="SingleTxt"/>
        <w:spacing w:after="0" w:line="120" w:lineRule="exact"/>
        <w:rPr>
          <w:sz w:val="10"/>
          <w:lang w:val="fr-FR"/>
        </w:rPr>
      </w:pPr>
    </w:p>
    <w:p w14:paraId="690CAB48" w14:textId="77777777" w:rsidR="006A78B2" w:rsidRPr="006A78B2" w:rsidRDefault="006A78B2" w:rsidP="003620D3">
      <w:pPr>
        <w:pStyle w:val="SingleTxt"/>
        <w:numPr>
          <w:ilvl w:val="0"/>
          <w:numId w:val="40"/>
        </w:numPr>
        <w:spacing w:line="240" w:lineRule="exact"/>
        <w:ind w:left="1267"/>
        <w:rPr>
          <w:bCs/>
          <w:i/>
          <w:lang w:val="fr-FR"/>
        </w:rPr>
      </w:pPr>
      <w:r w:rsidRPr="006A78B2">
        <w:rPr>
          <w:i/>
          <w:iCs/>
          <w:lang w:val="fr-FR"/>
        </w:rPr>
        <w:t>§ 24 c) De modifier le Code pénal afin de définir le viol conjugal comme une circonstance aggravante</w:t>
      </w:r>
      <w:r w:rsidRPr="006A78B2">
        <w:rPr>
          <w:iCs/>
          <w:lang w:val="fr-FR"/>
        </w:rPr>
        <w:t>.</w:t>
      </w:r>
    </w:p>
    <w:p w14:paraId="2613C791" w14:textId="7AF9651A" w:rsidR="006A78B2" w:rsidRPr="006A78B2" w:rsidRDefault="006A78B2" w:rsidP="003620D3">
      <w:pPr>
        <w:pStyle w:val="SingleTxt"/>
        <w:numPr>
          <w:ilvl w:val="0"/>
          <w:numId w:val="40"/>
        </w:numPr>
        <w:spacing w:line="240" w:lineRule="exact"/>
        <w:ind w:left="1267"/>
        <w:rPr>
          <w:bCs/>
          <w:lang w:val="fr-FR"/>
        </w:rPr>
      </w:pPr>
      <w:r w:rsidRPr="006A78B2">
        <w:rPr>
          <w:lang w:val="fr-FR"/>
        </w:rPr>
        <w:t>En 2019, un groupe de travail interministériel a été créé au Ministère de la justice.</w:t>
      </w:r>
      <w:r>
        <w:rPr>
          <w:lang w:val="fr-FR"/>
        </w:rPr>
        <w:t xml:space="preserve"> </w:t>
      </w:r>
      <w:r w:rsidRPr="006A78B2">
        <w:rPr>
          <w:lang w:val="fr-FR"/>
        </w:rPr>
        <w:t>Un projet de loi amendant et complétant la loi sur la protection contre la violence domestique a été élaboré dans le cadre des activités du groupe de travail. L</w:t>
      </w:r>
      <w:r>
        <w:rPr>
          <w:lang w:val="fr-FR"/>
        </w:rPr>
        <w:t>’</w:t>
      </w:r>
      <w:r w:rsidRPr="006A78B2">
        <w:rPr>
          <w:lang w:val="fr-FR"/>
        </w:rPr>
        <w:t>objectif était d</w:t>
      </w:r>
      <w:r>
        <w:rPr>
          <w:lang w:val="fr-FR"/>
        </w:rPr>
        <w:t>’</w:t>
      </w:r>
      <w:r w:rsidRPr="006A78B2">
        <w:rPr>
          <w:lang w:val="fr-FR"/>
        </w:rPr>
        <w:t>améliorer la législation dans le domaine de la protection contre la violence domestique et d</w:t>
      </w:r>
      <w:r>
        <w:rPr>
          <w:lang w:val="fr-FR"/>
        </w:rPr>
        <w:t>’</w:t>
      </w:r>
      <w:r w:rsidRPr="006A78B2">
        <w:rPr>
          <w:lang w:val="fr-FR"/>
        </w:rPr>
        <w:t>assurer un soutien social aux victimes, ainsi que de l</w:t>
      </w:r>
      <w:r>
        <w:rPr>
          <w:lang w:val="fr-FR"/>
        </w:rPr>
        <w:t>’</w:t>
      </w:r>
      <w:r w:rsidRPr="006A78B2">
        <w:rPr>
          <w:lang w:val="fr-FR"/>
        </w:rPr>
        <w:t xml:space="preserve">harmoniser avec les pratiques législatives européennes. </w:t>
      </w:r>
    </w:p>
    <w:p w14:paraId="5FDBDA6B" w14:textId="77777777" w:rsidR="006A78B2" w:rsidRPr="006A78B2" w:rsidRDefault="006A78B2" w:rsidP="003620D3">
      <w:pPr>
        <w:pStyle w:val="SingleTxt"/>
        <w:numPr>
          <w:ilvl w:val="0"/>
          <w:numId w:val="41"/>
        </w:numPr>
        <w:spacing w:line="240" w:lineRule="exact"/>
        <w:ind w:left="1267"/>
        <w:rPr>
          <w:bCs/>
          <w:lang w:val="fr-FR"/>
        </w:rPr>
      </w:pPr>
      <w:r w:rsidRPr="006A78B2">
        <w:rPr>
          <w:lang w:val="fr-FR"/>
        </w:rPr>
        <w:t>En ce qui concerne les recommandations du Comité, le projet de loi propose également des modifications législatives dans le Code pénal, notamment la suppression du passage « de manière systématique » dans la définition des crimes commis dans des circonstances de violence domestique, la criminalisation explicite du viol conjugal et la criminalisation de toutes les formes de violence économique et psychologique au sein de la famille.</w:t>
      </w:r>
    </w:p>
    <w:p w14:paraId="1057256C" w14:textId="342A7C54" w:rsidR="006A78B2" w:rsidRPr="006A78B2" w:rsidRDefault="006A78B2" w:rsidP="003620D3">
      <w:pPr>
        <w:pStyle w:val="SingleTxt"/>
        <w:numPr>
          <w:ilvl w:val="0"/>
          <w:numId w:val="42"/>
        </w:numPr>
        <w:spacing w:line="240" w:lineRule="exact"/>
        <w:ind w:left="1267"/>
        <w:rPr>
          <w:bCs/>
          <w:lang w:val="fr-FR"/>
        </w:rPr>
      </w:pPr>
      <w:r w:rsidRPr="006A78B2">
        <w:rPr>
          <w:lang w:val="fr-FR"/>
        </w:rPr>
        <w:t>Le projet de texte relatif à la loi sur la protection contre la violence domestique a été soumis à des débats publics entre le 13 et le 27 janvier 2021. En raison de la situation politique</w:t>
      </w:r>
      <w:r w:rsidRPr="006A78B2">
        <w:rPr>
          <w:bCs/>
          <w:vertAlign w:val="superscript"/>
          <w:lang w:val="fr-FR"/>
        </w:rPr>
        <w:footnoteReference w:id="2"/>
      </w:r>
      <w:r w:rsidRPr="006A78B2">
        <w:rPr>
          <w:lang w:val="fr-FR"/>
        </w:rPr>
        <w:t xml:space="preserve"> dans le pays et de la pandémie, les modifications n</w:t>
      </w:r>
      <w:r>
        <w:rPr>
          <w:lang w:val="fr-FR"/>
        </w:rPr>
        <w:t>’</w:t>
      </w:r>
      <w:r w:rsidRPr="006A78B2">
        <w:rPr>
          <w:lang w:val="fr-FR"/>
        </w:rPr>
        <w:t>ont pas pu être adoptées en 2021. Depuis le début de l</w:t>
      </w:r>
      <w:r>
        <w:rPr>
          <w:lang w:val="fr-FR"/>
        </w:rPr>
        <w:t>’</w:t>
      </w:r>
      <w:r w:rsidRPr="006A78B2">
        <w:rPr>
          <w:lang w:val="fr-FR"/>
        </w:rPr>
        <w:t>année 2022, le groupe de travail a repris ses réunions, afin d</w:t>
      </w:r>
      <w:r>
        <w:rPr>
          <w:lang w:val="fr-FR"/>
        </w:rPr>
        <w:t>’</w:t>
      </w:r>
      <w:r w:rsidRPr="006A78B2">
        <w:rPr>
          <w:lang w:val="fr-FR"/>
        </w:rPr>
        <w:t>intégrer les nouvelles bonnes pratiques et idées issues des débats publics. Le texte final du projet de loi devrait être établi sous peu.</w:t>
      </w:r>
    </w:p>
    <w:p w14:paraId="7A435EF2" w14:textId="4B06FBE6" w:rsidR="006A78B2" w:rsidRDefault="003620D3" w:rsidP="003620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6A78B2" w:rsidRPr="006A78B2">
        <w:rPr>
          <w:lang w:val="fr-FR"/>
        </w:rPr>
        <w:t>III.</w:t>
      </w:r>
      <w:r w:rsidR="006A78B2" w:rsidRPr="006A78B2">
        <w:rPr>
          <w:lang w:val="fr-FR"/>
        </w:rPr>
        <w:tab/>
        <w:t>Renseignements sur la suite donnée à l</w:t>
      </w:r>
      <w:r w:rsidR="006A78B2">
        <w:rPr>
          <w:lang w:val="fr-FR"/>
        </w:rPr>
        <w:t>’</w:t>
      </w:r>
      <w:r w:rsidR="006A78B2" w:rsidRPr="006A78B2">
        <w:rPr>
          <w:lang w:val="fr-FR"/>
        </w:rPr>
        <w:t>alinéa c) du paragraphe 34 des observations finales</w:t>
      </w:r>
    </w:p>
    <w:p w14:paraId="65FA72C1" w14:textId="54114BE6" w:rsidR="003620D3" w:rsidRPr="003620D3" w:rsidRDefault="003620D3" w:rsidP="003620D3">
      <w:pPr>
        <w:pStyle w:val="SingleTxt"/>
        <w:spacing w:after="0" w:line="120" w:lineRule="exact"/>
        <w:rPr>
          <w:sz w:val="10"/>
          <w:lang w:val="fr-FR"/>
        </w:rPr>
      </w:pPr>
    </w:p>
    <w:p w14:paraId="3699A513" w14:textId="3F5EA0AB" w:rsidR="003620D3" w:rsidRPr="003620D3" w:rsidRDefault="003620D3" w:rsidP="003620D3">
      <w:pPr>
        <w:pStyle w:val="SingleTxt"/>
        <w:spacing w:after="0" w:line="120" w:lineRule="exact"/>
        <w:rPr>
          <w:sz w:val="10"/>
          <w:lang w:val="fr-FR"/>
        </w:rPr>
      </w:pPr>
    </w:p>
    <w:p w14:paraId="059E6B65" w14:textId="2D816D8A" w:rsidR="006A78B2" w:rsidRDefault="006A78B2" w:rsidP="003620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78B2">
        <w:rPr>
          <w:lang w:val="fr-FR"/>
        </w:rPr>
        <w:tab/>
      </w:r>
      <w:r w:rsidRPr="006A78B2">
        <w:rPr>
          <w:lang w:val="fr-FR"/>
        </w:rPr>
        <w:tab/>
        <w:t xml:space="preserve">Santé </w:t>
      </w:r>
    </w:p>
    <w:p w14:paraId="595405FF" w14:textId="0776F0B1" w:rsidR="003620D3" w:rsidRPr="003620D3" w:rsidRDefault="003620D3" w:rsidP="003620D3">
      <w:pPr>
        <w:pStyle w:val="SingleTxt"/>
        <w:spacing w:after="0" w:line="120" w:lineRule="exact"/>
        <w:rPr>
          <w:sz w:val="10"/>
          <w:lang w:val="fr-FR"/>
        </w:rPr>
      </w:pPr>
    </w:p>
    <w:p w14:paraId="298AB060" w14:textId="77777777" w:rsidR="006A78B2" w:rsidRPr="006A78B2" w:rsidRDefault="006A78B2" w:rsidP="003620D3">
      <w:pPr>
        <w:pStyle w:val="SingleTxt"/>
        <w:numPr>
          <w:ilvl w:val="0"/>
          <w:numId w:val="44"/>
        </w:numPr>
        <w:spacing w:line="240" w:lineRule="exact"/>
        <w:ind w:left="1267"/>
        <w:rPr>
          <w:bCs/>
          <w:i/>
          <w:lang w:val="fr-FR"/>
        </w:rPr>
      </w:pPr>
      <w:r w:rsidRPr="006A78B2">
        <w:rPr>
          <w:i/>
          <w:iCs/>
          <w:lang w:val="fr-FR"/>
        </w:rPr>
        <w:t>§ 34 c) De renforcer la mise en œuvre des programmes de santé, notamment des programmes de sensibilisation inclusifs, afin de faire en sorte que toutes les femmes et les filles, y compris celles qui appartiennent à des groupes défavorisés ou vivent dans des zones rurales, aient accès à des méthodes contraceptives modernes et abordables</w:t>
      </w:r>
      <w:r w:rsidRPr="006A78B2">
        <w:rPr>
          <w:iCs/>
          <w:lang w:val="fr-FR"/>
        </w:rPr>
        <w:t>.</w:t>
      </w:r>
    </w:p>
    <w:p w14:paraId="489D0C92" w14:textId="08B88C26" w:rsidR="006A78B2" w:rsidRPr="006A78B2" w:rsidRDefault="006A78B2" w:rsidP="003620D3">
      <w:pPr>
        <w:pStyle w:val="SingleTxt"/>
        <w:numPr>
          <w:ilvl w:val="0"/>
          <w:numId w:val="44"/>
        </w:numPr>
        <w:spacing w:line="240" w:lineRule="exact"/>
        <w:ind w:left="1267"/>
        <w:rPr>
          <w:bCs/>
          <w:lang w:val="fr-FR"/>
        </w:rPr>
      </w:pPr>
      <w:r w:rsidRPr="006A78B2">
        <w:rPr>
          <w:lang w:val="fr-FR"/>
        </w:rPr>
        <w:t>Le Ministère de la santé est bénéficiaire du projet « Santé pour tous » dans le cadre du programme « Développement local, réduction de la pauvreté et meilleure inclusion des groupes vulnérables », financé par le mécanisme de financement de l</w:t>
      </w:r>
      <w:r>
        <w:rPr>
          <w:lang w:val="fr-FR"/>
        </w:rPr>
        <w:t>’</w:t>
      </w:r>
      <w:r w:rsidRPr="006A78B2">
        <w:rPr>
          <w:lang w:val="fr-FR"/>
        </w:rPr>
        <w:t>Espace économique européen (2014-2021). Le projet devrait être exécuté du 1</w:t>
      </w:r>
      <w:r w:rsidRPr="006A78B2">
        <w:rPr>
          <w:vertAlign w:val="superscript"/>
          <w:lang w:val="fr-FR"/>
        </w:rPr>
        <w:t>er</w:t>
      </w:r>
      <w:r w:rsidR="003620D3">
        <w:rPr>
          <w:lang w:val="fr-FR"/>
        </w:rPr>
        <w:t> </w:t>
      </w:r>
      <w:r w:rsidRPr="006A78B2">
        <w:rPr>
          <w:lang w:val="fr-FR"/>
        </w:rPr>
        <w:t>novembre 2021 au 30 avril 2024.</w:t>
      </w:r>
    </w:p>
    <w:p w14:paraId="4BF811A2" w14:textId="47F28E7C" w:rsidR="006A78B2" w:rsidRPr="006A78B2" w:rsidRDefault="006A78B2" w:rsidP="003620D3">
      <w:pPr>
        <w:pStyle w:val="SingleTxt"/>
        <w:numPr>
          <w:ilvl w:val="0"/>
          <w:numId w:val="45"/>
        </w:numPr>
        <w:spacing w:line="240" w:lineRule="exact"/>
        <w:ind w:left="1267"/>
        <w:rPr>
          <w:bCs/>
          <w:lang w:val="fr-FR"/>
        </w:rPr>
      </w:pPr>
      <w:r w:rsidRPr="006A78B2">
        <w:rPr>
          <w:lang w:val="fr-FR"/>
        </w:rPr>
        <w:t>Le projet répond à la nécessité d</w:t>
      </w:r>
      <w:r>
        <w:rPr>
          <w:lang w:val="fr-FR"/>
        </w:rPr>
        <w:t>’</w:t>
      </w:r>
      <w:r w:rsidRPr="006A78B2">
        <w:rPr>
          <w:lang w:val="fr-FR"/>
        </w:rPr>
        <w:t>améliorer l</w:t>
      </w:r>
      <w:r>
        <w:rPr>
          <w:lang w:val="fr-FR"/>
        </w:rPr>
        <w:t>’</w:t>
      </w:r>
      <w:r w:rsidRPr="006A78B2">
        <w:rPr>
          <w:lang w:val="fr-FR"/>
        </w:rPr>
        <w:t>état d</w:t>
      </w:r>
      <w:r>
        <w:rPr>
          <w:lang w:val="fr-FR"/>
        </w:rPr>
        <w:t>’</w:t>
      </w:r>
      <w:r w:rsidRPr="006A78B2">
        <w:rPr>
          <w:lang w:val="fr-FR"/>
        </w:rPr>
        <w:t>application et la mise en œuvre de la politique sanitaire nationale dans les endroits où vivent des communautés en situation de pauvreté. L</w:t>
      </w:r>
      <w:r>
        <w:rPr>
          <w:lang w:val="fr-FR"/>
        </w:rPr>
        <w:t>’</w:t>
      </w:r>
      <w:r w:rsidRPr="006A78B2">
        <w:rPr>
          <w:lang w:val="fr-FR"/>
        </w:rPr>
        <w:t>exécution du projet viendra en complément des mesures prises dans le cadre du programme national pour l</w:t>
      </w:r>
      <w:r>
        <w:rPr>
          <w:lang w:val="fr-FR"/>
        </w:rPr>
        <w:t>’</w:t>
      </w:r>
      <w:r w:rsidRPr="006A78B2">
        <w:rPr>
          <w:lang w:val="fr-FR"/>
        </w:rPr>
        <w:t>amélioration de la santé de la mère et de l</w:t>
      </w:r>
      <w:r>
        <w:rPr>
          <w:lang w:val="fr-FR"/>
        </w:rPr>
        <w:t>’</w:t>
      </w:r>
      <w:r w:rsidRPr="006A78B2">
        <w:rPr>
          <w:lang w:val="fr-FR"/>
        </w:rPr>
        <w:t>enfant (2021-2030) et du programme national de prévention et de contrôle du VIH et des infections sexuellement transmissibles (2021-2025), et permettra de renforcer la coordination entre les autorités nationales et locales.</w:t>
      </w:r>
    </w:p>
    <w:p w14:paraId="06C95077" w14:textId="4CA281A6" w:rsidR="006A78B2" w:rsidRPr="006A78B2" w:rsidRDefault="006A78B2" w:rsidP="003620D3">
      <w:pPr>
        <w:pStyle w:val="SingleTxt"/>
        <w:numPr>
          <w:ilvl w:val="0"/>
          <w:numId w:val="46"/>
        </w:numPr>
        <w:spacing w:line="240" w:lineRule="exact"/>
        <w:ind w:left="1267"/>
        <w:rPr>
          <w:bCs/>
          <w:lang w:val="fr-FR"/>
        </w:rPr>
      </w:pPr>
      <w:r w:rsidRPr="006A78B2">
        <w:rPr>
          <w:lang w:val="fr-FR"/>
        </w:rPr>
        <w:t>Dans le cadre de l</w:t>
      </w:r>
      <w:r>
        <w:rPr>
          <w:lang w:val="fr-FR"/>
        </w:rPr>
        <w:t>’</w:t>
      </w:r>
      <w:r w:rsidRPr="006A78B2">
        <w:rPr>
          <w:lang w:val="fr-FR"/>
        </w:rPr>
        <w:t>exécution du projet, le Ministère de la santé travaille en collaboration avec l</w:t>
      </w:r>
      <w:r>
        <w:rPr>
          <w:lang w:val="fr-FR"/>
        </w:rPr>
        <w:t>’</w:t>
      </w:r>
      <w:r w:rsidRPr="006A78B2">
        <w:rPr>
          <w:lang w:val="fr-FR"/>
        </w:rPr>
        <w:t>association « National Network of Health Mediators », qui regroupe et forme les médiateurs de santé, coordonne leurs activités dans tout le pays et en assurent le suivi. Les médiateurs s</w:t>
      </w:r>
      <w:r>
        <w:rPr>
          <w:lang w:val="fr-FR"/>
        </w:rPr>
        <w:t>’</w:t>
      </w:r>
      <w:r w:rsidRPr="006A78B2">
        <w:rPr>
          <w:lang w:val="fr-FR"/>
        </w:rPr>
        <w:t>emploient à trouver des mécanismes permettant d</w:t>
      </w:r>
      <w:r>
        <w:rPr>
          <w:lang w:val="fr-FR"/>
        </w:rPr>
        <w:t>’</w:t>
      </w:r>
      <w:r w:rsidRPr="006A78B2">
        <w:rPr>
          <w:lang w:val="fr-FR"/>
        </w:rPr>
        <w:t>établir une meilleure communication entre les groupes à risque et les institutions de santé au niveau local.</w:t>
      </w:r>
    </w:p>
    <w:p w14:paraId="7420AC2F" w14:textId="479512A2" w:rsidR="006A78B2" w:rsidRPr="006A78B2" w:rsidRDefault="006A78B2" w:rsidP="003620D3">
      <w:pPr>
        <w:pStyle w:val="SingleTxt"/>
        <w:numPr>
          <w:ilvl w:val="0"/>
          <w:numId w:val="47"/>
        </w:numPr>
        <w:spacing w:line="240" w:lineRule="exact"/>
        <w:ind w:left="1267"/>
        <w:rPr>
          <w:bCs/>
          <w:lang w:val="fr-FR"/>
        </w:rPr>
      </w:pPr>
      <w:r w:rsidRPr="006A78B2">
        <w:rPr>
          <w:lang w:val="fr-FR"/>
        </w:rPr>
        <w:t>En outre, avec la décision n</w:t>
      </w:r>
      <w:r w:rsidRPr="006A78B2">
        <w:rPr>
          <w:vertAlign w:val="superscript"/>
          <w:lang w:val="fr-FR"/>
        </w:rPr>
        <w:t>o</w:t>
      </w:r>
      <w:r w:rsidRPr="006A78B2">
        <w:rPr>
          <w:lang w:val="fr-FR"/>
        </w:rPr>
        <w:t xml:space="preserve"> 333 du 9 avril 2021 du Conseil des ministres de la République de Bulgarie, un plan d</w:t>
      </w:r>
      <w:r>
        <w:rPr>
          <w:lang w:val="fr-FR"/>
        </w:rPr>
        <w:t>’</w:t>
      </w:r>
      <w:r w:rsidRPr="006A78B2">
        <w:rPr>
          <w:lang w:val="fr-FR"/>
        </w:rPr>
        <w:t>action pour la période 2021-2023 a été adopté dans le cadre du programme national pour l</w:t>
      </w:r>
      <w:r>
        <w:rPr>
          <w:lang w:val="fr-FR"/>
        </w:rPr>
        <w:t>’</w:t>
      </w:r>
      <w:r w:rsidRPr="006A78B2">
        <w:rPr>
          <w:lang w:val="fr-FR"/>
        </w:rPr>
        <w:t>amélioration de la santé de la mère et de l</w:t>
      </w:r>
      <w:r>
        <w:rPr>
          <w:lang w:val="fr-FR"/>
        </w:rPr>
        <w:t>’</w:t>
      </w:r>
      <w:r w:rsidRPr="006A78B2">
        <w:rPr>
          <w:lang w:val="fr-FR"/>
        </w:rPr>
        <w:t>enfant. D</w:t>
      </w:r>
      <w:r>
        <w:rPr>
          <w:lang w:val="fr-FR"/>
        </w:rPr>
        <w:t>’</w:t>
      </w:r>
      <w:r w:rsidRPr="006A78B2">
        <w:rPr>
          <w:lang w:val="fr-FR"/>
        </w:rPr>
        <w:t>importantes activités sont menées pour sensibiliser le public aux questions liées à la santé reproductive, à la planification familiale, à la grossesse, à l</w:t>
      </w:r>
      <w:r>
        <w:rPr>
          <w:lang w:val="fr-FR"/>
        </w:rPr>
        <w:t>’</w:t>
      </w:r>
      <w:r w:rsidRPr="006A78B2">
        <w:rPr>
          <w:lang w:val="fr-FR"/>
        </w:rPr>
        <w:t>accouchement et à la garde des enfants.</w:t>
      </w:r>
    </w:p>
    <w:p w14:paraId="247A87CE" w14:textId="29D32452" w:rsidR="006A78B2" w:rsidRPr="006A78B2" w:rsidRDefault="006A78B2" w:rsidP="003620D3">
      <w:pPr>
        <w:pStyle w:val="SingleTxt"/>
        <w:numPr>
          <w:ilvl w:val="0"/>
          <w:numId w:val="48"/>
        </w:numPr>
        <w:spacing w:line="240" w:lineRule="exact"/>
        <w:ind w:left="1267"/>
        <w:rPr>
          <w:lang w:val="fr-FR"/>
        </w:rPr>
      </w:pPr>
      <w:r w:rsidRPr="006A78B2">
        <w:rPr>
          <w:lang w:val="fr-FR"/>
        </w:rPr>
        <w:t>Parmi les mesures prises, on peut citer la facilitation de l</w:t>
      </w:r>
      <w:r>
        <w:rPr>
          <w:lang w:val="fr-FR"/>
        </w:rPr>
        <w:t>’</w:t>
      </w:r>
      <w:r w:rsidRPr="006A78B2">
        <w:rPr>
          <w:lang w:val="fr-FR"/>
        </w:rPr>
        <w:t>accès aux soins et aux services de santé pour tous les citoyens bulgares, une attention particulière étant accordée aux populations vulnérables.</w:t>
      </w:r>
    </w:p>
    <w:p w14:paraId="5EB26F2D" w14:textId="7ADC121B" w:rsidR="009365FE" w:rsidRPr="006A78B2" w:rsidRDefault="006A78B2" w:rsidP="006A78B2">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67AF8CA5" wp14:editId="735CF7AD">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3DF14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9365FE" w:rsidRPr="006A78B2" w:rsidSect="003620D3">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8T10:59:00Z" w:initials="Start">
    <w:p w14:paraId="403A0E78" w14:textId="77777777" w:rsidR="009365FE" w:rsidRPr="006A78B2" w:rsidRDefault="009365FE">
      <w:pPr>
        <w:pStyle w:val="CommentText"/>
        <w:rPr>
          <w:lang w:val="en-US"/>
        </w:rPr>
      </w:pPr>
      <w:r>
        <w:rPr>
          <w:rStyle w:val="CommentReference"/>
        </w:rPr>
        <w:annotationRef/>
      </w:r>
      <w:r w:rsidRPr="006A78B2">
        <w:rPr>
          <w:lang w:val="en-US"/>
        </w:rPr>
        <w:t>&lt;&lt;ODS JOB NO&gt;&gt;N2228614F&lt;&lt;ODS JOB NO&gt;&gt;</w:t>
      </w:r>
    </w:p>
    <w:p w14:paraId="457DABA0" w14:textId="77777777" w:rsidR="009365FE" w:rsidRDefault="009365FE">
      <w:pPr>
        <w:pStyle w:val="CommentText"/>
      </w:pPr>
      <w:r>
        <w:t>&lt;&lt;ODS DOC SYMBOL1&gt;&gt;CEDAW/C/BGR/FCO/8&lt;&lt;ODS DOC SYMBOL1&gt;&gt;</w:t>
      </w:r>
    </w:p>
    <w:p w14:paraId="14FA4C73" w14:textId="012DEDCC" w:rsidR="009365FE" w:rsidRDefault="009365F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4FA4C7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EE488" w16cex:dateUtc="2022-03-18T14: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FA4C73" w16cid:durableId="25DEE48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A30EE" w14:textId="77777777" w:rsidR="009E49FB" w:rsidRDefault="009E49FB" w:rsidP="00101B18">
      <w:pPr>
        <w:spacing w:line="240" w:lineRule="auto"/>
      </w:pPr>
      <w:r>
        <w:separator/>
      </w:r>
    </w:p>
  </w:endnote>
  <w:endnote w:type="continuationSeparator" w:id="0">
    <w:p w14:paraId="73276A6F" w14:textId="77777777" w:rsidR="009E49FB" w:rsidRDefault="009E49FB"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365FE" w14:paraId="0FEF67EC" w14:textId="77777777" w:rsidTr="009365FE">
      <w:tblPrEx>
        <w:tblCellMar>
          <w:top w:w="0" w:type="dxa"/>
          <w:bottom w:w="0" w:type="dxa"/>
        </w:tblCellMar>
      </w:tblPrEx>
      <w:tc>
        <w:tcPr>
          <w:tcW w:w="4920" w:type="dxa"/>
          <w:shd w:val="clear" w:color="auto" w:fill="auto"/>
        </w:tcPr>
        <w:p w14:paraId="62BCB5D7" w14:textId="40EE7CA6" w:rsidR="009365FE" w:rsidRPr="009365FE" w:rsidRDefault="009365FE" w:rsidP="009365F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3045A">
            <w:rPr>
              <w:b w:val="0"/>
              <w:w w:val="103"/>
              <w:sz w:val="14"/>
            </w:rPr>
            <w:t>22-03722</w:t>
          </w:r>
          <w:r>
            <w:rPr>
              <w:b w:val="0"/>
              <w:w w:val="103"/>
              <w:sz w:val="14"/>
            </w:rPr>
            <w:fldChar w:fldCharType="end"/>
          </w:r>
        </w:p>
      </w:tc>
      <w:tc>
        <w:tcPr>
          <w:tcW w:w="4920" w:type="dxa"/>
          <w:shd w:val="clear" w:color="auto" w:fill="auto"/>
        </w:tcPr>
        <w:p w14:paraId="7C98E0A7" w14:textId="238BEC3B" w:rsidR="009365FE" w:rsidRPr="009365FE" w:rsidRDefault="009365FE" w:rsidP="009365F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8EF7B95" w14:textId="77777777" w:rsidR="009365FE" w:rsidRPr="009365FE" w:rsidRDefault="009365FE" w:rsidP="009365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365FE" w14:paraId="6C178D69" w14:textId="77777777" w:rsidTr="009365FE">
      <w:tblPrEx>
        <w:tblCellMar>
          <w:top w:w="0" w:type="dxa"/>
          <w:bottom w:w="0" w:type="dxa"/>
        </w:tblCellMar>
      </w:tblPrEx>
      <w:tc>
        <w:tcPr>
          <w:tcW w:w="4920" w:type="dxa"/>
          <w:shd w:val="clear" w:color="auto" w:fill="auto"/>
        </w:tcPr>
        <w:p w14:paraId="4FF53458" w14:textId="6BB496F4" w:rsidR="009365FE" w:rsidRPr="009365FE" w:rsidRDefault="009365FE" w:rsidP="009365FE">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CE5EF3C" w14:textId="215F546D" w:rsidR="009365FE" w:rsidRPr="009365FE" w:rsidRDefault="009365FE" w:rsidP="009365F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3045A">
            <w:rPr>
              <w:b w:val="0"/>
              <w:w w:val="103"/>
              <w:sz w:val="14"/>
            </w:rPr>
            <w:t>22-03722</w:t>
          </w:r>
          <w:r>
            <w:rPr>
              <w:b w:val="0"/>
              <w:w w:val="103"/>
              <w:sz w:val="14"/>
            </w:rPr>
            <w:fldChar w:fldCharType="end"/>
          </w:r>
        </w:p>
      </w:tc>
    </w:tr>
  </w:tbl>
  <w:p w14:paraId="0735019A" w14:textId="77777777" w:rsidR="009365FE" w:rsidRPr="009365FE" w:rsidRDefault="009365FE" w:rsidP="009365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BD933" w14:textId="66C820F1" w:rsidR="009365FE" w:rsidRDefault="009365FE">
    <w:pPr>
      <w:pStyle w:val="Footer"/>
    </w:pPr>
    <w:r>
      <w:rPr>
        <w:noProof/>
      </w:rPr>
      <w:drawing>
        <wp:anchor distT="0" distB="0" distL="114300" distR="114300" simplePos="0" relativeHeight="251658240" behindDoc="0" locked="0" layoutInCell="1" allowOverlap="1" wp14:anchorId="5FC75FE2" wp14:editId="2537A2E3">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365FE" w14:paraId="0FDEBAA4" w14:textId="77777777" w:rsidTr="009365FE">
      <w:tblPrEx>
        <w:tblCellMar>
          <w:top w:w="0" w:type="dxa"/>
          <w:bottom w:w="0" w:type="dxa"/>
        </w:tblCellMar>
      </w:tblPrEx>
      <w:tc>
        <w:tcPr>
          <w:tcW w:w="3758" w:type="dxa"/>
        </w:tcPr>
        <w:p w14:paraId="1723107D" w14:textId="08F673BA" w:rsidR="009365FE" w:rsidRDefault="009365FE" w:rsidP="009365F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3045A">
            <w:rPr>
              <w:b w:val="0"/>
              <w:sz w:val="20"/>
            </w:rPr>
            <w:t>22-03722 (F)</w:t>
          </w:r>
          <w:r>
            <w:rPr>
              <w:b w:val="0"/>
              <w:sz w:val="20"/>
            </w:rPr>
            <w:fldChar w:fldCharType="end"/>
          </w:r>
          <w:r>
            <w:rPr>
              <w:b w:val="0"/>
              <w:sz w:val="20"/>
            </w:rPr>
            <w:t xml:space="preserve">    180322    </w:t>
          </w:r>
          <w:r w:rsidR="003620D3">
            <w:rPr>
              <w:b w:val="0"/>
              <w:sz w:val="20"/>
            </w:rPr>
            <w:t>25</w:t>
          </w:r>
          <w:r>
            <w:rPr>
              <w:b w:val="0"/>
              <w:sz w:val="20"/>
            </w:rPr>
            <w:t>0322</w:t>
          </w:r>
        </w:p>
        <w:p w14:paraId="6EDC4B9F" w14:textId="4969BFFF" w:rsidR="009365FE" w:rsidRPr="009365FE" w:rsidRDefault="009365FE" w:rsidP="009365F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3045A">
            <w:rPr>
              <w:rFonts w:ascii="Barcode 3 of 9 by request" w:hAnsi="Barcode 3 of 9 by request"/>
              <w:spacing w:val="0"/>
              <w:w w:val="100"/>
              <w:sz w:val="24"/>
            </w:rPr>
            <w:t>*2203722*</w:t>
          </w:r>
          <w:r>
            <w:rPr>
              <w:rFonts w:ascii="Barcode 3 of 9 by request" w:hAnsi="Barcode 3 of 9 by request"/>
              <w:spacing w:val="0"/>
              <w:w w:val="100"/>
              <w:sz w:val="24"/>
            </w:rPr>
            <w:fldChar w:fldCharType="end"/>
          </w:r>
        </w:p>
      </w:tc>
      <w:tc>
        <w:tcPr>
          <w:tcW w:w="4920" w:type="dxa"/>
        </w:tcPr>
        <w:p w14:paraId="144E033B" w14:textId="210DAE06" w:rsidR="009365FE" w:rsidRDefault="009365FE" w:rsidP="009365FE">
          <w:pPr>
            <w:pStyle w:val="Footer"/>
            <w:spacing w:line="240" w:lineRule="atLeast"/>
            <w:jc w:val="right"/>
            <w:rPr>
              <w:b w:val="0"/>
              <w:sz w:val="20"/>
            </w:rPr>
          </w:pPr>
          <w:r>
            <w:rPr>
              <w:b w:val="0"/>
              <w:noProof/>
              <w:sz w:val="20"/>
            </w:rPr>
            <w:drawing>
              <wp:inline distT="0" distB="0" distL="0" distR="0" wp14:anchorId="24D9E83C" wp14:editId="13B74BE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5957877" w14:textId="77777777" w:rsidR="009365FE" w:rsidRPr="009365FE" w:rsidRDefault="009365FE" w:rsidP="009365F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C488A" w14:textId="380358F5" w:rsidR="009E49FB" w:rsidRPr="003620D3" w:rsidRDefault="003620D3" w:rsidP="003620D3">
      <w:pPr>
        <w:pStyle w:val="Footer"/>
        <w:spacing w:after="80"/>
        <w:ind w:left="792"/>
        <w:rPr>
          <w:sz w:val="16"/>
        </w:rPr>
      </w:pPr>
      <w:r w:rsidRPr="003620D3">
        <w:rPr>
          <w:sz w:val="16"/>
        </w:rPr>
        <w:t>__________________</w:t>
      </w:r>
    </w:p>
  </w:footnote>
  <w:footnote w:type="continuationSeparator" w:id="0">
    <w:p w14:paraId="0D3D2B7E" w14:textId="72B371CD" w:rsidR="009E49FB" w:rsidRPr="003620D3" w:rsidRDefault="003620D3" w:rsidP="003620D3">
      <w:pPr>
        <w:pStyle w:val="Footer"/>
        <w:spacing w:after="80"/>
        <w:ind w:left="792"/>
        <w:rPr>
          <w:sz w:val="16"/>
        </w:rPr>
      </w:pPr>
      <w:r w:rsidRPr="003620D3">
        <w:rPr>
          <w:sz w:val="16"/>
        </w:rPr>
        <w:t>__________________</w:t>
      </w:r>
    </w:p>
  </w:footnote>
  <w:footnote w:id="1">
    <w:p w14:paraId="0BB89FB7" w14:textId="77777777" w:rsidR="006A78B2" w:rsidRPr="003620D3" w:rsidRDefault="006A78B2" w:rsidP="003620D3">
      <w:pPr>
        <w:pStyle w:val="FootnoteText"/>
        <w:tabs>
          <w:tab w:val="right" w:pos="1195"/>
          <w:tab w:val="left" w:pos="1267"/>
          <w:tab w:val="left" w:pos="1742"/>
          <w:tab w:val="left" w:pos="2218"/>
          <w:tab w:val="left" w:pos="2693"/>
        </w:tabs>
        <w:ind w:left="1267" w:right="1260" w:hanging="576"/>
        <w:rPr>
          <w:lang w:val="fr-FR"/>
        </w:rPr>
      </w:pPr>
      <w:r>
        <w:rPr>
          <w:rFonts w:ascii="Cambria" w:hAnsi="Cambria"/>
          <w:lang w:val="fr-FR"/>
        </w:rPr>
        <w:tab/>
      </w:r>
      <w:r w:rsidRPr="003620D3">
        <w:rPr>
          <w:rStyle w:val="FootnoteReference"/>
          <w:spacing w:val="4"/>
          <w:lang w:val="fr-FR"/>
        </w:rPr>
        <w:footnoteRef/>
      </w:r>
      <w:r w:rsidRPr="003620D3">
        <w:rPr>
          <w:lang w:val="fr-FR"/>
        </w:rPr>
        <w:tab/>
        <w:t>Pour la Bulgarie, le terme « égalité des genres » signifie « égalité entre les femmes et les hommes ».</w:t>
      </w:r>
    </w:p>
  </w:footnote>
  <w:footnote w:id="2">
    <w:p w14:paraId="44D3D399" w14:textId="6940288D" w:rsidR="006A78B2" w:rsidRPr="003620D3" w:rsidRDefault="006A78B2" w:rsidP="003620D3">
      <w:pPr>
        <w:pStyle w:val="FootnoteText"/>
        <w:tabs>
          <w:tab w:val="right" w:pos="1195"/>
          <w:tab w:val="left" w:pos="1267"/>
          <w:tab w:val="left" w:pos="1742"/>
          <w:tab w:val="left" w:pos="2218"/>
          <w:tab w:val="left" w:pos="2693"/>
        </w:tabs>
        <w:ind w:left="1267" w:right="1260" w:hanging="576"/>
        <w:rPr>
          <w:lang w:val="fr-FR"/>
        </w:rPr>
      </w:pPr>
      <w:r>
        <w:rPr>
          <w:lang w:val="fr-FR"/>
        </w:rPr>
        <w:tab/>
      </w:r>
      <w:r w:rsidRPr="003620D3">
        <w:rPr>
          <w:rStyle w:val="FootnoteReference"/>
          <w:spacing w:val="4"/>
          <w:lang w:val="fr-FR"/>
        </w:rPr>
        <w:footnoteRef/>
      </w:r>
      <w:r w:rsidRPr="003620D3">
        <w:rPr>
          <w:lang w:val="fr-FR"/>
        </w:rPr>
        <w:tab/>
        <w:t>En 2021, un tour d</w:t>
      </w:r>
      <w:r w:rsidRPr="003620D3">
        <w:rPr>
          <w:lang w:val="fr-FR"/>
        </w:rPr>
        <w:t>’</w:t>
      </w:r>
      <w:r w:rsidRPr="003620D3">
        <w:rPr>
          <w:lang w:val="fr-FR"/>
        </w:rPr>
        <w:t>élections législatives régulières, deux tours d</w:t>
      </w:r>
      <w:r w:rsidRPr="003620D3">
        <w:rPr>
          <w:lang w:val="fr-FR"/>
        </w:rPr>
        <w:t>’</w:t>
      </w:r>
      <w:r w:rsidRPr="003620D3">
        <w:rPr>
          <w:lang w:val="fr-FR"/>
        </w:rPr>
        <w:t>élections législatives anticipées et deux tours de l</w:t>
      </w:r>
      <w:r w:rsidRPr="003620D3">
        <w:rPr>
          <w:lang w:val="fr-FR"/>
        </w:rPr>
        <w:t>’</w:t>
      </w:r>
      <w:r w:rsidRPr="003620D3">
        <w:rPr>
          <w:lang w:val="fr-FR"/>
        </w:rPr>
        <w:t xml:space="preserve">élection présidentielle ont eu lieu.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365FE" w14:paraId="4F822F10" w14:textId="77777777" w:rsidTr="009365FE">
      <w:tblPrEx>
        <w:tblCellMar>
          <w:top w:w="0" w:type="dxa"/>
          <w:bottom w:w="0" w:type="dxa"/>
        </w:tblCellMar>
      </w:tblPrEx>
      <w:trPr>
        <w:trHeight w:hRule="exact" w:val="864"/>
      </w:trPr>
      <w:tc>
        <w:tcPr>
          <w:tcW w:w="4920" w:type="dxa"/>
          <w:shd w:val="clear" w:color="auto" w:fill="auto"/>
          <w:vAlign w:val="bottom"/>
        </w:tcPr>
        <w:p w14:paraId="0AD8721C" w14:textId="679EE9EE" w:rsidR="009365FE" w:rsidRPr="009365FE" w:rsidRDefault="009365FE" w:rsidP="009365F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3045A">
            <w:rPr>
              <w:b/>
              <w:color w:val="000000"/>
            </w:rPr>
            <w:t>CEDAW/C/BGR/FCO/8</w:t>
          </w:r>
          <w:r>
            <w:rPr>
              <w:b/>
              <w:color w:val="000000"/>
            </w:rPr>
            <w:fldChar w:fldCharType="end"/>
          </w:r>
        </w:p>
      </w:tc>
      <w:tc>
        <w:tcPr>
          <w:tcW w:w="4920" w:type="dxa"/>
          <w:shd w:val="clear" w:color="auto" w:fill="auto"/>
          <w:vAlign w:val="bottom"/>
        </w:tcPr>
        <w:p w14:paraId="2C9E49CE" w14:textId="77777777" w:rsidR="009365FE" w:rsidRDefault="009365FE" w:rsidP="009365FE">
          <w:pPr>
            <w:pStyle w:val="Header"/>
          </w:pPr>
        </w:p>
      </w:tc>
    </w:tr>
  </w:tbl>
  <w:p w14:paraId="0613DF04" w14:textId="77777777" w:rsidR="009365FE" w:rsidRPr="009365FE" w:rsidRDefault="009365FE" w:rsidP="009365F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365FE" w14:paraId="20FC622C" w14:textId="77777777" w:rsidTr="009365FE">
      <w:tblPrEx>
        <w:tblCellMar>
          <w:top w:w="0" w:type="dxa"/>
          <w:bottom w:w="0" w:type="dxa"/>
        </w:tblCellMar>
      </w:tblPrEx>
      <w:trPr>
        <w:trHeight w:hRule="exact" w:val="864"/>
      </w:trPr>
      <w:tc>
        <w:tcPr>
          <w:tcW w:w="4920" w:type="dxa"/>
          <w:shd w:val="clear" w:color="auto" w:fill="auto"/>
          <w:vAlign w:val="bottom"/>
        </w:tcPr>
        <w:p w14:paraId="4ECB5781" w14:textId="77777777" w:rsidR="009365FE" w:rsidRDefault="009365FE" w:rsidP="009365FE">
          <w:pPr>
            <w:pStyle w:val="Header"/>
          </w:pPr>
        </w:p>
      </w:tc>
      <w:tc>
        <w:tcPr>
          <w:tcW w:w="4920" w:type="dxa"/>
          <w:shd w:val="clear" w:color="auto" w:fill="auto"/>
          <w:vAlign w:val="bottom"/>
        </w:tcPr>
        <w:p w14:paraId="69E8BF36" w14:textId="34AFB9EC" w:rsidR="009365FE" w:rsidRPr="009365FE" w:rsidRDefault="009365FE" w:rsidP="009365F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3045A">
            <w:rPr>
              <w:b/>
              <w:color w:val="000000"/>
            </w:rPr>
            <w:t>CEDAW/C/BGR/FCO/8</w:t>
          </w:r>
          <w:r>
            <w:rPr>
              <w:b/>
              <w:color w:val="000000"/>
            </w:rPr>
            <w:fldChar w:fldCharType="end"/>
          </w:r>
        </w:p>
      </w:tc>
    </w:tr>
  </w:tbl>
  <w:p w14:paraId="4E28B372" w14:textId="77777777" w:rsidR="009365FE" w:rsidRPr="009365FE" w:rsidRDefault="009365FE" w:rsidP="009365F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365FE" w14:paraId="2E48B187" w14:textId="77777777" w:rsidTr="009365F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3F2A70CE" w14:textId="77777777" w:rsidR="009365FE" w:rsidRDefault="009365FE" w:rsidP="009365FE">
          <w:pPr>
            <w:pStyle w:val="Header"/>
            <w:spacing w:after="120"/>
          </w:pPr>
        </w:p>
      </w:tc>
      <w:tc>
        <w:tcPr>
          <w:tcW w:w="2059" w:type="dxa"/>
          <w:tcBorders>
            <w:bottom w:val="single" w:sz="4" w:space="0" w:color="auto"/>
          </w:tcBorders>
          <w:shd w:val="clear" w:color="auto" w:fill="auto"/>
          <w:vAlign w:val="bottom"/>
        </w:tcPr>
        <w:p w14:paraId="5A367569" w14:textId="5A0FB245" w:rsidR="009365FE" w:rsidRPr="009365FE" w:rsidRDefault="009365FE" w:rsidP="009365F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6433088" w14:textId="77777777" w:rsidR="009365FE" w:rsidRDefault="009365FE" w:rsidP="009365FE">
          <w:pPr>
            <w:pStyle w:val="Header"/>
            <w:spacing w:after="120"/>
          </w:pPr>
        </w:p>
      </w:tc>
      <w:tc>
        <w:tcPr>
          <w:tcW w:w="6466" w:type="dxa"/>
          <w:gridSpan w:val="3"/>
          <w:tcBorders>
            <w:bottom w:val="single" w:sz="4" w:space="0" w:color="auto"/>
          </w:tcBorders>
          <w:shd w:val="clear" w:color="auto" w:fill="auto"/>
          <w:vAlign w:val="bottom"/>
        </w:tcPr>
        <w:p w14:paraId="0AA9C71F" w14:textId="02E834E0" w:rsidR="009365FE" w:rsidRPr="009365FE" w:rsidRDefault="009365FE" w:rsidP="009365FE">
          <w:pPr>
            <w:spacing w:after="80" w:line="240" w:lineRule="auto"/>
            <w:jc w:val="right"/>
            <w:rPr>
              <w:position w:val="-4"/>
            </w:rPr>
          </w:pPr>
          <w:r>
            <w:rPr>
              <w:position w:val="-4"/>
              <w:sz w:val="40"/>
            </w:rPr>
            <w:t>CEDAW</w:t>
          </w:r>
          <w:r>
            <w:rPr>
              <w:position w:val="-4"/>
            </w:rPr>
            <w:t>/C/BGR/FCO/8</w:t>
          </w:r>
        </w:p>
      </w:tc>
    </w:tr>
    <w:tr w:rsidR="009365FE" w:rsidRPr="009365FE" w14:paraId="5FD06DC3" w14:textId="77777777" w:rsidTr="009365F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35CF4389" w14:textId="5ED2B220" w:rsidR="009365FE" w:rsidRPr="009365FE" w:rsidRDefault="009365FE" w:rsidP="009365FE">
          <w:pPr>
            <w:pStyle w:val="Header"/>
            <w:spacing w:before="120" w:line="240" w:lineRule="auto"/>
            <w:ind w:left="-72"/>
            <w:jc w:val="center"/>
          </w:pPr>
          <w:r>
            <w:t xml:space="preserve">  </w:t>
          </w:r>
          <w:r>
            <w:rPr>
              <w:noProof/>
            </w:rPr>
            <w:drawing>
              <wp:inline distT="0" distB="0" distL="0" distR="0" wp14:anchorId="54086259" wp14:editId="039B68A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B5EC126" w14:textId="1B871715" w:rsidR="009365FE" w:rsidRPr="009365FE" w:rsidRDefault="009365FE" w:rsidP="009365FE">
          <w:pPr>
            <w:pStyle w:val="XLarge"/>
            <w:spacing w:before="120" w:line="360" w:lineRule="exact"/>
            <w:rPr>
              <w:sz w:val="36"/>
            </w:rPr>
          </w:pPr>
          <w:r>
            <w:rPr>
              <w:sz w:val="36"/>
            </w:rPr>
            <w:t>Convention sur l</w:t>
          </w:r>
          <w:r w:rsidR="006A78B2">
            <w:rPr>
              <w:sz w:val="36"/>
            </w:rPr>
            <w:t>’</w:t>
          </w:r>
          <w:r>
            <w:rPr>
              <w:sz w:val="36"/>
            </w:rPr>
            <w:t>élimination</w:t>
          </w:r>
          <w:r>
            <w:rPr>
              <w:sz w:val="36"/>
            </w:rPr>
            <w:br/>
            <w:t>de toutes les formes</w:t>
          </w:r>
          <w:r>
            <w:rPr>
              <w:sz w:val="36"/>
            </w:rPr>
            <w:br/>
            <w:t>de discrimination à l</w:t>
          </w:r>
          <w:r w:rsidR="006A78B2">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D24BB9A" w14:textId="77777777" w:rsidR="009365FE" w:rsidRPr="006A78B2" w:rsidRDefault="009365FE" w:rsidP="009365FE">
          <w:pPr>
            <w:pStyle w:val="Header"/>
            <w:spacing w:before="109"/>
            <w:rPr>
              <w:lang w:val="fr-FR"/>
            </w:rPr>
          </w:pPr>
        </w:p>
      </w:tc>
      <w:tc>
        <w:tcPr>
          <w:tcW w:w="3110" w:type="dxa"/>
          <w:tcBorders>
            <w:top w:val="single" w:sz="4" w:space="0" w:color="auto"/>
            <w:bottom w:val="single" w:sz="12" w:space="0" w:color="auto"/>
          </w:tcBorders>
          <w:shd w:val="clear" w:color="auto" w:fill="auto"/>
        </w:tcPr>
        <w:p w14:paraId="1C4A94BC" w14:textId="11A3DE2A" w:rsidR="009365FE" w:rsidRPr="006A78B2" w:rsidRDefault="009365FE" w:rsidP="009365FE">
          <w:pPr>
            <w:pStyle w:val="Distribution"/>
            <w:rPr>
              <w:color w:val="000000"/>
              <w:lang w:val="fr-FR"/>
            </w:rPr>
          </w:pPr>
          <w:r w:rsidRPr="006A78B2">
            <w:rPr>
              <w:color w:val="000000"/>
              <w:lang w:val="fr-FR"/>
            </w:rPr>
            <w:t>Distr. g</w:t>
          </w:r>
          <w:r w:rsidR="006A78B2">
            <w:rPr>
              <w:color w:val="000000"/>
            </w:rPr>
            <w:t>é</w:t>
          </w:r>
          <w:r w:rsidRPr="006A78B2">
            <w:rPr>
              <w:color w:val="000000"/>
              <w:lang w:val="fr-FR"/>
            </w:rPr>
            <w:t>n</w:t>
          </w:r>
          <w:r w:rsidR="006A78B2">
            <w:rPr>
              <w:color w:val="000000"/>
            </w:rPr>
            <w:t>é</w:t>
          </w:r>
          <w:r w:rsidRPr="006A78B2">
            <w:rPr>
              <w:color w:val="000000"/>
              <w:lang w:val="fr-FR"/>
            </w:rPr>
            <w:t>rale</w:t>
          </w:r>
        </w:p>
        <w:p w14:paraId="3E603697" w14:textId="77777777" w:rsidR="009365FE" w:rsidRPr="006A78B2" w:rsidRDefault="009365FE" w:rsidP="009365FE">
          <w:pPr>
            <w:pStyle w:val="Publication"/>
            <w:rPr>
              <w:color w:val="000000"/>
              <w:lang w:val="fr-FR"/>
            </w:rPr>
          </w:pPr>
          <w:r w:rsidRPr="006A78B2">
            <w:rPr>
              <w:color w:val="000000"/>
              <w:lang w:val="fr-FR"/>
            </w:rPr>
            <w:t>14 mars 2022</w:t>
          </w:r>
        </w:p>
        <w:p w14:paraId="5A9E9F46" w14:textId="77777777" w:rsidR="009365FE" w:rsidRPr="006A78B2" w:rsidRDefault="009365FE" w:rsidP="009365FE">
          <w:pPr>
            <w:rPr>
              <w:lang w:val="fr-FR"/>
            </w:rPr>
          </w:pPr>
          <w:r w:rsidRPr="006A78B2">
            <w:rPr>
              <w:lang w:val="fr-FR"/>
            </w:rPr>
            <w:t>Français</w:t>
          </w:r>
        </w:p>
        <w:p w14:paraId="38DCB746" w14:textId="782282CD" w:rsidR="009365FE" w:rsidRDefault="009365FE" w:rsidP="009365FE">
          <w:pPr>
            <w:pStyle w:val="Original"/>
            <w:rPr>
              <w:color w:val="000000"/>
              <w:lang w:val="fr-FR"/>
            </w:rPr>
          </w:pPr>
          <w:r w:rsidRPr="006A78B2">
            <w:rPr>
              <w:color w:val="000000"/>
              <w:lang w:val="fr-FR"/>
            </w:rPr>
            <w:t>Original</w:t>
          </w:r>
          <w:r w:rsidR="006A78B2">
            <w:rPr>
              <w:color w:val="000000"/>
              <w:lang w:val="fr-FR"/>
            </w:rPr>
            <w:t> :</w:t>
          </w:r>
          <w:r w:rsidRPr="006A78B2">
            <w:rPr>
              <w:color w:val="000000"/>
              <w:lang w:val="fr-FR"/>
            </w:rPr>
            <w:t xml:space="preserve"> anglais</w:t>
          </w:r>
        </w:p>
        <w:p w14:paraId="753DD2E4" w14:textId="066FBAF8" w:rsidR="006A78B2" w:rsidRPr="006A78B2" w:rsidRDefault="006A78B2" w:rsidP="006A78B2">
          <w:pPr>
            <w:rPr>
              <w:lang w:val="fr-FR"/>
            </w:rPr>
          </w:pPr>
          <w:r w:rsidRPr="006A78B2">
            <w:rPr>
              <w:lang w:val="fr-FR"/>
            </w:rPr>
            <w:t>Anglais, espagnol et français seulement</w:t>
          </w:r>
        </w:p>
      </w:tc>
    </w:tr>
  </w:tbl>
  <w:p w14:paraId="727C9D70" w14:textId="77777777" w:rsidR="009365FE" w:rsidRPr="006A78B2" w:rsidRDefault="009365FE" w:rsidP="009365FE">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2350196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AA87845"/>
    <w:multiLevelType w:val="hybridMultilevel"/>
    <w:tmpl w:val="0ABE9338"/>
    <w:lvl w:ilvl="0" w:tplc="2DF8D16C">
      <w:start w:val="1"/>
      <w:numFmt w:val="decimal"/>
      <w:lvlText w:val="%1."/>
      <w:lvlJc w:val="left"/>
      <w:pPr>
        <w:ind w:left="1854" w:hanging="360"/>
      </w:pPr>
      <w:rPr>
        <w:b w:val="0"/>
        <w:bCs/>
        <w:i w:val="0"/>
        <w:iCs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4"/>
  </w:num>
  <w:num w:numId="30">
    <w:abstractNumId w:val="4"/>
    <w:lvlOverride w:ilvl="0">
      <w:lvl w:ilvl="0" w:tplc="2DF8D16C">
        <w:start w:val="1"/>
        <w:numFmt w:val="decimal"/>
        <w:lvlRestart w:val="0"/>
        <w:lvlText w:val="%1."/>
        <w:lvlJc w:val="left"/>
        <w:pPr>
          <w:tabs>
            <w:tab w:val="num" w:pos="475"/>
          </w:tabs>
          <w:ind w:left="0" w:firstLine="0"/>
        </w:pPr>
        <w:rPr>
          <w:w w:val="100"/>
        </w:rPr>
      </w:lvl>
    </w:lvlOverride>
  </w:num>
  <w:num w:numId="31">
    <w:abstractNumId w:val="4"/>
    <w:lvlOverride w:ilvl="0">
      <w:lvl w:ilvl="0" w:tplc="2DF8D16C">
        <w:start w:val="1"/>
        <w:numFmt w:val="decimal"/>
        <w:lvlRestart w:val="0"/>
        <w:lvlText w:val="%1."/>
        <w:lvlJc w:val="left"/>
        <w:pPr>
          <w:tabs>
            <w:tab w:val="num" w:pos="475"/>
          </w:tabs>
          <w:ind w:left="0" w:firstLine="0"/>
        </w:pPr>
        <w:rPr>
          <w:w w:val="100"/>
        </w:rPr>
      </w:lvl>
    </w:lvlOverride>
  </w:num>
  <w:num w:numId="32">
    <w:abstractNumId w:val="4"/>
    <w:lvlOverride w:ilvl="0">
      <w:lvl w:ilvl="0" w:tplc="2DF8D16C">
        <w:start w:val="1"/>
        <w:numFmt w:val="decimal"/>
        <w:lvlRestart w:val="0"/>
        <w:lvlText w:val="%1."/>
        <w:lvlJc w:val="left"/>
        <w:pPr>
          <w:tabs>
            <w:tab w:val="num" w:pos="475"/>
          </w:tabs>
          <w:ind w:left="0" w:firstLine="0"/>
        </w:pPr>
        <w:rPr>
          <w:w w:val="100"/>
        </w:rPr>
      </w:lvl>
    </w:lvlOverride>
  </w:num>
  <w:num w:numId="33">
    <w:abstractNumId w:val="4"/>
    <w:lvlOverride w:ilvl="0">
      <w:lvl w:ilvl="0" w:tplc="2DF8D16C">
        <w:start w:val="1"/>
        <w:numFmt w:val="decimal"/>
        <w:lvlRestart w:val="0"/>
        <w:lvlText w:val="%1."/>
        <w:lvlJc w:val="left"/>
        <w:pPr>
          <w:tabs>
            <w:tab w:val="num" w:pos="475"/>
          </w:tabs>
          <w:ind w:left="0" w:firstLine="0"/>
        </w:pPr>
        <w:rPr>
          <w:w w:val="100"/>
        </w:rPr>
      </w:lvl>
    </w:lvlOverride>
  </w:num>
  <w:num w:numId="34">
    <w:abstractNumId w:val="4"/>
    <w:lvlOverride w:ilvl="0">
      <w:lvl w:ilvl="0" w:tplc="2DF8D16C">
        <w:start w:val="1"/>
        <w:numFmt w:val="decimal"/>
        <w:lvlRestart w:val="0"/>
        <w:lvlText w:val="%1."/>
        <w:lvlJc w:val="left"/>
        <w:pPr>
          <w:tabs>
            <w:tab w:val="num" w:pos="475"/>
          </w:tabs>
          <w:ind w:left="0" w:firstLine="0"/>
        </w:pPr>
        <w:rPr>
          <w:w w:val="100"/>
        </w:rPr>
      </w:lvl>
    </w:lvlOverride>
  </w:num>
  <w:num w:numId="35">
    <w:abstractNumId w:val="4"/>
    <w:lvlOverride w:ilvl="0">
      <w:lvl w:ilvl="0" w:tplc="2DF8D16C">
        <w:start w:val="1"/>
        <w:numFmt w:val="decimal"/>
        <w:lvlRestart w:val="0"/>
        <w:lvlText w:val="%1."/>
        <w:lvlJc w:val="left"/>
        <w:pPr>
          <w:tabs>
            <w:tab w:val="num" w:pos="475"/>
          </w:tabs>
          <w:ind w:left="0" w:firstLine="0"/>
        </w:pPr>
        <w:rPr>
          <w:w w:val="100"/>
        </w:rPr>
      </w:lvl>
    </w:lvlOverride>
  </w:num>
  <w:num w:numId="36">
    <w:abstractNumId w:val="4"/>
    <w:lvlOverride w:ilvl="0">
      <w:lvl w:ilvl="0" w:tplc="2DF8D16C">
        <w:start w:val="1"/>
        <w:numFmt w:val="decimal"/>
        <w:lvlRestart w:val="0"/>
        <w:lvlText w:val="%1."/>
        <w:lvlJc w:val="left"/>
        <w:pPr>
          <w:tabs>
            <w:tab w:val="num" w:pos="475"/>
          </w:tabs>
          <w:ind w:left="0" w:firstLine="0"/>
        </w:pPr>
        <w:rPr>
          <w:i w:val="0"/>
          <w:iCs/>
          <w:w w:val="100"/>
        </w:rPr>
      </w:lvl>
    </w:lvlOverride>
  </w:num>
  <w:num w:numId="37">
    <w:abstractNumId w:val="4"/>
    <w:lvlOverride w:ilvl="0">
      <w:lvl w:ilvl="0" w:tplc="2DF8D16C">
        <w:start w:val="1"/>
        <w:numFmt w:val="decimal"/>
        <w:lvlRestart w:val="0"/>
        <w:lvlText w:val="%1."/>
        <w:lvlJc w:val="left"/>
        <w:pPr>
          <w:tabs>
            <w:tab w:val="num" w:pos="475"/>
          </w:tabs>
          <w:ind w:left="0" w:firstLine="0"/>
        </w:pPr>
        <w:rPr>
          <w:w w:val="100"/>
        </w:rPr>
      </w:lvl>
    </w:lvlOverride>
  </w:num>
  <w:num w:numId="38">
    <w:abstractNumId w:val="4"/>
    <w:lvlOverride w:ilvl="0">
      <w:lvl w:ilvl="0" w:tplc="2DF8D16C">
        <w:start w:val="1"/>
        <w:numFmt w:val="decimal"/>
        <w:lvlRestart w:val="0"/>
        <w:lvlText w:val="%1."/>
        <w:lvlJc w:val="left"/>
        <w:pPr>
          <w:tabs>
            <w:tab w:val="num" w:pos="475"/>
          </w:tabs>
          <w:ind w:left="0" w:firstLine="0"/>
        </w:pPr>
        <w:rPr>
          <w:w w:val="100"/>
        </w:rPr>
      </w:lvl>
    </w:lvlOverride>
  </w:num>
  <w:num w:numId="39">
    <w:abstractNumId w:val="4"/>
    <w:lvlOverride w:ilvl="0">
      <w:lvl w:ilvl="0" w:tplc="2DF8D16C">
        <w:start w:val="1"/>
        <w:numFmt w:val="decimal"/>
        <w:lvlRestart w:val="0"/>
        <w:lvlText w:val="%1."/>
        <w:lvlJc w:val="left"/>
        <w:pPr>
          <w:tabs>
            <w:tab w:val="num" w:pos="475"/>
          </w:tabs>
          <w:ind w:left="0" w:firstLine="0"/>
        </w:pPr>
        <w:rPr>
          <w:w w:val="100"/>
        </w:rPr>
      </w:lvl>
    </w:lvlOverride>
  </w:num>
  <w:num w:numId="40">
    <w:abstractNumId w:val="4"/>
    <w:lvlOverride w:ilvl="0">
      <w:lvl w:ilvl="0" w:tplc="2DF8D16C">
        <w:start w:val="1"/>
        <w:numFmt w:val="decimal"/>
        <w:lvlRestart w:val="0"/>
        <w:lvlText w:val="%1."/>
        <w:lvlJc w:val="left"/>
        <w:pPr>
          <w:tabs>
            <w:tab w:val="num" w:pos="475"/>
          </w:tabs>
          <w:ind w:left="0" w:firstLine="0"/>
        </w:pPr>
        <w:rPr>
          <w:i w:val="0"/>
          <w:iCs/>
          <w:w w:val="100"/>
        </w:rPr>
      </w:lvl>
    </w:lvlOverride>
  </w:num>
  <w:num w:numId="41">
    <w:abstractNumId w:val="4"/>
    <w:lvlOverride w:ilvl="0">
      <w:lvl w:ilvl="0" w:tplc="2DF8D16C">
        <w:start w:val="1"/>
        <w:numFmt w:val="decimal"/>
        <w:lvlRestart w:val="0"/>
        <w:lvlText w:val="%1."/>
        <w:lvlJc w:val="left"/>
        <w:pPr>
          <w:tabs>
            <w:tab w:val="num" w:pos="475"/>
          </w:tabs>
          <w:ind w:left="0" w:firstLine="0"/>
        </w:pPr>
        <w:rPr>
          <w:w w:val="100"/>
        </w:rPr>
      </w:lvl>
    </w:lvlOverride>
  </w:num>
  <w:num w:numId="42">
    <w:abstractNumId w:val="4"/>
    <w:lvlOverride w:ilvl="0">
      <w:lvl w:ilvl="0" w:tplc="2DF8D16C">
        <w:start w:val="1"/>
        <w:numFmt w:val="decimal"/>
        <w:lvlRestart w:val="0"/>
        <w:lvlText w:val="%1."/>
        <w:lvlJc w:val="left"/>
        <w:pPr>
          <w:tabs>
            <w:tab w:val="num" w:pos="475"/>
          </w:tabs>
          <w:ind w:left="0" w:firstLine="0"/>
        </w:pPr>
        <w:rPr>
          <w:w w:val="100"/>
        </w:rPr>
      </w:lvl>
    </w:lvlOverride>
  </w:num>
  <w:num w:numId="43">
    <w:abstractNumId w:val="4"/>
    <w:lvlOverride w:ilvl="0">
      <w:lvl w:ilvl="0" w:tplc="2DF8D16C">
        <w:start w:val="1"/>
        <w:numFmt w:val="decimal"/>
        <w:lvlRestart w:val="0"/>
        <w:lvlText w:val="%1."/>
        <w:lvlJc w:val="left"/>
        <w:pPr>
          <w:tabs>
            <w:tab w:val="num" w:pos="475"/>
          </w:tabs>
          <w:ind w:left="0" w:firstLine="0"/>
        </w:pPr>
        <w:rPr>
          <w:w w:val="100"/>
        </w:rPr>
      </w:lvl>
    </w:lvlOverride>
  </w:num>
  <w:num w:numId="44">
    <w:abstractNumId w:val="4"/>
    <w:lvlOverride w:ilvl="0">
      <w:lvl w:ilvl="0" w:tplc="2DF8D16C">
        <w:start w:val="1"/>
        <w:numFmt w:val="decimal"/>
        <w:lvlRestart w:val="0"/>
        <w:lvlText w:val="%1."/>
        <w:lvlJc w:val="left"/>
        <w:pPr>
          <w:tabs>
            <w:tab w:val="num" w:pos="475"/>
          </w:tabs>
          <w:ind w:left="0" w:firstLine="0"/>
        </w:pPr>
        <w:rPr>
          <w:i w:val="0"/>
          <w:iCs/>
          <w:w w:val="100"/>
        </w:rPr>
      </w:lvl>
    </w:lvlOverride>
  </w:num>
  <w:num w:numId="45">
    <w:abstractNumId w:val="4"/>
    <w:lvlOverride w:ilvl="0">
      <w:lvl w:ilvl="0" w:tplc="2DF8D16C">
        <w:start w:val="1"/>
        <w:numFmt w:val="decimal"/>
        <w:lvlRestart w:val="0"/>
        <w:lvlText w:val="%1."/>
        <w:lvlJc w:val="left"/>
        <w:pPr>
          <w:tabs>
            <w:tab w:val="num" w:pos="475"/>
          </w:tabs>
          <w:ind w:left="0" w:firstLine="0"/>
        </w:pPr>
        <w:rPr>
          <w:w w:val="100"/>
        </w:rPr>
      </w:lvl>
    </w:lvlOverride>
  </w:num>
  <w:num w:numId="46">
    <w:abstractNumId w:val="4"/>
    <w:lvlOverride w:ilvl="0">
      <w:lvl w:ilvl="0" w:tplc="2DF8D16C">
        <w:start w:val="1"/>
        <w:numFmt w:val="decimal"/>
        <w:lvlRestart w:val="0"/>
        <w:lvlText w:val="%1."/>
        <w:lvlJc w:val="left"/>
        <w:pPr>
          <w:tabs>
            <w:tab w:val="num" w:pos="475"/>
          </w:tabs>
          <w:ind w:left="0" w:firstLine="0"/>
        </w:pPr>
        <w:rPr>
          <w:w w:val="100"/>
        </w:rPr>
      </w:lvl>
    </w:lvlOverride>
  </w:num>
  <w:num w:numId="47">
    <w:abstractNumId w:val="4"/>
    <w:lvlOverride w:ilvl="0">
      <w:lvl w:ilvl="0" w:tplc="2DF8D16C">
        <w:start w:val="1"/>
        <w:numFmt w:val="decimal"/>
        <w:lvlRestart w:val="0"/>
        <w:lvlText w:val="%1."/>
        <w:lvlJc w:val="left"/>
        <w:pPr>
          <w:tabs>
            <w:tab w:val="num" w:pos="475"/>
          </w:tabs>
          <w:ind w:left="0" w:firstLine="0"/>
        </w:pPr>
        <w:rPr>
          <w:w w:val="100"/>
        </w:rPr>
      </w:lvl>
    </w:lvlOverride>
  </w:num>
  <w:num w:numId="48">
    <w:abstractNumId w:val="4"/>
    <w:lvlOverride w:ilvl="0">
      <w:lvl w:ilvl="0" w:tplc="2DF8D16C">
        <w:start w:val="1"/>
        <w:numFmt w:val="decimal"/>
        <w:lvlRestart w:val="0"/>
        <w:lvlText w:val="%1."/>
        <w:lvlJc w:val="left"/>
        <w:pPr>
          <w:tabs>
            <w:tab w:val="num" w:pos="475"/>
          </w:tabs>
          <w:ind w:left="0" w:firstLine="0"/>
        </w:pPr>
        <w:rPr>
          <w:w w:val="100"/>
        </w:rPr>
      </w:lvl>
    </w:lvlOverride>
  </w:num>
  <w:num w:numId="49">
    <w:abstractNumId w:val="4"/>
    <w:lvlOverride w:ilvl="0">
      <w:lvl w:ilvl="0" w:tplc="2DF8D16C">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hideSpellingError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722*"/>
    <w:docVar w:name="CreationDt" w:val="18/03/2022 10:59 AM"/>
    <w:docVar w:name="DocCategory" w:val="Doc"/>
    <w:docVar w:name="DocType" w:val="Final"/>
    <w:docVar w:name="DutyStation" w:val="New York"/>
    <w:docVar w:name="FooterJN" w:val="22-03722"/>
    <w:docVar w:name="jobn" w:val="22-03722 (F)"/>
    <w:docVar w:name="jobnDT" w:val="22-03722 (F)   180322"/>
    <w:docVar w:name="jobnDTDT" w:val="22-03722 (F)   180322   180322"/>
    <w:docVar w:name="JobNo" w:val="2203722F"/>
    <w:docVar w:name="JobNo2" w:val="2228614F"/>
    <w:docVar w:name="LocalDrive" w:val="0"/>
    <w:docVar w:name="OandT" w:val="nfa"/>
    <w:docVar w:name="sss1" w:val="CEDAW/C/BGR/FCO/8"/>
    <w:docVar w:name="sss2" w:val="-"/>
    <w:docVar w:name="Symbol1" w:val="CEDAW/C/BGR/FCO/8"/>
    <w:docVar w:name="Symbol2" w:val="-"/>
    <w:docVar w:name="Title1" w:val="_x0009__x0009_Renseignements reçus de la Bulgarie au sujet de la suite donnée aux observations finales concernant son huitième rapport périodique*_x000d_"/>
  </w:docVars>
  <w:rsids>
    <w:rsidRoot w:val="009E49FB"/>
    <w:rsid w:val="00002584"/>
    <w:rsid w:val="0004131D"/>
    <w:rsid w:val="0006491F"/>
    <w:rsid w:val="00071D43"/>
    <w:rsid w:val="00082144"/>
    <w:rsid w:val="000E03F4"/>
    <w:rsid w:val="00101B18"/>
    <w:rsid w:val="00122A56"/>
    <w:rsid w:val="0013045A"/>
    <w:rsid w:val="00134FEE"/>
    <w:rsid w:val="00146C6A"/>
    <w:rsid w:val="00166A0D"/>
    <w:rsid w:val="00184760"/>
    <w:rsid w:val="001C159C"/>
    <w:rsid w:val="001E2379"/>
    <w:rsid w:val="001E4B50"/>
    <w:rsid w:val="001F71C7"/>
    <w:rsid w:val="00245107"/>
    <w:rsid w:val="00245FDC"/>
    <w:rsid w:val="002478A0"/>
    <w:rsid w:val="002A5E20"/>
    <w:rsid w:val="002F21B6"/>
    <w:rsid w:val="0030765E"/>
    <w:rsid w:val="003620D3"/>
    <w:rsid w:val="00366D21"/>
    <w:rsid w:val="003905FA"/>
    <w:rsid w:val="003A675A"/>
    <w:rsid w:val="003F3B54"/>
    <w:rsid w:val="003F61E1"/>
    <w:rsid w:val="00410BE8"/>
    <w:rsid w:val="00440C93"/>
    <w:rsid w:val="00472B7F"/>
    <w:rsid w:val="00480B84"/>
    <w:rsid w:val="004B64F9"/>
    <w:rsid w:val="004C1A25"/>
    <w:rsid w:val="00515991"/>
    <w:rsid w:val="005225EC"/>
    <w:rsid w:val="00525097"/>
    <w:rsid w:val="005509B6"/>
    <w:rsid w:val="00571235"/>
    <w:rsid w:val="00577A36"/>
    <w:rsid w:val="00580CF2"/>
    <w:rsid w:val="005914E5"/>
    <w:rsid w:val="005B398E"/>
    <w:rsid w:val="005C03A7"/>
    <w:rsid w:val="005C5330"/>
    <w:rsid w:val="005F1F5F"/>
    <w:rsid w:val="00632C10"/>
    <w:rsid w:val="00690698"/>
    <w:rsid w:val="006A72AB"/>
    <w:rsid w:val="006A78B2"/>
    <w:rsid w:val="006B6638"/>
    <w:rsid w:val="006E4A4B"/>
    <w:rsid w:val="006E5107"/>
    <w:rsid w:val="00703106"/>
    <w:rsid w:val="007459AE"/>
    <w:rsid w:val="007531A5"/>
    <w:rsid w:val="00771C9E"/>
    <w:rsid w:val="007E1619"/>
    <w:rsid w:val="0082045E"/>
    <w:rsid w:val="008222A3"/>
    <w:rsid w:val="008653DD"/>
    <w:rsid w:val="00883D3C"/>
    <w:rsid w:val="00886CF2"/>
    <w:rsid w:val="008F3462"/>
    <w:rsid w:val="0090104D"/>
    <w:rsid w:val="009237A6"/>
    <w:rsid w:val="00935932"/>
    <w:rsid w:val="009365FE"/>
    <w:rsid w:val="00946F00"/>
    <w:rsid w:val="009547DC"/>
    <w:rsid w:val="00993CB7"/>
    <w:rsid w:val="00994877"/>
    <w:rsid w:val="009C3BFE"/>
    <w:rsid w:val="009D0EE3"/>
    <w:rsid w:val="009D263B"/>
    <w:rsid w:val="009E3220"/>
    <w:rsid w:val="009E49FB"/>
    <w:rsid w:val="009F40B9"/>
    <w:rsid w:val="00A2494D"/>
    <w:rsid w:val="00A536A1"/>
    <w:rsid w:val="00AB0B7D"/>
    <w:rsid w:val="00AD5F2F"/>
    <w:rsid w:val="00B858D5"/>
    <w:rsid w:val="00BA360B"/>
    <w:rsid w:val="00C138C6"/>
    <w:rsid w:val="00CB06FB"/>
    <w:rsid w:val="00CB63C5"/>
    <w:rsid w:val="00CD46BA"/>
    <w:rsid w:val="00CE43B6"/>
    <w:rsid w:val="00D30EED"/>
    <w:rsid w:val="00DC7881"/>
    <w:rsid w:val="00E126C3"/>
    <w:rsid w:val="00E343A6"/>
    <w:rsid w:val="00E443AC"/>
    <w:rsid w:val="00E47A1E"/>
    <w:rsid w:val="00E7105F"/>
    <w:rsid w:val="00E7792F"/>
    <w:rsid w:val="00E8614A"/>
    <w:rsid w:val="00EE37EC"/>
    <w:rsid w:val="00EF2DFA"/>
    <w:rsid w:val="00F2119B"/>
    <w:rsid w:val="00F313F6"/>
    <w:rsid w:val="00F35796"/>
    <w:rsid w:val="00F5012D"/>
    <w:rsid w:val="00F73093"/>
    <w:rsid w:val="00F922A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51CF2D6"/>
  <w15:chartTrackingRefBased/>
  <w15:docId w15:val="{62F3755E-30A7-49C4-AC40-FF4E0F8DE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19B"/>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F2119B"/>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F2119B"/>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F2119B"/>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F2119B"/>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F2119B"/>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F2119B"/>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F2119B"/>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F2119B"/>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F2119B"/>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2119B"/>
    <w:pPr>
      <w:keepNext/>
      <w:keepLines/>
      <w:suppressAutoHyphens/>
      <w:spacing w:line="270" w:lineRule="exact"/>
      <w:outlineLvl w:val="0"/>
    </w:pPr>
    <w:rPr>
      <w:b/>
      <w:sz w:val="24"/>
    </w:rPr>
  </w:style>
  <w:style w:type="paragraph" w:customStyle="1" w:styleId="HCH">
    <w:name w:val="_ H _CH"/>
    <w:basedOn w:val="H1"/>
    <w:next w:val="SingleTxt"/>
    <w:qFormat/>
    <w:rsid w:val="00F2119B"/>
    <w:pPr>
      <w:spacing w:line="300" w:lineRule="exact"/>
    </w:pPr>
    <w:rPr>
      <w:spacing w:val="-2"/>
      <w:sz w:val="28"/>
    </w:rPr>
  </w:style>
  <w:style w:type="paragraph" w:customStyle="1" w:styleId="HM">
    <w:name w:val="_ H __M"/>
    <w:basedOn w:val="HCH"/>
    <w:next w:val="Normal"/>
    <w:qFormat/>
    <w:rsid w:val="00F2119B"/>
    <w:pPr>
      <w:spacing w:line="360" w:lineRule="exact"/>
    </w:pPr>
    <w:rPr>
      <w:spacing w:val="-3"/>
      <w:w w:val="99"/>
      <w:sz w:val="34"/>
    </w:rPr>
  </w:style>
  <w:style w:type="paragraph" w:customStyle="1" w:styleId="H23">
    <w:name w:val="_ H_2/3"/>
    <w:basedOn w:val="H1"/>
    <w:next w:val="SingleTxt"/>
    <w:qFormat/>
    <w:rsid w:val="00F2119B"/>
    <w:pPr>
      <w:spacing w:line="240" w:lineRule="exact"/>
      <w:outlineLvl w:val="1"/>
    </w:pPr>
    <w:rPr>
      <w:spacing w:val="2"/>
      <w:sz w:val="20"/>
    </w:rPr>
  </w:style>
  <w:style w:type="paragraph" w:customStyle="1" w:styleId="H4">
    <w:name w:val="_ H_4"/>
    <w:basedOn w:val="Normal"/>
    <w:next w:val="Normal"/>
    <w:qFormat/>
    <w:rsid w:val="00F2119B"/>
    <w:pPr>
      <w:keepNext/>
      <w:keepLines/>
      <w:tabs>
        <w:tab w:val="right" w:pos="360"/>
      </w:tabs>
      <w:suppressAutoHyphens/>
      <w:outlineLvl w:val="3"/>
    </w:pPr>
    <w:rPr>
      <w:i/>
      <w:spacing w:val="3"/>
    </w:rPr>
  </w:style>
  <w:style w:type="paragraph" w:customStyle="1" w:styleId="H56">
    <w:name w:val="_ H_5/6"/>
    <w:basedOn w:val="Normal"/>
    <w:next w:val="Normal"/>
    <w:qFormat/>
    <w:rsid w:val="00F2119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2119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2119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2119B"/>
    <w:pPr>
      <w:spacing w:line="540" w:lineRule="exact"/>
    </w:pPr>
    <w:rPr>
      <w:spacing w:val="-8"/>
      <w:w w:val="96"/>
      <w:sz w:val="57"/>
    </w:rPr>
  </w:style>
  <w:style w:type="paragraph" w:customStyle="1" w:styleId="SS">
    <w:name w:val="__S_S"/>
    <w:basedOn w:val="HCH"/>
    <w:next w:val="Normal"/>
    <w:qFormat/>
    <w:rsid w:val="00F2119B"/>
    <w:pPr>
      <w:ind w:left="1267" w:right="1267"/>
    </w:pPr>
  </w:style>
  <w:style w:type="paragraph" w:customStyle="1" w:styleId="SingleTxt">
    <w:name w:val="__Single Txt"/>
    <w:basedOn w:val="Normal"/>
    <w:qFormat/>
    <w:rsid w:val="00F2119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2119B"/>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F2119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F2119B"/>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F2119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F2119B"/>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2119B"/>
    <w:pPr>
      <w:numPr>
        <w:numId w:val="17"/>
      </w:numPr>
      <w:spacing w:after="120"/>
      <w:ind w:right="1267"/>
      <w:jc w:val="both"/>
    </w:pPr>
  </w:style>
  <w:style w:type="paragraph" w:customStyle="1" w:styleId="Bullet2">
    <w:name w:val="Bullet 2"/>
    <w:basedOn w:val="Normal"/>
    <w:qFormat/>
    <w:rsid w:val="00F2119B"/>
    <w:pPr>
      <w:numPr>
        <w:numId w:val="18"/>
      </w:numPr>
      <w:spacing w:after="120"/>
      <w:ind w:right="1264"/>
      <w:jc w:val="both"/>
    </w:pPr>
  </w:style>
  <w:style w:type="paragraph" w:customStyle="1" w:styleId="Bullet3">
    <w:name w:val="Bullet 3"/>
    <w:basedOn w:val="SingleTxt"/>
    <w:qFormat/>
    <w:rsid w:val="00F2119B"/>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2119B"/>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F2119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F2119B"/>
    <w:pPr>
      <w:spacing w:line="210" w:lineRule="exact"/>
    </w:pPr>
    <w:rPr>
      <w:sz w:val="17"/>
      <w:szCs w:val="20"/>
    </w:rPr>
  </w:style>
  <w:style w:type="character" w:customStyle="1" w:styleId="EndnoteTextChar">
    <w:name w:val="Endnote Text Char"/>
    <w:link w:val="EndnoteText"/>
    <w:uiPriority w:val="99"/>
    <w:semiHidden/>
    <w:rsid w:val="00F2119B"/>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F2119B"/>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F2119B"/>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F2119B"/>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F2119B"/>
    <w:pPr>
      <w:spacing w:line="210" w:lineRule="exact"/>
    </w:pPr>
    <w:rPr>
      <w:sz w:val="17"/>
      <w:szCs w:val="20"/>
    </w:rPr>
  </w:style>
  <w:style w:type="character" w:customStyle="1" w:styleId="FootnoteTextChar">
    <w:name w:val="Footnote Text Char"/>
    <w:link w:val="FootnoteText"/>
    <w:uiPriority w:val="99"/>
    <w:rsid w:val="00F2119B"/>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F2119B"/>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F2119B"/>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F2119B"/>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F2119B"/>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F2119B"/>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F2119B"/>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F2119B"/>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F2119B"/>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F2119B"/>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F2119B"/>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F2119B"/>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F2119B"/>
    <w:rPr>
      <w:sz w:val="14"/>
    </w:rPr>
  </w:style>
  <w:style w:type="paragraph" w:styleId="ListParagraph">
    <w:name w:val="List Paragraph"/>
    <w:basedOn w:val="Normal"/>
    <w:uiPriority w:val="34"/>
    <w:rsid w:val="00F2119B"/>
    <w:pPr>
      <w:ind w:left="720"/>
      <w:contextualSpacing/>
    </w:pPr>
  </w:style>
  <w:style w:type="paragraph" w:styleId="NoSpacing">
    <w:name w:val="No Spacing"/>
    <w:uiPriority w:val="1"/>
    <w:rsid w:val="00F2119B"/>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F2119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F2119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F2119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F2119B"/>
    <w:pPr>
      <w:tabs>
        <w:tab w:val="right" w:pos="9965"/>
      </w:tabs>
      <w:spacing w:line="210" w:lineRule="exact"/>
    </w:pPr>
    <w:rPr>
      <w:spacing w:val="5"/>
      <w:w w:val="104"/>
      <w:sz w:val="17"/>
    </w:rPr>
  </w:style>
  <w:style w:type="paragraph" w:customStyle="1" w:styleId="SmallX">
    <w:name w:val="SmallX"/>
    <w:basedOn w:val="Small"/>
    <w:next w:val="Normal"/>
    <w:qFormat/>
    <w:rsid w:val="00F2119B"/>
    <w:pPr>
      <w:spacing w:line="180" w:lineRule="exact"/>
      <w:jc w:val="right"/>
    </w:pPr>
    <w:rPr>
      <w:spacing w:val="6"/>
      <w:w w:val="106"/>
      <w:sz w:val="14"/>
    </w:rPr>
  </w:style>
  <w:style w:type="character" w:styleId="Strong">
    <w:name w:val="Strong"/>
    <w:uiPriority w:val="22"/>
    <w:rsid w:val="00F2119B"/>
    <w:rPr>
      <w:b/>
      <w:bCs/>
    </w:rPr>
  </w:style>
  <w:style w:type="paragraph" w:customStyle="1" w:styleId="Style1">
    <w:name w:val="Style1"/>
    <w:basedOn w:val="Normal"/>
    <w:qFormat/>
    <w:rsid w:val="00F2119B"/>
  </w:style>
  <w:style w:type="paragraph" w:customStyle="1" w:styleId="Style2">
    <w:name w:val="Style2"/>
    <w:basedOn w:val="Normal"/>
    <w:autoRedefine/>
    <w:qFormat/>
    <w:rsid w:val="00F2119B"/>
  </w:style>
  <w:style w:type="paragraph" w:customStyle="1" w:styleId="TitleHCH">
    <w:name w:val="Title_H_CH"/>
    <w:basedOn w:val="H1"/>
    <w:next w:val="SingleTxt"/>
    <w:qFormat/>
    <w:rsid w:val="00F2119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F2119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2119B"/>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9365FE"/>
    <w:rPr>
      <w:sz w:val="16"/>
      <w:szCs w:val="16"/>
    </w:rPr>
  </w:style>
  <w:style w:type="paragraph" w:styleId="CommentText">
    <w:name w:val="annotation text"/>
    <w:basedOn w:val="Normal"/>
    <w:link w:val="CommentTextChar"/>
    <w:uiPriority w:val="99"/>
    <w:semiHidden/>
    <w:unhideWhenUsed/>
    <w:rsid w:val="009365FE"/>
    <w:pPr>
      <w:spacing w:line="240" w:lineRule="auto"/>
    </w:pPr>
    <w:rPr>
      <w:szCs w:val="20"/>
    </w:rPr>
  </w:style>
  <w:style w:type="character" w:customStyle="1" w:styleId="CommentTextChar">
    <w:name w:val="Comment Text Char"/>
    <w:basedOn w:val="DefaultParagraphFont"/>
    <w:link w:val="CommentText"/>
    <w:uiPriority w:val="99"/>
    <w:semiHidden/>
    <w:rsid w:val="009365F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365FE"/>
    <w:rPr>
      <w:b/>
      <w:bCs/>
    </w:rPr>
  </w:style>
  <w:style w:type="character" w:customStyle="1" w:styleId="CommentSubjectChar">
    <w:name w:val="Comment Subject Char"/>
    <w:basedOn w:val="CommentTextChar"/>
    <w:link w:val="CommentSubject"/>
    <w:uiPriority w:val="99"/>
    <w:semiHidden/>
    <w:rsid w:val="009365FE"/>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6A78B2"/>
    <w:rPr>
      <w:color w:val="0000FF"/>
      <w:u w:val="none"/>
    </w:rPr>
  </w:style>
  <w:style w:type="character" w:styleId="FollowedHyperlink">
    <w:name w:val="FollowedHyperlink"/>
    <w:basedOn w:val="DefaultParagraphFont"/>
    <w:uiPriority w:val="99"/>
    <w:semiHidden/>
    <w:unhideWhenUsed/>
    <w:rsid w:val="006A78B2"/>
    <w:rPr>
      <w:color w:val="0000FF"/>
      <w:u w:val="none"/>
    </w:rPr>
  </w:style>
  <w:style w:type="character" w:styleId="UnresolvedMention">
    <w:name w:val="Unresolved Mention"/>
    <w:basedOn w:val="DefaultParagraphFont"/>
    <w:uiPriority w:val="99"/>
    <w:semiHidden/>
    <w:unhideWhenUsed/>
    <w:rsid w:val="006A78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BGR/CO/8"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1387</Words>
  <Characters>7909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Ngagne Fall</cp:lastModifiedBy>
  <cp:revision>3</cp:revision>
  <cp:lastPrinted>2022-03-18T15:55:00Z</cp:lastPrinted>
  <dcterms:created xsi:type="dcterms:W3CDTF">2022-03-18T15:55:00Z</dcterms:created>
  <dcterms:modified xsi:type="dcterms:W3CDTF">2022-03-18T15:55:00Z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2203722F</vt:lpwstr>
  </property>
  <property fmtid="{D5CDD505-2E9C-101B-9397-08002B2CF9AE}" pid="3" name="ODSRefJobNo">
    <vt:lpwstr>2228614F</vt:lpwstr>
  </property>
  <property fmtid="{D5CDD505-2E9C-101B-9397-08002B2CF9AE}" pid="4" name="Symbol1">
    <vt:lpwstr>CEDAW/C/BGR/FCO/8</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Renseignements reçus de la Bulgarie au sujet de la suite donnée aux observations finales concernant son huitième rapport périodique*_x000d_</vt:lpwstr>
  </property>
</Properties>
</file>