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46B97" w14:textId="77777777" w:rsidR="00483E94" w:rsidRPr="00FA3966" w:rsidRDefault="00D715E1" w:rsidP="00483E94">
      <w:pPr>
        <w:spacing w:after="360"/>
        <w:jc w:val="right"/>
        <w:outlineLvl w:val="0"/>
        <w:rPr>
          <w:b/>
          <w:lang w:val="fr-FR"/>
        </w:rPr>
      </w:pPr>
      <w:r>
        <w:rPr>
          <w:b/>
        </w:rPr>
        <w:fldChar w:fldCharType="begin"/>
      </w:r>
      <w:r>
        <w:rPr>
          <w:b/>
        </w:rPr>
        <w:instrText>HYPERLINK "https://undocs.org/fr/A/75/44"</w:instrText>
      </w:r>
      <w:r>
        <w:rPr>
          <w:b/>
        </w:rPr>
      </w:r>
      <w:r>
        <w:rPr>
          <w:b/>
        </w:rPr>
        <w:fldChar w:fldCharType="separate"/>
      </w:r>
      <w:r w:rsidR="00712772" w:rsidRPr="00D715E1">
        <w:rPr>
          <w:rStyle w:val="Lienhypertexte"/>
          <w:b/>
        </w:rPr>
        <w:t>A/75/44</w:t>
      </w:r>
      <w:r>
        <w:rPr>
          <w:b/>
        </w:rPr>
        <w:fldChar w:fldCharType="end"/>
      </w:r>
    </w:p>
    <w:p w14:paraId="63D06049" w14:textId="77777777" w:rsidR="00483E94" w:rsidRPr="00FA3966" w:rsidRDefault="001D12EC" w:rsidP="00483E94">
      <w:pPr>
        <w:ind w:left="1134"/>
        <w:rPr>
          <w:lang w:val="fr-FR"/>
        </w:rPr>
      </w:pPr>
      <w:r>
        <w:rPr>
          <w:noProof/>
          <w:lang w:eastAsia="fr-CH"/>
        </w:rPr>
        <w:drawing>
          <wp:inline distT="0" distB="0" distL="0" distR="0" wp14:anchorId="42000F46" wp14:editId="1756B717">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4C0AC7F4" w14:textId="77777777" w:rsidR="00483E94" w:rsidRPr="00FA3966" w:rsidRDefault="00483E94" w:rsidP="00483E94">
      <w:pPr>
        <w:pStyle w:val="SMG"/>
        <w:spacing w:before="0" w:after="1080"/>
        <w:rPr>
          <w:lang w:val="fr-FR"/>
        </w:rPr>
      </w:pPr>
      <w:r w:rsidRPr="00FA3966">
        <w:rPr>
          <w:lang w:val="fr-FR"/>
        </w:rPr>
        <w:t>Nations Unies</w:t>
      </w:r>
    </w:p>
    <w:p w14:paraId="54A5CA02" w14:textId="77777777" w:rsidR="00712772" w:rsidRPr="00FA3966" w:rsidRDefault="00483E94" w:rsidP="00712772">
      <w:pPr>
        <w:pStyle w:val="SLG"/>
        <w:spacing w:after="960"/>
      </w:pPr>
      <w:r w:rsidRPr="00FA3966">
        <w:rPr>
          <w:lang w:val="fr-FR"/>
        </w:rPr>
        <w:t xml:space="preserve">Rapport </w:t>
      </w:r>
      <w:bookmarkStart w:id="0" w:name="_Hlk43720721"/>
      <w:r w:rsidR="00712772" w:rsidRPr="00FA3966">
        <w:t xml:space="preserve">du </w:t>
      </w:r>
      <w:r w:rsidR="00712772">
        <w:t>Comité</w:t>
      </w:r>
      <w:r w:rsidR="00712772">
        <w:br/>
        <w:t>contre la torture</w:t>
      </w:r>
    </w:p>
    <w:p w14:paraId="77439DEB" w14:textId="77777777" w:rsidR="00712772" w:rsidRPr="00FA3966" w:rsidRDefault="00712772" w:rsidP="00712772">
      <w:pPr>
        <w:ind w:left="1134"/>
        <w:rPr>
          <w:b/>
          <w:sz w:val="36"/>
          <w:szCs w:val="36"/>
        </w:rPr>
      </w:pPr>
      <w:r>
        <w:rPr>
          <w:b/>
          <w:sz w:val="36"/>
          <w:szCs w:val="36"/>
        </w:rPr>
        <w:t xml:space="preserve">Soixante-septième </w:t>
      </w:r>
      <w:r w:rsidRPr="00FA3966">
        <w:rPr>
          <w:b/>
          <w:sz w:val="36"/>
          <w:szCs w:val="36"/>
        </w:rPr>
        <w:t>session</w:t>
      </w:r>
    </w:p>
    <w:p w14:paraId="780E2F7D" w14:textId="77777777" w:rsidR="00712772" w:rsidRDefault="00712772" w:rsidP="00712772">
      <w:pPr>
        <w:spacing w:after="120"/>
        <w:ind w:left="1134" w:right="1134"/>
        <w:rPr>
          <w:b/>
          <w:sz w:val="36"/>
          <w:szCs w:val="36"/>
        </w:rPr>
      </w:pPr>
      <w:r w:rsidRPr="00FA3966">
        <w:rPr>
          <w:b/>
          <w:sz w:val="36"/>
          <w:szCs w:val="36"/>
        </w:rPr>
        <w:t>(</w:t>
      </w:r>
      <w:bookmarkStart w:id="1" w:name="_Hlk520353470"/>
      <w:r>
        <w:rPr>
          <w:b/>
          <w:sz w:val="36"/>
          <w:szCs w:val="36"/>
        </w:rPr>
        <w:t xml:space="preserve">22 juillet-9 août </w:t>
      </w:r>
      <w:bookmarkEnd w:id="1"/>
      <w:r>
        <w:rPr>
          <w:b/>
          <w:sz w:val="36"/>
          <w:szCs w:val="36"/>
        </w:rPr>
        <w:t>2019</w:t>
      </w:r>
      <w:r w:rsidRPr="00FA3966">
        <w:rPr>
          <w:b/>
          <w:sz w:val="36"/>
          <w:szCs w:val="36"/>
        </w:rPr>
        <w:t>)</w:t>
      </w:r>
    </w:p>
    <w:p w14:paraId="5340B6A2" w14:textId="77777777" w:rsidR="00712772" w:rsidRPr="00FA3966" w:rsidRDefault="00712772" w:rsidP="00712772">
      <w:pPr>
        <w:ind w:left="1134"/>
        <w:rPr>
          <w:b/>
          <w:sz w:val="36"/>
          <w:szCs w:val="36"/>
        </w:rPr>
      </w:pPr>
      <w:r>
        <w:rPr>
          <w:b/>
          <w:sz w:val="36"/>
          <w:szCs w:val="36"/>
        </w:rPr>
        <w:t xml:space="preserve">Soixante-huitième </w:t>
      </w:r>
      <w:r w:rsidRPr="00FA3966">
        <w:rPr>
          <w:b/>
          <w:sz w:val="36"/>
          <w:szCs w:val="36"/>
        </w:rPr>
        <w:t>session</w:t>
      </w:r>
    </w:p>
    <w:p w14:paraId="74AB582A" w14:textId="77777777" w:rsidR="00712772" w:rsidRDefault="00712772" w:rsidP="00712772">
      <w:pPr>
        <w:spacing w:after="120"/>
        <w:ind w:left="1134" w:right="1134"/>
        <w:rPr>
          <w:b/>
          <w:sz w:val="36"/>
          <w:szCs w:val="36"/>
        </w:rPr>
      </w:pPr>
      <w:r w:rsidRPr="00FA3966">
        <w:rPr>
          <w:b/>
          <w:sz w:val="36"/>
          <w:szCs w:val="36"/>
        </w:rPr>
        <w:t>(</w:t>
      </w:r>
      <w:r>
        <w:rPr>
          <w:b/>
          <w:sz w:val="36"/>
          <w:szCs w:val="36"/>
        </w:rPr>
        <w:t>11 novembre-6 décembre 2019</w:t>
      </w:r>
      <w:r w:rsidRPr="00FA3966">
        <w:rPr>
          <w:b/>
          <w:sz w:val="36"/>
          <w:szCs w:val="36"/>
        </w:rPr>
        <w:t>)</w:t>
      </w:r>
    </w:p>
    <w:p w14:paraId="6C623200" w14:textId="77777777" w:rsidR="00712772" w:rsidRPr="00FA3966" w:rsidRDefault="00712772" w:rsidP="00712772">
      <w:pPr>
        <w:pStyle w:val="SMG"/>
        <w:spacing w:before="3360" w:after="0"/>
        <w:ind w:right="0"/>
      </w:pPr>
      <w:r w:rsidRPr="00FA3966">
        <w:t>Assemblée générale</w:t>
      </w:r>
    </w:p>
    <w:p w14:paraId="0E2515D3" w14:textId="77777777" w:rsidR="00712772" w:rsidRPr="00FA3966" w:rsidRDefault="00712772" w:rsidP="00712772">
      <w:pPr>
        <w:ind w:left="1134"/>
        <w:rPr>
          <w:b/>
          <w:sz w:val="28"/>
          <w:szCs w:val="28"/>
        </w:rPr>
      </w:pPr>
      <w:r w:rsidRPr="00FA3966">
        <w:rPr>
          <w:b/>
          <w:sz w:val="28"/>
          <w:szCs w:val="28"/>
        </w:rPr>
        <w:t>Documents officiels</w:t>
      </w:r>
    </w:p>
    <w:p w14:paraId="3FC301D0" w14:textId="77777777" w:rsidR="00712772" w:rsidRDefault="00712772" w:rsidP="00712772">
      <w:pPr>
        <w:ind w:left="1134" w:right="1134"/>
        <w:rPr>
          <w:b/>
          <w:sz w:val="28"/>
          <w:szCs w:val="28"/>
        </w:rPr>
      </w:pPr>
      <w:r>
        <w:rPr>
          <w:b/>
          <w:sz w:val="28"/>
          <w:szCs w:val="28"/>
        </w:rPr>
        <w:t xml:space="preserve">Soixante-quinzième </w:t>
      </w:r>
      <w:r w:rsidRPr="00FA3966">
        <w:rPr>
          <w:b/>
          <w:sz w:val="28"/>
          <w:szCs w:val="28"/>
        </w:rPr>
        <w:t>session</w:t>
      </w:r>
      <w:bookmarkEnd w:id="0"/>
    </w:p>
    <w:p w14:paraId="37297150" w14:textId="77777777" w:rsidR="00483E94" w:rsidRDefault="00712772" w:rsidP="00712772">
      <w:pPr>
        <w:ind w:left="1134" w:right="1134"/>
        <w:rPr>
          <w:b/>
          <w:sz w:val="28"/>
          <w:szCs w:val="28"/>
          <w:lang w:val="fr-FR"/>
        </w:rPr>
      </w:pPr>
      <w:r w:rsidRPr="00FA3966">
        <w:rPr>
          <w:b/>
          <w:sz w:val="28"/>
          <w:szCs w:val="28"/>
        </w:rPr>
        <w:t>Supplément n</w:t>
      </w:r>
      <w:r w:rsidRPr="00FA3966">
        <w:rPr>
          <w:b/>
          <w:sz w:val="28"/>
          <w:szCs w:val="28"/>
          <w:vertAlign w:val="superscript"/>
        </w:rPr>
        <w:t>o</w:t>
      </w:r>
      <w:r w:rsidRPr="00FA3966">
        <w:rPr>
          <w:b/>
          <w:sz w:val="28"/>
          <w:szCs w:val="28"/>
        </w:rPr>
        <w:t xml:space="preserve"> </w:t>
      </w:r>
      <w:r>
        <w:rPr>
          <w:b/>
          <w:sz w:val="28"/>
          <w:szCs w:val="28"/>
        </w:rPr>
        <w:t>44</w:t>
      </w:r>
    </w:p>
    <w:p w14:paraId="4BECE15B" w14:textId="77777777" w:rsidR="00483E94" w:rsidRDefault="00483E94" w:rsidP="00C451B9">
      <w:pPr>
        <w:sectPr w:rsidR="00483E94" w:rsidSect="00712772">
          <w:footerReference w:type="first" r:id="rId11"/>
          <w:endnotePr>
            <w:numFmt w:val="decimal"/>
          </w:endnotePr>
          <w:type w:val="oddPage"/>
          <w:pgSz w:w="11907" w:h="16840" w:code="9"/>
          <w:pgMar w:top="1417" w:right="1134" w:bottom="1134" w:left="1134" w:header="850" w:footer="567" w:gutter="0"/>
          <w:cols w:space="720"/>
          <w:titlePg/>
          <w:docGrid w:linePitch="272"/>
        </w:sectPr>
      </w:pPr>
    </w:p>
    <w:p w14:paraId="598E2AFC" w14:textId="77777777" w:rsidR="00541BE4" w:rsidRPr="00FA3966" w:rsidRDefault="00D715E1" w:rsidP="00541BE4">
      <w:pPr>
        <w:spacing w:after="1200"/>
        <w:jc w:val="right"/>
        <w:outlineLvl w:val="0"/>
        <w:rPr>
          <w:b/>
          <w:lang w:val="fr-FR"/>
        </w:rPr>
      </w:pPr>
      <w:hyperlink r:id="rId12" w:history="1">
        <w:r w:rsidRPr="00D715E1">
          <w:rPr>
            <w:rStyle w:val="Lienhypertexte"/>
            <w:b/>
          </w:rPr>
          <w:t>A/75/44</w:t>
        </w:r>
      </w:hyperlink>
    </w:p>
    <w:p w14:paraId="3E13F7F6" w14:textId="77777777" w:rsidR="00541BE4" w:rsidRPr="00FA3966" w:rsidRDefault="00541BE4" w:rsidP="00541BE4">
      <w:pPr>
        <w:rPr>
          <w:b/>
          <w:sz w:val="24"/>
          <w:szCs w:val="24"/>
          <w:lang w:val="fr-FR"/>
        </w:rPr>
      </w:pPr>
      <w:r w:rsidRPr="00FA3966">
        <w:rPr>
          <w:b/>
          <w:sz w:val="24"/>
          <w:szCs w:val="24"/>
          <w:lang w:val="fr-FR"/>
        </w:rPr>
        <w:t>Assemblée générale</w:t>
      </w:r>
    </w:p>
    <w:p w14:paraId="1F1C8038" w14:textId="77777777" w:rsidR="00712772" w:rsidRPr="00FA3966" w:rsidRDefault="00712772" w:rsidP="00712772">
      <w:pPr>
        <w:rPr>
          <w:sz w:val="24"/>
          <w:szCs w:val="24"/>
        </w:rPr>
      </w:pPr>
      <w:r w:rsidRPr="00FA3966">
        <w:rPr>
          <w:sz w:val="24"/>
          <w:szCs w:val="24"/>
        </w:rPr>
        <w:t>Documents officiels</w:t>
      </w:r>
    </w:p>
    <w:p w14:paraId="236FB4BE" w14:textId="77777777" w:rsidR="00712772" w:rsidRPr="00FA3966" w:rsidRDefault="00712772" w:rsidP="00712772">
      <w:pPr>
        <w:rPr>
          <w:sz w:val="24"/>
          <w:szCs w:val="24"/>
        </w:rPr>
      </w:pPr>
      <w:r>
        <w:rPr>
          <w:sz w:val="24"/>
          <w:szCs w:val="24"/>
        </w:rPr>
        <w:t xml:space="preserve">Soixante-quinzième </w:t>
      </w:r>
      <w:r w:rsidRPr="00FA3966">
        <w:rPr>
          <w:sz w:val="24"/>
          <w:szCs w:val="24"/>
        </w:rPr>
        <w:t>session</w:t>
      </w:r>
    </w:p>
    <w:p w14:paraId="0F75B30B" w14:textId="77777777" w:rsidR="00712772" w:rsidRPr="00FA3966" w:rsidRDefault="00712772" w:rsidP="00712772">
      <w:pPr>
        <w:spacing w:after="1080"/>
        <w:rPr>
          <w:b/>
          <w:sz w:val="24"/>
          <w:szCs w:val="24"/>
        </w:rPr>
      </w:pPr>
      <w:r w:rsidRPr="00FA3966">
        <w:rPr>
          <w:sz w:val="24"/>
          <w:szCs w:val="24"/>
        </w:rPr>
        <w:t>Supplément n</w:t>
      </w:r>
      <w:r w:rsidRPr="00FA3966">
        <w:rPr>
          <w:sz w:val="24"/>
          <w:szCs w:val="24"/>
          <w:vertAlign w:val="superscript"/>
        </w:rPr>
        <w:t>o</w:t>
      </w:r>
      <w:r>
        <w:rPr>
          <w:sz w:val="24"/>
          <w:szCs w:val="24"/>
        </w:rPr>
        <w:t> 44</w:t>
      </w:r>
    </w:p>
    <w:p w14:paraId="3162748E" w14:textId="77777777" w:rsidR="00712772" w:rsidRPr="00FA3966" w:rsidRDefault="00712772" w:rsidP="00712772">
      <w:pPr>
        <w:pStyle w:val="SMG"/>
        <w:spacing w:before="0" w:after="960"/>
        <w:rPr>
          <w:szCs w:val="40"/>
        </w:rPr>
      </w:pPr>
      <w:r w:rsidRPr="00FA3966">
        <w:t xml:space="preserve">Rapport du </w:t>
      </w:r>
      <w:r>
        <w:t>Comité contre la torture</w:t>
      </w:r>
    </w:p>
    <w:p w14:paraId="291E30F9" w14:textId="77777777" w:rsidR="00712772" w:rsidRPr="00D86D5C" w:rsidRDefault="00712772" w:rsidP="00712772">
      <w:pPr>
        <w:spacing w:after="120"/>
        <w:ind w:left="1134"/>
        <w:rPr>
          <w:b/>
          <w:sz w:val="36"/>
          <w:szCs w:val="36"/>
        </w:rPr>
      </w:pPr>
      <w:r w:rsidRPr="00D86D5C">
        <w:rPr>
          <w:b/>
          <w:sz w:val="36"/>
          <w:szCs w:val="36"/>
        </w:rPr>
        <w:t>Soixante-</w:t>
      </w:r>
      <w:r>
        <w:rPr>
          <w:b/>
          <w:sz w:val="36"/>
          <w:szCs w:val="36"/>
        </w:rPr>
        <w:t>septième</w:t>
      </w:r>
      <w:r w:rsidRPr="00D86D5C">
        <w:rPr>
          <w:b/>
          <w:sz w:val="36"/>
          <w:szCs w:val="36"/>
        </w:rPr>
        <w:t xml:space="preserve"> session </w:t>
      </w:r>
      <w:r w:rsidRPr="00D86D5C">
        <w:rPr>
          <w:b/>
          <w:sz w:val="36"/>
          <w:szCs w:val="36"/>
        </w:rPr>
        <w:br/>
        <w:t>(2</w:t>
      </w:r>
      <w:r>
        <w:rPr>
          <w:b/>
          <w:sz w:val="36"/>
          <w:szCs w:val="36"/>
        </w:rPr>
        <w:t>2</w:t>
      </w:r>
      <w:r w:rsidRPr="00D86D5C">
        <w:rPr>
          <w:b/>
          <w:sz w:val="36"/>
          <w:szCs w:val="36"/>
        </w:rPr>
        <w:t xml:space="preserve"> juillet-</w:t>
      </w:r>
      <w:r>
        <w:rPr>
          <w:b/>
          <w:sz w:val="36"/>
          <w:szCs w:val="36"/>
        </w:rPr>
        <w:t>9</w:t>
      </w:r>
      <w:r w:rsidRPr="00D86D5C">
        <w:rPr>
          <w:b/>
          <w:sz w:val="36"/>
          <w:szCs w:val="36"/>
        </w:rPr>
        <w:t xml:space="preserve"> août 201</w:t>
      </w:r>
      <w:r>
        <w:rPr>
          <w:b/>
          <w:sz w:val="36"/>
          <w:szCs w:val="36"/>
        </w:rPr>
        <w:t>9</w:t>
      </w:r>
      <w:r w:rsidRPr="00D86D5C">
        <w:rPr>
          <w:b/>
          <w:sz w:val="36"/>
          <w:szCs w:val="36"/>
        </w:rPr>
        <w:t>)</w:t>
      </w:r>
    </w:p>
    <w:p w14:paraId="06497B94" w14:textId="77777777" w:rsidR="00541BE4" w:rsidRPr="00FA3966" w:rsidRDefault="00712772" w:rsidP="00712772">
      <w:pPr>
        <w:spacing w:after="120"/>
        <w:ind w:left="1134"/>
        <w:rPr>
          <w:b/>
          <w:sz w:val="28"/>
          <w:szCs w:val="28"/>
          <w:lang w:val="fr-FR"/>
        </w:rPr>
      </w:pPr>
      <w:r w:rsidRPr="00D86D5C">
        <w:rPr>
          <w:b/>
          <w:sz w:val="36"/>
          <w:szCs w:val="36"/>
        </w:rPr>
        <w:t>Soixante-</w:t>
      </w:r>
      <w:r>
        <w:rPr>
          <w:b/>
          <w:sz w:val="36"/>
          <w:szCs w:val="36"/>
        </w:rPr>
        <w:t>huitième</w:t>
      </w:r>
      <w:r w:rsidRPr="00D86D5C">
        <w:rPr>
          <w:b/>
          <w:sz w:val="36"/>
          <w:szCs w:val="36"/>
        </w:rPr>
        <w:t xml:space="preserve"> session</w:t>
      </w:r>
      <w:r w:rsidRPr="00D86D5C">
        <w:rPr>
          <w:b/>
          <w:sz w:val="36"/>
          <w:szCs w:val="36"/>
        </w:rPr>
        <w:br/>
        <w:t>(1</w:t>
      </w:r>
      <w:r>
        <w:rPr>
          <w:b/>
          <w:sz w:val="36"/>
          <w:szCs w:val="36"/>
        </w:rPr>
        <w:t>1</w:t>
      </w:r>
      <w:r w:rsidRPr="00D86D5C">
        <w:rPr>
          <w:b/>
          <w:sz w:val="36"/>
          <w:szCs w:val="36"/>
        </w:rPr>
        <w:t xml:space="preserve"> novembre-</w:t>
      </w:r>
      <w:r>
        <w:rPr>
          <w:b/>
          <w:sz w:val="36"/>
          <w:szCs w:val="36"/>
        </w:rPr>
        <w:t>6</w:t>
      </w:r>
      <w:r w:rsidRPr="00D86D5C">
        <w:rPr>
          <w:b/>
          <w:sz w:val="36"/>
          <w:szCs w:val="36"/>
        </w:rPr>
        <w:t xml:space="preserve"> décembre 201</w:t>
      </w:r>
      <w:r>
        <w:rPr>
          <w:b/>
          <w:sz w:val="36"/>
          <w:szCs w:val="36"/>
        </w:rPr>
        <w:t>9</w:t>
      </w:r>
      <w:r w:rsidRPr="00D86D5C">
        <w:rPr>
          <w:b/>
          <w:sz w:val="36"/>
          <w:szCs w:val="36"/>
        </w:rPr>
        <w:t>)</w:t>
      </w:r>
    </w:p>
    <w:p w14:paraId="12A25F01" w14:textId="77777777" w:rsidR="00C27275" w:rsidRDefault="001D12EC" w:rsidP="00DF4D0D">
      <w:pPr>
        <w:spacing w:before="5200"/>
        <w:ind w:left="1134"/>
        <w:outlineLvl w:val="0"/>
      </w:pPr>
      <w:r>
        <w:rPr>
          <w:noProof/>
          <w:lang w:eastAsia="fr-CH"/>
        </w:rPr>
        <w:drawing>
          <wp:inline distT="0" distB="0" distL="0" distR="0" wp14:anchorId="74BAABD8" wp14:editId="385F6A0A">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1A773760" w14:textId="58460E60" w:rsidR="00541BE4" w:rsidRPr="00FA3966" w:rsidRDefault="00541BE4" w:rsidP="00541BE4">
      <w:pPr>
        <w:ind w:left="1134"/>
        <w:outlineLvl w:val="0"/>
        <w:rPr>
          <w:b/>
          <w:sz w:val="24"/>
          <w:szCs w:val="24"/>
          <w:lang w:val="fr-FR"/>
        </w:rPr>
      </w:pPr>
      <w:r w:rsidRPr="00FA3966">
        <w:rPr>
          <w:b/>
          <w:noProof/>
          <w:sz w:val="28"/>
          <w:lang w:val="fr-FR"/>
        </w:rPr>
        <w:t>Nations Unies</w:t>
      </w:r>
      <w:r w:rsidRPr="00FA3966">
        <w:rPr>
          <w:b/>
          <w:sz w:val="28"/>
          <w:lang w:val="fr-FR"/>
        </w:rPr>
        <w:t xml:space="preserve"> • New York, </w:t>
      </w:r>
      <w:r w:rsidR="00712772">
        <w:rPr>
          <w:b/>
          <w:sz w:val="28"/>
          <w:lang w:val="fr-FR"/>
        </w:rPr>
        <w:t>2020</w:t>
      </w:r>
    </w:p>
    <w:p w14:paraId="6A942BF3" w14:textId="77777777" w:rsidR="00541BE4" w:rsidRPr="00FA3966" w:rsidRDefault="00541BE4" w:rsidP="00541BE4">
      <w:pPr>
        <w:spacing w:before="4800" w:after="120"/>
        <w:ind w:left="1134"/>
        <w:rPr>
          <w:i/>
          <w:lang w:val="fr-FR"/>
        </w:rPr>
      </w:pPr>
      <w:r w:rsidRPr="00FA3966">
        <w:rPr>
          <w:lang w:val="fr-FR"/>
        </w:rPr>
        <w:br w:type="page"/>
      </w:r>
      <w:r w:rsidRPr="00FA3966">
        <w:rPr>
          <w:i/>
          <w:lang w:val="fr-FR"/>
        </w:rPr>
        <w:lastRenderedPageBreak/>
        <w:t>Note</w:t>
      </w:r>
    </w:p>
    <w:p w14:paraId="5166ED75" w14:textId="77777777" w:rsidR="00541BE4" w:rsidRPr="00FA3966" w:rsidRDefault="00541BE4" w:rsidP="00270821">
      <w:pPr>
        <w:pStyle w:val="SingleTxtG"/>
        <w:ind w:firstLine="567"/>
        <w:rPr>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14:paraId="74B075B8" w14:textId="77777777" w:rsidR="00541BE4" w:rsidRDefault="00541BE4" w:rsidP="00C451B9">
      <w:pPr>
        <w:sectPr w:rsidR="00541BE4" w:rsidSect="00712772">
          <w:headerReference w:type="default"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712772" w14:paraId="2F7C573E" w14:textId="77777777" w:rsidTr="00712772">
        <w:trPr>
          <w:jc w:val="center"/>
        </w:trPr>
        <w:tc>
          <w:tcPr>
            <w:tcW w:w="9637" w:type="dxa"/>
            <w:shd w:val="clear" w:color="auto" w:fill="auto"/>
          </w:tcPr>
          <w:p w14:paraId="30A11A57" w14:textId="77777777" w:rsidR="00712772" w:rsidRDefault="00712772" w:rsidP="00712772">
            <w:pPr>
              <w:spacing w:before="240" w:after="120"/>
              <w:ind w:left="255"/>
              <w:rPr>
                <w:i/>
                <w:sz w:val="24"/>
              </w:rPr>
            </w:pPr>
            <w:r>
              <w:rPr>
                <w:i/>
                <w:sz w:val="24"/>
              </w:rPr>
              <w:lastRenderedPageBreak/>
              <w:t>Résumé</w:t>
            </w:r>
          </w:p>
        </w:tc>
      </w:tr>
      <w:tr w:rsidR="00712772" w14:paraId="3A30BAC2" w14:textId="77777777" w:rsidTr="00712772">
        <w:trPr>
          <w:jc w:val="center"/>
        </w:trPr>
        <w:tc>
          <w:tcPr>
            <w:tcW w:w="9637" w:type="dxa"/>
            <w:shd w:val="clear" w:color="auto" w:fill="auto"/>
          </w:tcPr>
          <w:p w14:paraId="502BC4FB" w14:textId="77777777" w:rsidR="00712772" w:rsidRPr="00C80798" w:rsidRDefault="00712772" w:rsidP="00712772">
            <w:pPr>
              <w:pStyle w:val="SingleTxtG"/>
              <w:ind w:firstLine="567"/>
              <w:rPr>
                <w:spacing w:val="-2"/>
              </w:rPr>
            </w:pPr>
            <w:r w:rsidRPr="00C80798">
              <w:rPr>
                <w:spacing w:val="-2"/>
              </w:rPr>
              <w:t>Le présent rapport annuel porte sur la période allant du 18</w:t>
            </w:r>
            <w:r w:rsidR="00D715E1">
              <w:rPr>
                <w:spacing w:val="-2"/>
              </w:rPr>
              <w:t xml:space="preserve"> mai </w:t>
            </w:r>
            <w:r w:rsidRPr="00C80798">
              <w:rPr>
                <w:spacing w:val="-2"/>
              </w:rPr>
              <w:t>2019 au 15</w:t>
            </w:r>
            <w:r w:rsidR="00D715E1">
              <w:rPr>
                <w:spacing w:val="-2"/>
              </w:rPr>
              <w:t xml:space="preserve"> mai </w:t>
            </w:r>
            <w:r w:rsidRPr="00C80798">
              <w:rPr>
                <w:spacing w:val="-2"/>
              </w:rPr>
              <w:t>2020, pendant laquelle le Comité contre la torture a tenu ses soixante</w:t>
            </w:r>
            <w:r w:rsidR="0064347D">
              <w:rPr>
                <w:spacing w:val="-2"/>
              </w:rPr>
              <w:t>-</w:t>
            </w:r>
            <w:r w:rsidRPr="00C80798">
              <w:rPr>
                <w:spacing w:val="-2"/>
              </w:rPr>
              <w:t>septième et soixante</w:t>
            </w:r>
            <w:r w:rsidR="0064347D">
              <w:rPr>
                <w:spacing w:val="-2"/>
              </w:rPr>
              <w:t>-</w:t>
            </w:r>
            <w:r w:rsidRPr="00C80798">
              <w:rPr>
                <w:spacing w:val="-2"/>
              </w:rPr>
              <w:t>huitième sessions et mené certaines activités liées à la soixante-neuvième session, qui n</w:t>
            </w:r>
            <w:r>
              <w:rPr>
                <w:spacing w:val="-2"/>
              </w:rPr>
              <w:t>’</w:t>
            </w:r>
            <w:r w:rsidRPr="00C80798">
              <w:rPr>
                <w:spacing w:val="-2"/>
              </w:rPr>
              <w:t>a pas pu se tenir aux dates initialement prévues en raison de la situation liée à la pandémie de coronavirus (COVID-19). Au 15</w:t>
            </w:r>
            <w:r w:rsidR="00D715E1">
              <w:rPr>
                <w:spacing w:val="-2"/>
              </w:rPr>
              <w:t xml:space="preserve"> mai </w:t>
            </w:r>
            <w:r w:rsidRPr="00C80798">
              <w:rPr>
                <w:spacing w:val="-2"/>
              </w:rPr>
              <w:t>2020, 169 États étaient parties à la Convention contre la torture et autres peines ou traitements cruels, inhumains ou dégradants.</w:t>
            </w:r>
          </w:p>
        </w:tc>
      </w:tr>
      <w:tr w:rsidR="00712772" w14:paraId="218B1FA0" w14:textId="77777777" w:rsidTr="00712772">
        <w:trPr>
          <w:jc w:val="center"/>
        </w:trPr>
        <w:tc>
          <w:tcPr>
            <w:tcW w:w="9637" w:type="dxa"/>
            <w:shd w:val="clear" w:color="auto" w:fill="auto"/>
          </w:tcPr>
          <w:p w14:paraId="7A797BB1" w14:textId="77777777" w:rsidR="00712772" w:rsidRPr="001D6294" w:rsidRDefault="00712772" w:rsidP="00712772">
            <w:pPr>
              <w:pStyle w:val="SingleTxtG"/>
              <w:ind w:firstLine="567"/>
            </w:pPr>
            <w:r w:rsidRPr="001D6294">
              <w:t>Pendant la période considérée, le Comité a examiné 10 rapports soumis par des États parties en application de l</w:t>
            </w:r>
            <w:r>
              <w:t>’</w:t>
            </w:r>
            <w:r w:rsidRPr="001D6294">
              <w:t>article 19 de la Convention (voir chap. III) et adopté des observations finales à leur sujet. À sa soixante-septième session, il a examiné les rapports du Bangladesh, de la Grèce, de la Pologne et du Togo. À sa soixante</w:t>
            </w:r>
            <w:r w:rsidRPr="001D6294">
              <w:noBreakHyphen/>
              <w:t>huitième session, il a examiné les rapports du Burkina Faso, de Chypre, de la Lettonie, du Niger, de l</w:t>
            </w:r>
            <w:r>
              <w:t>’</w:t>
            </w:r>
            <w:r w:rsidRPr="001D6294">
              <w:t>Ouzbékistan et du Portugal. L</w:t>
            </w:r>
            <w:r>
              <w:t>’</w:t>
            </w:r>
            <w:r w:rsidRPr="001D6294">
              <w:t>examen des rapports de Cuba, des Émirats arabes unis, de l</w:t>
            </w:r>
            <w:r>
              <w:t>’</w:t>
            </w:r>
            <w:r w:rsidRPr="001D6294">
              <w:t>Islande, du Kenya, du Monténégro et de l</w:t>
            </w:r>
            <w:r>
              <w:t>’</w:t>
            </w:r>
            <w:r w:rsidRPr="001D6294">
              <w:t xml:space="preserve">Uruguay, prévu pour la soixante-neuvième session, a été reporté en raison de la situation liée </w:t>
            </w:r>
            <w:r>
              <w:t>à la</w:t>
            </w:r>
            <w:r w:rsidRPr="001D6294">
              <w:t xml:space="preserve"> COVID-19.</w:t>
            </w:r>
          </w:p>
        </w:tc>
      </w:tr>
      <w:tr w:rsidR="00712772" w14:paraId="1A92E3F5" w14:textId="77777777" w:rsidTr="00712772">
        <w:trPr>
          <w:jc w:val="center"/>
        </w:trPr>
        <w:tc>
          <w:tcPr>
            <w:tcW w:w="9637" w:type="dxa"/>
            <w:shd w:val="clear" w:color="auto" w:fill="auto"/>
          </w:tcPr>
          <w:p w14:paraId="71490D5F" w14:textId="77777777" w:rsidR="00712772" w:rsidRPr="001D6294" w:rsidRDefault="00712772" w:rsidP="00712772">
            <w:pPr>
              <w:pStyle w:val="SingleTxtG"/>
              <w:ind w:firstLine="567"/>
            </w:pPr>
            <w:r w:rsidRPr="001D6294">
              <w:t>Le Comité regrette vivement que certains États parties ne s</w:t>
            </w:r>
            <w:r>
              <w:t>’</w:t>
            </w:r>
            <w:r w:rsidRPr="001D6294">
              <w:t>acquittent pas de leur obligation de soumettre des rapports en application de l</w:t>
            </w:r>
            <w:r>
              <w:t>’</w:t>
            </w:r>
            <w:r w:rsidRPr="001D6294">
              <w:t>article 19 de la Convention. Au moment de l</w:t>
            </w:r>
            <w:r>
              <w:t>’</w:t>
            </w:r>
            <w:r w:rsidRPr="001D6294">
              <w:t>établissement du présent document, 2</w:t>
            </w:r>
            <w:r>
              <w:t>5</w:t>
            </w:r>
            <w:r w:rsidRPr="001D6294">
              <w:t xml:space="preserve"> rapports initiaux et </w:t>
            </w:r>
            <w:r>
              <w:t>44</w:t>
            </w:r>
            <w:r w:rsidRPr="001D6294">
              <w:t> rapports périodiques étaient en retard (voir chap. II).</w:t>
            </w:r>
          </w:p>
        </w:tc>
      </w:tr>
      <w:tr w:rsidR="00712772" w14:paraId="01FE4C37" w14:textId="77777777" w:rsidTr="00712772">
        <w:trPr>
          <w:jc w:val="center"/>
        </w:trPr>
        <w:tc>
          <w:tcPr>
            <w:tcW w:w="9637" w:type="dxa"/>
            <w:shd w:val="clear" w:color="auto" w:fill="auto"/>
          </w:tcPr>
          <w:p w14:paraId="103FFDF5" w14:textId="77777777" w:rsidR="00712772" w:rsidRPr="001D6294" w:rsidRDefault="00712772" w:rsidP="00712772">
            <w:pPr>
              <w:pStyle w:val="SingleTxtG"/>
              <w:ind w:firstLine="567"/>
            </w:pPr>
            <w:r w:rsidRPr="001D6294">
              <w:t>La procédure instaurée par le Comité pour suivre l</w:t>
            </w:r>
            <w:r>
              <w:t>’</w:t>
            </w:r>
            <w:r w:rsidRPr="001D6294">
              <w:t>application des observations finales a continué de se développer au cours de la période considérée (voir chap. IV). Le Comité remercie les États parties qui ont fait parvenir un complément d</w:t>
            </w:r>
            <w:r>
              <w:t>’</w:t>
            </w:r>
            <w:r w:rsidRPr="001D6294">
              <w:t>information détaillé, dans les délais impartis, au Rapporteur chargé du suivi au titre de l</w:t>
            </w:r>
            <w:r>
              <w:t>’</w:t>
            </w:r>
            <w:r w:rsidRPr="001D6294">
              <w:t>article 19.</w:t>
            </w:r>
          </w:p>
        </w:tc>
      </w:tr>
      <w:tr w:rsidR="00712772" w14:paraId="113CC80F" w14:textId="77777777" w:rsidTr="00712772">
        <w:trPr>
          <w:jc w:val="center"/>
        </w:trPr>
        <w:tc>
          <w:tcPr>
            <w:tcW w:w="9637" w:type="dxa"/>
            <w:tcBorders>
              <w:bottom w:val="nil"/>
            </w:tcBorders>
            <w:shd w:val="clear" w:color="auto" w:fill="auto"/>
          </w:tcPr>
          <w:p w14:paraId="13BE93E7" w14:textId="77777777" w:rsidR="00712772" w:rsidRPr="00C80798" w:rsidRDefault="00712772" w:rsidP="00712772">
            <w:pPr>
              <w:pStyle w:val="SingleTxtG"/>
              <w:ind w:firstLine="567"/>
              <w:rPr>
                <w:spacing w:val="-2"/>
              </w:rPr>
            </w:pPr>
            <w:r w:rsidRPr="00C80798">
              <w:rPr>
                <w:spacing w:val="-2"/>
              </w:rPr>
              <w:t>Les activités menées par le Comité dans le cadre de la procédure prévue à l</w:t>
            </w:r>
            <w:r>
              <w:rPr>
                <w:spacing w:val="-2"/>
              </w:rPr>
              <w:t>’</w:t>
            </w:r>
            <w:r w:rsidRPr="00C80798">
              <w:rPr>
                <w:spacing w:val="-2"/>
              </w:rPr>
              <w:t>article</w:t>
            </w:r>
            <w:r w:rsidR="0064347D">
              <w:rPr>
                <w:spacing w:val="-2"/>
              </w:rPr>
              <w:t xml:space="preserve"> </w:t>
            </w:r>
            <w:r w:rsidRPr="00C80798">
              <w:rPr>
                <w:spacing w:val="-2"/>
              </w:rPr>
              <w:t>20 de la Convention se sont poursuivies pendant la période considérée (voir chap. V).</w:t>
            </w:r>
          </w:p>
        </w:tc>
      </w:tr>
      <w:tr w:rsidR="00712772" w14:paraId="49EDD09F" w14:textId="77777777" w:rsidTr="00712772">
        <w:trPr>
          <w:jc w:val="center"/>
        </w:trPr>
        <w:tc>
          <w:tcPr>
            <w:tcW w:w="9637" w:type="dxa"/>
            <w:tcBorders>
              <w:top w:val="nil"/>
              <w:bottom w:val="nil"/>
            </w:tcBorders>
            <w:shd w:val="clear" w:color="auto" w:fill="auto"/>
          </w:tcPr>
          <w:p w14:paraId="63D3A856" w14:textId="77777777" w:rsidR="00712772" w:rsidRPr="001D6294" w:rsidRDefault="00712772" w:rsidP="00712772">
            <w:pPr>
              <w:pStyle w:val="SingleTxtG"/>
              <w:ind w:firstLine="567"/>
            </w:pPr>
            <w:r w:rsidRPr="001D6294">
              <w:t>Le Comité a adopté 15 décisions sur le fond au titre de l</w:t>
            </w:r>
            <w:r>
              <w:t>’</w:t>
            </w:r>
            <w:r w:rsidRPr="001D6294">
              <w:t>article 22 de la Convention</w:t>
            </w:r>
            <w:r w:rsidR="004817DF">
              <w:t> ;</w:t>
            </w:r>
            <w:r w:rsidRPr="001D6294">
              <w:t xml:space="preserve"> il a déclaré 5 communications irrecevables et 2 recevables et il a reporté l</w:t>
            </w:r>
            <w:r>
              <w:t>’</w:t>
            </w:r>
            <w:r w:rsidRPr="001D6294">
              <w:t>examen de 3 autres. Il a mis fin à l</w:t>
            </w:r>
            <w:r>
              <w:t>’</w:t>
            </w:r>
            <w:r w:rsidRPr="001D6294">
              <w:t>examen de 21 requêtes (voir chap. VI). À ce jour,</w:t>
            </w:r>
            <w:r>
              <w:t xml:space="preserve"> 1</w:t>
            </w:r>
            <w:r w:rsidR="00D715E1">
              <w:t> </w:t>
            </w:r>
            <w:r>
              <w:t>00</w:t>
            </w:r>
            <w:r w:rsidRPr="001D6294">
              <w:t>3</w:t>
            </w:r>
            <w:r w:rsidR="00D715E1">
              <w:t xml:space="preserve"> </w:t>
            </w:r>
            <w:r w:rsidRPr="001D6294">
              <w:t>requêtes concernant 39 États parties ont été enregistrées depuis l</w:t>
            </w:r>
            <w:r>
              <w:t>’</w:t>
            </w:r>
            <w:r w:rsidRPr="001D6294">
              <w:t>entrée en vigueur de la Convention, dont 61 depuis l</w:t>
            </w:r>
            <w:r>
              <w:t>’</w:t>
            </w:r>
            <w:r w:rsidRPr="001D6294">
              <w:t>établissement du précédent rapport.</w:t>
            </w:r>
          </w:p>
        </w:tc>
      </w:tr>
      <w:tr w:rsidR="00712772" w14:paraId="360B7E86" w14:textId="77777777" w:rsidTr="00712772">
        <w:trPr>
          <w:jc w:val="center"/>
        </w:trPr>
        <w:tc>
          <w:tcPr>
            <w:tcW w:w="9637" w:type="dxa"/>
            <w:tcBorders>
              <w:top w:val="nil"/>
            </w:tcBorders>
            <w:shd w:val="clear" w:color="auto" w:fill="auto"/>
          </w:tcPr>
          <w:p w14:paraId="43693462" w14:textId="77777777" w:rsidR="00712772" w:rsidRPr="001D6294" w:rsidRDefault="00712772" w:rsidP="00712772">
            <w:pPr>
              <w:pStyle w:val="SingleTxtG"/>
              <w:ind w:firstLine="567"/>
            </w:pPr>
            <w:r w:rsidRPr="001D6294">
              <w:t>La charge de travail du Comité au titre de l</w:t>
            </w:r>
            <w:r>
              <w:t>’</w:t>
            </w:r>
            <w:r w:rsidRPr="001D6294">
              <w:t>article 22 reste importante, comme l</w:t>
            </w:r>
            <w:r>
              <w:t>’</w:t>
            </w:r>
            <w:r w:rsidRPr="001D6294">
              <w:t>attestent le grand nombre de requêtes enregistrées pendant la période considérée et l</w:t>
            </w:r>
            <w:r>
              <w:t>’</w:t>
            </w:r>
            <w:r w:rsidRPr="001D6294">
              <w:t>action que mène le Comité pour examiner un plus grand nombre de requêtes émanant de particuliers afin de réduire son arriéré de travail. Au 15</w:t>
            </w:r>
            <w:r w:rsidR="00D715E1">
              <w:t xml:space="preserve"> mai </w:t>
            </w:r>
            <w:r w:rsidRPr="001D6294">
              <w:t>2020, le Comité avait encore 1</w:t>
            </w:r>
            <w:r>
              <w:t>92</w:t>
            </w:r>
            <w:r w:rsidRPr="001D6294">
              <w:t> requêtes à examiner (voir chap. VI).</w:t>
            </w:r>
          </w:p>
        </w:tc>
      </w:tr>
      <w:tr w:rsidR="00712772" w14:paraId="479F36AB" w14:textId="77777777" w:rsidTr="00712772">
        <w:trPr>
          <w:jc w:val="center"/>
        </w:trPr>
        <w:tc>
          <w:tcPr>
            <w:tcW w:w="9637" w:type="dxa"/>
            <w:shd w:val="clear" w:color="auto" w:fill="auto"/>
          </w:tcPr>
          <w:p w14:paraId="7201BC3C" w14:textId="77777777" w:rsidR="00712772" w:rsidRPr="001D6294" w:rsidRDefault="00712772" w:rsidP="00712772">
            <w:pPr>
              <w:pStyle w:val="SingleTxtG"/>
              <w:ind w:firstLine="567"/>
            </w:pPr>
            <w:r w:rsidRPr="001D6294">
              <w:t>Le Comité note une fois de plus que certains États n</w:t>
            </w:r>
            <w:r>
              <w:t>’</w:t>
            </w:r>
            <w:r w:rsidRPr="001D6294">
              <w:t>ont pas donné suite aux décisions qu</w:t>
            </w:r>
            <w:r>
              <w:t>’</w:t>
            </w:r>
            <w:r w:rsidRPr="001D6294">
              <w:t>il avait rendues sur des requêtes les concernant. Il a continué de s</w:t>
            </w:r>
            <w:r>
              <w:t>’</w:t>
            </w:r>
            <w:r w:rsidRPr="001D6294">
              <w:t>efforcer d</w:t>
            </w:r>
            <w:r>
              <w:t>’</w:t>
            </w:r>
            <w:r w:rsidRPr="001D6294">
              <w:t>obtenir l</w:t>
            </w:r>
            <w:r>
              <w:t>’</w:t>
            </w:r>
            <w:r w:rsidRPr="001D6294">
              <w:t>application de ses décisions par l</w:t>
            </w:r>
            <w:r>
              <w:t>’</w:t>
            </w:r>
            <w:r w:rsidRPr="001D6294">
              <w:t>intermédiaire de son Rapporteur chargé du suivi des décisions adoptées au titre de l</w:t>
            </w:r>
            <w:r>
              <w:t>’</w:t>
            </w:r>
            <w:r w:rsidRPr="001D6294">
              <w:t>article 22 de la Convention (voir chap. VI).</w:t>
            </w:r>
          </w:p>
        </w:tc>
      </w:tr>
      <w:tr w:rsidR="00712772" w14:paraId="3E93CEF4" w14:textId="77777777" w:rsidTr="00712772">
        <w:trPr>
          <w:jc w:val="center"/>
        </w:trPr>
        <w:tc>
          <w:tcPr>
            <w:tcW w:w="9637" w:type="dxa"/>
            <w:shd w:val="clear" w:color="auto" w:fill="auto"/>
          </w:tcPr>
          <w:p w14:paraId="4201151D" w14:textId="77777777" w:rsidR="00712772" w:rsidRPr="001D6294" w:rsidRDefault="00712772" w:rsidP="00712772">
            <w:pPr>
              <w:pStyle w:val="SingleTxtG"/>
              <w:ind w:firstLine="567"/>
            </w:pPr>
            <w:r w:rsidRPr="001D6294">
              <w:t>Il a également accordé une attention particulière à la question des représailles (voir chap. I).</w:t>
            </w:r>
          </w:p>
        </w:tc>
      </w:tr>
      <w:tr w:rsidR="00712772" w14:paraId="4558FBB3" w14:textId="77777777" w:rsidTr="00712772">
        <w:trPr>
          <w:jc w:val="center"/>
        </w:trPr>
        <w:tc>
          <w:tcPr>
            <w:tcW w:w="9637" w:type="dxa"/>
            <w:shd w:val="clear" w:color="auto" w:fill="auto"/>
          </w:tcPr>
          <w:p w14:paraId="4777432D" w14:textId="77777777" w:rsidR="00712772" w:rsidRDefault="00712772" w:rsidP="00712772"/>
        </w:tc>
      </w:tr>
    </w:tbl>
    <w:p w14:paraId="01BCE084" w14:textId="77777777" w:rsidR="00712772" w:rsidRDefault="00712772" w:rsidP="00EF7D1D">
      <w:pPr>
        <w:spacing w:after="120"/>
        <w:rPr>
          <w:sz w:val="28"/>
          <w:lang w:val="fr-FR"/>
        </w:rPr>
      </w:pPr>
    </w:p>
    <w:p w14:paraId="45FDDD4D" w14:textId="77777777" w:rsidR="00EF7D1D" w:rsidRPr="00FA3966" w:rsidRDefault="00712772" w:rsidP="00EF7D1D">
      <w:pPr>
        <w:spacing w:after="120"/>
        <w:rPr>
          <w:sz w:val="28"/>
          <w:lang w:val="fr-FR"/>
        </w:rPr>
      </w:pPr>
      <w:r>
        <w:rPr>
          <w:sz w:val="28"/>
          <w:lang w:val="fr-FR"/>
        </w:rPr>
        <w:br w:type="page"/>
      </w:r>
      <w:r w:rsidR="00EF7D1D" w:rsidRPr="00FA3966">
        <w:rPr>
          <w:sz w:val="28"/>
          <w:lang w:val="fr-FR"/>
        </w:rPr>
        <w:lastRenderedPageBreak/>
        <w:t>Table des matières</w:t>
      </w:r>
    </w:p>
    <w:p w14:paraId="371FB967" w14:textId="77777777" w:rsidR="00712772" w:rsidRPr="005171F8" w:rsidRDefault="00712772" w:rsidP="00712772">
      <w:pPr>
        <w:tabs>
          <w:tab w:val="right" w:pos="850"/>
          <w:tab w:val="right" w:leader="dot" w:pos="8787"/>
          <w:tab w:val="right" w:pos="9638"/>
        </w:tabs>
        <w:spacing w:after="120"/>
        <w:ind w:left="1134" w:hanging="1134"/>
      </w:pPr>
      <w:r w:rsidRPr="005171F8">
        <w:tab/>
        <w:t>I.</w:t>
      </w:r>
      <w:r w:rsidRPr="005171F8">
        <w:tab/>
      </w:r>
      <w:r w:rsidRPr="00AA6C78">
        <w:t>Questions d</w:t>
      </w:r>
      <w:r>
        <w:t>’</w:t>
      </w:r>
      <w:r w:rsidRPr="00AA6C78">
        <w:t>organisation et questions diverses</w:t>
      </w:r>
      <w:r w:rsidRPr="005171F8">
        <w:tab/>
      </w:r>
      <w:r w:rsidRPr="005171F8">
        <w:tab/>
      </w:r>
      <w:r w:rsidR="0064347D">
        <w:t>1</w:t>
      </w:r>
    </w:p>
    <w:p w14:paraId="57187A82" w14:textId="77777777" w:rsidR="00712772" w:rsidRDefault="00712772" w:rsidP="00712772">
      <w:pPr>
        <w:tabs>
          <w:tab w:val="right" w:leader="dot" w:pos="8787"/>
          <w:tab w:val="right" w:pos="9638"/>
        </w:tabs>
        <w:spacing w:after="120"/>
        <w:ind w:left="1559" w:hanging="425"/>
      </w:pPr>
      <w:r>
        <w:t>A.</w:t>
      </w:r>
      <w:r>
        <w:tab/>
      </w:r>
      <w:r w:rsidRPr="00AA6C78">
        <w:t>États parties à la Convention</w:t>
      </w:r>
      <w:r>
        <w:tab/>
      </w:r>
      <w:r>
        <w:tab/>
      </w:r>
      <w:r w:rsidR="0064347D">
        <w:t>1</w:t>
      </w:r>
    </w:p>
    <w:p w14:paraId="6120C21D" w14:textId="77777777" w:rsidR="00712772" w:rsidRDefault="00712772" w:rsidP="00712772">
      <w:pPr>
        <w:tabs>
          <w:tab w:val="right" w:leader="dot" w:pos="8787"/>
          <w:tab w:val="right" w:pos="9638"/>
        </w:tabs>
        <w:spacing w:after="120"/>
        <w:ind w:left="1559" w:hanging="425"/>
      </w:pPr>
      <w:r>
        <w:t>B.</w:t>
      </w:r>
      <w:r>
        <w:tab/>
      </w:r>
      <w:r w:rsidRPr="00AA6C78">
        <w:t>Sessions et ordres du jour du Comité</w:t>
      </w:r>
      <w:r>
        <w:tab/>
      </w:r>
      <w:r>
        <w:tab/>
      </w:r>
      <w:r w:rsidR="0064347D">
        <w:t>1</w:t>
      </w:r>
    </w:p>
    <w:p w14:paraId="40C3BA29" w14:textId="77777777" w:rsidR="00712772" w:rsidRDefault="00712772" w:rsidP="00712772">
      <w:pPr>
        <w:tabs>
          <w:tab w:val="right" w:leader="dot" w:pos="8787"/>
          <w:tab w:val="right" w:pos="9638"/>
        </w:tabs>
        <w:spacing w:after="120"/>
        <w:ind w:left="1559" w:hanging="425"/>
      </w:pPr>
      <w:r>
        <w:t>C.</w:t>
      </w:r>
      <w:r>
        <w:tab/>
      </w:r>
      <w:r w:rsidRPr="00AA6C78">
        <w:t>Composition du Comité et du Bureau et mandats</w:t>
      </w:r>
      <w:r>
        <w:tab/>
      </w:r>
      <w:r>
        <w:tab/>
      </w:r>
      <w:r w:rsidR="0064347D">
        <w:t>1</w:t>
      </w:r>
    </w:p>
    <w:p w14:paraId="2FC998C1" w14:textId="77777777" w:rsidR="00712772" w:rsidRDefault="00712772" w:rsidP="00712772">
      <w:pPr>
        <w:tabs>
          <w:tab w:val="right" w:leader="dot" w:pos="8787"/>
          <w:tab w:val="right" w:pos="9638"/>
        </w:tabs>
        <w:spacing w:after="120"/>
        <w:ind w:left="1559" w:hanging="425"/>
      </w:pPr>
      <w:r>
        <w:t>D.</w:t>
      </w:r>
      <w:r>
        <w:tab/>
      </w:r>
      <w:r w:rsidRPr="00AA6C78">
        <w:t>Rapport oral du Président à l</w:t>
      </w:r>
      <w:r>
        <w:t>’</w:t>
      </w:r>
      <w:r w:rsidRPr="00AA6C78">
        <w:t>Assemblée générale</w:t>
      </w:r>
      <w:r>
        <w:tab/>
      </w:r>
      <w:r>
        <w:tab/>
      </w:r>
      <w:r w:rsidR="0064347D">
        <w:t>2</w:t>
      </w:r>
    </w:p>
    <w:p w14:paraId="63F5E021" w14:textId="77777777" w:rsidR="00712772" w:rsidRDefault="00712772" w:rsidP="00712772">
      <w:pPr>
        <w:tabs>
          <w:tab w:val="right" w:leader="dot" w:pos="8787"/>
          <w:tab w:val="right" w:pos="9638"/>
        </w:tabs>
        <w:spacing w:after="120"/>
        <w:ind w:left="1559" w:hanging="425"/>
      </w:pPr>
      <w:r>
        <w:t>E.</w:t>
      </w:r>
      <w:r>
        <w:tab/>
      </w:r>
      <w:r w:rsidRPr="00AA6C78">
        <w:t>Activités du Comité relatives au Protocole facultatif se rapportant</w:t>
      </w:r>
      <w:r>
        <w:t xml:space="preserve"> </w:t>
      </w:r>
      <w:r w:rsidRPr="00AA6C78">
        <w:t>à la Convention</w:t>
      </w:r>
      <w:r>
        <w:tab/>
      </w:r>
      <w:r>
        <w:tab/>
      </w:r>
      <w:r w:rsidR="0064347D">
        <w:t>2</w:t>
      </w:r>
    </w:p>
    <w:p w14:paraId="6AA43EC8" w14:textId="77777777" w:rsidR="00712772" w:rsidRDefault="00712772" w:rsidP="00712772">
      <w:pPr>
        <w:tabs>
          <w:tab w:val="right" w:leader="dot" w:pos="8787"/>
          <w:tab w:val="right" w:pos="9638"/>
        </w:tabs>
        <w:spacing w:after="120"/>
        <w:ind w:left="1559" w:hanging="425"/>
      </w:pPr>
      <w:r>
        <w:t>F.</w:t>
      </w:r>
      <w:r>
        <w:tab/>
      </w:r>
      <w:r w:rsidRPr="00AA6C78">
        <w:t>Déclaration commune à l</w:t>
      </w:r>
      <w:r>
        <w:t>’</w:t>
      </w:r>
      <w:r w:rsidRPr="00AA6C78">
        <w:t xml:space="preserve">occasion de la Journée internationale des Nations Unies </w:t>
      </w:r>
      <w:r>
        <w:br/>
      </w:r>
      <w:r w:rsidRPr="00AA6C78">
        <w:t xml:space="preserve">pour le soutien aux victimes de la torture et coopération avec le Conseil </w:t>
      </w:r>
      <w:r>
        <w:br/>
      </w:r>
      <w:r w:rsidRPr="00AA6C78">
        <w:t>d</w:t>
      </w:r>
      <w:r>
        <w:t>’</w:t>
      </w:r>
      <w:r w:rsidRPr="00AA6C78">
        <w:t xml:space="preserve">administration du Fonds de contributions volontaires des Nations Unies </w:t>
      </w:r>
      <w:r w:rsidRPr="00AA6C78">
        <w:br/>
        <w:t>pour les victimes de la torture</w:t>
      </w:r>
      <w:r>
        <w:tab/>
      </w:r>
      <w:r>
        <w:tab/>
      </w:r>
      <w:r w:rsidR="0064347D">
        <w:t>2</w:t>
      </w:r>
    </w:p>
    <w:p w14:paraId="3A0974F8" w14:textId="77777777" w:rsidR="00712772" w:rsidRDefault="00712772" w:rsidP="00712772">
      <w:pPr>
        <w:tabs>
          <w:tab w:val="right" w:leader="dot" w:pos="8787"/>
          <w:tab w:val="right" w:pos="9638"/>
        </w:tabs>
        <w:spacing w:after="120"/>
        <w:ind w:left="1559" w:hanging="425"/>
      </w:pPr>
      <w:r>
        <w:t>G.</w:t>
      </w:r>
      <w:r>
        <w:tab/>
      </w:r>
      <w:r w:rsidRPr="00AA6C78">
        <w:t>Participation des organisations non gouvernementales</w:t>
      </w:r>
      <w:r>
        <w:tab/>
      </w:r>
      <w:r>
        <w:tab/>
      </w:r>
      <w:r w:rsidR="0064347D">
        <w:t>3</w:t>
      </w:r>
    </w:p>
    <w:p w14:paraId="17D920AB" w14:textId="77777777" w:rsidR="00712772" w:rsidRDefault="00712772" w:rsidP="00712772">
      <w:pPr>
        <w:tabs>
          <w:tab w:val="right" w:leader="dot" w:pos="8787"/>
          <w:tab w:val="right" w:pos="9638"/>
        </w:tabs>
        <w:spacing w:after="120"/>
        <w:ind w:left="1559" w:hanging="425"/>
      </w:pPr>
      <w:r>
        <w:t>H.</w:t>
      </w:r>
      <w:r>
        <w:tab/>
      </w:r>
      <w:r w:rsidRPr="00AA6C78">
        <w:t>Participation des institutions nationales des droits de l</w:t>
      </w:r>
      <w:r>
        <w:t>’</w:t>
      </w:r>
      <w:r w:rsidRPr="00AA6C78">
        <w:t xml:space="preserve">homme et des mécanismes </w:t>
      </w:r>
      <w:r>
        <w:br/>
      </w:r>
      <w:r w:rsidRPr="00AA6C78">
        <w:t>nationaux de prévention</w:t>
      </w:r>
      <w:r>
        <w:tab/>
      </w:r>
      <w:r>
        <w:tab/>
      </w:r>
      <w:r w:rsidR="0064347D">
        <w:t>3</w:t>
      </w:r>
    </w:p>
    <w:p w14:paraId="7FC6FA09" w14:textId="77777777" w:rsidR="00712772" w:rsidRDefault="00712772" w:rsidP="00712772">
      <w:pPr>
        <w:tabs>
          <w:tab w:val="right" w:leader="dot" w:pos="8787"/>
          <w:tab w:val="right" w:pos="9638"/>
        </w:tabs>
        <w:spacing w:after="120"/>
        <w:ind w:left="1559" w:hanging="425"/>
      </w:pPr>
      <w:r>
        <w:t>I.</w:t>
      </w:r>
      <w:r>
        <w:tab/>
      </w:r>
      <w:r w:rsidRPr="00AA6C78">
        <w:t>Rapporteuse chargée de la question des représailles</w:t>
      </w:r>
      <w:r>
        <w:tab/>
      </w:r>
      <w:r>
        <w:tab/>
      </w:r>
      <w:r w:rsidR="0064347D">
        <w:t>3</w:t>
      </w:r>
    </w:p>
    <w:p w14:paraId="0F733B23" w14:textId="77777777" w:rsidR="00712772" w:rsidRDefault="00712772" w:rsidP="00712772">
      <w:pPr>
        <w:tabs>
          <w:tab w:val="right" w:leader="dot" w:pos="8787"/>
          <w:tab w:val="right" w:pos="9638"/>
        </w:tabs>
        <w:spacing w:after="120"/>
        <w:ind w:left="1559" w:hanging="425"/>
      </w:pPr>
      <w:r>
        <w:t>J.</w:t>
      </w:r>
      <w:r>
        <w:tab/>
      </w:r>
      <w:r w:rsidRPr="00AA6C78">
        <w:t>Processus de renforcement des organes conventionnels</w:t>
      </w:r>
      <w:r>
        <w:tab/>
      </w:r>
      <w:r>
        <w:tab/>
      </w:r>
      <w:r w:rsidR="0064347D">
        <w:t>4</w:t>
      </w:r>
    </w:p>
    <w:p w14:paraId="52B05799" w14:textId="77777777" w:rsidR="00712772" w:rsidRDefault="00712772" w:rsidP="00712772">
      <w:pPr>
        <w:tabs>
          <w:tab w:val="right" w:leader="dot" w:pos="8787"/>
          <w:tab w:val="right" w:pos="9638"/>
        </w:tabs>
        <w:spacing w:after="120"/>
        <w:ind w:left="1559" w:hanging="425"/>
      </w:pPr>
      <w:r>
        <w:t>K.</w:t>
      </w:r>
      <w:r>
        <w:tab/>
      </w:r>
      <w:r w:rsidRPr="00AA6C78">
        <w:t xml:space="preserve">Suite donnée aux décisions adoptées lors des journées de réflexion sur les méthodes </w:t>
      </w:r>
      <w:r>
        <w:br/>
      </w:r>
      <w:r w:rsidRPr="00AA6C78">
        <w:t>de travail du Comité</w:t>
      </w:r>
      <w:r>
        <w:tab/>
      </w:r>
      <w:r>
        <w:tab/>
      </w:r>
      <w:r w:rsidR="00FF2794">
        <w:t>4</w:t>
      </w:r>
    </w:p>
    <w:p w14:paraId="521D7707" w14:textId="77777777" w:rsidR="00712772" w:rsidRDefault="00712772" w:rsidP="00712772">
      <w:pPr>
        <w:tabs>
          <w:tab w:val="right" w:leader="dot" w:pos="8787"/>
          <w:tab w:val="right" w:pos="9638"/>
        </w:tabs>
        <w:spacing w:after="120"/>
        <w:ind w:left="1559" w:hanging="425"/>
      </w:pPr>
      <w:r>
        <w:t>L.</w:t>
      </w:r>
      <w:r>
        <w:tab/>
      </w:r>
      <w:r w:rsidRPr="00AA6C78">
        <w:t>Participation des membres du Comité à d</w:t>
      </w:r>
      <w:r>
        <w:t>’</w:t>
      </w:r>
      <w:r w:rsidRPr="00AA6C78">
        <w:t>autres réunions</w:t>
      </w:r>
      <w:r>
        <w:tab/>
      </w:r>
      <w:r>
        <w:tab/>
      </w:r>
      <w:r w:rsidR="00FF2794">
        <w:t>4</w:t>
      </w:r>
    </w:p>
    <w:p w14:paraId="4F6C1757" w14:textId="77777777" w:rsidR="00712772" w:rsidRDefault="00712772" w:rsidP="00712772">
      <w:pPr>
        <w:tabs>
          <w:tab w:val="right" w:pos="850"/>
          <w:tab w:val="right" w:leader="dot" w:pos="8787"/>
          <w:tab w:val="right" w:pos="9638"/>
        </w:tabs>
        <w:spacing w:after="120"/>
        <w:ind w:left="1134" w:hanging="1134"/>
      </w:pPr>
      <w:r>
        <w:tab/>
        <w:t>II.</w:t>
      </w:r>
      <w:r>
        <w:tab/>
      </w:r>
      <w:r w:rsidRPr="00AA6C78">
        <w:t>Soumission des rapports des États parties en application</w:t>
      </w:r>
      <w:r>
        <w:t xml:space="preserve"> </w:t>
      </w:r>
      <w:r w:rsidRPr="00AA6C78">
        <w:t>de l</w:t>
      </w:r>
      <w:r>
        <w:t>’</w:t>
      </w:r>
      <w:r w:rsidRPr="00AA6C78">
        <w:t>article 19 de la Convention</w:t>
      </w:r>
      <w:r>
        <w:tab/>
      </w:r>
      <w:r>
        <w:tab/>
      </w:r>
      <w:r w:rsidR="00FF2794">
        <w:t>5</w:t>
      </w:r>
    </w:p>
    <w:p w14:paraId="00C84F9B" w14:textId="77777777" w:rsidR="00712772" w:rsidRDefault="00712772" w:rsidP="00712772">
      <w:pPr>
        <w:tabs>
          <w:tab w:val="right" w:leader="dot" w:pos="8787"/>
          <w:tab w:val="right" w:pos="9638"/>
        </w:tabs>
        <w:spacing w:after="120"/>
        <w:ind w:left="1559" w:hanging="425"/>
      </w:pPr>
      <w:r>
        <w:t>A.</w:t>
      </w:r>
      <w:r>
        <w:tab/>
      </w:r>
      <w:r w:rsidRPr="00AA6C78">
        <w:t>Invitation à soumettre les rapports périodiques</w:t>
      </w:r>
      <w:r>
        <w:tab/>
      </w:r>
      <w:r>
        <w:tab/>
      </w:r>
      <w:r w:rsidR="00FF2794">
        <w:t>6</w:t>
      </w:r>
    </w:p>
    <w:p w14:paraId="1FA2AF79" w14:textId="77777777" w:rsidR="00712772" w:rsidRDefault="00712772" w:rsidP="00712772">
      <w:pPr>
        <w:tabs>
          <w:tab w:val="right" w:leader="dot" w:pos="8787"/>
          <w:tab w:val="right" w:pos="9638"/>
        </w:tabs>
        <w:spacing w:after="120"/>
        <w:ind w:left="1559" w:hanging="425"/>
      </w:pPr>
      <w:r>
        <w:t>B.</w:t>
      </w:r>
      <w:r>
        <w:tab/>
      </w:r>
      <w:r w:rsidRPr="00AA6C78">
        <w:t>Procédure simplifiée d</w:t>
      </w:r>
      <w:r>
        <w:t>’</w:t>
      </w:r>
      <w:r w:rsidRPr="00AA6C78">
        <w:t>établissement des rapports</w:t>
      </w:r>
      <w:r>
        <w:tab/>
      </w:r>
      <w:r>
        <w:tab/>
      </w:r>
      <w:r w:rsidR="00FF2794">
        <w:t>6</w:t>
      </w:r>
    </w:p>
    <w:p w14:paraId="3F327758" w14:textId="77777777" w:rsidR="00712772" w:rsidRDefault="00712772" w:rsidP="00712772">
      <w:pPr>
        <w:tabs>
          <w:tab w:val="right" w:leader="dot" w:pos="8787"/>
          <w:tab w:val="right" w:pos="9638"/>
        </w:tabs>
        <w:spacing w:after="120"/>
        <w:ind w:left="1559" w:hanging="425"/>
      </w:pPr>
      <w:r>
        <w:t>C.</w:t>
      </w:r>
      <w:r>
        <w:tab/>
      </w:r>
      <w:r w:rsidRPr="00AA6C78">
        <w:t>Rappels pour les rapports initiaux et périodiques en retard</w:t>
      </w:r>
      <w:r>
        <w:tab/>
      </w:r>
      <w:r>
        <w:tab/>
      </w:r>
      <w:r w:rsidR="00FF2794">
        <w:t>7</w:t>
      </w:r>
    </w:p>
    <w:p w14:paraId="0E194DC4" w14:textId="77777777" w:rsidR="00712772" w:rsidRDefault="00712772" w:rsidP="00712772">
      <w:pPr>
        <w:tabs>
          <w:tab w:val="right" w:leader="dot" w:pos="8787"/>
          <w:tab w:val="right" w:pos="9638"/>
        </w:tabs>
        <w:spacing w:after="120"/>
        <w:ind w:left="1559" w:hanging="425"/>
      </w:pPr>
      <w:r>
        <w:t>D.</w:t>
      </w:r>
      <w:r>
        <w:tab/>
      </w:r>
      <w:r w:rsidRPr="00AA6C78">
        <w:t>Examen des mesures prises par un État partie en l</w:t>
      </w:r>
      <w:r>
        <w:t>’</w:t>
      </w:r>
      <w:r w:rsidRPr="00AA6C78">
        <w:t>absence de rapport</w:t>
      </w:r>
      <w:r>
        <w:tab/>
      </w:r>
      <w:r>
        <w:tab/>
      </w:r>
      <w:r w:rsidR="00FF2794">
        <w:t>7</w:t>
      </w:r>
    </w:p>
    <w:p w14:paraId="7BC90B73" w14:textId="77777777" w:rsidR="00712772" w:rsidRDefault="00712772" w:rsidP="00712772">
      <w:pPr>
        <w:tabs>
          <w:tab w:val="right" w:pos="850"/>
          <w:tab w:val="right" w:leader="dot" w:pos="8787"/>
          <w:tab w:val="right" w:pos="9638"/>
        </w:tabs>
        <w:spacing w:after="120"/>
        <w:ind w:left="1134" w:hanging="1134"/>
      </w:pPr>
      <w:r>
        <w:tab/>
        <w:t>III.</w:t>
      </w:r>
      <w:r>
        <w:tab/>
      </w:r>
      <w:r w:rsidRPr="00AA6C78">
        <w:t>Examen des rapports soumis par les États parties en application de l</w:t>
      </w:r>
      <w:r>
        <w:t>’</w:t>
      </w:r>
      <w:r w:rsidRPr="00AA6C78">
        <w:t xml:space="preserve">article 19 </w:t>
      </w:r>
      <w:r>
        <w:br/>
      </w:r>
      <w:r w:rsidRPr="00AA6C78">
        <w:t>de la Convention</w:t>
      </w:r>
      <w:r>
        <w:tab/>
      </w:r>
      <w:r>
        <w:tab/>
      </w:r>
      <w:r w:rsidR="00FF2794">
        <w:t>8</w:t>
      </w:r>
    </w:p>
    <w:p w14:paraId="6AC94445" w14:textId="77777777" w:rsidR="00712772" w:rsidRDefault="00712772" w:rsidP="00712772">
      <w:pPr>
        <w:tabs>
          <w:tab w:val="right" w:pos="850"/>
          <w:tab w:val="right" w:leader="dot" w:pos="8787"/>
          <w:tab w:val="right" w:pos="9638"/>
        </w:tabs>
        <w:spacing w:after="120"/>
        <w:ind w:left="1134" w:hanging="1134"/>
      </w:pPr>
      <w:r>
        <w:tab/>
        <w:t>IV.</w:t>
      </w:r>
      <w:r>
        <w:tab/>
      </w:r>
      <w:r w:rsidRPr="00AA6C78">
        <w:t>Suivi des observations finales relatives aux rapports des États parties</w:t>
      </w:r>
      <w:r>
        <w:tab/>
      </w:r>
      <w:r>
        <w:tab/>
      </w:r>
      <w:r w:rsidR="00FF2794">
        <w:t>9</w:t>
      </w:r>
    </w:p>
    <w:p w14:paraId="464CF0E5" w14:textId="77777777" w:rsidR="00712772" w:rsidRDefault="00712772" w:rsidP="00712772">
      <w:pPr>
        <w:tabs>
          <w:tab w:val="right" w:pos="850"/>
          <w:tab w:val="right" w:leader="dot" w:pos="8787"/>
          <w:tab w:val="right" w:pos="9638"/>
        </w:tabs>
        <w:spacing w:after="120"/>
        <w:ind w:left="1134" w:hanging="1134"/>
      </w:pPr>
      <w:r>
        <w:tab/>
        <w:t>V.</w:t>
      </w:r>
      <w:r>
        <w:tab/>
      </w:r>
      <w:r w:rsidRPr="00AA6C78">
        <w:t>Activités menées par le Comité en application de l</w:t>
      </w:r>
      <w:r>
        <w:t>’</w:t>
      </w:r>
      <w:r w:rsidRPr="00AA6C78">
        <w:t>article 20 de la Convention</w:t>
      </w:r>
      <w:r>
        <w:tab/>
      </w:r>
      <w:r>
        <w:tab/>
      </w:r>
      <w:r w:rsidR="00FF2794">
        <w:t>10</w:t>
      </w:r>
    </w:p>
    <w:p w14:paraId="10C25557" w14:textId="77777777" w:rsidR="00712772" w:rsidRDefault="00712772" w:rsidP="00712772">
      <w:pPr>
        <w:tabs>
          <w:tab w:val="right" w:pos="850"/>
          <w:tab w:val="right" w:leader="dot" w:pos="8787"/>
          <w:tab w:val="right" w:pos="9638"/>
        </w:tabs>
        <w:spacing w:after="120"/>
        <w:ind w:left="1134" w:hanging="1134"/>
      </w:pPr>
      <w:r>
        <w:tab/>
        <w:t>VI.</w:t>
      </w:r>
      <w:r>
        <w:tab/>
      </w:r>
      <w:r w:rsidRPr="00AA6C78">
        <w:t>Examen de communications soumises en application de l</w:t>
      </w:r>
      <w:r>
        <w:t>’</w:t>
      </w:r>
      <w:r w:rsidRPr="00AA6C78">
        <w:t>article 22 de la Convention</w:t>
      </w:r>
      <w:r>
        <w:tab/>
      </w:r>
      <w:r>
        <w:tab/>
      </w:r>
      <w:r w:rsidR="00FF2794">
        <w:t>10</w:t>
      </w:r>
    </w:p>
    <w:p w14:paraId="0A509D69" w14:textId="77777777" w:rsidR="00712772" w:rsidRDefault="00712772" w:rsidP="00712772">
      <w:pPr>
        <w:tabs>
          <w:tab w:val="right" w:leader="dot" w:pos="8787"/>
          <w:tab w:val="right" w:pos="9638"/>
        </w:tabs>
        <w:spacing w:after="120"/>
        <w:ind w:left="1559" w:hanging="425"/>
      </w:pPr>
      <w:r>
        <w:t>A.</w:t>
      </w:r>
      <w:r>
        <w:tab/>
      </w:r>
      <w:r w:rsidRPr="0020585F">
        <w:t>Introduction</w:t>
      </w:r>
      <w:r>
        <w:tab/>
      </w:r>
      <w:r>
        <w:tab/>
      </w:r>
      <w:r w:rsidR="00FF2794">
        <w:t>10</w:t>
      </w:r>
    </w:p>
    <w:p w14:paraId="51B37E77" w14:textId="77777777" w:rsidR="00712772" w:rsidRDefault="00712772" w:rsidP="00712772">
      <w:pPr>
        <w:tabs>
          <w:tab w:val="right" w:leader="dot" w:pos="8787"/>
          <w:tab w:val="right" w:pos="9638"/>
        </w:tabs>
        <w:spacing w:after="120"/>
        <w:ind w:left="1559" w:hanging="425"/>
      </w:pPr>
      <w:r>
        <w:t>B.</w:t>
      </w:r>
      <w:r>
        <w:tab/>
      </w:r>
      <w:r w:rsidRPr="0020585F">
        <w:t>Mesures provisoires de protection</w:t>
      </w:r>
      <w:r>
        <w:tab/>
      </w:r>
      <w:r>
        <w:tab/>
      </w:r>
      <w:r w:rsidR="00FF2794">
        <w:t>12</w:t>
      </w:r>
    </w:p>
    <w:p w14:paraId="6E077358" w14:textId="77777777" w:rsidR="00712772" w:rsidRDefault="00712772" w:rsidP="00712772">
      <w:pPr>
        <w:tabs>
          <w:tab w:val="right" w:leader="dot" w:pos="8787"/>
          <w:tab w:val="right" w:pos="9638"/>
        </w:tabs>
        <w:spacing w:after="120"/>
        <w:ind w:left="1559" w:hanging="425"/>
      </w:pPr>
      <w:r>
        <w:t>C.</w:t>
      </w:r>
      <w:r>
        <w:tab/>
      </w:r>
      <w:r w:rsidRPr="0020585F">
        <w:t>État des travaux</w:t>
      </w:r>
      <w:r>
        <w:tab/>
      </w:r>
      <w:r>
        <w:tab/>
      </w:r>
      <w:r w:rsidR="00FF2794">
        <w:t>12</w:t>
      </w:r>
    </w:p>
    <w:p w14:paraId="2EE0E830" w14:textId="77777777" w:rsidR="00712772" w:rsidRDefault="00712772" w:rsidP="00712772">
      <w:pPr>
        <w:tabs>
          <w:tab w:val="right" w:leader="dot" w:pos="8787"/>
          <w:tab w:val="right" w:pos="9638"/>
        </w:tabs>
        <w:spacing w:after="120"/>
        <w:ind w:left="1559" w:hanging="425"/>
      </w:pPr>
      <w:r>
        <w:t>D.</w:t>
      </w:r>
      <w:r>
        <w:tab/>
      </w:r>
      <w:r w:rsidRPr="0020585F">
        <w:t>Activités de suivi</w:t>
      </w:r>
      <w:r>
        <w:tab/>
      </w:r>
      <w:r>
        <w:tab/>
      </w:r>
      <w:r w:rsidR="00FF2794">
        <w:t>13</w:t>
      </w:r>
    </w:p>
    <w:p w14:paraId="05383E9A" w14:textId="77777777" w:rsidR="00712772" w:rsidRDefault="00712772" w:rsidP="00712772">
      <w:pPr>
        <w:tabs>
          <w:tab w:val="right" w:pos="850"/>
          <w:tab w:val="right" w:leader="dot" w:pos="8787"/>
          <w:tab w:val="right" w:pos="9638"/>
        </w:tabs>
        <w:spacing w:after="120"/>
        <w:ind w:left="1134" w:hanging="1134"/>
      </w:pPr>
      <w:r>
        <w:tab/>
        <w:t>VII.</w:t>
      </w:r>
      <w:r>
        <w:tab/>
      </w:r>
      <w:r w:rsidRPr="0020585F">
        <w:t>Réunions du Comité en 2020</w:t>
      </w:r>
      <w:r>
        <w:tab/>
      </w:r>
      <w:r>
        <w:tab/>
      </w:r>
      <w:r w:rsidR="00FF2794">
        <w:t>15</w:t>
      </w:r>
    </w:p>
    <w:p w14:paraId="59C64028" w14:textId="77777777" w:rsidR="00712772" w:rsidRDefault="00712772" w:rsidP="00712772">
      <w:pPr>
        <w:tabs>
          <w:tab w:val="right" w:pos="850"/>
          <w:tab w:val="right" w:leader="dot" w:pos="8787"/>
          <w:tab w:val="right" w:pos="9638"/>
        </w:tabs>
        <w:spacing w:after="120"/>
        <w:ind w:left="1134" w:hanging="1134"/>
      </w:pPr>
      <w:r>
        <w:tab/>
        <w:t>VIII.</w:t>
      </w:r>
      <w:r>
        <w:tab/>
      </w:r>
      <w:r w:rsidRPr="0020585F">
        <w:t>Adoption du rapport annuel du Comité sur ses activités</w:t>
      </w:r>
      <w:r>
        <w:tab/>
      </w:r>
      <w:r>
        <w:tab/>
      </w:r>
      <w:r w:rsidR="00FF2794">
        <w:t>15</w:t>
      </w:r>
    </w:p>
    <w:p w14:paraId="259830CD" w14:textId="77777777" w:rsidR="00712772" w:rsidRPr="001D6294" w:rsidRDefault="00712772" w:rsidP="00712772">
      <w:pPr>
        <w:tabs>
          <w:tab w:val="right" w:pos="850"/>
        </w:tabs>
        <w:spacing w:after="120"/>
      </w:pPr>
      <w:r>
        <w:tab/>
        <w:t>Annexes</w:t>
      </w:r>
    </w:p>
    <w:p w14:paraId="5A94DC06" w14:textId="77777777" w:rsidR="00712772" w:rsidRDefault="00712772" w:rsidP="00712772">
      <w:pPr>
        <w:tabs>
          <w:tab w:val="right" w:pos="850"/>
          <w:tab w:val="right" w:leader="dot" w:pos="8787"/>
          <w:tab w:val="right" w:pos="9638"/>
        </w:tabs>
        <w:spacing w:after="120"/>
        <w:ind w:left="1134" w:hanging="1134"/>
      </w:pPr>
      <w:r>
        <w:tab/>
        <w:t>I.</w:t>
      </w:r>
      <w:r>
        <w:tab/>
      </w:r>
      <w:r w:rsidRPr="0020585F">
        <w:t>Composition du Comité et du Bureau et mandats du 18</w:t>
      </w:r>
      <w:r w:rsidR="00D715E1">
        <w:t xml:space="preserve"> mai </w:t>
      </w:r>
      <w:r w:rsidRPr="0020585F">
        <w:t>au 31</w:t>
      </w:r>
      <w:r w:rsidR="00D715E1">
        <w:t> </w:t>
      </w:r>
      <w:r w:rsidRPr="0020585F">
        <w:t>décembre 2019</w:t>
      </w:r>
      <w:r>
        <w:tab/>
      </w:r>
      <w:r>
        <w:tab/>
      </w:r>
      <w:r w:rsidR="00FF2794">
        <w:t>16</w:t>
      </w:r>
    </w:p>
    <w:p w14:paraId="1BC9AAD3" w14:textId="77777777" w:rsidR="00712772" w:rsidRDefault="00712772" w:rsidP="00712772">
      <w:pPr>
        <w:tabs>
          <w:tab w:val="right" w:pos="850"/>
          <w:tab w:val="right" w:leader="dot" w:pos="8787"/>
          <w:tab w:val="right" w:pos="9638"/>
        </w:tabs>
        <w:spacing w:after="120"/>
        <w:ind w:left="1134" w:hanging="1134"/>
      </w:pPr>
      <w:r>
        <w:tab/>
        <w:t>II.</w:t>
      </w:r>
      <w:r>
        <w:tab/>
      </w:r>
      <w:r w:rsidRPr="0020585F">
        <w:t>Composition du Comité (à compter du 1</w:t>
      </w:r>
      <w:r w:rsidRPr="00D715E1">
        <w:rPr>
          <w:vertAlign w:val="superscript"/>
        </w:rPr>
        <w:t>er</w:t>
      </w:r>
      <w:r w:rsidR="00D715E1">
        <w:t> </w:t>
      </w:r>
      <w:r w:rsidRPr="0020585F">
        <w:t xml:space="preserve">janvier 2020) et du Bureau et mandats </w:t>
      </w:r>
      <w:r>
        <w:br/>
      </w:r>
      <w:r w:rsidRPr="0020585F">
        <w:t>(du 1</w:t>
      </w:r>
      <w:r w:rsidRPr="0020585F">
        <w:rPr>
          <w:vertAlign w:val="superscript"/>
        </w:rPr>
        <w:t>er</w:t>
      </w:r>
      <w:r w:rsidR="00D715E1">
        <w:t> </w:t>
      </w:r>
      <w:r w:rsidRPr="0020585F">
        <w:t>janvier au 12</w:t>
      </w:r>
      <w:r w:rsidR="00D715E1">
        <w:t> </w:t>
      </w:r>
      <w:r w:rsidRPr="0020585F">
        <w:t>juillet 2020)</w:t>
      </w:r>
      <w:r>
        <w:tab/>
      </w:r>
      <w:r>
        <w:tab/>
      </w:r>
      <w:r w:rsidR="00FF2794">
        <w:t>17</w:t>
      </w:r>
    </w:p>
    <w:p w14:paraId="22AB0F8F" w14:textId="77777777" w:rsidR="00712772" w:rsidRDefault="00712772" w:rsidP="00712772">
      <w:pPr>
        <w:tabs>
          <w:tab w:val="right" w:pos="850"/>
          <w:tab w:val="right" w:leader="dot" w:pos="8787"/>
          <w:tab w:val="right" w:pos="9638"/>
        </w:tabs>
        <w:spacing w:after="120"/>
        <w:ind w:left="1134" w:hanging="1134"/>
      </w:pPr>
      <w:r>
        <w:tab/>
        <w:t>III.</w:t>
      </w:r>
      <w:r>
        <w:tab/>
      </w:r>
      <w:r w:rsidRPr="0020585F">
        <w:t>Mesures visant à cibler le dialogue avec les États parties</w:t>
      </w:r>
      <w:r>
        <w:tab/>
      </w:r>
      <w:r>
        <w:tab/>
      </w:r>
      <w:r w:rsidR="00FF2794">
        <w:t>18</w:t>
      </w:r>
    </w:p>
    <w:p w14:paraId="1780AF8D" w14:textId="77777777" w:rsidR="00CD044C" w:rsidRDefault="00CD044C" w:rsidP="00C451B9"/>
    <w:p w14:paraId="3EDB7C74" w14:textId="77777777" w:rsidR="00712772" w:rsidRDefault="00712772" w:rsidP="00C451B9">
      <w:pPr>
        <w:sectPr w:rsidR="00712772" w:rsidSect="00712772">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05424BE1" w14:textId="77777777" w:rsidR="00712772" w:rsidRPr="001D6294" w:rsidRDefault="00712772" w:rsidP="00712772">
      <w:pPr>
        <w:pStyle w:val="HChG"/>
      </w:pPr>
      <w:r w:rsidRPr="001D6294">
        <w:lastRenderedPageBreak/>
        <w:tab/>
        <w:t>I.</w:t>
      </w:r>
      <w:r w:rsidRPr="001D6294">
        <w:tab/>
        <w:t>Questions d</w:t>
      </w:r>
      <w:r>
        <w:t>’</w:t>
      </w:r>
      <w:r w:rsidRPr="001D6294">
        <w:t>organisation et questions diverses</w:t>
      </w:r>
      <w:bookmarkStart w:id="2" w:name="_Toc3806601"/>
      <w:bookmarkEnd w:id="2"/>
    </w:p>
    <w:p w14:paraId="5B65B321" w14:textId="77777777" w:rsidR="00712772" w:rsidRPr="001D6294" w:rsidRDefault="00712772" w:rsidP="00712772">
      <w:pPr>
        <w:pStyle w:val="H1G"/>
      </w:pPr>
      <w:r w:rsidRPr="001D6294">
        <w:tab/>
        <w:t>A.</w:t>
      </w:r>
      <w:r w:rsidRPr="001D6294">
        <w:tab/>
        <w:t>États parties à la Convention</w:t>
      </w:r>
      <w:bookmarkStart w:id="3" w:name="_Toc485738186"/>
      <w:bookmarkStart w:id="4" w:name="_Toc517447857"/>
      <w:bookmarkStart w:id="5" w:name="_Toc517691052"/>
      <w:bookmarkStart w:id="6" w:name="_Toc3806602"/>
      <w:bookmarkEnd w:id="3"/>
      <w:bookmarkEnd w:id="4"/>
      <w:bookmarkEnd w:id="5"/>
      <w:bookmarkEnd w:id="6"/>
    </w:p>
    <w:p w14:paraId="6795E243" w14:textId="77777777" w:rsidR="00712772" w:rsidRPr="001D6294" w:rsidRDefault="00712772" w:rsidP="00712772">
      <w:pPr>
        <w:pStyle w:val="SingleTxtG"/>
      </w:pPr>
      <w:r w:rsidRPr="001D6294">
        <w:t>1.</w:t>
      </w:r>
      <w:r w:rsidRPr="001D6294">
        <w:tab/>
        <w:t>Au 15</w:t>
      </w:r>
      <w:r w:rsidR="00D715E1">
        <w:t xml:space="preserve"> mai </w:t>
      </w:r>
      <w:r w:rsidRPr="001D6294">
        <w:t>2020, date initialement prévue pour la clôture de la soixante-neuvième session du Comité contre la torture, qui a été reportée, 169 États étaient parties à la Convention contre la torture et autres peines ou traitements cruels, inhumains ou dégradants.</w:t>
      </w:r>
    </w:p>
    <w:p w14:paraId="7C16060B" w14:textId="77777777" w:rsidR="00712772" w:rsidRPr="001D6294" w:rsidRDefault="00712772" w:rsidP="00712772">
      <w:pPr>
        <w:pStyle w:val="SingleTxtG"/>
      </w:pPr>
      <w:r w:rsidRPr="001D6294">
        <w:t>2.</w:t>
      </w:r>
      <w:r w:rsidRPr="001D6294">
        <w:tab/>
        <w:t>Depuis l</w:t>
      </w:r>
      <w:r>
        <w:t>’</w:t>
      </w:r>
      <w:r w:rsidRPr="001D6294">
        <w:t>adoption du précédent rapport annuel du Comité (</w:t>
      </w:r>
      <w:hyperlink r:id="rId24" w:history="1">
        <w:r w:rsidRPr="00DE15DB">
          <w:rPr>
            <w:rStyle w:val="Lienhypertexte"/>
          </w:rPr>
          <w:t>A/74/44</w:t>
        </w:r>
      </w:hyperlink>
      <w:r w:rsidRPr="001D6294">
        <w:t>), l</w:t>
      </w:r>
      <w:r>
        <w:t>’</w:t>
      </w:r>
      <w:r w:rsidRPr="001D6294">
        <w:t>Angola a ratifié la Convention le 2 octobre 2019. La Grenade et Kiribati ont adhéré à la Convention le 26</w:t>
      </w:r>
      <w:r w:rsidR="00D715E1">
        <w:t> septembre</w:t>
      </w:r>
      <w:r w:rsidRPr="001D6294">
        <w:t xml:space="preserve"> 2019 et le 22</w:t>
      </w:r>
      <w:r w:rsidR="005A2E8B">
        <w:t> </w:t>
      </w:r>
      <w:r w:rsidRPr="001D6294">
        <w:t>juillet 2019 respectivement. Le Comité invite tous les États qui ne l</w:t>
      </w:r>
      <w:r>
        <w:t>’</w:t>
      </w:r>
      <w:r w:rsidRPr="001D6294">
        <w:t>ont pas encore fait à ratifier la Convention et engage les États déjà parties à accepter toutes les procédures prévues par cet instrument afin de lui permettre de s</w:t>
      </w:r>
      <w:r>
        <w:t>’</w:t>
      </w:r>
      <w:r w:rsidRPr="001D6294">
        <w:t>acquitter de tous les éléments de son mandat.</w:t>
      </w:r>
    </w:p>
    <w:p w14:paraId="73F2CECD" w14:textId="168616AD" w:rsidR="00712772" w:rsidRPr="001D6294" w:rsidRDefault="00712772" w:rsidP="00712772">
      <w:pPr>
        <w:pStyle w:val="SingleTxtG"/>
      </w:pPr>
      <w:r w:rsidRPr="001D6294">
        <w:t>3.</w:t>
      </w:r>
      <w:r w:rsidRPr="001D6294">
        <w:tab/>
        <w:t>On trouvera toutes les informations concernant l</w:t>
      </w:r>
      <w:r>
        <w:t>’</w:t>
      </w:r>
      <w:r w:rsidRPr="001D6294">
        <w:t>état de la Convention, y compris le texte des déclarations faites au titre des articles 20, 21 et 22 et celui des réserves et objections formulées par les États parties au sujet de la Convention, à l</w:t>
      </w:r>
      <w:r>
        <w:t>’</w:t>
      </w:r>
      <w:r w:rsidRPr="001D6294">
        <w:t xml:space="preserve">adresse </w:t>
      </w:r>
      <w:hyperlink r:id="rId25" w:history="1">
        <w:r w:rsidRPr="008466E8">
          <w:rPr>
            <w:rStyle w:val="Lienhypertexte"/>
          </w:rPr>
          <w:t>http</w:t>
        </w:r>
        <w:r w:rsidR="004817DF">
          <w:rPr>
            <w:rStyle w:val="Lienhypertexte"/>
          </w:rPr>
          <w:t>:/</w:t>
        </w:r>
        <w:r w:rsidRPr="008466E8">
          <w:rPr>
            <w:rStyle w:val="Lienhypertexte"/>
          </w:rPr>
          <w:t>/treaties.un.org</w:t>
        </w:r>
      </w:hyperlink>
      <w:r w:rsidRPr="008466E8">
        <w:t>.</w:t>
      </w:r>
    </w:p>
    <w:p w14:paraId="44F48396" w14:textId="77777777" w:rsidR="00712772" w:rsidRPr="001D6294" w:rsidRDefault="00712772" w:rsidP="00712772">
      <w:pPr>
        <w:pStyle w:val="H1G"/>
      </w:pPr>
      <w:r w:rsidRPr="001D6294">
        <w:tab/>
        <w:t>B.</w:t>
      </w:r>
      <w:r w:rsidRPr="001D6294">
        <w:tab/>
        <w:t>Sessions et ordres du jour du Comité</w:t>
      </w:r>
      <w:bookmarkStart w:id="7" w:name="_Toc485738187"/>
      <w:bookmarkStart w:id="8" w:name="_Toc517447858"/>
      <w:bookmarkStart w:id="9" w:name="_Toc517691053"/>
      <w:bookmarkStart w:id="10" w:name="_Toc3806603"/>
      <w:bookmarkEnd w:id="7"/>
      <w:bookmarkEnd w:id="8"/>
      <w:bookmarkEnd w:id="9"/>
      <w:bookmarkEnd w:id="10"/>
    </w:p>
    <w:p w14:paraId="3CFD6FA0" w14:textId="77777777" w:rsidR="00C27275" w:rsidRDefault="00712772" w:rsidP="00712772">
      <w:pPr>
        <w:pStyle w:val="SingleTxtG"/>
        <w:rPr>
          <w:spacing w:val="-1"/>
        </w:rPr>
      </w:pPr>
      <w:r w:rsidRPr="00D715E1">
        <w:rPr>
          <w:spacing w:val="-1"/>
        </w:rPr>
        <w:t>4.</w:t>
      </w:r>
      <w:r w:rsidRPr="00D715E1">
        <w:rPr>
          <w:spacing w:val="-1"/>
        </w:rPr>
        <w:tab/>
        <w:t>Depuis l’adoption de son précédent rapport annuel, le Comité a tenu deux sessions et mené certaines activités initialement liées à la soixante-neuvième session. La soixante</w:t>
      </w:r>
      <w:r w:rsidRPr="00D715E1">
        <w:rPr>
          <w:spacing w:val="-1"/>
        </w:rPr>
        <w:noBreakHyphen/>
        <w:t>septième session (1757</w:t>
      </w:r>
      <w:r w:rsidRPr="00D715E1">
        <w:rPr>
          <w:spacing w:val="-1"/>
          <w:vertAlign w:val="superscript"/>
        </w:rPr>
        <w:t>e</w:t>
      </w:r>
      <w:r w:rsidRPr="00D715E1">
        <w:rPr>
          <w:spacing w:val="-1"/>
        </w:rPr>
        <w:t xml:space="preserve"> à 1783</w:t>
      </w:r>
      <w:r w:rsidRPr="00D715E1">
        <w:rPr>
          <w:spacing w:val="-1"/>
          <w:vertAlign w:val="superscript"/>
        </w:rPr>
        <w:t>e</w:t>
      </w:r>
      <w:r w:rsidR="005A2E8B" w:rsidRPr="00D715E1">
        <w:rPr>
          <w:spacing w:val="-1"/>
        </w:rPr>
        <w:t> </w:t>
      </w:r>
      <w:r w:rsidRPr="00D715E1">
        <w:rPr>
          <w:spacing w:val="-1"/>
        </w:rPr>
        <w:t>séances) s’est tenue du 22</w:t>
      </w:r>
      <w:r w:rsidR="005A2E8B" w:rsidRPr="00D715E1">
        <w:rPr>
          <w:spacing w:val="-1"/>
        </w:rPr>
        <w:t> </w:t>
      </w:r>
      <w:r w:rsidRPr="00D715E1">
        <w:rPr>
          <w:spacing w:val="-1"/>
        </w:rPr>
        <w:t>juillet au 9</w:t>
      </w:r>
      <w:r w:rsidR="005A2E8B" w:rsidRPr="00D715E1">
        <w:rPr>
          <w:spacing w:val="-1"/>
        </w:rPr>
        <w:t> </w:t>
      </w:r>
      <w:r w:rsidRPr="00D715E1">
        <w:rPr>
          <w:spacing w:val="-1"/>
        </w:rPr>
        <w:t>août 2019 et la soixante-huitième session (1784</w:t>
      </w:r>
      <w:r w:rsidRPr="00D715E1">
        <w:rPr>
          <w:spacing w:val="-1"/>
          <w:vertAlign w:val="superscript"/>
        </w:rPr>
        <w:t>e</w:t>
      </w:r>
      <w:r w:rsidRPr="00D715E1">
        <w:rPr>
          <w:spacing w:val="-1"/>
        </w:rPr>
        <w:t xml:space="preserve"> à 1822</w:t>
      </w:r>
      <w:r w:rsidRPr="00D715E1">
        <w:rPr>
          <w:spacing w:val="-1"/>
          <w:vertAlign w:val="superscript"/>
        </w:rPr>
        <w:t>e</w:t>
      </w:r>
      <w:r w:rsidR="005A2E8B" w:rsidRPr="00D715E1">
        <w:rPr>
          <w:spacing w:val="-1"/>
        </w:rPr>
        <w:t> </w:t>
      </w:r>
      <w:r w:rsidRPr="00D715E1">
        <w:rPr>
          <w:spacing w:val="-1"/>
        </w:rPr>
        <w:t>séances) du 11</w:t>
      </w:r>
      <w:r w:rsidR="005A2E8B" w:rsidRPr="00D715E1">
        <w:rPr>
          <w:spacing w:val="-1"/>
        </w:rPr>
        <w:t> </w:t>
      </w:r>
      <w:r w:rsidRPr="00D715E1">
        <w:rPr>
          <w:spacing w:val="-1"/>
        </w:rPr>
        <w:t>novembre au 6</w:t>
      </w:r>
      <w:r w:rsidR="005A2E8B" w:rsidRPr="00D715E1">
        <w:rPr>
          <w:spacing w:val="-1"/>
        </w:rPr>
        <w:t> </w:t>
      </w:r>
      <w:r w:rsidRPr="00D715E1">
        <w:rPr>
          <w:spacing w:val="-1"/>
        </w:rPr>
        <w:t>décembre 2019. Ces deux sessions se sont tenues à l’Office des Nations Unies à Genève. La soixante</w:t>
      </w:r>
      <w:r w:rsidRPr="00D715E1">
        <w:rPr>
          <w:spacing w:val="-1"/>
        </w:rPr>
        <w:noBreakHyphen/>
        <w:t>neuvième session, reportée, devait initialement se tenir du 20</w:t>
      </w:r>
      <w:r w:rsidR="005A2E8B" w:rsidRPr="00D715E1">
        <w:rPr>
          <w:spacing w:val="-1"/>
        </w:rPr>
        <w:t> </w:t>
      </w:r>
      <w:r w:rsidRPr="00D715E1">
        <w:rPr>
          <w:spacing w:val="-1"/>
        </w:rPr>
        <w:t>avril au 15</w:t>
      </w:r>
      <w:r w:rsidR="00D715E1" w:rsidRPr="00D715E1">
        <w:rPr>
          <w:spacing w:val="-1"/>
        </w:rPr>
        <w:t xml:space="preserve"> mai </w:t>
      </w:r>
      <w:r w:rsidRPr="00D715E1">
        <w:rPr>
          <w:spacing w:val="-1"/>
        </w:rPr>
        <w:t>2020.</w:t>
      </w:r>
    </w:p>
    <w:p w14:paraId="1A8EF3C3" w14:textId="7A2372F1" w:rsidR="00712772" w:rsidRPr="001D6294" w:rsidRDefault="00712772" w:rsidP="00712772">
      <w:pPr>
        <w:pStyle w:val="SingleTxtG"/>
      </w:pPr>
      <w:r w:rsidRPr="001D6294">
        <w:t>5.</w:t>
      </w:r>
      <w:r w:rsidRPr="001D6294">
        <w:tab/>
        <w:t>À sa 1757</w:t>
      </w:r>
      <w:r w:rsidRPr="001D6294">
        <w:rPr>
          <w:vertAlign w:val="superscript"/>
        </w:rPr>
        <w:t>e</w:t>
      </w:r>
      <w:r w:rsidRPr="001D6294">
        <w:t> séance, le 22 juillet 2019, le Comité a adopté en tant qu</w:t>
      </w:r>
      <w:r>
        <w:t>’</w:t>
      </w:r>
      <w:r w:rsidRPr="001D6294">
        <w:t>ordre du jour de sa soixante-septième session les points figurant dans l</w:t>
      </w:r>
      <w:r>
        <w:t>’</w:t>
      </w:r>
      <w:r w:rsidRPr="001D6294">
        <w:t>ordre du jour provisoire soumis par le Secrétaire général (</w:t>
      </w:r>
      <w:hyperlink r:id="rId26" w:history="1">
        <w:r w:rsidRPr="00DE15DB">
          <w:rPr>
            <w:rStyle w:val="Lienhypertexte"/>
          </w:rPr>
          <w:t>CAT/C/67/1</w:t>
        </w:r>
      </w:hyperlink>
      <w:r w:rsidRPr="001D6294">
        <w:t>).</w:t>
      </w:r>
    </w:p>
    <w:p w14:paraId="792A3902" w14:textId="77777777" w:rsidR="00712772" w:rsidRPr="001D6294" w:rsidRDefault="00712772" w:rsidP="00712772">
      <w:pPr>
        <w:pStyle w:val="SingleTxtG"/>
      </w:pPr>
      <w:r w:rsidRPr="001D6294">
        <w:t>6.</w:t>
      </w:r>
      <w:r w:rsidRPr="001D6294">
        <w:tab/>
        <w:t>À sa 1784</w:t>
      </w:r>
      <w:r w:rsidRPr="001D6294">
        <w:rPr>
          <w:vertAlign w:val="superscript"/>
        </w:rPr>
        <w:t>e</w:t>
      </w:r>
      <w:r w:rsidRPr="001D6294">
        <w:t> séance, le 11 novembre 2019, le Comité a adopté en tant qu</w:t>
      </w:r>
      <w:r>
        <w:t>’</w:t>
      </w:r>
      <w:r w:rsidRPr="001D6294">
        <w:t>ordre du jour de sa soixante-huitième session les points figurant dans l</w:t>
      </w:r>
      <w:r>
        <w:t>’</w:t>
      </w:r>
      <w:r w:rsidRPr="001D6294">
        <w:t>ordre du jour provisoire soumis par le Secrétaire général (</w:t>
      </w:r>
      <w:hyperlink r:id="rId27" w:history="1">
        <w:r w:rsidRPr="00DE15DB">
          <w:rPr>
            <w:rStyle w:val="Lienhypertexte"/>
          </w:rPr>
          <w:t>CAT/C/68/1</w:t>
        </w:r>
      </w:hyperlink>
      <w:r w:rsidRPr="001D6294">
        <w:t>).</w:t>
      </w:r>
    </w:p>
    <w:p w14:paraId="63D9F244" w14:textId="628AA7EC" w:rsidR="00712772" w:rsidRPr="001D6294" w:rsidRDefault="00712772" w:rsidP="00712772">
      <w:pPr>
        <w:pStyle w:val="SingleTxtG"/>
      </w:pPr>
      <w:r w:rsidRPr="001D6294">
        <w:t>7.</w:t>
      </w:r>
      <w:r w:rsidRPr="001D6294">
        <w:tab/>
        <w:t>Certaines activités inscrites dans l</w:t>
      </w:r>
      <w:r>
        <w:t>’</w:t>
      </w:r>
      <w:r w:rsidRPr="001D6294">
        <w:t>ordre du jour provisoire soumis par le Secrétaire général (</w:t>
      </w:r>
      <w:hyperlink r:id="rId28" w:history="1">
        <w:r w:rsidRPr="00DE15DB">
          <w:rPr>
            <w:rStyle w:val="Lienhypertexte"/>
          </w:rPr>
          <w:t>CAT/C/69/1/Rev.1</w:t>
        </w:r>
      </w:hyperlink>
      <w:r w:rsidRPr="001D6294">
        <w:t xml:space="preserve">) pour la soixante-neuvième session ont été réalisées (voir </w:t>
      </w:r>
      <w:r w:rsidR="00C27275">
        <w:t>par. </w:t>
      </w:r>
      <w:r>
        <w:t>27</w:t>
      </w:r>
      <w:r w:rsidRPr="001D6294">
        <w:t>).</w:t>
      </w:r>
    </w:p>
    <w:p w14:paraId="3B301450" w14:textId="77777777" w:rsidR="00712772" w:rsidRPr="001D6294" w:rsidRDefault="00712772" w:rsidP="00712772">
      <w:pPr>
        <w:pStyle w:val="SingleTxtG"/>
      </w:pPr>
      <w:r w:rsidRPr="001D6294">
        <w:t>8.</w:t>
      </w:r>
      <w:r w:rsidRPr="001D6294">
        <w:tab/>
        <w:t>Il est rendu compte des délibérations et des décisions du Comité aux deux sessions qui se sont tenues dans les comptes rendus analytiques des séances correspondantes (</w:t>
      </w:r>
      <w:hyperlink r:id="rId29" w:history="1">
        <w:r w:rsidRPr="00DE15DB">
          <w:rPr>
            <w:rStyle w:val="Lienhypertexte"/>
          </w:rPr>
          <w:t>CAT/C/S</w:t>
        </w:r>
        <w:r w:rsidRPr="00DE15DB">
          <w:rPr>
            <w:rStyle w:val="Lienhypertexte"/>
          </w:rPr>
          <w:t>R</w:t>
        </w:r>
        <w:r w:rsidRPr="00DE15DB">
          <w:rPr>
            <w:rStyle w:val="Lienhypertexte"/>
          </w:rPr>
          <w:t>.1757</w:t>
        </w:r>
      </w:hyperlink>
      <w:r w:rsidRPr="001D6294">
        <w:t xml:space="preserve"> à</w:t>
      </w:r>
      <w:r w:rsidR="00D715E1">
        <w:t xml:space="preserve"> </w:t>
      </w:r>
      <w:r w:rsidRPr="001D6294">
        <w:t>1822).</w:t>
      </w:r>
    </w:p>
    <w:p w14:paraId="3E881356" w14:textId="77777777" w:rsidR="00712772" w:rsidRPr="001D6294" w:rsidRDefault="00712772" w:rsidP="00712772">
      <w:pPr>
        <w:pStyle w:val="H1G"/>
      </w:pPr>
      <w:r w:rsidRPr="001D6294">
        <w:tab/>
        <w:t>C.</w:t>
      </w:r>
      <w:r w:rsidRPr="001D6294">
        <w:tab/>
        <w:t>Composition du Comité et du Bureau et mandats</w:t>
      </w:r>
      <w:bookmarkStart w:id="11" w:name="_Toc485738188"/>
      <w:bookmarkStart w:id="12" w:name="_Toc517447859"/>
      <w:bookmarkStart w:id="13" w:name="_Toc517691054"/>
      <w:bookmarkStart w:id="14" w:name="_Toc3806604"/>
      <w:bookmarkEnd w:id="11"/>
      <w:bookmarkEnd w:id="12"/>
      <w:bookmarkEnd w:id="13"/>
      <w:bookmarkEnd w:id="14"/>
    </w:p>
    <w:p w14:paraId="055A8EA8" w14:textId="77777777" w:rsidR="00712772" w:rsidRPr="001D6294" w:rsidRDefault="00712772" w:rsidP="00712772">
      <w:pPr>
        <w:pStyle w:val="SingleTxtG"/>
      </w:pPr>
      <w:r w:rsidRPr="001D6294">
        <w:t>9.</w:t>
      </w:r>
      <w:r w:rsidRPr="001D6294">
        <w:tab/>
        <w:t>Comme suite à la dix-septième réunion des États parties à la Convention, tenue le 3</w:t>
      </w:r>
      <w:r>
        <w:t> </w:t>
      </w:r>
      <w:r w:rsidRPr="001D6294">
        <w:t>octobre 2019, la composition du Comité a changé à partir du 1</w:t>
      </w:r>
      <w:r w:rsidRPr="007E42C7">
        <w:rPr>
          <w:vertAlign w:val="superscript"/>
        </w:rPr>
        <w:t>er</w:t>
      </w:r>
      <w:r w:rsidR="005A2E8B">
        <w:t> </w:t>
      </w:r>
      <w:r w:rsidRPr="001D6294">
        <w:t xml:space="preserve">janvier 2020. En outre, à la suite de la démission de </w:t>
      </w:r>
      <w:proofErr w:type="spellStart"/>
      <w:r w:rsidRPr="001D6294">
        <w:t>Honghong</w:t>
      </w:r>
      <w:proofErr w:type="spellEnd"/>
      <w:r w:rsidRPr="001D6294">
        <w:t xml:space="preserve"> Zhang le 27</w:t>
      </w:r>
      <w:r w:rsidR="005A2E8B">
        <w:t> </w:t>
      </w:r>
      <w:r w:rsidRPr="001D6294">
        <w:t xml:space="preserve">décembre 2019, Liu </w:t>
      </w:r>
      <w:proofErr w:type="spellStart"/>
      <w:r w:rsidRPr="001D6294">
        <w:t>Huawen</w:t>
      </w:r>
      <w:proofErr w:type="spellEnd"/>
      <w:r w:rsidRPr="001D6294">
        <w:t xml:space="preserve"> est devenu membre du Comité le 11</w:t>
      </w:r>
      <w:r w:rsidR="005A2E8B">
        <w:t> </w:t>
      </w:r>
      <w:r w:rsidRPr="001D6294">
        <w:t>février 2020. On trouvera dans l</w:t>
      </w:r>
      <w:r>
        <w:t>’</w:t>
      </w:r>
      <w:r w:rsidRPr="001D6294">
        <w:t>annexe I la liste des membres du Comité et du Bureau, avec les dates de début et de fin de leur mandat, pour la période allant du 18</w:t>
      </w:r>
      <w:r w:rsidR="00D715E1">
        <w:t xml:space="preserve"> mai </w:t>
      </w:r>
      <w:r w:rsidRPr="001D6294">
        <w:t>2019 au 31</w:t>
      </w:r>
      <w:r w:rsidR="005A2E8B">
        <w:t> </w:t>
      </w:r>
      <w:r w:rsidRPr="001D6294">
        <w:t>décembre 2019 et à l</w:t>
      </w:r>
      <w:r>
        <w:t>’</w:t>
      </w:r>
      <w:r w:rsidRPr="001D6294">
        <w:t>annexe II la liste des membres du Comité (à compter du 1</w:t>
      </w:r>
      <w:r w:rsidRPr="007E42C7">
        <w:rPr>
          <w:vertAlign w:val="superscript"/>
        </w:rPr>
        <w:t>er</w:t>
      </w:r>
      <w:r w:rsidR="005A2E8B">
        <w:t> </w:t>
      </w:r>
      <w:r w:rsidRPr="001D6294">
        <w:t>janvier 2020) et la liste des membres du Bureau avec les dates de début et de fin de leur mandat (pour la période du 1</w:t>
      </w:r>
      <w:r w:rsidRPr="007E42C7">
        <w:rPr>
          <w:vertAlign w:val="superscript"/>
        </w:rPr>
        <w:t>er</w:t>
      </w:r>
      <w:r w:rsidR="005A2E8B">
        <w:t> </w:t>
      </w:r>
      <w:r w:rsidRPr="001D6294">
        <w:t>janvier au 12</w:t>
      </w:r>
      <w:r w:rsidR="005A2E8B">
        <w:t> </w:t>
      </w:r>
      <w:r w:rsidRPr="001D6294">
        <w:t>juillet 2020). En raison du report de la soixante-neuvième session, les trois nouveaux membres n</w:t>
      </w:r>
      <w:r>
        <w:t>’</w:t>
      </w:r>
      <w:r w:rsidRPr="001D6294">
        <w:t xml:space="preserve">ont pas pu prononcer leur engagement solennel en séance publique pour prendre leurs fonctions, conformément à </w:t>
      </w:r>
      <w:r w:rsidRPr="001D6294">
        <w:lastRenderedPageBreak/>
        <w:t>l</w:t>
      </w:r>
      <w:r>
        <w:t>’</w:t>
      </w:r>
      <w:r w:rsidRPr="001D6294">
        <w:t>article</w:t>
      </w:r>
      <w:r w:rsidR="00D715E1">
        <w:t xml:space="preserve"> </w:t>
      </w:r>
      <w:r w:rsidRPr="001D6294">
        <w:t xml:space="preserve">14 du </w:t>
      </w:r>
      <w:r w:rsidR="00D715E1" w:rsidRPr="001D6294">
        <w:t xml:space="preserve">Règlement </w:t>
      </w:r>
      <w:r w:rsidRPr="001D6294">
        <w:t>intérieur du Comité. Comme le dispose l</w:t>
      </w:r>
      <w:r>
        <w:t>’</w:t>
      </w:r>
      <w:r w:rsidRPr="001D6294">
        <w:t>article 12, le/la Président(e), les membres du Bureau et les rapporteurs peuvent continuer de s</w:t>
      </w:r>
      <w:r>
        <w:t>’</w:t>
      </w:r>
      <w:r w:rsidRPr="001D6294">
        <w:t>acquitter des fonctions qui leur ont été confiées jusqu</w:t>
      </w:r>
      <w:r>
        <w:t>’</w:t>
      </w:r>
      <w:r w:rsidRPr="001D6294">
        <w:t xml:space="preserve">à la veille de la première séance du Comité composé de ses nouveaux membres, au cours de laquelle est élu le Bureau. Compte tenu des </w:t>
      </w:r>
      <w:r>
        <w:t xml:space="preserve">circonstances exceptionnelles liées à la pandémie de COVID-19, et à la lumière des </w:t>
      </w:r>
      <w:r w:rsidRPr="001D6294">
        <w:t>articles 12 et 14 du règlement intérieur, le Président, les membres du Bureau et les rapporteurs continueront de s</w:t>
      </w:r>
      <w:r>
        <w:t>’</w:t>
      </w:r>
      <w:r w:rsidRPr="001D6294">
        <w:t>acquitter des fonctions qui leur ont été confiées jusqu</w:t>
      </w:r>
      <w:r>
        <w:t>’</w:t>
      </w:r>
      <w:r w:rsidRPr="001D6294">
        <w:t xml:space="preserve">à la veille de la première séance du Comité </w:t>
      </w:r>
      <w:r>
        <w:t>de la prochaine session à laquelle les participants assisteront en personne</w:t>
      </w:r>
      <w:r w:rsidRPr="001D6294">
        <w:t>.</w:t>
      </w:r>
    </w:p>
    <w:p w14:paraId="7E1F7049" w14:textId="77777777" w:rsidR="00712772" w:rsidRPr="001D6294" w:rsidRDefault="00712772" w:rsidP="00712772">
      <w:pPr>
        <w:pStyle w:val="H1G"/>
      </w:pPr>
      <w:r w:rsidRPr="001D6294">
        <w:tab/>
        <w:t>D.</w:t>
      </w:r>
      <w:r w:rsidRPr="001D6294">
        <w:tab/>
        <w:t>Rapport oral du Président à l</w:t>
      </w:r>
      <w:r>
        <w:t>’</w:t>
      </w:r>
      <w:r w:rsidRPr="001D6294">
        <w:t>Assemblée générale</w:t>
      </w:r>
      <w:bookmarkStart w:id="15" w:name="_Toc485738189"/>
      <w:bookmarkStart w:id="16" w:name="_Toc517447860"/>
      <w:bookmarkStart w:id="17" w:name="_Toc517691055"/>
      <w:bookmarkStart w:id="18" w:name="_Toc3806605"/>
      <w:bookmarkEnd w:id="15"/>
      <w:bookmarkEnd w:id="16"/>
      <w:bookmarkEnd w:id="17"/>
      <w:bookmarkEnd w:id="18"/>
    </w:p>
    <w:p w14:paraId="172395A3" w14:textId="31209BB4" w:rsidR="00712772" w:rsidRPr="007E42C7" w:rsidRDefault="00712772" w:rsidP="00712772">
      <w:pPr>
        <w:pStyle w:val="SingleTxtG"/>
      </w:pPr>
      <w:r w:rsidRPr="001D6294">
        <w:t>10.</w:t>
      </w:r>
      <w:r w:rsidRPr="001D6294">
        <w:tab/>
        <w:t xml:space="preserve">Conformément au paragraphe 35 de la résolution </w:t>
      </w:r>
      <w:r w:rsidRPr="007E42C7">
        <w:t>68/156</w:t>
      </w:r>
      <w:r w:rsidRPr="001D6294">
        <w:t xml:space="preserve"> de l</w:t>
      </w:r>
      <w:r>
        <w:t>’</w:t>
      </w:r>
      <w:r w:rsidRPr="001D6294">
        <w:t>Assemblée générale, le 14 octobre 2019, le Président du Comité a présenté un rapport oral à l</w:t>
      </w:r>
      <w:r>
        <w:t>’</w:t>
      </w:r>
      <w:r w:rsidRPr="001D6294">
        <w:t>Assemblée générale et a eu un dialogue avec elle à sa soixante-quatorzième session (voir la page Web du Comité, hébergée sur le site Web du Haut-Commissariat des Nations Unies aux droits de l</w:t>
      </w:r>
      <w:r>
        <w:t>’</w:t>
      </w:r>
      <w:r w:rsidRPr="001D6294">
        <w:t>homme (HCDH), à l</w:t>
      </w:r>
      <w:r>
        <w:t>’</w:t>
      </w:r>
      <w:r w:rsidRPr="001D6294">
        <w:t xml:space="preserve">adresse </w:t>
      </w:r>
      <w:hyperlink r:id="rId30" w:history="1">
        <w:r w:rsidRPr="007E42C7">
          <w:rPr>
            <w:rStyle w:val="Lienhypertexte"/>
          </w:rPr>
          <w:t>www.ohchr.org</w:t>
        </w:r>
      </w:hyperlink>
      <w:r w:rsidRPr="007E42C7">
        <w:t>).</w:t>
      </w:r>
    </w:p>
    <w:p w14:paraId="4B303E18" w14:textId="77777777" w:rsidR="00712772" w:rsidRPr="001D6294" w:rsidRDefault="00712772" w:rsidP="00712772">
      <w:pPr>
        <w:pStyle w:val="H1G"/>
      </w:pPr>
      <w:r w:rsidRPr="001D6294">
        <w:tab/>
        <w:t>E.</w:t>
      </w:r>
      <w:r w:rsidRPr="001D6294">
        <w:tab/>
        <w:t>Activités du Comité relatives au Protocole facultatif se rapportant</w:t>
      </w:r>
      <w:r w:rsidR="005A2E8B">
        <w:t xml:space="preserve"> </w:t>
      </w:r>
      <w:r w:rsidRPr="001D6294">
        <w:t>à</w:t>
      </w:r>
      <w:r w:rsidR="005A2E8B">
        <w:t> </w:t>
      </w:r>
      <w:r w:rsidRPr="001D6294">
        <w:t>la</w:t>
      </w:r>
      <w:r w:rsidR="005A2E8B">
        <w:t> </w:t>
      </w:r>
      <w:r w:rsidRPr="001D6294">
        <w:t>Convention</w:t>
      </w:r>
      <w:bookmarkStart w:id="19" w:name="_Toc485738190"/>
      <w:bookmarkStart w:id="20" w:name="_Toc517447861"/>
      <w:bookmarkStart w:id="21" w:name="_Toc517691056"/>
      <w:bookmarkStart w:id="22" w:name="_Toc3806606"/>
      <w:bookmarkEnd w:id="19"/>
      <w:bookmarkEnd w:id="20"/>
      <w:bookmarkEnd w:id="21"/>
      <w:bookmarkEnd w:id="22"/>
    </w:p>
    <w:p w14:paraId="3F8E4F7D" w14:textId="77777777" w:rsidR="00C27275" w:rsidRDefault="00712772" w:rsidP="00712772">
      <w:pPr>
        <w:pStyle w:val="SingleTxtG"/>
      </w:pPr>
      <w:r w:rsidRPr="001D6294">
        <w:t>11.</w:t>
      </w:r>
      <w:r w:rsidRPr="001D6294">
        <w:tab/>
        <w:t>Au 15</w:t>
      </w:r>
      <w:r w:rsidR="00D715E1">
        <w:t xml:space="preserve"> mai </w:t>
      </w:r>
      <w:r w:rsidRPr="001D6294">
        <w:t xml:space="preserve">2020, les États parties au Protocole facultatif se rapportant à la Convention étaient au nombre de 90 (voir </w:t>
      </w:r>
      <w:hyperlink r:id="rId31" w:history="1">
        <w:r w:rsidRPr="007E42C7">
          <w:rPr>
            <w:rStyle w:val="Lienhypertexte"/>
          </w:rPr>
          <w:t>http</w:t>
        </w:r>
        <w:r w:rsidR="004817DF">
          <w:rPr>
            <w:rStyle w:val="Lienhypertexte"/>
          </w:rPr>
          <w:t>:/</w:t>
        </w:r>
        <w:r w:rsidRPr="007E42C7">
          <w:rPr>
            <w:rStyle w:val="Lienhypertexte"/>
          </w:rPr>
          <w:t>/treaties.un.org</w:t>
        </w:r>
      </w:hyperlink>
      <w:r w:rsidRPr="001D6294">
        <w:t>). Comme l</w:t>
      </w:r>
      <w:r>
        <w:t>’</w:t>
      </w:r>
      <w:r w:rsidRPr="001D6294">
        <w:t>exige le Protocole facultatif, le Comité et le Sous-Comité pour la prévention de la torture et autres peines ou traitements cruels, inhumains ou dégradants ont tenu une réunion conjointe, qui a eu lieu le 21 novembre 2019. Les deux organes conventionnels et le Rapporteur spécial sur la torture et autres peines ou traitements cruels, inhumains ou dégradants ont poursuivi leur coopération en participant ensemble activement à plusieurs événements, notamment une manifestation intitulée « Professionnalisation de la police et prévention de la torture » organisée en marge de l</w:t>
      </w:r>
      <w:r>
        <w:t>’</w:t>
      </w:r>
      <w:r w:rsidRPr="001D6294">
        <w:t>Assemblée générale par la Mission permanente du Danemark auprès de l</w:t>
      </w:r>
      <w:r>
        <w:t>’</w:t>
      </w:r>
      <w:r w:rsidRPr="001D6294">
        <w:t>Organisation des Nations Unies, l</w:t>
      </w:r>
      <w:r>
        <w:t>’</w:t>
      </w:r>
      <w:r w:rsidRPr="001D6294">
        <w:t>Initiative sur la Convention contre la torture et l</w:t>
      </w:r>
      <w:r>
        <w:t>’</w:t>
      </w:r>
      <w:r w:rsidRPr="001D6294">
        <w:t>Association pour la prévention de la torture et tenue le 14</w:t>
      </w:r>
      <w:r w:rsidR="005A2E8B">
        <w:t> </w:t>
      </w:r>
      <w:r w:rsidRPr="001D6294">
        <w:t>octobre 2019.</w:t>
      </w:r>
      <w:bookmarkStart w:id="23" w:name="_Hlk2865389"/>
      <w:bookmarkEnd w:id="23"/>
    </w:p>
    <w:p w14:paraId="4A12F318" w14:textId="61B03280" w:rsidR="00712772" w:rsidRPr="001D6294" w:rsidRDefault="00712772" w:rsidP="00712772">
      <w:pPr>
        <w:pStyle w:val="SingleTxtG"/>
      </w:pPr>
      <w:r w:rsidRPr="001D6294">
        <w:t>12.</w:t>
      </w:r>
      <w:r w:rsidRPr="001D6294">
        <w:tab/>
        <w:t>La réunion ordinaire entre le Comité et le Président du Sous</w:t>
      </w:r>
      <w:r w:rsidRPr="001D6294">
        <w:noBreakHyphen/>
        <w:t>Comité qui devait à cette occasion présenter au Comité le treizième rapport annuel public du Sous-Comité (</w:t>
      </w:r>
      <w:hyperlink r:id="rId32" w:history="1">
        <w:r w:rsidRPr="00C27275">
          <w:rPr>
            <w:rStyle w:val="Lienhypertexte"/>
          </w:rPr>
          <w:t>CAT/C/69/3</w:t>
        </w:r>
      </w:hyperlink>
      <w:r w:rsidRPr="001D6294">
        <w:t>), n</w:t>
      </w:r>
      <w:r>
        <w:t>’</w:t>
      </w:r>
      <w:r w:rsidRPr="001D6294">
        <w:t>a pas pu avoir lieu en raison du report de la soixante-neuvième session.</w:t>
      </w:r>
    </w:p>
    <w:p w14:paraId="5404C253" w14:textId="77777777" w:rsidR="00712772" w:rsidRPr="001D6294" w:rsidRDefault="00712772" w:rsidP="00712772">
      <w:pPr>
        <w:pStyle w:val="H1G"/>
      </w:pPr>
      <w:r w:rsidRPr="001D6294">
        <w:tab/>
        <w:t>F.</w:t>
      </w:r>
      <w:r w:rsidRPr="001D6294">
        <w:tab/>
        <w:t>Déclaration commune à l</w:t>
      </w:r>
      <w:r>
        <w:t>’</w:t>
      </w:r>
      <w:r w:rsidRPr="001D6294">
        <w:t xml:space="preserve">occasion de la Journée internationale </w:t>
      </w:r>
      <w:r w:rsidRPr="001D6294">
        <w:br/>
        <w:t xml:space="preserve">des Nations Unies pour le soutien aux victimes de la torture </w:t>
      </w:r>
      <w:r w:rsidRPr="001D6294">
        <w:br/>
        <w:t>et coopération avec le Conseil d</w:t>
      </w:r>
      <w:r>
        <w:t>’</w:t>
      </w:r>
      <w:r w:rsidRPr="001D6294">
        <w:t xml:space="preserve">administration du Fonds </w:t>
      </w:r>
      <w:r w:rsidRPr="001D6294">
        <w:br/>
        <w:t xml:space="preserve">de contributions volontaires des Nations Unies </w:t>
      </w:r>
      <w:r w:rsidRPr="001D6294">
        <w:br/>
        <w:t>pour les victimes de la torture</w:t>
      </w:r>
      <w:bookmarkStart w:id="24" w:name="_Toc485738191"/>
      <w:bookmarkStart w:id="25" w:name="_Toc517447862"/>
      <w:bookmarkStart w:id="26" w:name="_Toc517691057"/>
      <w:bookmarkStart w:id="27" w:name="_Toc3806607"/>
      <w:bookmarkEnd w:id="24"/>
      <w:bookmarkEnd w:id="25"/>
      <w:bookmarkEnd w:id="26"/>
      <w:bookmarkEnd w:id="27"/>
    </w:p>
    <w:p w14:paraId="559FC57D" w14:textId="28A0A8DF" w:rsidR="00712772" w:rsidRPr="001D6294" w:rsidRDefault="00712772" w:rsidP="00712772">
      <w:pPr>
        <w:pStyle w:val="SingleTxtG"/>
      </w:pPr>
      <w:r w:rsidRPr="001D6294">
        <w:t>13.</w:t>
      </w:r>
      <w:r w:rsidRPr="001D6294">
        <w:tab/>
        <w:t>Le Comité, le Sous-Comité pour la prévention de la torture, le Rapporteur spécial sur la torture et autres peines ou traitements cruels, inhumains ou dégradants et le Conseil d</w:t>
      </w:r>
      <w:r>
        <w:t>’</w:t>
      </w:r>
      <w:r w:rsidRPr="001D6294">
        <w:t>administration du Fonds de contributions volontaires des Nations Unies pour les victimes de la torture ont adopté une déclaration commune destinée à être publiée le 26 juin 2019, à l</w:t>
      </w:r>
      <w:r>
        <w:t>’</w:t>
      </w:r>
      <w:r w:rsidRPr="001D6294">
        <w:t>occasion de la Journée internationale des Nations Unies pour le soutien aux victimes de la torture (voir la page Web du Fonds de contributions volontaires à l</w:t>
      </w:r>
      <w:r>
        <w:t>’</w:t>
      </w:r>
      <w:r w:rsidRPr="001D6294">
        <w:t xml:space="preserve">adresse </w:t>
      </w:r>
      <w:hyperlink r:id="rId33" w:history="1">
        <w:r w:rsidRPr="007E42C7">
          <w:rPr>
            <w:rStyle w:val="Lienhypertexte"/>
          </w:rPr>
          <w:t>www.ohchr.org/EN/Issues/Torture/UNVFT/Pages/IntlDay.aspx</w:t>
        </w:r>
      </w:hyperlink>
      <w:r w:rsidRPr="001D6294">
        <w:t>). La réunion ordinaire entre le Comité et le Conseil d</w:t>
      </w:r>
      <w:r>
        <w:t>’</w:t>
      </w:r>
      <w:r w:rsidRPr="001D6294">
        <w:t>administration du Fonds, au cours de laquelle les deux organes examinent des questions d</w:t>
      </w:r>
      <w:r>
        <w:t>’</w:t>
      </w:r>
      <w:r w:rsidRPr="001D6294">
        <w:t>intérêt commun et des domaines de coopération, n</w:t>
      </w:r>
      <w:r>
        <w:t>’</w:t>
      </w:r>
      <w:r w:rsidRPr="001D6294">
        <w:t>a pas pu avoir lieu en raison du report de la soixante -neuvième session.</w:t>
      </w:r>
    </w:p>
    <w:p w14:paraId="6D68365B" w14:textId="77777777" w:rsidR="00712772" w:rsidRPr="001D6294" w:rsidRDefault="00712772" w:rsidP="00712772">
      <w:pPr>
        <w:pStyle w:val="H1G"/>
      </w:pPr>
      <w:r w:rsidRPr="001D6294">
        <w:lastRenderedPageBreak/>
        <w:tab/>
        <w:t>G.</w:t>
      </w:r>
      <w:r w:rsidRPr="001D6294">
        <w:tab/>
        <w:t>Participation des organisations non gouvernementales</w:t>
      </w:r>
      <w:bookmarkStart w:id="28" w:name="_Toc485738192"/>
      <w:bookmarkStart w:id="29" w:name="_Toc517447863"/>
      <w:bookmarkStart w:id="30" w:name="_Toc517691058"/>
      <w:bookmarkStart w:id="31" w:name="_Toc3806608"/>
      <w:bookmarkStart w:id="32" w:name="_Toc485738193"/>
      <w:bookmarkStart w:id="33" w:name="_Toc517447864"/>
      <w:bookmarkStart w:id="34" w:name="_Toc517691059"/>
      <w:bookmarkEnd w:id="28"/>
      <w:bookmarkEnd w:id="29"/>
      <w:bookmarkEnd w:id="30"/>
      <w:bookmarkEnd w:id="31"/>
      <w:bookmarkEnd w:id="32"/>
      <w:bookmarkEnd w:id="33"/>
      <w:bookmarkEnd w:id="34"/>
    </w:p>
    <w:p w14:paraId="0A8C35A7" w14:textId="77777777" w:rsidR="00C27275" w:rsidRDefault="00712772" w:rsidP="00712772">
      <w:pPr>
        <w:pStyle w:val="SingleTxtG"/>
      </w:pPr>
      <w:r w:rsidRPr="001D6294">
        <w:t>14.</w:t>
      </w:r>
      <w:r w:rsidRPr="001D6294">
        <w:tab/>
        <w:t>Le Comité reconnaît depuis longtemps les travaux des organisations non gouvernementales (ONG), qu</w:t>
      </w:r>
      <w:r>
        <w:t>’</w:t>
      </w:r>
      <w:r w:rsidRPr="001D6294">
        <w:t>il rencontre en séance privée la veille du jour de l</w:t>
      </w:r>
      <w:r>
        <w:t>’</w:t>
      </w:r>
      <w:r w:rsidRPr="001D6294">
        <w:t>examen de chacun des rapports soumis par les États parties en application de l</w:t>
      </w:r>
      <w:r>
        <w:t>’</w:t>
      </w:r>
      <w:r w:rsidRPr="001D6294">
        <w:t>article 19 de la Convention. Il sait gré aux ONG de leur participation à ces réunions et apprécie tout particulièrement la contribution des ONG nationales, qui donnent, oralement et par écrit, des informations de première main sur les faits les plus récents. Il remercie les ONG, et en particulier l</w:t>
      </w:r>
      <w:r>
        <w:t>’</w:t>
      </w:r>
      <w:r w:rsidRPr="001D6294">
        <w:t>Organisation mondiale contre la torture (OMCT) pour son rôle essentiel dans la coordination de la participation des ONG aux travaux du Comité depuis la cinquante</w:t>
      </w:r>
      <w:r>
        <w:noBreakHyphen/>
      </w:r>
      <w:r w:rsidRPr="001D6294">
        <w:t xml:space="preserve">deuxième session. </w:t>
      </w:r>
      <w:bookmarkStart w:id="35" w:name="_Hlk38352314"/>
      <w:r w:rsidRPr="001D6294">
        <w:t>Le Comité a tiré profit des réunions thématiques organisées par les ONG, parmi lesquelles</w:t>
      </w:r>
      <w:r w:rsidR="004817DF">
        <w:t> :</w:t>
      </w:r>
      <w:r w:rsidRPr="001D6294">
        <w:t xml:space="preserve"> a) une séance d</w:t>
      </w:r>
      <w:r>
        <w:t>’</w:t>
      </w:r>
      <w:r w:rsidRPr="001D6294">
        <w:t>information sur l</w:t>
      </w:r>
      <w:r>
        <w:t>’</w:t>
      </w:r>
      <w:r w:rsidRPr="001D6294">
        <w:t>interdiction des preuves obtenues par la contrainte au regard de l</w:t>
      </w:r>
      <w:r>
        <w:t>’</w:t>
      </w:r>
      <w:r w:rsidRPr="001D6294">
        <w:t>article 15 de la Convention contre la torture, tenue le 31</w:t>
      </w:r>
      <w:r w:rsidR="005A2E8B">
        <w:t> </w:t>
      </w:r>
      <w:r w:rsidRPr="001D6294">
        <w:t>juillet 2019 à l</w:t>
      </w:r>
      <w:r>
        <w:t>’</w:t>
      </w:r>
      <w:r w:rsidRPr="001D6294">
        <w:t xml:space="preserve">initiative de </w:t>
      </w:r>
      <w:proofErr w:type="spellStart"/>
      <w:r w:rsidRPr="001D6294">
        <w:t>Redress</w:t>
      </w:r>
      <w:proofErr w:type="spellEnd"/>
      <w:r w:rsidR="004817DF">
        <w:t> ;</w:t>
      </w:r>
      <w:r w:rsidRPr="001D6294">
        <w:t xml:space="preserve"> b) une séance d</w:t>
      </w:r>
      <w:r>
        <w:t>’</w:t>
      </w:r>
      <w:r w:rsidRPr="001D6294">
        <w:t>information sur l</w:t>
      </w:r>
      <w:r>
        <w:t>’</w:t>
      </w:r>
      <w:r w:rsidRPr="001D6294">
        <w:t>accès des ONG de défense des droits de l</w:t>
      </w:r>
      <w:r>
        <w:t>’</w:t>
      </w:r>
      <w:r w:rsidRPr="001D6294">
        <w:t>homme aux lieux de privation de liberté, tenue le 22</w:t>
      </w:r>
      <w:r>
        <w:t> </w:t>
      </w:r>
      <w:r w:rsidRPr="001D6294">
        <w:t>novembre 2019 à l</w:t>
      </w:r>
      <w:r>
        <w:t>’</w:t>
      </w:r>
      <w:r w:rsidRPr="001D6294">
        <w:t>initiative de la Fédération internationale de l</w:t>
      </w:r>
      <w:r>
        <w:t>’</w:t>
      </w:r>
      <w:r w:rsidRPr="001D6294">
        <w:t>ACAT</w:t>
      </w:r>
      <w:r w:rsidR="004817DF">
        <w:t> ;</w:t>
      </w:r>
      <w:r w:rsidRPr="001D6294">
        <w:t xml:space="preserve"> c) une séance d</w:t>
      </w:r>
      <w:r>
        <w:t>’</w:t>
      </w:r>
      <w:r w:rsidRPr="001D6294">
        <w:t>information sur la dimension médicale de l</w:t>
      </w:r>
      <w:r>
        <w:t>’</w:t>
      </w:r>
      <w:r w:rsidRPr="001D6294">
        <w:t>action menée pour lutter contre la torture et les mauvais traitements au regard de la Convention contre la torture, tenue le 3</w:t>
      </w:r>
      <w:r w:rsidR="005A2E8B">
        <w:t> </w:t>
      </w:r>
      <w:r w:rsidRPr="001D6294">
        <w:t>décembre 2019 à l</w:t>
      </w:r>
      <w:r>
        <w:t>’</w:t>
      </w:r>
      <w:r w:rsidRPr="001D6294">
        <w:t xml:space="preserve">initiative de </w:t>
      </w:r>
      <w:proofErr w:type="spellStart"/>
      <w:r w:rsidRPr="001D6294">
        <w:t>Dignity</w:t>
      </w:r>
      <w:proofErr w:type="spellEnd"/>
      <w:r w:rsidRPr="001D6294">
        <w:t xml:space="preserve"> </w:t>
      </w:r>
      <w:r>
        <w:t>−</w:t>
      </w:r>
      <w:r w:rsidRPr="001D6294">
        <w:t xml:space="preserve"> Institut danois contre la torture</w:t>
      </w:r>
      <w:bookmarkEnd w:id="35"/>
      <w:r w:rsidRPr="001D6294">
        <w:t>.</w:t>
      </w:r>
    </w:p>
    <w:p w14:paraId="07BAC3B2" w14:textId="518C32F8" w:rsidR="00712772" w:rsidRPr="001D6294" w:rsidRDefault="00712772" w:rsidP="00712772">
      <w:pPr>
        <w:pStyle w:val="H1G"/>
      </w:pPr>
      <w:r w:rsidRPr="001D6294">
        <w:tab/>
        <w:t>H.</w:t>
      </w:r>
      <w:r w:rsidRPr="001D6294">
        <w:tab/>
        <w:t>Participation des institutions nationales des droits de l</w:t>
      </w:r>
      <w:r>
        <w:t>’</w:t>
      </w:r>
      <w:r w:rsidRPr="001D6294">
        <w:t xml:space="preserve">homme </w:t>
      </w:r>
      <w:r w:rsidRPr="001D6294">
        <w:br/>
        <w:t>et des mécanismes nationaux de prévention</w:t>
      </w:r>
      <w:bookmarkStart w:id="36" w:name="_Toc485738194"/>
      <w:bookmarkStart w:id="37" w:name="_Toc517447865"/>
      <w:bookmarkStart w:id="38" w:name="_Toc517691060"/>
      <w:bookmarkStart w:id="39" w:name="_Toc3806609"/>
      <w:bookmarkEnd w:id="36"/>
      <w:bookmarkEnd w:id="37"/>
      <w:bookmarkEnd w:id="38"/>
      <w:bookmarkEnd w:id="39"/>
    </w:p>
    <w:p w14:paraId="22F23651" w14:textId="77777777" w:rsidR="00712772" w:rsidRPr="001D6294" w:rsidRDefault="00712772" w:rsidP="00712772">
      <w:pPr>
        <w:pStyle w:val="SingleTxtG"/>
      </w:pPr>
      <w:r w:rsidRPr="001D6294">
        <w:t>15.</w:t>
      </w:r>
      <w:r w:rsidRPr="001D6294">
        <w:tab/>
        <w:t>De même, le Comité reconnaît à leur juste valeur les travaux des institutions nationales des droits de l</w:t>
      </w:r>
      <w:r>
        <w:t>’</w:t>
      </w:r>
      <w:r w:rsidRPr="001D6294">
        <w:t>homme et des mécanismes nationaux de prévention qui ont été mis en place par les États parties en application des dispositions du Protocole facultatif. Depuis sa cinquante</w:t>
      </w:r>
      <w:r w:rsidRPr="001D6294">
        <w:noBreakHyphen/>
        <w:t>cinquième session, il offre aux représentants de ces institutions et de ces mécanismes la possibilité de se réunir en séance privée avec le Comité plénier. À sa soixante</w:t>
      </w:r>
      <w:r w:rsidRPr="001D6294">
        <w:noBreakHyphen/>
        <w:t>septième session, le Comité a ainsi rencontré les représentants des institutions de la Grèce et du Togo, du mécanisme de la Grèce et de l</w:t>
      </w:r>
      <w:r>
        <w:t>’</w:t>
      </w:r>
      <w:r w:rsidRPr="001D6294">
        <w:t>institution et du mécanisme de la Pologne</w:t>
      </w:r>
      <w:r w:rsidR="004817DF">
        <w:t> ;</w:t>
      </w:r>
      <w:r w:rsidRPr="001D6294">
        <w:t xml:space="preserve"> à sa soixante-huitième session, il s</w:t>
      </w:r>
      <w:r>
        <w:t>’</w:t>
      </w:r>
      <w:r w:rsidRPr="001D6294">
        <w:t>est entretenu avec les représentants des institutions du Burkina Faso, de la Lettonie, du Niger et de l</w:t>
      </w:r>
      <w:r>
        <w:t>’</w:t>
      </w:r>
      <w:r w:rsidRPr="001D6294">
        <w:t>Ouzbékistan, et des institutions et mécanismes de Chypre et du Portugal. Le Comité sait gré à ces institutions et à ces mécanismes des renseignements qu</w:t>
      </w:r>
      <w:r>
        <w:t>’</w:t>
      </w:r>
      <w:r w:rsidRPr="001D6294">
        <w:t>ils lui communiquent oralement ou par écrit et espère continuer de tirer profit de ces sources d</w:t>
      </w:r>
      <w:r>
        <w:t>’</w:t>
      </w:r>
      <w:r w:rsidRPr="001D6294">
        <w:t>information, ces renseignements lui permettant de mieux comprendre les questions dont il est saisi.</w:t>
      </w:r>
    </w:p>
    <w:p w14:paraId="411A932C" w14:textId="77777777" w:rsidR="00712772" w:rsidRPr="001D6294" w:rsidRDefault="00712772" w:rsidP="00712772">
      <w:pPr>
        <w:pStyle w:val="H1G"/>
      </w:pPr>
      <w:r w:rsidRPr="001D6294">
        <w:tab/>
        <w:t>I.</w:t>
      </w:r>
      <w:r w:rsidRPr="001D6294">
        <w:tab/>
        <w:t>Rapporteuse chargée de la question des représailles</w:t>
      </w:r>
      <w:bookmarkStart w:id="40" w:name="_Toc485738195"/>
      <w:bookmarkStart w:id="41" w:name="_Toc517447866"/>
      <w:bookmarkStart w:id="42" w:name="_Toc517691061"/>
      <w:bookmarkStart w:id="43" w:name="_Toc3806610"/>
      <w:bookmarkEnd w:id="40"/>
      <w:bookmarkEnd w:id="41"/>
      <w:bookmarkEnd w:id="42"/>
      <w:bookmarkEnd w:id="43"/>
    </w:p>
    <w:p w14:paraId="338CDF58" w14:textId="77777777" w:rsidR="00712772" w:rsidRPr="001D6294" w:rsidRDefault="00712772" w:rsidP="00712772">
      <w:pPr>
        <w:pStyle w:val="SingleTxtG"/>
      </w:pPr>
      <w:r w:rsidRPr="001D6294">
        <w:t>16.</w:t>
      </w:r>
      <w:r w:rsidRPr="001D6294">
        <w:tab/>
        <w:t>À sa quarante-neuvième session, le Comité a décidé de créer un mécanisme de prévention, de surveillance et de suivi des cas de représailles exercées contre les organisations de la société civile, les défenseurs des droits de l</w:t>
      </w:r>
      <w:r>
        <w:t>’</w:t>
      </w:r>
      <w:r w:rsidRPr="001D6294">
        <w:t>homme, les victimes et les témoins ayant collaboré avec des organes conventionnels. Par la suite, il a nommé un rapporteur chargé de la question des représailles au titre de l</w:t>
      </w:r>
      <w:r>
        <w:t>’</w:t>
      </w:r>
      <w:r w:rsidRPr="001D6294">
        <w:t>article 19 et un rapporteur chargé de la question des représailles au titre des articles 20 et 22. À sa cinquante</w:t>
      </w:r>
      <w:r w:rsidRPr="001D6294">
        <w:noBreakHyphen/>
        <w:t>cinquième session, le Comité a adopté des lignes directrices sur la réception et le traitement des allégations de représailles contre des personnes ou organisations ayant collaboré avec le Comité dans le contexte des articles 13, 19, 20 et 22 de la Convention (</w:t>
      </w:r>
      <w:hyperlink r:id="rId34" w:history="1">
        <w:r w:rsidRPr="00D715E1">
          <w:rPr>
            <w:rStyle w:val="Lienhypertexte"/>
          </w:rPr>
          <w:t>CA</w:t>
        </w:r>
        <w:r w:rsidRPr="00D715E1">
          <w:rPr>
            <w:rStyle w:val="Lienhypertexte"/>
          </w:rPr>
          <w:t>T</w:t>
        </w:r>
        <w:r w:rsidRPr="00D715E1">
          <w:rPr>
            <w:rStyle w:val="Lienhypertexte"/>
          </w:rPr>
          <w:t>/C/55/2</w:t>
        </w:r>
      </w:hyperlink>
      <w:r w:rsidRPr="001D6294">
        <w:t>). Ce document reconnaît clairement la valeur des Principes directeurs relatifs à la lutte contre l</w:t>
      </w:r>
      <w:r>
        <w:t>’</w:t>
      </w:r>
      <w:r w:rsidRPr="001D6294">
        <w:t>intimidation ou les représailles (Principes directeurs de San José).</w:t>
      </w:r>
    </w:p>
    <w:p w14:paraId="6A73AB43" w14:textId="77777777" w:rsidR="00C27275" w:rsidRDefault="00712772" w:rsidP="00712772">
      <w:pPr>
        <w:pStyle w:val="SingleTxtG"/>
      </w:pPr>
      <w:r w:rsidRPr="001D6294">
        <w:t>17.</w:t>
      </w:r>
      <w:r w:rsidRPr="001D6294">
        <w:tab/>
        <w:t xml:space="preserve">À sa soixante-troisième session, le Comité a nommé Ana </w:t>
      </w:r>
      <w:proofErr w:type="spellStart"/>
      <w:r w:rsidRPr="001D6294">
        <w:t>Racu</w:t>
      </w:r>
      <w:proofErr w:type="spellEnd"/>
      <w:r w:rsidRPr="001D6294">
        <w:t xml:space="preserve"> Rapporteuse chargée de la question des représailles au titre des articles 19, 20 et 22. Des informations sur les activités menées par les rapporteurs pendant la période considérée sont disponibles sur la page Web du Comité.</w:t>
      </w:r>
    </w:p>
    <w:p w14:paraId="29D98E08" w14:textId="3FF30E2D" w:rsidR="00712772" w:rsidRPr="001D6294" w:rsidRDefault="00712772" w:rsidP="00712772">
      <w:pPr>
        <w:pStyle w:val="H1G"/>
      </w:pPr>
      <w:r w:rsidRPr="001D6294">
        <w:lastRenderedPageBreak/>
        <w:tab/>
        <w:t>J.</w:t>
      </w:r>
      <w:r w:rsidRPr="001D6294">
        <w:tab/>
        <w:t>Processus de renforcement des organes conventionnels</w:t>
      </w:r>
      <w:bookmarkStart w:id="44" w:name="_Toc485738196"/>
      <w:bookmarkStart w:id="45" w:name="_Toc3806611"/>
      <w:bookmarkStart w:id="46" w:name="_Toc517447867"/>
      <w:bookmarkStart w:id="47" w:name="_Toc517691062"/>
      <w:bookmarkEnd w:id="44"/>
      <w:bookmarkEnd w:id="45"/>
      <w:bookmarkEnd w:id="46"/>
      <w:bookmarkEnd w:id="47"/>
    </w:p>
    <w:p w14:paraId="1A2A915D" w14:textId="77777777" w:rsidR="00712772" w:rsidRPr="001D6294" w:rsidRDefault="00712772" w:rsidP="00712772">
      <w:pPr>
        <w:pStyle w:val="SingleTxtG"/>
      </w:pPr>
      <w:r w:rsidRPr="001D6294">
        <w:t>18.</w:t>
      </w:r>
      <w:r w:rsidRPr="001D6294">
        <w:tab/>
        <w:t>À sa soixante-quatrième session, le Comité a tenu un débat approfondi sur l</w:t>
      </w:r>
      <w:r>
        <w:t>’</w:t>
      </w:r>
      <w:r w:rsidRPr="001D6294">
        <w:t>examen du système des organes conventionnels auquel l</w:t>
      </w:r>
      <w:r>
        <w:t>’</w:t>
      </w:r>
      <w:r w:rsidRPr="001D6294">
        <w:t xml:space="preserve">Assemblée générale doit procéder en 2020. </w:t>
      </w:r>
      <w:r w:rsidRPr="00C35646">
        <w:t xml:space="preserve">Il a arrêté une position axée sur les organes conventionnels aux fins de cet examen. </w:t>
      </w:r>
      <w:r w:rsidRPr="001D6294">
        <w:t>Il a en outre désigné deux personnes référentes pour l</w:t>
      </w:r>
      <w:r>
        <w:t>’</w:t>
      </w:r>
      <w:r w:rsidRPr="001D6294">
        <w:t xml:space="preserve">examen de 2020, Felice </w:t>
      </w:r>
      <w:proofErr w:type="spellStart"/>
      <w:r w:rsidRPr="001D6294">
        <w:t>Gaer</w:t>
      </w:r>
      <w:proofErr w:type="spellEnd"/>
      <w:r w:rsidRPr="001D6294">
        <w:t xml:space="preserve"> et Jens</w:t>
      </w:r>
      <w:r>
        <w:t> </w:t>
      </w:r>
      <w:proofErr w:type="spellStart"/>
      <w:r w:rsidRPr="001D6294">
        <w:t>Modvig</w:t>
      </w:r>
      <w:proofErr w:type="spellEnd"/>
      <w:r w:rsidRPr="001D6294">
        <w:t xml:space="preserve">. Le Président a organisé avec </w:t>
      </w:r>
      <w:proofErr w:type="spellStart"/>
      <w:r w:rsidRPr="001D6294">
        <w:t>Dignity</w:t>
      </w:r>
      <w:proofErr w:type="spellEnd"/>
      <w:r w:rsidRPr="001D6294">
        <w:t xml:space="preserve"> − Institut danois contre la torture une réunion des personnes référentes des organes conventionnels consacrée à l</w:t>
      </w:r>
      <w:r>
        <w:t>’</w:t>
      </w:r>
      <w:r w:rsidRPr="001D6294">
        <w:t>examen de 2020, qui s</w:t>
      </w:r>
      <w:r>
        <w:t>’</w:t>
      </w:r>
      <w:r w:rsidRPr="001D6294">
        <w:t>est tenue à Copenhague les 26 et 27 février 2019. À sa soixante-sixième session, le Comité a tenu avec les États parties et des ONG des réunions informelles consacrées respectivement à l</w:t>
      </w:r>
      <w:r>
        <w:t>’</w:t>
      </w:r>
      <w:r w:rsidRPr="001D6294">
        <w:t xml:space="preserve">examen de 2020 et à sa position sur ce </w:t>
      </w:r>
      <w:r w:rsidRPr="00C35646">
        <w:t xml:space="preserve">sujet (voir </w:t>
      </w:r>
      <w:hyperlink r:id="rId35" w:history="1">
        <w:r w:rsidRPr="00D715E1">
          <w:rPr>
            <w:rStyle w:val="Lienhypertexte"/>
          </w:rPr>
          <w:t>A/74/44</w:t>
        </w:r>
      </w:hyperlink>
      <w:r w:rsidRPr="00C35646">
        <w:t xml:space="preserve">, </w:t>
      </w:r>
      <w:r w:rsidRPr="00247A0F">
        <w:t>annexe II). À</w:t>
      </w:r>
      <w:r w:rsidRPr="001D6294">
        <w:t xml:space="preserve"> sa soixante</w:t>
      </w:r>
      <w:r>
        <w:t>-</w:t>
      </w:r>
      <w:r w:rsidRPr="001D6294">
        <w:t>septième session, le Comité a examiné les recommandations formulées par les présidents des organes créés en vertu d</w:t>
      </w:r>
      <w:r>
        <w:t>’</w:t>
      </w:r>
      <w:r w:rsidRPr="001D6294">
        <w:t>instruments internationaux relatifs aux droits de l</w:t>
      </w:r>
      <w:r>
        <w:t>’</w:t>
      </w:r>
      <w:r w:rsidRPr="001D6294">
        <w:t>homme à l</w:t>
      </w:r>
      <w:r>
        <w:t>’</w:t>
      </w:r>
      <w:r w:rsidRPr="001D6294">
        <w:t>issue de leur trente et unième réunion, tenue du 24 au 28 juin 2019 à New</w:t>
      </w:r>
      <w:r>
        <w:t> </w:t>
      </w:r>
      <w:r w:rsidRPr="001D6294">
        <w:t>York. Une attention particulière a été accordée à la note d</w:t>
      </w:r>
      <w:r>
        <w:t>’</w:t>
      </w:r>
      <w:r w:rsidRPr="001D6294">
        <w:t>information sur l</w:t>
      </w:r>
      <w:r>
        <w:t>’</w:t>
      </w:r>
      <w:r w:rsidRPr="001D6294">
        <w:t>avenir du système des organes conventionnels établie par les présidents (</w:t>
      </w:r>
      <w:hyperlink r:id="rId36" w:history="1">
        <w:r w:rsidRPr="00D715E1">
          <w:rPr>
            <w:rStyle w:val="Lienhypertexte"/>
          </w:rPr>
          <w:t>A/74/256</w:t>
        </w:r>
      </w:hyperlink>
      <w:r w:rsidRPr="001D6294">
        <w:t>, annexe III). À sa soixante-huitième session, le Comité a adopté, à titre expérimental, des mesures concrètes visant à mieux cibler le dialogue avec les États parties et les recommandations à leur intention et à améliorer la coordination avec les examens réalisés par les autres organes conventionnels (voir l</w:t>
      </w:r>
      <w:r>
        <w:t>’</w:t>
      </w:r>
      <w:r w:rsidRPr="001D6294">
        <w:t xml:space="preserve">annexe III du présent </w:t>
      </w:r>
      <w:r>
        <w:t>rapport</w:t>
      </w:r>
      <w:r w:rsidRPr="001D6294">
        <w:t>).</w:t>
      </w:r>
    </w:p>
    <w:p w14:paraId="6E17690F" w14:textId="77777777" w:rsidR="00712772" w:rsidRPr="001D6294" w:rsidRDefault="00712772" w:rsidP="00712772">
      <w:pPr>
        <w:pStyle w:val="H1G"/>
      </w:pPr>
      <w:r w:rsidRPr="001D6294">
        <w:tab/>
        <w:t>K.</w:t>
      </w:r>
      <w:r w:rsidRPr="001D6294">
        <w:tab/>
      </w:r>
      <w:bookmarkStart w:id="48" w:name="_Toc485738197"/>
      <w:bookmarkStart w:id="49" w:name="_Toc517447868"/>
      <w:bookmarkStart w:id="50" w:name="_Toc517691063"/>
      <w:bookmarkStart w:id="51" w:name="_Toc3806612"/>
      <w:bookmarkEnd w:id="48"/>
      <w:bookmarkEnd w:id="49"/>
      <w:bookmarkEnd w:id="50"/>
      <w:bookmarkEnd w:id="51"/>
      <w:r w:rsidRPr="001D6294">
        <w:t xml:space="preserve">Suite donnée aux décisions adoptées lors des journées de réflexion </w:t>
      </w:r>
      <w:r w:rsidRPr="001D6294">
        <w:br/>
        <w:t>sur les méthodes de travail du Comité</w:t>
      </w:r>
    </w:p>
    <w:p w14:paraId="13266135" w14:textId="77777777" w:rsidR="00712772" w:rsidRPr="005A2E8B" w:rsidRDefault="00712772" w:rsidP="005A2E8B">
      <w:pPr>
        <w:pStyle w:val="SingleTxtG"/>
        <w:keepNext/>
        <w:rPr>
          <w:spacing w:val="-1"/>
        </w:rPr>
      </w:pPr>
      <w:r w:rsidRPr="001D6294">
        <w:t>19.</w:t>
      </w:r>
      <w:r w:rsidRPr="001D6294">
        <w:tab/>
      </w:r>
      <w:r w:rsidRPr="005A2E8B">
        <w:rPr>
          <w:spacing w:val="-1"/>
        </w:rPr>
        <w:t>Comme suite aux décisions adoptées à l’issue de ses deux journées de réflexion sur ses méthodes de travail, qui ont eu lieu pendant sa cinquante-troisième session, le Comité a</w:t>
      </w:r>
      <w:r w:rsidR="004817DF" w:rsidRPr="005A2E8B">
        <w:rPr>
          <w:spacing w:val="-1"/>
        </w:rPr>
        <w:t> :</w:t>
      </w:r>
    </w:p>
    <w:p w14:paraId="6B579ED3" w14:textId="77777777" w:rsidR="00C27275" w:rsidRDefault="00712772" w:rsidP="00712772">
      <w:pPr>
        <w:pStyle w:val="SingleTxtG"/>
        <w:ind w:firstLine="567"/>
      </w:pPr>
      <w:r w:rsidRPr="001D6294">
        <w:t>a)</w:t>
      </w:r>
      <w:r w:rsidRPr="001D6294">
        <w:tab/>
        <w:t>Proposé à deux autres États (le Botswana et le Mali) dont le rapport initial était très en retard d</w:t>
      </w:r>
      <w:r>
        <w:t>’</w:t>
      </w:r>
      <w:r w:rsidRPr="001D6294">
        <w:t>établir celui-ci selon la procédure simplifiée, ce qui porte à 13 le nombre d</w:t>
      </w:r>
      <w:r>
        <w:t>’</w:t>
      </w:r>
      <w:r w:rsidRPr="001D6294">
        <w:t>États auxquels cette proposition a été faite (voir chap. II, sect. D)</w:t>
      </w:r>
      <w:r w:rsidR="004817DF">
        <w:t> ;</w:t>
      </w:r>
    </w:p>
    <w:p w14:paraId="6F5FC44F" w14:textId="77777777" w:rsidR="00C27275" w:rsidRDefault="00712772" w:rsidP="00712772">
      <w:pPr>
        <w:pStyle w:val="SingleTxtG"/>
        <w:ind w:firstLine="567"/>
      </w:pPr>
      <w:r w:rsidRPr="001D6294">
        <w:t>b)</w:t>
      </w:r>
      <w:r w:rsidRPr="001D6294">
        <w:tab/>
        <w:t>Entamé une évaluation de fond préliminaire de la procédure simplifiée d</w:t>
      </w:r>
      <w:r>
        <w:t>’</w:t>
      </w:r>
      <w:r w:rsidRPr="001D6294">
        <w:t>établissement des rapports (voir chap. II, sect. B)</w:t>
      </w:r>
      <w:r w:rsidR="004817DF">
        <w:t> ;</w:t>
      </w:r>
    </w:p>
    <w:p w14:paraId="54C4AB6D" w14:textId="1B74EAC8" w:rsidR="00712772" w:rsidRPr="001D6294" w:rsidRDefault="00712772" w:rsidP="00712772">
      <w:pPr>
        <w:pStyle w:val="SingleTxtG"/>
        <w:ind w:firstLine="567"/>
      </w:pPr>
      <w:r w:rsidRPr="001D6294">
        <w:t>c)</w:t>
      </w:r>
      <w:r w:rsidRPr="001D6294">
        <w:tab/>
        <w:t>Adopté des directives concernant le suivi des observations finales (</w:t>
      </w:r>
      <w:hyperlink r:id="rId37" w:history="1">
        <w:r w:rsidRPr="00D715E1">
          <w:rPr>
            <w:rStyle w:val="Lienhypertexte"/>
          </w:rPr>
          <w:t>CAT/C/55/3</w:t>
        </w:r>
      </w:hyperlink>
      <w:r w:rsidRPr="001D6294">
        <w:t>)</w:t>
      </w:r>
      <w:r w:rsidR="004817DF">
        <w:t> ;</w:t>
      </w:r>
    </w:p>
    <w:p w14:paraId="17F14945" w14:textId="77777777" w:rsidR="00712772" w:rsidRPr="001D6294" w:rsidRDefault="00712772" w:rsidP="00712772">
      <w:pPr>
        <w:pStyle w:val="SingleTxtG"/>
        <w:ind w:firstLine="567"/>
      </w:pPr>
      <w:r w:rsidRPr="001D6294">
        <w:t>d)</w:t>
      </w:r>
      <w:r w:rsidRPr="001D6294">
        <w:tab/>
        <w:t>Facilité la contribution et la participation des institutions nationales des droits de l</w:t>
      </w:r>
      <w:r>
        <w:t>’</w:t>
      </w:r>
      <w:r w:rsidRPr="001D6294">
        <w:t xml:space="preserve">homme, des mécanismes nationaux de prévention et des ONG à ses sessions (voir chap. I, sect. G et H), notamment en utilisant de nouvelles technologies de communication telles que Skype ou la </w:t>
      </w:r>
      <w:proofErr w:type="spellStart"/>
      <w:r w:rsidRPr="001D6294">
        <w:t>visioconférence</w:t>
      </w:r>
      <w:proofErr w:type="spellEnd"/>
      <w:r w:rsidR="004817DF">
        <w:t> ;</w:t>
      </w:r>
    </w:p>
    <w:p w14:paraId="1E949949" w14:textId="77777777" w:rsidR="00712772" w:rsidRPr="001D6294" w:rsidRDefault="00712772" w:rsidP="00712772">
      <w:pPr>
        <w:pStyle w:val="SingleTxtG"/>
        <w:ind w:firstLine="567"/>
      </w:pPr>
      <w:r w:rsidRPr="001D6294">
        <w:t>e)</w:t>
      </w:r>
      <w:r w:rsidRPr="001D6294">
        <w:tab/>
        <w:t>Créé un groupe de travail sur les requêtes émanant de particuliers, chargé de lui donner une vue d</w:t>
      </w:r>
      <w:r>
        <w:t>’</w:t>
      </w:r>
      <w:r w:rsidRPr="001D6294">
        <w:t>ensemble du fonctionnement interne de la procédure relative à ces requêtes, ainsi qu</w:t>
      </w:r>
      <w:r>
        <w:t>’</w:t>
      </w:r>
      <w:r w:rsidRPr="001D6294">
        <w:t>un groupe de travail intersessions sur les communications, chargé de faire des recommandations au Comité concernant les projets de décisions d</w:t>
      </w:r>
      <w:r>
        <w:t>’</w:t>
      </w:r>
      <w:r w:rsidRPr="001D6294">
        <w:t>irrecevabilité ou de cessation de l</w:t>
      </w:r>
      <w:r>
        <w:t>’</w:t>
      </w:r>
      <w:r w:rsidRPr="001D6294">
        <w:t>examen d</w:t>
      </w:r>
      <w:r>
        <w:t>’</w:t>
      </w:r>
      <w:r w:rsidRPr="001D6294">
        <w:t>une communication</w:t>
      </w:r>
      <w:r w:rsidR="004817DF">
        <w:t> ;</w:t>
      </w:r>
    </w:p>
    <w:p w14:paraId="45C9485B" w14:textId="77777777" w:rsidR="00712772" w:rsidRPr="001D6294" w:rsidRDefault="00712772" w:rsidP="00712772">
      <w:pPr>
        <w:pStyle w:val="SingleTxtG"/>
        <w:ind w:firstLine="567"/>
      </w:pPr>
      <w:r w:rsidRPr="001D6294">
        <w:t>f)</w:t>
      </w:r>
      <w:r w:rsidRPr="001D6294">
        <w:tab/>
        <w:t>Adopté des lignes directrices sur la réception et le traitement des allégations de représailles contre des personnes ou organisations ayant collaboré avec le Comité (voir chap. I, sect. I).</w:t>
      </w:r>
    </w:p>
    <w:p w14:paraId="55E9A5CC" w14:textId="77777777" w:rsidR="00712772" w:rsidRPr="001D6294" w:rsidRDefault="00712772" w:rsidP="00712772">
      <w:pPr>
        <w:pStyle w:val="H1G"/>
      </w:pPr>
      <w:r w:rsidRPr="001D6294">
        <w:tab/>
        <w:t>L.</w:t>
      </w:r>
      <w:r w:rsidRPr="001D6294">
        <w:tab/>
        <w:t>Participation des membres du Comité à d</w:t>
      </w:r>
      <w:r>
        <w:t>’</w:t>
      </w:r>
      <w:r w:rsidRPr="001D6294">
        <w:t>autres réunions</w:t>
      </w:r>
      <w:bookmarkStart w:id="52" w:name="_Toc485738198"/>
      <w:bookmarkStart w:id="53" w:name="_Toc517447869"/>
      <w:bookmarkStart w:id="54" w:name="_Toc517691064"/>
      <w:bookmarkStart w:id="55" w:name="_Toc3806613"/>
      <w:bookmarkEnd w:id="52"/>
      <w:bookmarkEnd w:id="53"/>
      <w:bookmarkEnd w:id="54"/>
      <w:bookmarkEnd w:id="55"/>
    </w:p>
    <w:p w14:paraId="7F8A5BAC" w14:textId="77777777" w:rsidR="00712772" w:rsidRPr="001D6294" w:rsidRDefault="00712772" w:rsidP="00712772">
      <w:pPr>
        <w:pStyle w:val="SingleTxtG"/>
      </w:pPr>
      <w:r w:rsidRPr="001D6294">
        <w:t>20.</w:t>
      </w:r>
      <w:r w:rsidRPr="001D6294">
        <w:tab/>
        <w:t>Au cours de la période considérée, des membres du Comité ont participé activement à plusieurs manifestations</w:t>
      </w:r>
      <w:r w:rsidR="004817DF">
        <w:t> :</w:t>
      </w:r>
    </w:p>
    <w:p w14:paraId="79EBCA25" w14:textId="77777777" w:rsidR="00712772" w:rsidRPr="001D6294" w:rsidRDefault="00712772" w:rsidP="00712772">
      <w:pPr>
        <w:pStyle w:val="SingleTxtG"/>
        <w:ind w:firstLine="567"/>
      </w:pPr>
      <w:r w:rsidRPr="001D6294">
        <w:t>a)</w:t>
      </w:r>
      <w:r w:rsidRPr="001D6294">
        <w:tab/>
      </w:r>
      <w:r w:rsidRPr="00247A0F">
        <w:t>M</w:t>
      </w:r>
      <w:r w:rsidRPr="00247A0F">
        <w:rPr>
          <w:vertAlign w:val="superscript"/>
        </w:rPr>
        <w:t>me</w:t>
      </w:r>
      <w:r w:rsidRPr="00247A0F">
        <w:t> </w:t>
      </w:r>
      <w:proofErr w:type="spellStart"/>
      <w:r w:rsidRPr="001D6294">
        <w:t>Racu</w:t>
      </w:r>
      <w:proofErr w:type="spellEnd"/>
      <w:r w:rsidRPr="001D6294">
        <w:t xml:space="preserve"> a participé à une conférence internationale intitulée </w:t>
      </w:r>
      <w:r>
        <w:t>« </w:t>
      </w:r>
      <w:r w:rsidRPr="001D6294">
        <w:t>Un multilatéralisme efficace dans la lutte contre la torture</w:t>
      </w:r>
      <w:r w:rsidR="004817DF">
        <w:t> :</w:t>
      </w:r>
      <w:r w:rsidRPr="001D6294">
        <w:t xml:space="preserve"> tendances dans la région de l</w:t>
      </w:r>
      <w:r>
        <w:t>’</w:t>
      </w:r>
      <w:r w:rsidRPr="001D6294">
        <w:t>OSCE et voie à suivre</w:t>
      </w:r>
      <w:r>
        <w:t> »</w:t>
      </w:r>
      <w:r w:rsidRPr="001D6294">
        <w:t>, organisée par les représentants permanents de l</w:t>
      </w:r>
      <w:r>
        <w:t>’</w:t>
      </w:r>
      <w:r w:rsidRPr="001D6294">
        <w:t>Autriche, du Danemark et de la Suisse auprès de l</w:t>
      </w:r>
      <w:r>
        <w:t>’</w:t>
      </w:r>
      <w:r w:rsidRPr="001D6294">
        <w:t xml:space="preserve">Organisation pour la sécurité et la coopération en Europe </w:t>
      </w:r>
      <w:r w:rsidRPr="001D6294">
        <w:lastRenderedPageBreak/>
        <w:t>(OSCE), en coopération avec la Slovaquie (présidence de l</w:t>
      </w:r>
      <w:r>
        <w:t>’</w:t>
      </w:r>
      <w:r w:rsidRPr="001D6294">
        <w:t>OSCE pour 2019) et le Bureau des institutions démocratiques et des droits de l</w:t>
      </w:r>
      <w:r>
        <w:t>’</w:t>
      </w:r>
      <w:r w:rsidRPr="001D6294">
        <w:t>homme de l</w:t>
      </w:r>
      <w:r>
        <w:t>’</w:t>
      </w:r>
      <w:r w:rsidRPr="001D6294">
        <w:t>OSCE, coparrainée par un total de 42</w:t>
      </w:r>
      <w:r w:rsidR="00D715E1">
        <w:t> </w:t>
      </w:r>
      <w:r w:rsidRPr="001D6294">
        <w:t>États participants de l</w:t>
      </w:r>
      <w:r>
        <w:t>’</w:t>
      </w:r>
      <w:r w:rsidRPr="001D6294">
        <w:t>OSCE et tenue à Vienne le 5 juin 2019</w:t>
      </w:r>
      <w:r w:rsidR="004817DF">
        <w:t> ;</w:t>
      </w:r>
    </w:p>
    <w:p w14:paraId="65B6E699" w14:textId="77777777" w:rsidR="00712772" w:rsidRPr="001D6294" w:rsidRDefault="00712772" w:rsidP="00712772">
      <w:pPr>
        <w:pStyle w:val="SingleTxtG"/>
        <w:ind w:firstLine="567"/>
      </w:pPr>
      <w:r w:rsidRPr="001D6294">
        <w:t>b)</w:t>
      </w:r>
      <w:r w:rsidRPr="001D6294">
        <w:tab/>
      </w:r>
      <w:r w:rsidRPr="00C34020">
        <w:t>M</w:t>
      </w:r>
      <w:r w:rsidRPr="00C34020">
        <w:rPr>
          <w:vertAlign w:val="superscript"/>
        </w:rPr>
        <w:t>me</w:t>
      </w:r>
      <w:r w:rsidRPr="00C34020">
        <w:t> </w:t>
      </w:r>
      <w:proofErr w:type="spellStart"/>
      <w:r w:rsidRPr="001D6294">
        <w:t>Racu</w:t>
      </w:r>
      <w:proofErr w:type="spellEnd"/>
      <w:r w:rsidRPr="001D6294">
        <w:t xml:space="preserve"> a participé à une consultation d</w:t>
      </w:r>
      <w:r>
        <w:t>’</w:t>
      </w:r>
      <w:r w:rsidRPr="001D6294">
        <w:t>experts sur les lignes directrices internationales sur les droits de l</w:t>
      </w:r>
      <w:r>
        <w:t>’</w:t>
      </w:r>
      <w:r w:rsidRPr="001D6294">
        <w:t>homme et la politique en matière de drogues, organisée par le HCDH et le Programme des Nations Unies pour le développement et tenue à Genève les 20 et 21 juin 2019</w:t>
      </w:r>
      <w:r w:rsidR="004817DF">
        <w:t> ;</w:t>
      </w:r>
    </w:p>
    <w:p w14:paraId="34B970D9" w14:textId="77777777" w:rsidR="00712772" w:rsidRPr="001D6294" w:rsidRDefault="00712772" w:rsidP="00712772">
      <w:pPr>
        <w:pStyle w:val="SingleTxtG"/>
        <w:ind w:firstLine="567"/>
      </w:pPr>
      <w:bookmarkStart w:id="56" w:name="_Hlk38377614"/>
      <w:r w:rsidRPr="001D6294">
        <w:t>c)</w:t>
      </w:r>
      <w:r w:rsidRPr="001D6294">
        <w:tab/>
        <w:t>M</w:t>
      </w:r>
      <w:r w:rsidRPr="001D6294">
        <w:rPr>
          <w:vertAlign w:val="superscript"/>
        </w:rPr>
        <w:t>me</w:t>
      </w:r>
      <w:r w:rsidRPr="001D6294">
        <w:t> </w:t>
      </w:r>
      <w:proofErr w:type="spellStart"/>
      <w:r w:rsidRPr="001D6294">
        <w:t>Racu</w:t>
      </w:r>
      <w:proofErr w:type="spellEnd"/>
      <w:r w:rsidRPr="001D6294">
        <w:t xml:space="preserve"> a participé à une manifestation intitulée « </w:t>
      </w:r>
      <w:proofErr w:type="spellStart"/>
      <w:r w:rsidRPr="001D6294">
        <w:t>Women</w:t>
      </w:r>
      <w:proofErr w:type="spellEnd"/>
      <w:r w:rsidRPr="001D6294">
        <w:t xml:space="preserve"> in </w:t>
      </w:r>
      <w:proofErr w:type="spellStart"/>
      <w:r w:rsidRPr="001D6294">
        <w:t>detention</w:t>
      </w:r>
      <w:proofErr w:type="spellEnd"/>
      <w:r w:rsidR="004817DF">
        <w:t>:</w:t>
      </w:r>
      <w:r w:rsidRPr="001D6294">
        <w:t xml:space="preserve"> putting the UN standards in practice » (Les femmes en détention</w:t>
      </w:r>
      <w:r w:rsidR="004817DF">
        <w:t> :</w:t>
      </w:r>
      <w:r w:rsidRPr="001D6294">
        <w:t xml:space="preserve"> mettre en pratique les normes des Nations Unies), organisée conjointement par les missions permanentes de l</w:t>
      </w:r>
      <w:r>
        <w:t>’</w:t>
      </w:r>
      <w:r w:rsidRPr="001D6294">
        <w:t xml:space="preserve">Autriche, de la République de </w:t>
      </w:r>
      <w:r w:rsidRPr="00A6707D">
        <w:t>Moldova</w:t>
      </w:r>
      <w:r w:rsidRPr="001D6294">
        <w:t xml:space="preserve"> et de la Thaïlande auprès de l</w:t>
      </w:r>
      <w:r>
        <w:t>’</w:t>
      </w:r>
      <w:r w:rsidRPr="001D6294">
        <w:t>Office des Nations</w:t>
      </w:r>
      <w:r>
        <w:t> </w:t>
      </w:r>
      <w:r w:rsidRPr="001D6294">
        <w:t>Unies et d</w:t>
      </w:r>
      <w:r>
        <w:t>’</w:t>
      </w:r>
      <w:r w:rsidRPr="001D6294">
        <w:t>autres organisations internationales à Genève et tenue à Genève le 5</w:t>
      </w:r>
      <w:r>
        <w:t> </w:t>
      </w:r>
      <w:r w:rsidRPr="001D6294">
        <w:t>juillet 2019, en marge de la session du Conseil des droits de l</w:t>
      </w:r>
      <w:r>
        <w:t>’</w:t>
      </w:r>
      <w:r w:rsidRPr="001D6294">
        <w:t>homme</w:t>
      </w:r>
      <w:r w:rsidR="004817DF">
        <w:t> ;</w:t>
      </w:r>
    </w:p>
    <w:bookmarkEnd w:id="56"/>
    <w:p w14:paraId="024BCF5C" w14:textId="77777777" w:rsidR="00C27275" w:rsidRDefault="00712772" w:rsidP="00712772">
      <w:pPr>
        <w:pStyle w:val="SingleTxtG"/>
        <w:ind w:firstLine="567"/>
      </w:pPr>
      <w:r w:rsidRPr="001D6294">
        <w:t>d)</w:t>
      </w:r>
      <w:r w:rsidRPr="001D6294">
        <w:tab/>
        <w:t>Claude Heller a participé à un atelier au cours duquel il a fait un exposé sur les organes conventionnels, en particulier sur le Comité contre la torture et sa procédure simplifiée d</w:t>
      </w:r>
      <w:r>
        <w:t>’</w:t>
      </w:r>
      <w:r w:rsidRPr="001D6294">
        <w:t>établissement des rapports</w:t>
      </w:r>
      <w:r w:rsidR="004817DF">
        <w:t> ;</w:t>
      </w:r>
      <w:r w:rsidRPr="001D6294">
        <w:t xml:space="preserve"> l</w:t>
      </w:r>
      <w:r>
        <w:t>’</w:t>
      </w:r>
      <w:r w:rsidRPr="001D6294">
        <w:t>atelier, organisé par le bureau régional du HCDH en Amérique centrale, s</w:t>
      </w:r>
      <w:r>
        <w:t>’</w:t>
      </w:r>
      <w:r w:rsidRPr="001D6294">
        <w:t xml:space="preserve">est tenu à </w:t>
      </w:r>
      <w:r>
        <w:t>Saint-Domingue</w:t>
      </w:r>
      <w:r w:rsidRPr="001D6294">
        <w:t xml:space="preserve"> du 3 au 5</w:t>
      </w:r>
      <w:r w:rsidR="00D715E1">
        <w:t> septembre</w:t>
      </w:r>
      <w:r w:rsidRPr="001D6294">
        <w:t xml:space="preserve"> 2019</w:t>
      </w:r>
      <w:r w:rsidR="004817DF">
        <w:t> ;</w:t>
      </w:r>
    </w:p>
    <w:p w14:paraId="0FA8BEA8" w14:textId="47FAF9BE" w:rsidR="00712772" w:rsidRPr="001D6294" w:rsidRDefault="00712772" w:rsidP="00712772">
      <w:pPr>
        <w:pStyle w:val="SingleTxtG"/>
        <w:ind w:firstLine="567"/>
      </w:pPr>
      <w:r w:rsidRPr="001D6294">
        <w:t>e)</w:t>
      </w:r>
      <w:r w:rsidRPr="001D6294">
        <w:tab/>
        <w:t>M</w:t>
      </w:r>
      <w:r w:rsidRPr="001D6294">
        <w:rPr>
          <w:vertAlign w:val="superscript"/>
        </w:rPr>
        <w:t>me</w:t>
      </w:r>
      <w:r w:rsidRPr="001D6294">
        <w:t> </w:t>
      </w:r>
      <w:proofErr w:type="spellStart"/>
      <w:r w:rsidRPr="001D6294">
        <w:t>Racu</w:t>
      </w:r>
      <w:proofErr w:type="spellEnd"/>
      <w:r w:rsidRPr="001D6294">
        <w:t xml:space="preserve"> a assisté à une conférence intitulée « TRIP</w:t>
      </w:r>
      <w:r w:rsidR="004817DF">
        <w:t>:</w:t>
      </w:r>
      <w:r w:rsidRPr="001D6294">
        <w:t xml:space="preserve"> an efficient </w:t>
      </w:r>
      <w:proofErr w:type="spellStart"/>
      <w:r w:rsidRPr="001D6294">
        <w:t>tool</w:t>
      </w:r>
      <w:proofErr w:type="spellEnd"/>
      <w:r w:rsidRPr="001D6294">
        <w:t xml:space="preserve"> for the </w:t>
      </w:r>
      <w:proofErr w:type="spellStart"/>
      <w:r w:rsidRPr="001D6294">
        <w:t>implementation</w:t>
      </w:r>
      <w:proofErr w:type="spellEnd"/>
      <w:r w:rsidRPr="001D6294">
        <w:t xml:space="preserve"> of </w:t>
      </w:r>
      <w:proofErr w:type="spellStart"/>
      <w:r w:rsidRPr="001D6294">
        <w:t>treaty</w:t>
      </w:r>
      <w:proofErr w:type="spellEnd"/>
      <w:r w:rsidRPr="001D6294">
        <w:t xml:space="preserve"> bodies</w:t>
      </w:r>
      <w:r>
        <w:t>’</w:t>
      </w:r>
      <w:r w:rsidRPr="001D6294">
        <w:t xml:space="preserve"> </w:t>
      </w:r>
      <w:proofErr w:type="spellStart"/>
      <w:r w:rsidRPr="001D6294">
        <w:t>recommendations</w:t>
      </w:r>
      <w:proofErr w:type="spellEnd"/>
      <w:r w:rsidRPr="001D6294">
        <w:t> » (TRIP</w:t>
      </w:r>
      <w:r w:rsidR="004817DF">
        <w:t> :</w:t>
      </w:r>
      <w:r w:rsidRPr="001D6294">
        <w:t xml:space="preserve"> un outil efficace pour la mise en œuvre des recommandations des organes conventionnels), organisée par l</w:t>
      </w:r>
      <w:r>
        <w:t>’</w:t>
      </w:r>
      <w:r w:rsidRPr="001D6294">
        <w:t>Académie de Genève et le Centre norvégien des droits de l</w:t>
      </w:r>
      <w:r>
        <w:t>’</w:t>
      </w:r>
      <w:r w:rsidRPr="001D6294">
        <w:t>homme et tenue à Genève les 18 et 19</w:t>
      </w:r>
      <w:r w:rsidR="00D715E1">
        <w:t> septembre</w:t>
      </w:r>
      <w:r w:rsidRPr="001D6294">
        <w:t xml:space="preserve"> 2019</w:t>
      </w:r>
      <w:r w:rsidR="004817DF">
        <w:t> ;</w:t>
      </w:r>
    </w:p>
    <w:p w14:paraId="57A6F0EC" w14:textId="77777777" w:rsidR="00712772" w:rsidRPr="001D6294" w:rsidRDefault="00712772" w:rsidP="00712772">
      <w:pPr>
        <w:pStyle w:val="SingleTxtG"/>
        <w:ind w:firstLine="567"/>
      </w:pPr>
      <w:r w:rsidRPr="001D6294">
        <w:t>f)</w:t>
      </w:r>
      <w:r w:rsidRPr="001D6294">
        <w:tab/>
      </w:r>
      <w:r w:rsidRPr="005F54AE">
        <w:t>M</w:t>
      </w:r>
      <w:r w:rsidRPr="005F54AE">
        <w:rPr>
          <w:vertAlign w:val="superscript"/>
        </w:rPr>
        <w:t>me</w:t>
      </w:r>
      <w:r w:rsidRPr="005F54AE">
        <w:t> </w:t>
      </w:r>
      <w:proofErr w:type="spellStart"/>
      <w:r w:rsidRPr="001D6294">
        <w:t>Racu</w:t>
      </w:r>
      <w:proofErr w:type="spellEnd"/>
      <w:r w:rsidRPr="001D6294">
        <w:t xml:space="preserve"> a participé à une réunion régionale sur les droits des personnes victimes de crimes violents en détention provisoire ou dans les centres de détention pour immigrants, organisée par </w:t>
      </w:r>
      <w:proofErr w:type="spellStart"/>
      <w:r w:rsidRPr="001D6294">
        <w:t>Fair</w:t>
      </w:r>
      <w:proofErr w:type="spellEnd"/>
      <w:r w:rsidRPr="001D6294">
        <w:t xml:space="preserve"> Trials and </w:t>
      </w:r>
      <w:proofErr w:type="spellStart"/>
      <w:r w:rsidRPr="001D6294">
        <w:t>Redress</w:t>
      </w:r>
      <w:proofErr w:type="spellEnd"/>
      <w:r w:rsidRPr="001D6294">
        <w:t xml:space="preserve"> et tenue à La Haye les 26 et 27</w:t>
      </w:r>
      <w:r w:rsidR="00D715E1">
        <w:t> septembre</w:t>
      </w:r>
      <w:r w:rsidRPr="001D6294">
        <w:t xml:space="preserve"> 2019</w:t>
      </w:r>
      <w:r w:rsidR="004817DF">
        <w:t> ;</w:t>
      </w:r>
    </w:p>
    <w:p w14:paraId="3A7568EC" w14:textId="77777777" w:rsidR="00712772" w:rsidRPr="001D6294" w:rsidRDefault="00712772" w:rsidP="00712772">
      <w:pPr>
        <w:pStyle w:val="SingleTxtG"/>
        <w:ind w:firstLine="567"/>
      </w:pPr>
      <w:r w:rsidRPr="001D6294">
        <w:t>g)</w:t>
      </w:r>
      <w:r w:rsidRPr="001D6294">
        <w:tab/>
      </w:r>
      <w:proofErr w:type="spellStart"/>
      <w:r w:rsidRPr="001D6294">
        <w:t>Essadia</w:t>
      </w:r>
      <w:proofErr w:type="spellEnd"/>
      <w:r w:rsidRPr="001D6294">
        <w:t xml:space="preserve"> </w:t>
      </w:r>
      <w:proofErr w:type="spellStart"/>
      <w:r w:rsidRPr="001D6294">
        <w:t>Belmir</w:t>
      </w:r>
      <w:proofErr w:type="spellEnd"/>
      <w:r w:rsidRPr="001D6294">
        <w:t xml:space="preserve"> a participé à un séminaire sur le rôle des autorités publiques dans la prévention et la répression de la torture et des mauvais traitements, organisé par </w:t>
      </w:r>
      <w:proofErr w:type="spellStart"/>
      <w:r w:rsidRPr="001D6294">
        <w:t>Dignity</w:t>
      </w:r>
      <w:proofErr w:type="spellEnd"/>
      <w:r w:rsidRPr="001D6294">
        <w:t xml:space="preserve"> </w:t>
      </w:r>
      <w:r>
        <w:t>−</w:t>
      </w:r>
      <w:r w:rsidRPr="001D6294">
        <w:t xml:space="preserve"> Institut danois contre la torture et le Maroc et tenu à Rabat le 17 octobre 2019</w:t>
      </w:r>
      <w:r w:rsidR="004817DF">
        <w:t> ;</w:t>
      </w:r>
    </w:p>
    <w:p w14:paraId="454701BF" w14:textId="77777777" w:rsidR="00712772" w:rsidRPr="001D6294" w:rsidRDefault="00712772" w:rsidP="00712772">
      <w:pPr>
        <w:pStyle w:val="SingleTxtG"/>
        <w:ind w:firstLine="567"/>
      </w:pPr>
      <w:r w:rsidRPr="001D6294">
        <w:t>h)</w:t>
      </w:r>
      <w:r w:rsidRPr="001D6294">
        <w:tab/>
        <w:t xml:space="preserve">Diego </w:t>
      </w:r>
      <w:proofErr w:type="spellStart"/>
      <w:r w:rsidRPr="001D6294">
        <w:t>Rodríguez</w:t>
      </w:r>
      <w:proofErr w:type="spellEnd"/>
      <w:r w:rsidRPr="001D6294">
        <w:t xml:space="preserve">-Pinzón a participé à une table ronde intitulée « Global </w:t>
      </w:r>
      <w:proofErr w:type="spellStart"/>
      <w:r w:rsidRPr="001D6294">
        <w:t>human</w:t>
      </w:r>
      <w:proofErr w:type="spellEnd"/>
      <w:r w:rsidRPr="001D6294">
        <w:t xml:space="preserve"> </w:t>
      </w:r>
      <w:proofErr w:type="spellStart"/>
      <w:r w:rsidRPr="001D6294">
        <w:t>rights</w:t>
      </w:r>
      <w:proofErr w:type="spellEnd"/>
      <w:r w:rsidRPr="001D6294">
        <w:t xml:space="preserve"> architecture </w:t>
      </w:r>
      <w:proofErr w:type="spellStart"/>
      <w:r w:rsidRPr="001D6294">
        <w:t>reform</w:t>
      </w:r>
      <w:proofErr w:type="spellEnd"/>
      <w:r w:rsidRPr="001D6294">
        <w:t xml:space="preserve"> initiatives</w:t>
      </w:r>
      <w:r w:rsidR="004817DF">
        <w:t>:</w:t>
      </w:r>
      <w:r w:rsidRPr="001D6294">
        <w:t xml:space="preserve"> </w:t>
      </w:r>
      <w:proofErr w:type="spellStart"/>
      <w:r w:rsidRPr="001D6294">
        <w:t>lessons</w:t>
      </w:r>
      <w:proofErr w:type="spellEnd"/>
      <w:r w:rsidRPr="001D6294">
        <w:t xml:space="preserve"> </w:t>
      </w:r>
      <w:proofErr w:type="spellStart"/>
      <w:r w:rsidRPr="001D6294">
        <w:t>learned</w:t>
      </w:r>
      <w:proofErr w:type="spellEnd"/>
      <w:r w:rsidRPr="001D6294">
        <w:t xml:space="preserve"> and challenges </w:t>
      </w:r>
      <w:proofErr w:type="spellStart"/>
      <w:r w:rsidRPr="001D6294">
        <w:t>ahead</w:t>
      </w:r>
      <w:proofErr w:type="spellEnd"/>
      <w:r w:rsidRPr="001D6294">
        <w:t> » (Mesures de réforme de l</w:t>
      </w:r>
      <w:r>
        <w:t>’</w:t>
      </w:r>
      <w:r w:rsidRPr="001D6294">
        <w:t>architecture mondiale des droits de l</w:t>
      </w:r>
      <w:r>
        <w:t>’</w:t>
      </w:r>
      <w:r w:rsidRPr="001D6294">
        <w:t>homme</w:t>
      </w:r>
      <w:r w:rsidR="004817DF">
        <w:t> :</w:t>
      </w:r>
      <w:r w:rsidRPr="001D6294">
        <w:t xml:space="preserve"> enseignements tirés et défis à venir), organisée par la Due Process of Law </w:t>
      </w:r>
      <w:proofErr w:type="spellStart"/>
      <w:r w:rsidRPr="001D6294">
        <w:t>Foundation</w:t>
      </w:r>
      <w:proofErr w:type="spellEnd"/>
      <w:r w:rsidRPr="001D6294">
        <w:t xml:space="preserve"> et tenue à Washington</w:t>
      </w:r>
      <w:r>
        <w:t xml:space="preserve"> </w:t>
      </w:r>
      <w:r w:rsidRPr="001D6294">
        <w:t>les 1</w:t>
      </w:r>
      <w:r w:rsidRPr="005F54AE">
        <w:rPr>
          <w:vertAlign w:val="superscript"/>
        </w:rPr>
        <w:t>er</w:t>
      </w:r>
      <w:r>
        <w:t xml:space="preserve"> </w:t>
      </w:r>
      <w:r w:rsidRPr="001D6294">
        <w:t>et 2 novembre 2019</w:t>
      </w:r>
      <w:r w:rsidR="004817DF">
        <w:t> ;</w:t>
      </w:r>
    </w:p>
    <w:p w14:paraId="1846FF77" w14:textId="77777777" w:rsidR="00C27275" w:rsidRDefault="00712772" w:rsidP="00712772">
      <w:pPr>
        <w:pStyle w:val="SingleTxtG"/>
        <w:ind w:firstLine="567"/>
      </w:pPr>
      <w:r w:rsidRPr="001D6294">
        <w:t>i)</w:t>
      </w:r>
      <w:r w:rsidRPr="001D6294">
        <w:tab/>
      </w:r>
      <w:r w:rsidRPr="005F54AE">
        <w:t>M</w:t>
      </w:r>
      <w:r w:rsidRPr="005F54AE">
        <w:rPr>
          <w:vertAlign w:val="superscript"/>
        </w:rPr>
        <w:t>me</w:t>
      </w:r>
      <w:r w:rsidRPr="005F54AE">
        <w:t> </w:t>
      </w:r>
      <w:proofErr w:type="spellStart"/>
      <w:r w:rsidRPr="001D6294">
        <w:t>Gaer</w:t>
      </w:r>
      <w:proofErr w:type="spellEnd"/>
      <w:r w:rsidRPr="001D6294">
        <w:t xml:space="preserve"> et </w:t>
      </w:r>
      <w:proofErr w:type="spellStart"/>
      <w:r w:rsidRPr="001D6294">
        <w:t>Bakhtiyar</w:t>
      </w:r>
      <w:proofErr w:type="spellEnd"/>
      <w:r w:rsidRPr="001D6294">
        <w:t xml:space="preserve"> </w:t>
      </w:r>
      <w:proofErr w:type="spellStart"/>
      <w:r w:rsidRPr="001D6294">
        <w:t>Tuzmukhamedov</w:t>
      </w:r>
      <w:proofErr w:type="spellEnd"/>
      <w:r w:rsidRPr="001D6294">
        <w:t xml:space="preserve"> ont fait des exposés les 21 et 22</w:t>
      </w:r>
      <w:r>
        <w:t> </w:t>
      </w:r>
      <w:r w:rsidRPr="001D6294">
        <w:t>novembre 2019 à Genève dans le cadre du Programme de bourses pour les minorités organisé par le HCDH.</w:t>
      </w:r>
    </w:p>
    <w:p w14:paraId="30E9BD1F" w14:textId="315EAE07" w:rsidR="00712772" w:rsidRPr="001D6294" w:rsidRDefault="00712772" w:rsidP="00712772">
      <w:pPr>
        <w:pStyle w:val="HChG"/>
      </w:pPr>
      <w:r w:rsidRPr="001D6294">
        <w:tab/>
        <w:t>II.</w:t>
      </w:r>
      <w:r w:rsidRPr="001D6294">
        <w:tab/>
        <w:t>Soumission des rapports des États parties en application</w:t>
      </w:r>
      <w:r w:rsidRPr="001D6294">
        <w:br/>
        <w:t>de l</w:t>
      </w:r>
      <w:r>
        <w:t>’</w:t>
      </w:r>
      <w:r w:rsidRPr="001D6294">
        <w:t>article 19 de la Convention</w:t>
      </w:r>
      <w:bookmarkStart w:id="57" w:name="_Toc485738199"/>
      <w:bookmarkStart w:id="58" w:name="_Toc517447870"/>
      <w:bookmarkStart w:id="59" w:name="_Toc517691065"/>
      <w:bookmarkStart w:id="60" w:name="_Toc3806614"/>
      <w:bookmarkEnd w:id="57"/>
      <w:bookmarkEnd w:id="58"/>
      <w:bookmarkEnd w:id="59"/>
      <w:bookmarkEnd w:id="60"/>
    </w:p>
    <w:p w14:paraId="1209275B" w14:textId="77777777" w:rsidR="00712772" w:rsidRPr="001D6294" w:rsidRDefault="00712772" w:rsidP="00712772">
      <w:pPr>
        <w:pStyle w:val="SingleTxtG"/>
      </w:pPr>
      <w:r w:rsidRPr="001D6294">
        <w:t>21.</w:t>
      </w:r>
      <w:r w:rsidRPr="001D6294">
        <w:tab/>
        <w:t>Au cours de la période considérée, le secrétariat a reçu 19 rapports soumis en application de l</w:t>
      </w:r>
      <w:r>
        <w:t>’</w:t>
      </w:r>
      <w:r w:rsidRPr="001D6294">
        <w:t>article 19 de la Convention. Le Malawi, l</w:t>
      </w:r>
      <w:r>
        <w:t>’</w:t>
      </w:r>
      <w:r w:rsidRPr="001D6294">
        <w:t>État de Palestine et la Somalie ont soumis leur rapport initial. L</w:t>
      </w:r>
      <w:r>
        <w:t>’Éthiopie, l’</w:t>
      </w:r>
      <w:r w:rsidRPr="001D6294">
        <w:t>Iraq et le Tchad ont soumis leur deuxième rapport périodique. Le Costa Rica, El Salvador et la Roumanie ont soumis leur troisième rapport périodique. La Slovaquie et la Slovénie ont soumis leur quatrième rapport périodique. L</w:t>
      </w:r>
      <w:r>
        <w:t>’</w:t>
      </w:r>
      <w:r w:rsidRPr="001D6294">
        <w:t>Azerbaïdjan et le Liechtenstein ont soumis leur cinquième rapport périodique. La Colombie a soumis son sixième rapport périodique. L</w:t>
      </w:r>
      <w:r>
        <w:t>’</w:t>
      </w:r>
      <w:r w:rsidRPr="001D6294">
        <w:t>Autriche, l</w:t>
      </w:r>
      <w:r>
        <w:t>’</w:t>
      </w:r>
      <w:r w:rsidRPr="001D6294">
        <w:t>Espagne et la Nouvelle</w:t>
      </w:r>
      <w:r>
        <w:noBreakHyphen/>
      </w:r>
      <w:r w:rsidRPr="001D6294">
        <w:t>Zélande ont soumis leur septième rapport périodique. Le Danemark et la Suisse ont soumis leur huitième rapport périodique.</w:t>
      </w:r>
    </w:p>
    <w:p w14:paraId="3A02FE52" w14:textId="77777777" w:rsidR="00C27275" w:rsidRDefault="00712772" w:rsidP="00712772">
      <w:pPr>
        <w:pStyle w:val="SingleTxtG"/>
      </w:pPr>
      <w:bookmarkStart w:id="61" w:name="_Hlk38378249"/>
      <w:r w:rsidRPr="00A6707D">
        <w:t>22.</w:t>
      </w:r>
      <w:r w:rsidRPr="00A6707D">
        <w:tab/>
        <w:t>Au 15</w:t>
      </w:r>
      <w:r w:rsidR="00D715E1">
        <w:t xml:space="preserve"> mai </w:t>
      </w:r>
      <w:r w:rsidRPr="00A6707D">
        <w:t>2020, le Comité avait reçu un total de 46</w:t>
      </w:r>
      <w:r>
        <w:t>7</w:t>
      </w:r>
      <w:r w:rsidRPr="00A6707D">
        <w:t> rapports et en avait examiné 436</w:t>
      </w:r>
      <w:r w:rsidR="004817DF">
        <w:t> ;</w:t>
      </w:r>
      <w:r w:rsidRPr="00A6707D">
        <w:t xml:space="preserve"> 2</w:t>
      </w:r>
      <w:r>
        <w:t>5</w:t>
      </w:r>
      <w:r w:rsidRPr="00A6707D">
        <w:t xml:space="preserve"> rapports initiaux et </w:t>
      </w:r>
      <w:r>
        <w:t>44</w:t>
      </w:r>
      <w:r w:rsidRPr="00A6707D">
        <w:t> rapports périodiques étaient en retard.</w:t>
      </w:r>
    </w:p>
    <w:bookmarkEnd w:id="61"/>
    <w:p w14:paraId="60461861" w14:textId="76C33631" w:rsidR="00712772" w:rsidRPr="001D6294" w:rsidRDefault="00712772" w:rsidP="00712772">
      <w:pPr>
        <w:pStyle w:val="H1G"/>
      </w:pPr>
      <w:r w:rsidRPr="001D6294">
        <w:lastRenderedPageBreak/>
        <w:tab/>
        <w:t>A.</w:t>
      </w:r>
      <w:r w:rsidRPr="001D6294">
        <w:tab/>
        <w:t>Invitation à soumettre les rapports périodiques</w:t>
      </w:r>
      <w:bookmarkStart w:id="62" w:name="_Toc485738200"/>
      <w:bookmarkStart w:id="63" w:name="_Toc517447871"/>
      <w:bookmarkStart w:id="64" w:name="_Toc517691066"/>
      <w:bookmarkStart w:id="65" w:name="_Toc3806615"/>
      <w:bookmarkEnd w:id="62"/>
      <w:bookmarkEnd w:id="63"/>
      <w:bookmarkEnd w:id="64"/>
      <w:bookmarkEnd w:id="65"/>
    </w:p>
    <w:p w14:paraId="7C223214" w14:textId="7D823ED3" w:rsidR="00712772" w:rsidRPr="001D6294" w:rsidRDefault="00712772" w:rsidP="00712772">
      <w:pPr>
        <w:pStyle w:val="SingleTxtG"/>
      </w:pPr>
      <w:r w:rsidRPr="001D6294">
        <w:t>23.</w:t>
      </w:r>
      <w:r w:rsidRPr="001D6294">
        <w:tab/>
        <w:t>Comme suite à la décision qu</w:t>
      </w:r>
      <w:r>
        <w:t>’</w:t>
      </w:r>
      <w:r w:rsidRPr="001D6294">
        <w:t>il avait prise à sa quarante et unième session (</w:t>
      </w:r>
      <w:hyperlink r:id="rId38" w:history="1">
        <w:r w:rsidRPr="009D4883">
          <w:rPr>
            <w:rStyle w:val="Lienhypertexte"/>
          </w:rPr>
          <w:t>A/64/44</w:t>
        </w:r>
      </w:hyperlink>
      <w:r w:rsidRPr="001D6294">
        <w:t xml:space="preserve">, </w:t>
      </w:r>
      <w:r w:rsidR="00C27275">
        <w:t>par. </w:t>
      </w:r>
      <w:r w:rsidRPr="001D6294">
        <w:t>26), le Comité a continué, pendant la période considérée, d</w:t>
      </w:r>
      <w:r>
        <w:t>’</w:t>
      </w:r>
      <w:r w:rsidRPr="001D6294">
        <w:t>inviter les États parties, au dernier paragraphe de ses observations finales, à soumettre leur rapport périodique suivant dans un délai de quatre ans à compter de l</w:t>
      </w:r>
      <w:r>
        <w:t>’</w:t>
      </w:r>
      <w:r w:rsidRPr="001D6294">
        <w:t>adoption des observations finales, et d</w:t>
      </w:r>
      <w:r>
        <w:t>’</w:t>
      </w:r>
      <w:r w:rsidRPr="001D6294">
        <w:t>indiquer dans ce même paragraphe la date à laquelle ce rapport était attendu.</w:t>
      </w:r>
    </w:p>
    <w:p w14:paraId="46E8183C" w14:textId="0C89D235" w:rsidR="00712772" w:rsidRPr="001D6294" w:rsidRDefault="00712772" w:rsidP="00712772">
      <w:pPr>
        <w:pStyle w:val="SingleTxtG"/>
      </w:pPr>
      <w:r w:rsidRPr="001D6294">
        <w:t>24.</w:t>
      </w:r>
      <w:r w:rsidRPr="001D6294">
        <w:tab/>
        <w:t>En outre, comme suite à la décision qu</w:t>
      </w:r>
      <w:r>
        <w:t>’</w:t>
      </w:r>
      <w:r w:rsidRPr="001D6294">
        <w:t>il avait prise à sa quarante-septième session (</w:t>
      </w:r>
      <w:hyperlink r:id="rId39" w:history="1">
        <w:r w:rsidRPr="009D4883">
          <w:rPr>
            <w:rStyle w:val="Lienhypertexte"/>
          </w:rPr>
          <w:t>A/67/44</w:t>
        </w:r>
      </w:hyperlink>
      <w:r w:rsidRPr="001D6294">
        <w:t xml:space="preserve">, </w:t>
      </w:r>
      <w:r w:rsidR="00C27275">
        <w:t>par. </w:t>
      </w:r>
      <w:r w:rsidRPr="001D6294">
        <w:t>33), le Comité a continué, pendant la période considérée, d</w:t>
      </w:r>
      <w:r>
        <w:t>’</w:t>
      </w:r>
      <w:r w:rsidRPr="001D6294">
        <w:t>inviter les États parties à accepter, dans un délai d</w:t>
      </w:r>
      <w:r>
        <w:t>’</w:t>
      </w:r>
      <w:r w:rsidRPr="001D6294">
        <w:t>un an à compter de l</w:t>
      </w:r>
      <w:r>
        <w:t>’</w:t>
      </w:r>
      <w:r w:rsidRPr="001D6294">
        <w:t>adoption des observations finales, de soumettre leur rapport selon la procédure simplifiée ou, si les États parties concernés avaient déjà accepté cette procédure, de leur indiquer qu</w:t>
      </w:r>
      <w:r>
        <w:t>’</w:t>
      </w:r>
      <w:r w:rsidRPr="001D6294">
        <w:t>ils recevraient en temps voulu une liste de points à traiter avant la soumission de leur prochain rapport périodique.</w:t>
      </w:r>
    </w:p>
    <w:p w14:paraId="50F69016" w14:textId="77777777" w:rsidR="00712772" w:rsidRPr="001D6294" w:rsidRDefault="00712772" w:rsidP="00712772">
      <w:pPr>
        <w:pStyle w:val="H1G"/>
      </w:pPr>
      <w:r w:rsidRPr="001D6294">
        <w:tab/>
        <w:t>B.</w:t>
      </w:r>
      <w:r w:rsidRPr="001D6294">
        <w:tab/>
        <w:t>Procédure simplifiée d</w:t>
      </w:r>
      <w:r>
        <w:t>’</w:t>
      </w:r>
      <w:r w:rsidRPr="001D6294">
        <w:t>établissement des rapports</w:t>
      </w:r>
      <w:bookmarkStart w:id="66" w:name="_Toc485738201"/>
      <w:bookmarkStart w:id="67" w:name="_Toc517447872"/>
      <w:bookmarkStart w:id="68" w:name="_Toc517691067"/>
      <w:bookmarkStart w:id="69" w:name="_Toc3806616"/>
      <w:bookmarkEnd w:id="66"/>
      <w:bookmarkEnd w:id="67"/>
      <w:bookmarkEnd w:id="68"/>
      <w:bookmarkEnd w:id="69"/>
    </w:p>
    <w:p w14:paraId="1E02711D" w14:textId="4B344B98" w:rsidR="00712772" w:rsidRPr="001D6294" w:rsidRDefault="00712772" w:rsidP="00712772">
      <w:pPr>
        <w:pStyle w:val="SingleTxtG"/>
      </w:pPr>
      <w:r w:rsidRPr="001D6294">
        <w:t>25.</w:t>
      </w:r>
      <w:r w:rsidRPr="001D6294">
        <w:tab/>
        <w:t>Le Comité se félicite de ce que de nombreux États parties aient accepté la procédure simplifiée d</w:t>
      </w:r>
      <w:r>
        <w:t>’</w:t>
      </w:r>
      <w:r w:rsidRPr="001D6294">
        <w:t>établissement des rapports, qui consiste à élaborer et à adopter une liste de points transmise aux États parties avant que ceux-ci ne soumettent le rapport périodique attendu (ci-après « liste préalable de points à traiter »). Cette procédure vise à aider les États parties à s</w:t>
      </w:r>
      <w:r>
        <w:t>’</w:t>
      </w:r>
      <w:r w:rsidRPr="001D6294">
        <w:t>acquitter de leur obligation de soumettre des rapports en renforçant la collaboration entre eux et le Comité (</w:t>
      </w:r>
      <w:hyperlink r:id="rId40" w:history="1">
        <w:r w:rsidRPr="009D4883">
          <w:rPr>
            <w:rStyle w:val="Lienhypertexte"/>
          </w:rPr>
          <w:t>A/66/44</w:t>
        </w:r>
      </w:hyperlink>
      <w:r w:rsidRPr="001D6294">
        <w:t xml:space="preserve">, </w:t>
      </w:r>
      <w:r w:rsidR="00C27275">
        <w:t>par. </w:t>
      </w:r>
      <w:r w:rsidRPr="001D6294">
        <w:t>28</w:t>
      </w:r>
      <w:r>
        <w:t xml:space="preserve"> à </w:t>
      </w:r>
      <w:r w:rsidRPr="001D6294">
        <w:t>35). Tout en reconnaissant que, depuis 2007, l</w:t>
      </w:r>
      <w:r>
        <w:t>’</w:t>
      </w:r>
      <w:r w:rsidRPr="001D6294">
        <w:t>adoption de listes préalables de points à traiter facilite l</w:t>
      </w:r>
      <w:r>
        <w:t>’</w:t>
      </w:r>
      <w:r w:rsidRPr="001D6294">
        <w:t>établissement des rapports par les États parties, le Comité tient à souligner que cette nouvelle procédure a considérablement accru sa charge de travail car elle demande plus de travail que l</w:t>
      </w:r>
      <w:r>
        <w:t>’</w:t>
      </w:r>
      <w:r w:rsidRPr="001D6294">
        <w:t>élaboration de listes de points après la soumission des rapports périodiques. Les conséquences sont d</w:t>
      </w:r>
      <w:r>
        <w:t>’</w:t>
      </w:r>
      <w:r w:rsidRPr="001D6294">
        <w:t>autant plus lourdes que le Comité compte peu de membres.</w:t>
      </w:r>
    </w:p>
    <w:p w14:paraId="5EBA2632" w14:textId="77777777" w:rsidR="00712772" w:rsidRPr="001D6294" w:rsidRDefault="00712772" w:rsidP="00712772">
      <w:pPr>
        <w:pStyle w:val="SingleTxtG"/>
      </w:pPr>
      <w:r w:rsidRPr="001D6294">
        <w:t>26.</w:t>
      </w:r>
      <w:r w:rsidRPr="001D6294">
        <w:tab/>
        <w:t>À sa soixante-huitième session, le Comité a adopté des listes préalables de points à traiter pour les États parties qui avaient accepté de soumettre leur prochain rapport, attendu pour 2020, selon cette procédure, à savoir l</w:t>
      </w:r>
      <w:r>
        <w:t>’</w:t>
      </w:r>
      <w:r w:rsidRPr="001D6294">
        <w:t>Arménie, l</w:t>
      </w:r>
      <w:r>
        <w:t>’</w:t>
      </w:r>
      <w:r w:rsidRPr="001D6294">
        <w:t>Équateur, la Finlande, Monaco et la Namibie. Ces listes ont été transmises aux États parties concernés.</w:t>
      </w:r>
    </w:p>
    <w:p w14:paraId="26584301" w14:textId="77777777" w:rsidR="00712772" w:rsidRPr="001D6294" w:rsidRDefault="00712772" w:rsidP="00712772">
      <w:pPr>
        <w:pStyle w:val="SingleTxtG"/>
      </w:pPr>
      <w:r w:rsidRPr="001D6294">
        <w:t>27.</w:t>
      </w:r>
      <w:r w:rsidRPr="001D6294">
        <w:tab/>
        <w:t>Malgré le report de sa soixante-neuvième session, le Comité a adopté des listes préalables de points à traiter pour les États parties qui avaient accepté de soumettre leur prochain rapport, attendu pour 2020, selon cette procédure, à savoir l</w:t>
      </w:r>
      <w:r>
        <w:t>’</w:t>
      </w:r>
      <w:r w:rsidRPr="001D6294">
        <w:t>Afghanistan, l</w:t>
      </w:r>
      <w:r>
        <w:t>’</w:t>
      </w:r>
      <w:r w:rsidRPr="001D6294">
        <w:t>Argentine, Bahreïn, l</w:t>
      </w:r>
      <w:r>
        <w:t>’</w:t>
      </w:r>
      <w:r w:rsidRPr="001D6294">
        <w:t>Irlande, Panama, le Paraguay et la République de Corée. Il a également adopté une liste préalable de points à traiter pour un État partie qui avait accepté la procédure simplifiée pour son rapport initial en retard, à savoir le Mali.</w:t>
      </w:r>
    </w:p>
    <w:p w14:paraId="72131A43" w14:textId="77777777" w:rsidR="00C27275" w:rsidRDefault="00712772" w:rsidP="00712772">
      <w:pPr>
        <w:pStyle w:val="SingleTxtG"/>
      </w:pPr>
      <w:r w:rsidRPr="001D6294">
        <w:t>28.</w:t>
      </w:r>
      <w:r w:rsidRPr="001D6294">
        <w:tab/>
        <w:t xml:space="preserve">Le Comité estime que le fait que seuls </w:t>
      </w:r>
      <w:r>
        <w:t>quatre</w:t>
      </w:r>
      <w:r w:rsidRPr="001D6294">
        <w:t xml:space="preserve"> des 137 États parties qui en sont au stade des rapports périodiques ne souhaitent pas établir leurs rapports selon la procédure simplifiée témoigne du succès rencontré par celle-ci. Sur les 133 autres États parties, 105 ont expressément accepté d</w:t>
      </w:r>
      <w:r>
        <w:t>’</w:t>
      </w:r>
      <w:r w:rsidRPr="001D6294">
        <w:t>établir leurs rapports selon cette procédure et les 28 restants n</w:t>
      </w:r>
      <w:r>
        <w:t>’</w:t>
      </w:r>
      <w:r w:rsidRPr="001D6294">
        <w:t>ont pas encore donné de réponse ou n</w:t>
      </w:r>
      <w:r>
        <w:t>’</w:t>
      </w:r>
      <w:r w:rsidRPr="001D6294">
        <w:t>ont pas encore été invités à établir leur rapport selon cette méthode. En outre, le fait que d</w:t>
      </w:r>
      <w:r>
        <w:t>’</w:t>
      </w:r>
      <w:r w:rsidRPr="001D6294">
        <w:t>autres organes conventionnels ont également adopté cette procédure montre clairement qu</w:t>
      </w:r>
      <w:r>
        <w:t>’</w:t>
      </w:r>
      <w:r w:rsidRPr="001D6294">
        <w:t>elle présente un intérêt pour le système d</w:t>
      </w:r>
      <w:r>
        <w:t>’</w:t>
      </w:r>
      <w:r w:rsidRPr="001D6294">
        <w:t>établissement des rapports. Depuis 2016, un certain nombre d</w:t>
      </w:r>
      <w:r>
        <w:t>’</w:t>
      </w:r>
      <w:r w:rsidRPr="001D6294">
        <w:t>États dont les rapports initiaux étaient attendus depuis longtemps se sont vu proposer la procédure simplifiée. Au cours de la période considérée, le Malawi et la Somalie ont soumis de tels rapports, et le Botswana et le Mali ont accepté la procédure simplifiée pour leurs rapports initiaux en retard (voir chap. II, sect. D).</w:t>
      </w:r>
    </w:p>
    <w:p w14:paraId="6CAF8EF3" w14:textId="77777777" w:rsidR="00C27275" w:rsidRDefault="00712772" w:rsidP="00712772">
      <w:pPr>
        <w:pStyle w:val="SingleTxtG"/>
      </w:pPr>
      <w:r w:rsidRPr="001D6294">
        <w:t>29.</w:t>
      </w:r>
      <w:r w:rsidRPr="001D6294">
        <w:tab/>
        <w:t xml:space="preserve">On trouvera des renseignements actualisés sur cette procédure sur la page Web qui lui est </w:t>
      </w:r>
      <w:r w:rsidRPr="00E07C78">
        <w:t>consacrée (</w:t>
      </w:r>
      <w:hyperlink r:id="rId41" w:history="1">
        <w:r w:rsidRPr="00E07C78">
          <w:rPr>
            <w:rStyle w:val="Lienhypertexte"/>
          </w:rPr>
          <w:t>www.ohchr.org/EN/HRBodies/CAT/Pages/ReportingProcedures.aspx</w:t>
        </w:r>
      </w:hyperlink>
      <w:r w:rsidRPr="00E07C78">
        <w:t>).</w:t>
      </w:r>
    </w:p>
    <w:p w14:paraId="4EC70017" w14:textId="61E36BE8" w:rsidR="00712772" w:rsidRPr="001D6294" w:rsidRDefault="00712772" w:rsidP="00712772">
      <w:pPr>
        <w:pStyle w:val="H1G"/>
      </w:pPr>
      <w:r w:rsidRPr="001D6294">
        <w:lastRenderedPageBreak/>
        <w:tab/>
        <w:t>C.</w:t>
      </w:r>
      <w:r w:rsidRPr="001D6294">
        <w:tab/>
        <w:t>Rappels pour les rapports initiaux et périodiques en retard</w:t>
      </w:r>
      <w:bookmarkStart w:id="70" w:name="_Toc485738202"/>
      <w:bookmarkStart w:id="71" w:name="_Toc517447873"/>
      <w:bookmarkStart w:id="72" w:name="_Toc517691068"/>
      <w:bookmarkStart w:id="73" w:name="_Toc3806617"/>
      <w:bookmarkEnd w:id="70"/>
      <w:bookmarkEnd w:id="71"/>
      <w:bookmarkEnd w:id="72"/>
      <w:bookmarkEnd w:id="73"/>
    </w:p>
    <w:p w14:paraId="435B5051" w14:textId="77777777" w:rsidR="00712772" w:rsidRPr="001D6294" w:rsidRDefault="00712772" w:rsidP="00712772">
      <w:pPr>
        <w:pStyle w:val="SingleTxtG"/>
      </w:pPr>
      <w:r w:rsidRPr="001D6294">
        <w:t>30.</w:t>
      </w:r>
      <w:r w:rsidRPr="001D6294">
        <w:tab/>
        <w:t>À sa cinquante-troisième session, le Comité a décidé d</w:t>
      </w:r>
      <w:r>
        <w:t>’</w:t>
      </w:r>
      <w:r w:rsidRPr="001D6294">
        <w:t>envoyer des rappels à tous les États parties dont le rapport initial était en retard ainsi qu</w:t>
      </w:r>
      <w:r>
        <w:t>’</w:t>
      </w:r>
      <w:r w:rsidRPr="001D6294">
        <w:t>à tous les États parties dont le rapport périodique était attendu depuis quatre ans ou davantage.</w:t>
      </w:r>
    </w:p>
    <w:p w14:paraId="212504BA" w14:textId="77777777" w:rsidR="00712772" w:rsidRPr="001D6294" w:rsidRDefault="00712772" w:rsidP="00712772">
      <w:pPr>
        <w:pStyle w:val="SingleTxtG"/>
      </w:pPr>
      <w:r w:rsidRPr="001D6294">
        <w:t>31.</w:t>
      </w:r>
      <w:r w:rsidRPr="001D6294">
        <w:tab/>
        <w:t>Le Comité a appelé l</w:t>
      </w:r>
      <w:r>
        <w:t>’</w:t>
      </w:r>
      <w:r w:rsidRPr="001D6294">
        <w:t>attention de ces États parties sur le fait que les retards dans la soumission des rapports entravaient sérieusement la mise en application de la Convention dans les pays concernés et compromettaient la capacité du Comité d</w:t>
      </w:r>
      <w:r>
        <w:t>’</w:t>
      </w:r>
      <w:r w:rsidRPr="001D6294">
        <w:t>exécuter sa propre fonction de surveillance de cette mise en application. Il les a priés de le tenir informé des progrès qu</w:t>
      </w:r>
      <w:r>
        <w:t>’</w:t>
      </w:r>
      <w:r w:rsidRPr="001D6294">
        <w:t>ils avaient accomplis et des obstacles qu</w:t>
      </w:r>
      <w:r>
        <w:t>’</w:t>
      </w:r>
      <w:r w:rsidRPr="001D6294">
        <w:t>ils pouvaient rencontrer dans l</w:t>
      </w:r>
      <w:r>
        <w:t>’</w:t>
      </w:r>
      <w:r w:rsidRPr="001D6294">
        <w:t>exécution de leur obligation de soumettre des rapports. Il les a en outre informés de ce que, conformément à l</w:t>
      </w:r>
      <w:r>
        <w:t>’</w:t>
      </w:r>
      <w:r w:rsidRPr="001D6294">
        <w:t>article 67 de son règlement intérieur, il pouvait procéder à un examen de l</w:t>
      </w:r>
      <w:r>
        <w:t>’</w:t>
      </w:r>
      <w:r w:rsidRPr="001D6294">
        <w:t>application de la Convention dans un État partie donné en l</w:t>
      </w:r>
      <w:r>
        <w:t>’</w:t>
      </w:r>
      <w:r w:rsidRPr="001D6294">
        <w:t>absence de rapport, et que cet examen serait effectué sur la base des informations mises à sa disposition, y compris par des sources extérieures à l</w:t>
      </w:r>
      <w:r>
        <w:t>’</w:t>
      </w:r>
      <w:r w:rsidRPr="001D6294">
        <w:t>Organisation des Nations Unies. Dans ses rapports annuels, le Comité rappelle également aux États parties l</w:t>
      </w:r>
      <w:r>
        <w:t>’</w:t>
      </w:r>
      <w:r w:rsidRPr="001D6294">
        <w:t>obligation de soumettre des rapports qui leur incombe en vertu de la Convention. À sa soixante-troisième session, le Comité a tenu une réunion avec les États dont le rapport initial était très en retard afin qu</w:t>
      </w:r>
      <w:r>
        <w:t>’</w:t>
      </w:r>
      <w:r w:rsidRPr="001D6294">
        <w:t>ils l</w:t>
      </w:r>
      <w:r>
        <w:t>’</w:t>
      </w:r>
      <w:r w:rsidRPr="001D6294">
        <w:t>informent des obstacles qu</w:t>
      </w:r>
      <w:r>
        <w:t>’</w:t>
      </w:r>
      <w:r w:rsidRPr="001D6294">
        <w:t>ils rencontraient pour établir leur rapport initial et de leurs besoins en la matière. Le Comité réaffirme son soutien à l</w:t>
      </w:r>
      <w:r>
        <w:t>’</w:t>
      </w:r>
      <w:r w:rsidRPr="001D6294">
        <w:t>Initiative sur la Convention contre la torture, qui s</w:t>
      </w:r>
      <w:r>
        <w:t>’</w:t>
      </w:r>
      <w:r w:rsidRPr="001D6294">
        <w:t>emploie activement à obtenir la ratification universelle de la Convention et la mise en œuvre intégrale de celle-ci, notamment quant au respect par les États de leur obligation de soumettre des rapports. Le Comité a participé à plusieurs des activités organisées dans le cadre de l</w:t>
      </w:r>
      <w:r>
        <w:t>’</w:t>
      </w:r>
      <w:r w:rsidRPr="001D6294">
        <w:t>Initiative.</w:t>
      </w:r>
    </w:p>
    <w:p w14:paraId="24330A1F" w14:textId="77777777" w:rsidR="00712772" w:rsidRPr="001D6294" w:rsidRDefault="00712772" w:rsidP="00712772">
      <w:pPr>
        <w:pStyle w:val="H1G"/>
      </w:pPr>
      <w:r w:rsidRPr="001D6294">
        <w:tab/>
        <w:t>D.</w:t>
      </w:r>
      <w:r w:rsidRPr="001D6294">
        <w:tab/>
        <w:t>Examen des mesures prises par un État partie en l</w:t>
      </w:r>
      <w:r>
        <w:t>’</w:t>
      </w:r>
      <w:r w:rsidRPr="001D6294">
        <w:t>absence de rapport</w:t>
      </w:r>
      <w:bookmarkStart w:id="74" w:name="_Toc485738203"/>
      <w:bookmarkStart w:id="75" w:name="_Toc517447874"/>
      <w:bookmarkStart w:id="76" w:name="_Toc517691069"/>
      <w:bookmarkStart w:id="77" w:name="_Toc3806618"/>
      <w:bookmarkEnd w:id="74"/>
      <w:bookmarkEnd w:id="75"/>
      <w:bookmarkEnd w:id="76"/>
      <w:bookmarkEnd w:id="77"/>
    </w:p>
    <w:p w14:paraId="551803BA" w14:textId="78830A2D" w:rsidR="00712772" w:rsidRPr="001D6294" w:rsidRDefault="00712772" w:rsidP="00712772">
      <w:pPr>
        <w:pStyle w:val="SingleTxtG"/>
      </w:pPr>
      <w:bookmarkStart w:id="78" w:name="_Toc517447875"/>
      <w:bookmarkStart w:id="79" w:name="_Toc517691070"/>
      <w:bookmarkStart w:id="80" w:name="_Toc3806619"/>
      <w:bookmarkStart w:id="81" w:name="_Toc485738206"/>
      <w:bookmarkStart w:id="82" w:name="_Toc517447876"/>
      <w:bookmarkStart w:id="83" w:name="_Toc517691071"/>
      <w:bookmarkStart w:id="84" w:name="_Toc3806620"/>
      <w:bookmarkStart w:id="85" w:name="_Toc485738207"/>
      <w:bookmarkStart w:id="86" w:name="_Toc517447877"/>
      <w:bookmarkStart w:id="87" w:name="_Toc517691072"/>
      <w:bookmarkStart w:id="88" w:name="_Toc3806621"/>
      <w:bookmarkStart w:id="89" w:name="_Toc485738208"/>
      <w:bookmarkStart w:id="90" w:name="_Toc517447878"/>
      <w:bookmarkStart w:id="91" w:name="_Toc517691073"/>
      <w:bookmarkStart w:id="92" w:name="_Toc3806622"/>
      <w:bookmarkStart w:id="93" w:name="_Toc485738209"/>
      <w:bookmarkStart w:id="94" w:name="_Toc517447879"/>
      <w:bookmarkStart w:id="95" w:name="_Toc517691074"/>
      <w:bookmarkStart w:id="96" w:name="_Toc3806623"/>
      <w:bookmarkStart w:id="97" w:name="_Toc485738210"/>
      <w:bookmarkStart w:id="98" w:name="_Toc517447880"/>
      <w:bookmarkStart w:id="99" w:name="_Toc517691075"/>
      <w:bookmarkStart w:id="100" w:name="_Toc3806624"/>
      <w:bookmarkStart w:id="101" w:name="_Toc485738211"/>
      <w:bookmarkStart w:id="102" w:name="_Toc517447881"/>
      <w:bookmarkStart w:id="103" w:name="_Toc517691076"/>
      <w:bookmarkStart w:id="104" w:name="_Toc3806625"/>
      <w:bookmarkStart w:id="105" w:name="_Toc485738212"/>
      <w:bookmarkStart w:id="106" w:name="_Toc517447882"/>
      <w:bookmarkStart w:id="107" w:name="_Toc517691077"/>
      <w:bookmarkStart w:id="108" w:name="_Toc3806626"/>
      <w:bookmarkStart w:id="109" w:name="_Toc485738213"/>
      <w:bookmarkStart w:id="110" w:name="_Toc517447883"/>
      <w:bookmarkStart w:id="111" w:name="_Toc517691078"/>
      <w:bookmarkStart w:id="112" w:name="_Toc3806627"/>
      <w:bookmarkStart w:id="113" w:name="_Toc485738214"/>
      <w:bookmarkStart w:id="114" w:name="_Toc517447884"/>
      <w:bookmarkStart w:id="115" w:name="_Toc517691079"/>
      <w:bookmarkStart w:id="116" w:name="_Toc3806628"/>
      <w:bookmarkStart w:id="117" w:name="_Toc485738215"/>
      <w:bookmarkStart w:id="118" w:name="_Toc517447885"/>
      <w:bookmarkStart w:id="119" w:name="_Toc517691080"/>
      <w:bookmarkStart w:id="120" w:name="_Toc3806629"/>
      <w:bookmarkStart w:id="121" w:name="_Toc3806630"/>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1D6294">
        <w:t>32.</w:t>
      </w:r>
      <w:r w:rsidRPr="001D6294">
        <w:tab/>
        <w:t>Le Comité a continué de prendre des mesures à l</w:t>
      </w:r>
      <w:r>
        <w:t>’</w:t>
      </w:r>
      <w:r w:rsidRPr="001D6294">
        <w:t>égard des États parties dont le rapport initial était attendu depuis longtemps, conformément à la décision prise en ce sens à sa cinquante-deuxième session (</w:t>
      </w:r>
      <w:hyperlink r:id="rId42" w:history="1">
        <w:r w:rsidRPr="009D4883">
          <w:rPr>
            <w:rStyle w:val="Lienhypertexte"/>
          </w:rPr>
          <w:t>A/69/44</w:t>
        </w:r>
      </w:hyperlink>
      <w:r w:rsidRPr="001D6294">
        <w:t xml:space="preserve">, </w:t>
      </w:r>
      <w:r w:rsidR="00C27275">
        <w:t>par. </w:t>
      </w:r>
      <w:r w:rsidRPr="001D6294">
        <w:t>46). Il a suivi sa pratique bien établie consistant à envoyer des rappels aux États parties pour leur demander de soumettre leur rapport initial attendu depuis longtemps et pour leur proposer de le faire selon la procédure simplifiée. Si les États concernés n</w:t>
      </w:r>
      <w:r>
        <w:t>’</w:t>
      </w:r>
      <w:r w:rsidRPr="001D6294">
        <w:t>acceptaient pas cette procédure ou si leur rapport initial n</w:t>
      </w:r>
      <w:r>
        <w:t>’</w:t>
      </w:r>
      <w:r w:rsidRPr="001D6294">
        <w:t>avait pas été reçu à la date fixée, le Comité, agissant en vertu de l</w:t>
      </w:r>
      <w:r>
        <w:t>’</w:t>
      </w:r>
      <w:r w:rsidRPr="001D6294">
        <w:t>article 67 de son règlement intérieur, prévoyait à un examen en l</w:t>
      </w:r>
      <w:r>
        <w:t>’</w:t>
      </w:r>
      <w:r w:rsidRPr="001D6294">
        <w:t>absence de rapport à une session future. Au 15</w:t>
      </w:r>
      <w:r w:rsidR="00D715E1">
        <w:t xml:space="preserve"> mai </w:t>
      </w:r>
      <w:r w:rsidRPr="001D6294">
        <w:t>2020, 13</w:t>
      </w:r>
      <w:r w:rsidR="00C27275">
        <w:t> </w:t>
      </w:r>
      <w:r w:rsidRPr="001D6294">
        <w:t>États dont le rapport initial était attendu depuis longtemps (Antigua</w:t>
      </w:r>
      <w:r>
        <w:noBreakHyphen/>
      </w:r>
      <w:r w:rsidRPr="001D6294">
        <w:t>et</w:t>
      </w:r>
      <w:r>
        <w:noBreakHyphen/>
      </w:r>
      <w:r w:rsidRPr="001D6294">
        <w:t xml:space="preserve">Barbuda, Bangladesh, Botswana, Cabo Verde, Côte </w:t>
      </w:r>
      <w:proofErr w:type="spellStart"/>
      <w:r w:rsidRPr="001D6294">
        <w:t>dʼIvoire</w:t>
      </w:r>
      <w:proofErr w:type="spellEnd"/>
      <w:r w:rsidRPr="001D6294">
        <w:t>, Lesotho, Malawi, Mali, Niger, Nigéria, République dominicaine, Seychelles et Somalie) se sont vu proposer la procédure simplifiée pour l</w:t>
      </w:r>
      <w:r>
        <w:t>’</w:t>
      </w:r>
      <w:r w:rsidRPr="001D6294">
        <w:t xml:space="preserve">établissement de leur </w:t>
      </w:r>
      <w:r w:rsidRPr="00A6707D">
        <w:t>rapport</w:t>
      </w:r>
      <w:r w:rsidRPr="000A213B">
        <w:rPr>
          <w:rStyle w:val="Appelnotedebasdep"/>
        </w:rPr>
        <w:footnoteReference w:id="2"/>
      </w:r>
      <w:r w:rsidRPr="00A6707D">
        <w:t>, et le</w:t>
      </w:r>
      <w:r w:rsidRPr="001D6294">
        <w:t xml:space="preserve"> Comité a examiné la situation de deux de ces États (Antigua-et-Barbuda et Cabo Verde) en l</w:t>
      </w:r>
      <w:r>
        <w:t>’</w:t>
      </w:r>
      <w:r w:rsidRPr="001D6294">
        <w:t>absence de rapport (</w:t>
      </w:r>
      <w:hyperlink r:id="rId43" w:history="1">
        <w:r w:rsidRPr="009D4883">
          <w:rPr>
            <w:rStyle w:val="Lienhypertexte"/>
          </w:rPr>
          <w:t>A/74/44</w:t>
        </w:r>
      </w:hyperlink>
      <w:r w:rsidRPr="001D6294">
        <w:t xml:space="preserve">, </w:t>
      </w:r>
      <w:r w:rsidR="00C27275">
        <w:t>par. </w:t>
      </w:r>
      <w:r w:rsidRPr="001D6294">
        <w:t>33).</w:t>
      </w:r>
    </w:p>
    <w:p w14:paraId="69E67BA4" w14:textId="77777777" w:rsidR="00C27275" w:rsidRDefault="00712772" w:rsidP="00712772">
      <w:pPr>
        <w:pStyle w:val="SingleTxtG"/>
      </w:pPr>
      <w:r w:rsidRPr="001D6294">
        <w:t>33.</w:t>
      </w:r>
      <w:r w:rsidRPr="001D6294">
        <w:tab/>
        <w:t>Dans le cadre de cette pratique, le Comité a reçu trois rapports pendant la période considérée. Le Bangladesh a soumis son rapport initial le 23</w:t>
      </w:r>
      <w:r w:rsidR="00C27275">
        <w:t> </w:t>
      </w:r>
      <w:r w:rsidRPr="001D6294">
        <w:t>juillet 2019</w:t>
      </w:r>
      <w:r w:rsidRPr="000A213B">
        <w:rPr>
          <w:rStyle w:val="Appelnotedebasdep"/>
        </w:rPr>
        <w:footnoteReference w:id="3"/>
      </w:r>
      <w:r w:rsidRPr="001D6294">
        <w:t>. Le Malawi, qui avait accepté la procédure simplifiée le 8</w:t>
      </w:r>
      <w:r w:rsidR="00C27275">
        <w:t> </w:t>
      </w:r>
      <w:r w:rsidRPr="001D6294">
        <w:t>décembre 2016, a soumis son rapport initial le 14</w:t>
      </w:r>
      <w:r>
        <w:t> </w:t>
      </w:r>
      <w:r w:rsidRPr="001D6294">
        <w:t>octobre 2019. La Somalie, qui avait accepté la procédure simplifiée le 2</w:t>
      </w:r>
      <w:r w:rsidR="00C27275">
        <w:t> </w:t>
      </w:r>
      <w:r w:rsidRPr="001D6294">
        <w:t>février 2016, a présenté son rapport initial le 16</w:t>
      </w:r>
      <w:r w:rsidR="00C27275">
        <w:t> </w:t>
      </w:r>
      <w:r w:rsidRPr="001D6294">
        <w:t>décembre 2019</w:t>
      </w:r>
      <w:r w:rsidRPr="000A213B">
        <w:rPr>
          <w:rStyle w:val="Appelnotedebasdep"/>
        </w:rPr>
        <w:footnoteReference w:id="4"/>
      </w:r>
      <w:r w:rsidRPr="001D6294">
        <w:t>.</w:t>
      </w:r>
    </w:p>
    <w:p w14:paraId="4ECA9726" w14:textId="38031918" w:rsidR="00712772" w:rsidRPr="001D6294" w:rsidRDefault="00712772" w:rsidP="00712772">
      <w:pPr>
        <w:pStyle w:val="SingleTxtG"/>
      </w:pPr>
      <w:r w:rsidRPr="001D6294">
        <w:lastRenderedPageBreak/>
        <w:t>34.</w:t>
      </w:r>
      <w:r w:rsidRPr="001D6294">
        <w:tab/>
        <w:t>À sa soixante-septième session, le Comité a examiné le rapport initial du Bangladesh. À la même session, il a décidé d</w:t>
      </w:r>
      <w:r>
        <w:t>’</w:t>
      </w:r>
      <w:r w:rsidRPr="001D6294">
        <w:t>envoyer des rappels au Botswana, au Mali et au Nigéria, dont le rapport initial était très en retard, et de leur proposer d</w:t>
      </w:r>
      <w:r>
        <w:t>’</w:t>
      </w:r>
      <w:r w:rsidRPr="001D6294">
        <w:t>établir leur rapport selon la procédure simplifiée. S</w:t>
      </w:r>
      <w:r>
        <w:t>’</w:t>
      </w:r>
      <w:r w:rsidRPr="001D6294">
        <w:t>ils n</w:t>
      </w:r>
      <w:r>
        <w:t>’</w:t>
      </w:r>
      <w:r w:rsidRPr="001D6294">
        <w:t>acceptaient pas de le faire ou s</w:t>
      </w:r>
      <w:r>
        <w:t>’</w:t>
      </w:r>
      <w:r w:rsidRPr="001D6294">
        <w:t>ils ne soumettaient pas leur rapport initial à la date fixée, le Comité, agissant en vertu de l</w:t>
      </w:r>
      <w:r>
        <w:t>’</w:t>
      </w:r>
      <w:r w:rsidRPr="001D6294">
        <w:t>article</w:t>
      </w:r>
      <w:r>
        <w:t> </w:t>
      </w:r>
      <w:r w:rsidRPr="001D6294">
        <w:t>67 de son règlement intérieur, procéderait à un examen en l</w:t>
      </w:r>
      <w:r>
        <w:t>’</w:t>
      </w:r>
      <w:r w:rsidRPr="001D6294">
        <w:t>absence de rapport à une session future. Le Botswana et le Mali ont accepté la procédure simplifiée pour leur rapport initial en retard le 27</w:t>
      </w:r>
      <w:r w:rsidR="00D715E1">
        <w:t> septembre</w:t>
      </w:r>
      <w:r w:rsidRPr="001D6294">
        <w:t xml:space="preserve"> 2019 et le 26 juillet 2019, respectivement.</w:t>
      </w:r>
    </w:p>
    <w:p w14:paraId="4D15619F" w14:textId="77777777" w:rsidR="00712772" w:rsidRPr="001D6294" w:rsidRDefault="00712772" w:rsidP="00712772">
      <w:pPr>
        <w:pStyle w:val="SingleTxtG"/>
      </w:pPr>
      <w:r w:rsidRPr="001D6294">
        <w:t>35.</w:t>
      </w:r>
      <w:r w:rsidRPr="001D6294">
        <w:tab/>
        <w:t>À sa soixante-huitième session, le Comité a décidé qu</w:t>
      </w:r>
      <w:r>
        <w:t>’</w:t>
      </w:r>
      <w:r w:rsidRPr="001D6294">
        <w:t>il examinerait la situation au Nigéria en l</w:t>
      </w:r>
      <w:r>
        <w:t>’</w:t>
      </w:r>
      <w:r w:rsidRPr="001D6294">
        <w:t>absence de rapport à sa session</w:t>
      </w:r>
      <w:r>
        <w:t xml:space="preserve"> de novembre 2020</w:t>
      </w:r>
      <w:r w:rsidRPr="001D6294">
        <w:t>.</w:t>
      </w:r>
    </w:p>
    <w:p w14:paraId="484F0247" w14:textId="77777777" w:rsidR="00712772" w:rsidRPr="001D6294" w:rsidRDefault="00712772" w:rsidP="00712772">
      <w:pPr>
        <w:pStyle w:val="HChG"/>
      </w:pPr>
      <w:bookmarkStart w:id="122" w:name="_Toc485738205"/>
      <w:r>
        <w:tab/>
      </w:r>
      <w:r w:rsidRPr="001D6294">
        <w:t>III.</w:t>
      </w:r>
      <w:r w:rsidRPr="001D6294">
        <w:tab/>
        <w:t xml:space="preserve">Examen des rapports soumis par les États parties </w:t>
      </w:r>
      <w:r>
        <w:br/>
      </w:r>
      <w:r w:rsidRPr="001D6294">
        <w:t>en application de l</w:t>
      </w:r>
      <w:r>
        <w:t>’</w:t>
      </w:r>
      <w:r w:rsidRPr="001D6294">
        <w:t>article 19 de la Convention</w:t>
      </w:r>
      <w:bookmarkStart w:id="123" w:name="_Toc14181237"/>
      <w:bookmarkStart w:id="124" w:name="_Toc37768176"/>
      <w:bookmarkEnd w:id="122"/>
      <w:bookmarkEnd w:id="123"/>
      <w:bookmarkEnd w:id="124"/>
    </w:p>
    <w:p w14:paraId="1A173EC1" w14:textId="6705F96C" w:rsidR="00712772" w:rsidRPr="001D6294" w:rsidRDefault="00712772" w:rsidP="00712772">
      <w:pPr>
        <w:pStyle w:val="SingleTxtG"/>
      </w:pPr>
      <w:r w:rsidRPr="001D6294">
        <w:t>36.</w:t>
      </w:r>
      <w:r w:rsidRPr="001D6294">
        <w:tab/>
        <w:t>À ses soixante-septième et soixante-huitième sessions, le Comité a examiné les rapports soumis par 10</w:t>
      </w:r>
      <w:r w:rsidR="00C27275">
        <w:t> </w:t>
      </w:r>
      <w:r w:rsidRPr="001D6294">
        <w:t>États parties en application du paragraphe 1 de l</w:t>
      </w:r>
      <w:r>
        <w:t>’</w:t>
      </w:r>
      <w:r w:rsidRPr="001D6294">
        <w:t>article 19 de la Convention et a adopté des observations finales concernant ces 10</w:t>
      </w:r>
      <w:r w:rsidR="00C27275">
        <w:t> </w:t>
      </w:r>
      <w:r w:rsidRPr="001D6294">
        <w:t>États</w:t>
      </w:r>
      <w:r w:rsidR="00C27275">
        <w:t xml:space="preserve"> </w:t>
      </w:r>
      <w:r w:rsidRPr="001D6294">
        <w:t>parties. L</w:t>
      </w:r>
      <w:r>
        <w:t>’</w:t>
      </w:r>
      <w:r w:rsidRPr="001D6294">
        <w:t>examen des rapports de Cuba, des Émirats arabes unis, du Kenya, de l</w:t>
      </w:r>
      <w:r>
        <w:t>’</w:t>
      </w:r>
      <w:r w:rsidRPr="001D6294">
        <w:t>Islande, du Monténégro et de l</w:t>
      </w:r>
      <w:r>
        <w:t>’</w:t>
      </w:r>
      <w:r w:rsidRPr="001D6294">
        <w:t xml:space="preserve">Uruguay, prévu pour la soixante-neuvième session, a été reporté en raison de la situation liée </w:t>
      </w:r>
      <w:r>
        <w:t>à la</w:t>
      </w:r>
      <w:r w:rsidRPr="001D6294">
        <w:t xml:space="preserve"> COVID-19.</w:t>
      </w:r>
    </w:p>
    <w:p w14:paraId="08CF273E" w14:textId="2F8B838C" w:rsidR="00712772" w:rsidRPr="001D6294" w:rsidRDefault="00712772" w:rsidP="00712772">
      <w:pPr>
        <w:pStyle w:val="SingleTxtG"/>
      </w:pPr>
      <w:r w:rsidRPr="001D6294">
        <w:t>37.</w:t>
      </w:r>
      <w:r w:rsidRPr="001D6294">
        <w:tab/>
        <w:t>Les rapports examinés par le Comité à sa soixante-septième session et les observations finales correspondantes peuvent être consultés au moyen du Système de diffusion électronique des documents de l</w:t>
      </w:r>
      <w:r>
        <w:t>’</w:t>
      </w:r>
      <w:r w:rsidRPr="001D6294">
        <w:t xml:space="preserve">ONU </w:t>
      </w:r>
      <w:r w:rsidRPr="00EE15CC">
        <w:t>(</w:t>
      </w:r>
      <w:hyperlink r:id="rId44" w:history="1">
        <w:r w:rsidRPr="00EE15CC">
          <w:rPr>
            <w:rStyle w:val="Lienhypertexte"/>
          </w:rPr>
          <w:t>http</w:t>
        </w:r>
        <w:r w:rsidR="004817DF">
          <w:rPr>
            <w:rStyle w:val="Lienhypertexte"/>
          </w:rPr>
          <w:t>:/</w:t>
        </w:r>
        <w:r w:rsidRPr="00EE15CC">
          <w:rPr>
            <w:rStyle w:val="Lienhypertexte"/>
          </w:rPr>
          <w:t>/documents.un.org</w:t>
        </w:r>
      </w:hyperlink>
      <w:r w:rsidRPr="001D6294">
        <w:t>), en précisant les cotes indiquées ci-dessous</w:t>
      </w:r>
      <w:r w:rsidR="004817DF">
        <w:t> :</w:t>
      </w:r>
    </w:p>
    <w:tbl>
      <w:tblPr>
        <w:tblW w:w="7370" w:type="dxa"/>
        <w:tblInd w:w="1134" w:type="dxa"/>
        <w:tblLayout w:type="fixed"/>
        <w:tblCellMar>
          <w:left w:w="0" w:type="dxa"/>
          <w:right w:w="0" w:type="dxa"/>
        </w:tblCellMar>
        <w:tblLook w:val="01E0" w:firstRow="1" w:lastRow="1" w:firstColumn="1" w:lastColumn="1" w:noHBand="0" w:noVBand="0"/>
      </w:tblPr>
      <w:tblGrid>
        <w:gridCol w:w="1050"/>
        <w:gridCol w:w="2366"/>
        <w:gridCol w:w="2385"/>
        <w:gridCol w:w="1569"/>
      </w:tblGrid>
      <w:tr w:rsidR="00712772" w:rsidRPr="00EE15CC" w14:paraId="412865BD" w14:textId="77777777" w:rsidTr="00712772">
        <w:trPr>
          <w:cantSplit/>
          <w:tblHeader/>
        </w:trPr>
        <w:tc>
          <w:tcPr>
            <w:tcW w:w="1050" w:type="dxa"/>
            <w:tcBorders>
              <w:top w:val="single" w:sz="4" w:space="0" w:color="auto"/>
              <w:bottom w:val="single" w:sz="12" w:space="0" w:color="auto"/>
            </w:tcBorders>
            <w:shd w:val="clear" w:color="auto" w:fill="auto"/>
            <w:vAlign w:val="bottom"/>
          </w:tcPr>
          <w:p w14:paraId="0E2120AF" w14:textId="77777777" w:rsidR="00712772" w:rsidRPr="00EE15CC" w:rsidRDefault="00712772" w:rsidP="00712772">
            <w:pPr>
              <w:spacing w:before="80" w:after="80" w:line="200" w:lineRule="exact"/>
              <w:ind w:right="113"/>
              <w:rPr>
                <w:i/>
                <w:sz w:val="16"/>
                <w:szCs w:val="18"/>
              </w:rPr>
            </w:pPr>
            <w:r w:rsidRPr="00EE15CC">
              <w:rPr>
                <w:i/>
                <w:sz w:val="16"/>
              </w:rPr>
              <w:t>État partie</w:t>
            </w:r>
          </w:p>
        </w:tc>
        <w:tc>
          <w:tcPr>
            <w:tcW w:w="2366" w:type="dxa"/>
            <w:tcBorders>
              <w:top w:val="single" w:sz="4" w:space="0" w:color="auto"/>
              <w:bottom w:val="single" w:sz="12" w:space="0" w:color="auto"/>
            </w:tcBorders>
            <w:shd w:val="clear" w:color="auto" w:fill="auto"/>
            <w:vAlign w:val="bottom"/>
          </w:tcPr>
          <w:p w14:paraId="27EFA507" w14:textId="77777777" w:rsidR="00712772" w:rsidRPr="00EE15CC" w:rsidRDefault="00712772" w:rsidP="00712772">
            <w:pPr>
              <w:spacing w:before="80" w:after="80" w:line="200" w:lineRule="exact"/>
              <w:ind w:right="113"/>
              <w:rPr>
                <w:i/>
                <w:sz w:val="16"/>
                <w:szCs w:val="18"/>
              </w:rPr>
            </w:pPr>
            <w:r w:rsidRPr="00EE15CC">
              <w:rPr>
                <w:i/>
                <w:sz w:val="16"/>
              </w:rPr>
              <w:t>Rapporteurs pour le pays</w:t>
            </w:r>
          </w:p>
        </w:tc>
        <w:tc>
          <w:tcPr>
            <w:tcW w:w="2385" w:type="dxa"/>
            <w:tcBorders>
              <w:top w:val="single" w:sz="4" w:space="0" w:color="auto"/>
              <w:bottom w:val="single" w:sz="12" w:space="0" w:color="auto"/>
            </w:tcBorders>
            <w:shd w:val="clear" w:color="auto" w:fill="auto"/>
            <w:vAlign w:val="bottom"/>
          </w:tcPr>
          <w:p w14:paraId="2F9AD403" w14:textId="77777777" w:rsidR="00712772" w:rsidRPr="00EE15CC" w:rsidRDefault="00712772" w:rsidP="00712772">
            <w:pPr>
              <w:spacing w:before="80" w:after="80" w:line="200" w:lineRule="exact"/>
              <w:ind w:right="113"/>
              <w:rPr>
                <w:i/>
                <w:sz w:val="16"/>
                <w:szCs w:val="18"/>
              </w:rPr>
            </w:pPr>
            <w:r w:rsidRPr="00EE15CC">
              <w:rPr>
                <w:i/>
                <w:sz w:val="16"/>
              </w:rPr>
              <w:t>Rapport</w:t>
            </w:r>
          </w:p>
        </w:tc>
        <w:tc>
          <w:tcPr>
            <w:tcW w:w="1569" w:type="dxa"/>
            <w:tcBorders>
              <w:top w:val="single" w:sz="4" w:space="0" w:color="auto"/>
              <w:bottom w:val="single" w:sz="12" w:space="0" w:color="auto"/>
            </w:tcBorders>
            <w:shd w:val="clear" w:color="auto" w:fill="auto"/>
            <w:vAlign w:val="bottom"/>
          </w:tcPr>
          <w:p w14:paraId="61C44217" w14:textId="77777777" w:rsidR="00712772" w:rsidRPr="00EE15CC" w:rsidRDefault="00712772" w:rsidP="00712772">
            <w:pPr>
              <w:spacing w:before="80" w:after="80" w:line="200" w:lineRule="exact"/>
              <w:ind w:right="113"/>
              <w:rPr>
                <w:i/>
                <w:sz w:val="16"/>
                <w:szCs w:val="18"/>
              </w:rPr>
            </w:pPr>
            <w:r w:rsidRPr="00EE15CC">
              <w:rPr>
                <w:i/>
                <w:sz w:val="16"/>
              </w:rPr>
              <w:t>Observations finales</w:t>
            </w:r>
          </w:p>
        </w:tc>
      </w:tr>
      <w:tr w:rsidR="00712772" w:rsidRPr="00EE15CC" w14:paraId="3B5C90C7" w14:textId="77777777" w:rsidTr="00712772">
        <w:trPr>
          <w:cantSplit/>
          <w:trHeight w:hRule="exact" w:val="113"/>
          <w:tblHeader/>
        </w:trPr>
        <w:tc>
          <w:tcPr>
            <w:tcW w:w="1050" w:type="dxa"/>
            <w:tcBorders>
              <w:top w:val="single" w:sz="12" w:space="0" w:color="auto"/>
            </w:tcBorders>
            <w:shd w:val="clear" w:color="auto" w:fill="auto"/>
          </w:tcPr>
          <w:p w14:paraId="45D3E764" w14:textId="77777777" w:rsidR="00712772" w:rsidRPr="00EE15CC" w:rsidRDefault="00712772" w:rsidP="00712772">
            <w:pPr>
              <w:spacing w:before="40" w:after="120"/>
              <w:ind w:right="113"/>
            </w:pPr>
          </w:p>
        </w:tc>
        <w:tc>
          <w:tcPr>
            <w:tcW w:w="2366" w:type="dxa"/>
            <w:tcBorders>
              <w:top w:val="single" w:sz="12" w:space="0" w:color="auto"/>
            </w:tcBorders>
            <w:shd w:val="clear" w:color="auto" w:fill="auto"/>
          </w:tcPr>
          <w:p w14:paraId="6D60B819" w14:textId="77777777" w:rsidR="00712772" w:rsidRPr="00EE15CC" w:rsidRDefault="00712772" w:rsidP="00712772">
            <w:pPr>
              <w:spacing w:before="40" w:after="120"/>
              <w:ind w:right="113"/>
            </w:pPr>
          </w:p>
        </w:tc>
        <w:tc>
          <w:tcPr>
            <w:tcW w:w="2385" w:type="dxa"/>
            <w:tcBorders>
              <w:top w:val="single" w:sz="12" w:space="0" w:color="auto"/>
            </w:tcBorders>
            <w:shd w:val="clear" w:color="auto" w:fill="auto"/>
          </w:tcPr>
          <w:p w14:paraId="32838FF1" w14:textId="77777777" w:rsidR="00712772" w:rsidRPr="00EE15CC" w:rsidRDefault="00712772" w:rsidP="00712772">
            <w:pPr>
              <w:spacing w:before="40" w:after="120"/>
              <w:ind w:right="113"/>
            </w:pPr>
          </w:p>
        </w:tc>
        <w:tc>
          <w:tcPr>
            <w:tcW w:w="1569" w:type="dxa"/>
            <w:tcBorders>
              <w:top w:val="single" w:sz="12" w:space="0" w:color="auto"/>
            </w:tcBorders>
            <w:shd w:val="clear" w:color="auto" w:fill="auto"/>
          </w:tcPr>
          <w:p w14:paraId="7C35E9F0" w14:textId="77777777" w:rsidR="00712772" w:rsidRPr="00EE15CC" w:rsidRDefault="00712772" w:rsidP="00712772">
            <w:pPr>
              <w:spacing w:before="40" w:after="120"/>
              <w:ind w:right="113"/>
            </w:pPr>
          </w:p>
        </w:tc>
      </w:tr>
      <w:tr w:rsidR="00712772" w:rsidRPr="00EE15CC" w14:paraId="2EFFAB16" w14:textId="77777777" w:rsidTr="00712772">
        <w:trPr>
          <w:cantSplit/>
        </w:trPr>
        <w:tc>
          <w:tcPr>
            <w:tcW w:w="1050" w:type="dxa"/>
            <w:shd w:val="clear" w:color="auto" w:fill="auto"/>
          </w:tcPr>
          <w:p w14:paraId="692AEE0B" w14:textId="77777777" w:rsidR="00712772" w:rsidRPr="00EE15CC" w:rsidRDefault="00712772" w:rsidP="00712772">
            <w:pPr>
              <w:spacing w:before="40" w:after="120"/>
              <w:ind w:right="113"/>
              <w:rPr>
                <w:szCs w:val="18"/>
              </w:rPr>
            </w:pPr>
            <w:r w:rsidRPr="00EE15CC">
              <w:t>Bangladesh</w:t>
            </w:r>
          </w:p>
        </w:tc>
        <w:tc>
          <w:tcPr>
            <w:tcW w:w="2366" w:type="dxa"/>
            <w:shd w:val="clear" w:color="auto" w:fill="auto"/>
          </w:tcPr>
          <w:p w14:paraId="2EFB0E57" w14:textId="77777777" w:rsidR="00712772" w:rsidRPr="00EE15CC" w:rsidRDefault="00712772" w:rsidP="00712772">
            <w:pPr>
              <w:spacing w:before="40" w:after="120"/>
              <w:ind w:right="113"/>
              <w:rPr>
                <w:szCs w:val="18"/>
              </w:rPr>
            </w:pPr>
            <w:r w:rsidRPr="00EE15CC">
              <w:t xml:space="preserve">Felice </w:t>
            </w:r>
            <w:proofErr w:type="spellStart"/>
            <w:r w:rsidRPr="00EE15CC">
              <w:t>Gaer</w:t>
            </w:r>
            <w:proofErr w:type="spellEnd"/>
            <w:r w:rsidRPr="00EE15CC">
              <w:t xml:space="preserve"> </w:t>
            </w:r>
            <w:r>
              <w:br/>
            </w:r>
            <w:r w:rsidRPr="00EE15CC">
              <w:t xml:space="preserve">Jens </w:t>
            </w:r>
            <w:proofErr w:type="spellStart"/>
            <w:r w:rsidRPr="00EE15CC">
              <w:t>Modvig</w:t>
            </w:r>
            <w:proofErr w:type="spellEnd"/>
            <w:r w:rsidRPr="00EE15CC">
              <w:t xml:space="preserve"> </w:t>
            </w:r>
          </w:p>
        </w:tc>
        <w:tc>
          <w:tcPr>
            <w:tcW w:w="2385" w:type="dxa"/>
            <w:shd w:val="clear" w:color="auto" w:fill="auto"/>
          </w:tcPr>
          <w:p w14:paraId="7061DA1F" w14:textId="77777777" w:rsidR="00712772" w:rsidRPr="00EE15CC" w:rsidRDefault="00712772" w:rsidP="00712772">
            <w:pPr>
              <w:spacing w:before="40" w:after="120"/>
              <w:ind w:right="113"/>
              <w:rPr>
                <w:szCs w:val="18"/>
              </w:rPr>
            </w:pPr>
            <w:r w:rsidRPr="00EE15CC">
              <w:t>Rapport initial (</w:t>
            </w:r>
            <w:hyperlink r:id="rId45" w:history="1">
              <w:r w:rsidRPr="009D4883">
                <w:rPr>
                  <w:rStyle w:val="Lienhypertexte"/>
                </w:rPr>
                <w:t>CAT/C/BGD/1</w:t>
              </w:r>
            </w:hyperlink>
            <w:r w:rsidRPr="00EE15CC">
              <w:t>)</w:t>
            </w:r>
          </w:p>
        </w:tc>
        <w:tc>
          <w:tcPr>
            <w:tcW w:w="1569" w:type="dxa"/>
            <w:shd w:val="clear" w:color="auto" w:fill="auto"/>
          </w:tcPr>
          <w:p w14:paraId="74F9D224" w14:textId="77777777" w:rsidR="00712772" w:rsidRPr="00EE15CC" w:rsidRDefault="009D4883" w:rsidP="00712772">
            <w:pPr>
              <w:spacing w:before="40" w:after="120"/>
              <w:rPr>
                <w:szCs w:val="18"/>
              </w:rPr>
            </w:pPr>
            <w:hyperlink r:id="rId46" w:history="1">
              <w:r w:rsidR="00712772" w:rsidRPr="009D4883">
                <w:rPr>
                  <w:rStyle w:val="Lienhypertexte"/>
                </w:rPr>
                <w:t>CAT/C/BGD/CO/1</w:t>
              </w:r>
            </w:hyperlink>
          </w:p>
        </w:tc>
      </w:tr>
      <w:tr w:rsidR="00712772" w:rsidRPr="00EE15CC" w14:paraId="3FFC4F45" w14:textId="77777777" w:rsidTr="00712772">
        <w:trPr>
          <w:cantSplit/>
        </w:trPr>
        <w:tc>
          <w:tcPr>
            <w:tcW w:w="1050" w:type="dxa"/>
            <w:shd w:val="clear" w:color="auto" w:fill="auto"/>
          </w:tcPr>
          <w:p w14:paraId="21533626" w14:textId="77777777" w:rsidR="00712772" w:rsidRPr="00EE15CC" w:rsidRDefault="00712772" w:rsidP="00712772">
            <w:pPr>
              <w:spacing w:before="40" w:after="120"/>
              <w:ind w:right="113"/>
              <w:rPr>
                <w:szCs w:val="18"/>
              </w:rPr>
            </w:pPr>
            <w:r w:rsidRPr="00EE15CC">
              <w:t>Grèce</w:t>
            </w:r>
          </w:p>
        </w:tc>
        <w:tc>
          <w:tcPr>
            <w:tcW w:w="2366" w:type="dxa"/>
            <w:shd w:val="clear" w:color="auto" w:fill="auto"/>
          </w:tcPr>
          <w:p w14:paraId="10510A67" w14:textId="77777777" w:rsidR="00712772" w:rsidRPr="00EE15CC" w:rsidRDefault="00712772" w:rsidP="00712772">
            <w:pPr>
              <w:spacing w:before="40" w:after="120"/>
              <w:ind w:right="113"/>
              <w:rPr>
                <w:szCs w:val="18"/>
                <w:lang w:val="es-ES"/>
              </w:rPr>
            </w:pPr>
            <w:r w:rsidRPr="00EE15CC">
              <w:rPr>
                <w:lang w:val="es-ES"/>
              </w:rPr>
              <w:t>Diego Rodríguez-Pinzón</w:t>
            </w:r>
            <w:r>
              <w:rPr>
                <w:lang w:val="es-ES"/>
              </w:rPr>
              <w:br/>
            </w:r>
            <w:proofErr w:type="spellStart"/>
            <w:r w:rsidRPr="00EE15CC">
              <w:rPr>
                <w:lang w:val="es-ES"/>
              </w:rPr>
              <w:t>Abdelwahab</w:t>
            </w:r>
            <w:proofErr w:type="spellEnd"/>
            <w:r w:rsidRPr="00EE15CC">
              <w:rPr>
                <w:lang w:val="es-ES"/>
              </w:rPr>
              <w:t xml:space="preserve"> </w:t>
            </w:r>
            <w:proofErr w:type="spellStart"/>
            <w:r w:rsidRPr="00EE15CC">
              <w:rPr>
                <w:lang w:val="es-ES"/>
              </w:rPr>
              <w:t>Hani</w:t>
            </w:r>
            <w:proofErr w:type="spellEnd"/>
          </w:p>
        </w:tc>
        <w:tc>
          <w:tcPr>
            <w:tcW w:w="2385" w:type="dxa"/>
            <w:shd w:val="clear" w:color="auto" w:fill="auto"/>
          </w:tcPr>
          <w:p w14:paraId="1008C68C" w14:textId="77777777" w:rsidR="00712772" w:rsidRPr="00EE15CC" w:rsidRDefault="00712772" w:rsidP="00712772">
            <w:pPr>
              <w:spacing w:before="40" w:after="120"/>
              <w:ind w:right="113"/>
              <w:rPr>
                <w:szCs w:val="18"/>
              </w:rPr>
            </w:pPr>
            <w:r w:rsidRPr="00EE15CC">
              <w:t>Septième rapport périodique (</w:t>
            </w:r>
            <w:hyperlink r:id="rId47" w:history="1">
              <w:r w:rsidRPr="009D4883">
                <w:rPr>
                  <w:rStyle w:val="Lienhypertexte"/>
                </w:rPr>
                <w:t>CAT/C/GRC/7</w:t>
              </w:r>
            </w:hyperlink>
            <w:r w:rsidRPr="00EE15CC">
              <w:t>)</w:t>
            </w:r>
          </w:p>
        </w:tc>
        <w:tc>
          <w:tcPr>
            <w:tcW w:w="1569" w:type="dxa"/>
            <w:shd w:val="clear" w:color="auto" w:fill="auto"/>
          </w:tcPr>
          <w:p w14:paraId="3BB59405" w14:textId="77777777" w:rsidR="00712772" w:rsidRPr="00EE15CC" w:rsidRDefault="009D4883" w:rsidP="00712772">
            <w:pPr>
              <w:spacing w:before="40" w:after="120"/>
              <w:rPr>
                <w:szCs w:val="18"/>
              </w:rPr>
            </w:pPr>
            <w:hyperlink r:id="rId48" w:history="1">
              <w:r w:rsidR="00712772" w:rsidRPr="009D4883">
                <w:rPr>
                  <w:rStyle w:val="Lienhypertexte"/>
                </w:rPr>
                <w:t>CAT/C/GRC/CO/7</w:t>
              </w:r>
            </w:hyperlink>
          </w:p>
        </w:tc>
      </w:tr>
      <w:tr w:rsidR="00712772" w:rsidRPr="00EE15CC" w14:paraId="7243DB7F" w14:textId="77777777" w:rsidTr="00712772">
        <w:trPr>
          <w:cantSplit/>
        </w:trPr>
        <w:tc>
          <w:tcPr>
            <w:tcW w:w="1050" w:type="dxa"/>
            <w:shd w:val="clear" w:color="auto" w:fill="auto"/>
          </w:tcPr>
          <w:p w14:paraId="4D79E088" w14:textId="77777777" w:rsidR="00712772" w:rsidRPr="00EE15CC" w:rsidRDefault="00712772" w:rsidP="00712772">
            <w:pPr>
              <w:spacing w:before="40" w:after="120"/>
              <w:ind w:right="113"/>
              <w:rPr>
                <w:szCs w:val="18"/>
              </w:rPr>
            </w:pPr>
            <w:r w:rsidRPr="00EE15CC">
              <w:t>Pologne</w:t>
            </w:r>
          </w:p>
        </w:tc>
        <w:tc>
          <w:tcPr>
            <w:tcW w:w="2366" w:type="dxa"/>
            <w:shd w:val="clear" w:color="auto" w:fill="auto"/>
          </w:tcPr>
          <w:p w14:paraId="57A7B2C6" w14:textId="77777777" w:rsidR="00712772" w:rsidRPr="00EE15CC" w:rsidRDefault="00712772" w:rsidP="00712772">
            <w:pPr>
              <w:spacing w:before="40" w:after="120"/>
              <w:ind w:right="113"/>
              <w:rPr>
                <w:szCs w:val="18"/>
              </w:rPr>
            </w:pPr>
            <w:r w:rsidRPr="00EE15CC">
              <w:t xml:space="preserve">Ana </w:t>
            </w:r>
            <w:proofErr w:type="spellStart"/>
            <w:r w:rsidRPr="00EE15CC">
              <w:t>Racu</w:t>
            </w:r>
            <w:proofErr w:type="spellEnd"/>
            <w:r>
              <w:br/>
            </w:r>
            <w:proofErr w:type="spellStart"/>
            <w:r w:rsidRPr="00EE15CC">
              <w:t>Bakhtiyar</w:t>
            </w:r>
            <w:proofErr w:type="spellEnd"/>
            <w:r w:rsidRPr="00EE15CC">
              <w:t xml:space="preserve"> </w:t>
            </w:r>
            <w:proofErr w:type="spellStart"/>
            <w:r w:rsidRPr="00EE15CC">
              <w:t>Tuzmukhamedov</w:t>
            </w:r>
            <w:proofErr w:type="spellEnd"/>
          </w:p>
        </w:tc>
        <w:tc>
          <w:tcPr>
            <w:tcW w:w="2385" w:type="dxa"/>
            <w:shd w:val="clear" w:color="auto" w:fill="auto"/>
          </w:tcPr>
          <w:p w14:paraId="578228F3" w14:textId="77777777" w:rsidR="00712772" w:rsidRPr="00EE15CC" w:rsidRDefault="00712772" w:rsidP="00712772">
            <w:pPr>
              <w:spacing w:before="40" w:after="120"/>
              <w:ind w:right="113"/>
              <w:rPr>
                <w:szCs w:val="18"/>
              </w:rPr>
            </w:pPr>
            <w:r w:rsidRPr="00EE15CC">
              <w:t>Septième rapport périodique (</w:t>
            </w:r>
            <w:hyperlink r:id="rId49" w:history="1">
              <w:r w:rsidRPr="009D4883">
                <w:rPr>
                  <w:rStyle w:val="Lienhypertexte"/>
                </w:rPr>
                <w:t>CAT/C/POL/7</w:t>
              </w:r>
            </w:hyperlink>
            <w:r w:rsidRPr="00EE15CC">
              <w:t>)</w:t>
            </w:r>
          </w:p>
        </w:tc>
        <w:tc>
          <w:tcPr>
            <w:tcW w:w="1569" w:type="dxa"/>
            <w:shd w:val="clear" w:color="auto" w:fill="auto"/>
          </w:tcPr>
          <w:p w14:paraId="3769D602" w14:textId="77777777" w:rsidR="00712772" w:rsidRPr="00EE15CC" w:rsidRDefault="009D4883" w:rsidP="00712772">
            <w:pPr>
              <w:spacing w:before="40" w:after="120"/>
              <w:rPr>
                <w:szCs w:val="18"/>
              </w:rPr>
            </w:pPr>
            <w:hyperlink r:id="rId50" w:history="1">
              <w:r w:rsidR="00712772" w:rsidRPr="009D4883">
                <w:rPr>
                  <w:rStyle w:val="Lienhypertexte"/>
                </w:rPr>
                <w:t>CAT/C/POL/CO/7</w:t>
              </w:r>
            </w:hyperlink>
          </w:p>
        </w:tc>
      </w:tr>
      <w:tr w:rsidR="00712772" w:rsidRPr="00EE15CC" w14:paraId="7895BBC3" w14:textId="77777777" w:rsidTr="00712772">
        <w:trPr>
          <w:cantSplit/>
        </w:trPr>
        <w:tc>
          <w:tcPr>
            <w:tcW w:w="1050" w:type="dxa"/>
            <w:tcBorders>
              <w:bottom w:val="single" w:sz="12" w:space="0" w:color="auto"/>
            </w:tcBorders>
            <w:shd w:val="clear" w:color="auto" w:fill="auto"/>
          </w:tcPr>
          <w:p w14:paraId="30488FFF" w14:textId="77777777" w:rsidR="00712772" w:rsidRPr="00EE15CC" w:rsidRDefault="00712772" w:rsidP="00712772">
            <w:pPr>
              <w:spacing w:before="40" w:after="120"/>
              <w:ind w:right="113"/>
              <w:rPr>
                <w:szCs w:val="18"/>
              </w:rPr>
            </w:pPr>
            <w:r w:rsidRPr="00EE15CC">
              <w:t>Togo</w:t>
            </w:r>
          </w:p>
        </w:tc>
        <w:tc>
          <w:tcPr>
            <w:tcW w:w="2366" w:type="dxa"/>
            <w:tcBorders>
              <w:bottom w:val="single" w:sz="12" w:space="0" w:color="auto"/>
            </w:tcBorders>
            <w:shd w:val="clear" w:color="auto" w:fill="auto"/>
          </w:tcPr>
          <w:p w14:paraId="6AC90306" w14:textId="77777777" w:rsidR="00712772" w:rsidRPr="00EE15CC" w:rsidRDefault="00712772" w:rsidP="00712772">
            <w:pPr>
              <w:spacing w:before="40" w:after="120"/>
              <w:ind w:right="113"/>
              <w:rPr>
                <w:szCs w:val="18"/>
              </w:rPr>
            </w:pPr>
            <w:r w:rsidRPr="00EE15CC">
              <w:t xml:space="preserve">Sébastien </w:t>
            </w:r>
            <w:proofErr w:type="spellStart"/>
            <w:r w:rsidRPr="00EE15CC">
              <w:t>Touzé</w:t>
            </w:r>
            <w:proofErr w:type="spellEnd"/>
            <w:r>
              <w:br/>
            </w:r>
            <w:r w:rsidRPr="00EE15CC">
              <w:t xml:space="preserve">Claude Heller </w:t>
            </w:r>
          </w:p>
        </w:tc>
        <w:tc>
          <w:tcPr>
            <w:tcW w:w="2385" w:type="dxa"/>
            <w:tcBorders>
              <w:bottom w:val="single" w:sz="12" w:space="0" w:color="auto"/>
            </w:tcBorders>
            <w:shd w:val="clear" w:color="auto" w:fill="auto"/>
          </w:tcPr>
          <w:p w14:paraId="3C85F1C5" w14:textId="77777777" w:rsidR="00712772" w:rsidRPr="00EE15CC" w:rsidRDefault="00712772" w:rsidP="00712772">
            <w:pPr>
              <w:spacing w:before="40" w:after="120"/>
              <w:ind w:right="113"/>
              <w:rPr>
                <w:szCs w:val="18"/>
              </w:rPr>
            </w:pPr>
            <w:r w:rsidRPr="00EE15CC">
              <w:t>Troisième rapport périodique (</w:t>
            </w:r>
            <w:hyperlink r:id="rId51" w:history="1">
              <w:r w:rsidRPr="009D4883">
                <w:rPr>
                  <w:rStyle w:val="Lienhypertexte"/>
                </w:rPr>
                <w:t>CAT/C/TGO/3</w:t>
              </w:r>
            </w:hyperlink>
            <w:r w:rsidRPr="00EE15CC">
              <w:t>)</w:t>
            </w:r>
          </w:p>
        </w:tc>
        <w:tc>
          <w:tcPr>
            <w:tcW w:w="1569" w:type="dxa"/>
            <w:tcBorders>
              <w:bottom w:val="single" w:sz="12" w:space="0" w:color="auto"/>
            </w:tcBorders>
            <w:shd w:val="clear" w:color="auto" w:fill="auto"/>
          </w:tcPr>
          <w:p w14:paraId="7998DE51" w14:textId="77777777" w:rsidR="00712772" w:rsidRPr="00EE15CC" w:rsidRDefault="009D4883" w:rsidP="00712772">
            <w:pPr>
              <w:spacing w:before="40" w:after="120"/>
              <w:rPr>
                <w:szCs w:val="18"/>
              </w:rPr>
            </w:pPr>
            <w:hyperlink r:id="rId52" w:history="1">
              <w:r w:rsidR="00712772" w:rsidRPr="009D4883">
                <w:rPr>
                  <w:rStyle w:val="Lienhypertexte"/>
                </w:rPr>
                <w:t>CAT/C/TGO/CO/3</w:t>
              </w:r>
            </w:hyperlink>
            <w:r w:rsidR="00712772" w:rsidRPr="00EE15CC">
              <w:t xml:space="preserve"> </w:t>
            </w:r>
          </w:p>
        </w:tc>
      </w:tr>
    </w:tbl>
    <w:p w14:paraId="23512F3D" w14:textId="1642561F" w:rsidR="00712772" w:rsidRPr="001D6294" w:rsidRDefault="00712772" w:rsidP="00712772">
      <w:pPr>
        <w:pStyle w:val="SingleTxtG"/>
        <w:spacing w:before="240"/>
      </w:pPr>
      <w:bookmarkStart w:id="125" w:name="_Hlk38380421"/>
      <w:r w:rsidRPr="001D6294">
        <w:t>38.</w:t>
      </w:r>
      <w:r w:rsidRPr="001D6294">
        <w:tab/>
        <w:t xml:space="preserve">Les rapports examinés par le Comité à sa </w:t>
      </w:r>
      <w:r w:rsidRPr="001C1931">
        <w:t xml:space="preserve">soixante-huitième </w:t>
      </w:r>
      <w:r w:rsidRPr="001D6294">
        <w:t>session et les observations finales correspondantes peuvent être consultés au moyen du Système de diffusion électronique des documents de l</w:t>
      </w:r>
      <w:r>
        <w:t>’</w:t>
      </w:r>
      <w:r w:rsidRPr="001D6294">
        <w:t>ON</w:t>
      </w:r>
      <w:r w:rsidRPr="00EE3420">
        <w:t>U (</w:t>
      </w:r>
      <w:hyperlink r:id="rId53" w:history="1">
        <w:r w:rsidRPr="00EE3420">
          <w:rPr>
            <w:rStyle w:val="Lienhypertexte"/>
          </w:rPr>
          <w:t>http</w:t>
        </w:r>
        <w:r w:rsidR="004817DF">
          <w:rPr>
            <w:rStyle w:val="Lienhypertexte"/>
          </w:rPr>
          <w:t>:/</w:t>
        </w:r>
        <w:r w:rsidRPr="00EE3420">
          <w:rPr>
            <w:rStyle w:val="Lienhypertexte"/>
          </w:rPr>
          <w:t>/documents.un.org</w:t>
        </w:r>
      </w:hyperlink>
      <w:r w:rsidRPr="001D6294">
        <w:t>), en précisant les cotes indiquées ci-dessous</w:t>
      </w:r>
      <w:r w:rsidR="004817DF">
        <w:t> :</w:t>
      </w:r>
    </w:p>
    <w:tbl>
      <w:tblPr>
        <w:tblW w:w="7370" w:type="dxa"/>
        <w:tblInd w:w="1134" w:type="dxa"/>
        <w:tblLayout w:type="fixed"/>
        <w:tblCellMar>
          <w:left w:w="0" w:type="dxa"/>
          <w:right w:w="0" w:type="dxa"/>
        </w:tblCellMar>
        <w:tblLook w:val="01E0" w:firstRow="1" w:lastRow="1" w:firstColumn="1" w:lastColumn="1" w:noHBand="0" w:noVBand="0"/>
      </w:tblPr>
      <w:tblGrid>
        <w:gridCol w:w="1134"/>
        <w:gridCol w:w="2282"/>
        <w:gridCol w:w="2390"/>
        <w:gridCol w:w="1564"/>
      </w:tblGrid>
      <w:tr w:rsidR="00712772" w:rsidRPr="00EE15CC" w14:paraId="34E9BD3B" w14:textId="77777777" w:rsidTr="00712772">
        <w:trPr>
          <w:cantSplit/>
          <w:tblHeader/>
        </w:trPr>
        <w:tc>
          <w:tcPr>
            <w:tcW w:w="1134" w:type="dxa"/>
            <w:tcBorders>
              <w:top w:val="single" w:sz="4" w:space="0" w:color="auto"/>
              <w:bottom w:val="single" w:sz="12" w:space="0" w:color="auto"/>
            </w:tcBorders>
            <w:shd w:val="clear" w:color="auto" w:fill="auto"/>
            <w:vAlign w:val="bottom"/>
          </w:tcPr>
          <w:bookmarkEnd w:id="125"/>
          <w:p w14:paraId="7C8DF353" w14:textId="77777777" w:rsidR="00712772" w:rsidRPr="00EE15CC" w:rsidRDefault="00712772" w:rsidP="00712772">
            <w:pPr>
              <w:spacing w:before="80" w:after="80" w:line="200" w:lineRule="exact"/>
              <w:ind w:right="113"/>
              <w:rPr>
                <w:i/>
                <w:sz w:val="16"/>
                <w:szCs w:val="18"/>
              </w:rPr>
            </w:pPr>
            <w:r w:rsidRPr="00EE15CC">
              <w:rPr>
                <w:i/>
                <w:sz w:val="16"/>
              </w:rPr>
              <w:t>État partie</w:t>
            </w:r>
          </w:p>
        </w:tc>
        <w:tc>
          <w:tcPr>
            <w:tcW w:w="2282" w:type="dxa"/>
            <w:tcBorders>
              <w:top w:val="single" w:sz="4" w:space="0" w:color="auto"/>
              <w:bottom w:val="single" w:sz="12" w:space="0" w:color="auto"/>
            </w:tcBorders>
            <w:shd w:val="clear" w:color="auto" w:fill="auto"/>
            <w:vAlign w:val="bottom"/>
          </w:tcPr>
          <w:p w14:paraId="6CBCB1E2" w14:textId="77777777" w:rsidR="00712772" w:rsidRPr="00EE15CC" w:rsidRDefault="00712772" w:rsidP="00712772">
            <w:pPr>
              <w:spacing w:before="80" w:after="80" w:line="200" w:lineRule="exact"/>
              <w:ind w:right="113"/>
              <w:rPr>
                <w:i/>
                <w:sz w:val="16"/>
                <w:szCs w:val="18"/>
              </w:rPr>
            </w:pPr>
            <w:r w:rsidRPr="00EE15CC">
              <w:rPr>
                <w:i/>
                <w:sz w:val="16"/>
              </w:rPr>
              <w:t>Rapporteurs pour le pays</w:t>
            </w:r>
          </w:p>
        </w:tc>
        <w:tc>
          <w:tcPr>
            <w:tcW w:w="2390" w:type="dxa"/>
            <w:tcBorders>
              <w:top w:val="single" w:sz="4" w:space="0" w:color="auto"/>
              <w:bottom w:val="single" w:sz="12" w:space="0" w:color="auto"/>
            </w:tcBorders>
            <w:shd w:val="clear" w:color="auto" w:fill="auto"/>
            <w:vAlign w:val="bottom"/>
          </w:tcPr>
          <w:p w14:paraId="1E011953" w14:textId="77777777" w:rsidR="00712772" w:rsidRPr="00EE15CC" w:rsidRDefault="00712772" w:rsidP="00712772">
            <w:pPr>
              <w:spacing w:before="80" w:after="80" w:line="200" w:lineRule="exact"/>
              <w:ind w:right="113"/>
              <w:rPr>
                <w:i/>
                <w:sz w:val="16"/>
                <w:szCs w:val="18"/>
              </w:rPr>
            </w:pPr>
            <w:r w:rsidRPr="00EE15CC">
              <w:rPr>
                <w:i/>
                <w:sz w:val="16"/>
              </w:rPr>
              <w:t>Rapport</w:t>
            </w:r>
          </w:p>
        </w:tc>
        <w:tc>
          <w:tcPr>
            <w:tcW w:w="1564" w:type="dxa"/>
            <w:tcBorders>
              <w:top w:val="single" w:sz="4" w:space="0" w:color="auto"/>
              <w:bottom w:val="single" w:sz="12" w:space="0" w:color="auto"/>
            </w:tcBorders>
            <w:shd w:val="clear" w:color="auto" w:fill="auto"/>
            <w:vAlign w:val="bottom"/>
          </w:tcPr>
          <w:p w14:paraId="2B35401F" w14:textId="77777777" w:rsidR="00712772" w:rsidRPr="00EE15CC" w:rsidRDefault="00712772" w:rsidP="00712772">
            <w:pPr>
              <w:spacing w:before="80" w:after="80" w:line="200" w:lineRule="exact"/>
              <w:ind w:right="113"/>
              <w:rPr>
                <w:i/>
                <w:sz w:val="16"/>
                <w:szCs w:val="18"/>
              </w:rPr>
            </w:pPr>
            <w:r w:rsidRPr="00EE15CC">
              <w:rPr>
                <w:i/>
                <w:sz w:val="16"/>
              </w:rPr>
              <w:t>Observations finales</w:t>
            </w:r>
          </w:p>
        </w:tc>
      </w:tr>
      <w:tr w:rsidR="00712772" w:rsidRPr="00EE15CC" w14:paraId="6DC86F69" w14:textId="77777777" w:rsidTr="00712772">
        <w:trPr>
          <w:cantSplit/>
          <w:trHeight w:hRule="exact" w:val="113"/>
          <w:tblHeader/>
        </w:trPr>
        <w:tc>
          <w:tcPr>
            <w:tcW w:w="1134" w:type="dxa"/>
            <w:tcBorders>
              <w:top w:val="single" w:sz="12" w:space="0" w:color="auto"/>
            </w:tcBorders>
            <w:shd w:val="clear" w:color="auto" w:fill="auto"/>
          </w:tcPr>
          <w:p w14:paraId="060D3D5B" w14:textId="77777777" w:rsidR="00712772" w:rsidRPr="00EE15CC" w:rsidRDefault="00712772" w:rsidP="00712772">
            <w:pPr>
              <w:spacing w:before="40" w:after="120"/>
              <w:ind w:right="113"/>
            </w:pPr>
          </w:p>
        </w:tc>
        <w:tc>
          <w:tcPr>
            <w:tcW w:w="2282" w:type="dxa"/>
            <w:tcBorders>
              <w:top w:val="single" w:sz="12" w:space="0" w:color="auto"/>
            </w:tcBorders>
            <w:shd w:val="clear" w:color="auto" w:fill="auto"/>
          </w:tcPr>
          <w:p w14:paraId="44F77305" w14:textId="77777777" w:rsidR="00712772" w:rsidRPr="00EE15CC" w:rsidRDefault="00712772" w:rsidP="00712772">
            <w:pPr>
              <w:spacing w:before="40" w:after="120"/>
              <w:ind w:right="113"/>
            </w:pPr>
          </w:p>
        </w:tc>
        <w:tc>
          <w:tcPr>
            <w:tcW w:w="2390" w:type="dxa"/>
            <w:tcBorders>
              <w:top w:val="single" w:sz="12" w:space="0" w:color="auto"/>
            </w:tcBorders>
            <w:shd w:val="clear" w:color="auto" w:fill="auto"/>
          </w:tcPr>
          <w:p w14:paraId="64047209" w14:textId="77777777" w:rsidR="00712772" w:rsidRPr="00EE15CC" w:rsidRDefault="00712772" w:rsidP="00712772">
            <w:pPr>
              <w:spacing w:before="40" w:after="120"/>
              <w:ind w:right="113"/>
            </w:pPr>
          </w:p>
        </w:tc>
        <w:tc>
          <w:tcPr>
            <w:tcW w:w="1564" w:type="dxa"/>
            <w:tcBorders>
              <w:top w:val="single" w:sz="12" w:space="0" w:color="auto"/>
            </w:tcBorders>
            <w:shd w:val="clear" w:color="auto" w:fill="auto"/>
          </w:tcPr>
          <w:p w14:paraId="1997C0B4" w14:textId="77777777" w:rsidR="00712772" w:rsidRPr="00EE15CC" w:rsidRDefault="00712772" w:rsidP="00712772">
            <w:pPr>
              <w:spacing w:before="40" w:after="120"/>
              <w:ind w:right="113"/>
            </w:pPr>
          </w:p>
        </w:tc>
      </w:tr>
      <w:tr w:rsidR="00712772" w:rsidRPr="00EE15CC" w14:paraId="2A54A959" w14:textId="77777777" w:rsidTr="00712772">
        <w:trPr>
          <w:cantSplit/>
        </w:trPr>
        <w:tc>
          <w:tcPr>
            <w:tcW w:w="1134" w:type="dxa"/>
            <w:shd w:val="clear" w:color="auto" w:fill="auto"/>
          </w:tcPr>
          <w:p w14:paraId="3D670DEC" w14:textId="77777777" w:rsidR="00712772" w:rsidRPr="00EE3420" w:rsidRDefault="00712772" w:rsidP="00712772">
            <w:pPr>
              <w:spacing w:before="40" w:after="120"/>
              <w:ind w:right="57"/>
              <w:rPr>
                <w:spacing w:val="-4"/>
                <w:szCs w:val="18"/>
              </w:rPr>
            </w:pPr>
            <w:r w:rsidRPr="00EE3420">
              <w:rPr>
                <w:spacing w:val="-4"/>
              </w:rPr>
              <w:t>Burkina Faso</w:t>
            </w:r>
          </w:p>
        </w:tc>
        <w:tc>
          <w:tcPr>
            <w:tcW w:w="2282" w:type="dxa"/>
            <w:shd w:val="clear" w:color="auto" w:fill="auto"/>
          </w:tcPr>
          <w:p w14:paraId="358DFD76" w14:textId="77777777" w:rsidR="00712772" w:rsidRPr="00EE15CC" w:rsidRDefault="00712772" w:rsidP="00712772">
            <w:pPr>
              <w:spacing w:before="40" w:after="120"/>
              <w:ind w:right="113"/>
              <w:rPr>
                <w:szCs w:val="18"/>
              </w:rPr>
            </w:pPr>
            <w:r w:rsidRPr="00EE15CC">
              <w:t xml:space="preserve">Sébastien </w:t>
            </w:r>
            <w:proofErr w:type="spellStart"/>
            <w:r w:rsidRPr="00EE15CC">
              <w:t>Touzé</w:t>
            </w:r>
            <w:proofErr w:type="spellEnd"/>
            <w:r w:rsidRPr="00EE15CC">
              <w:t xml:space="preserve"> </w:t>
            </w:r>
            <w:r>
              <w:br/>
            </w:r>
            <w:r w:rsidRPr="00EE15CC">
              <w:t xml:space="preserve">Claude Heller </w:t>
            </w:r>
          </w:p>
        </w:tc>
        <w:tc>
          <w:tcPr>
            <w:tcW w:w="2390" w:type="dxa"/>
            <w:shd w:val="clear" w:color="auto" w:fill="auto"/>
          </w:tcPr>
          <w:p w14:paraId="234172D5" w14:textId="77777777" w:rsidR="00712772" w:rsidRPr="00EE3420" w:rsidRDefault="00712772" w:rsidP="00712772">
            <w:pPr>
              <w:spacing w:before="40" w:after="120"/>
              <w:ind w:right="57"/>
              <w:rPr>
                <w:spacing w:val="-4"/>
                <w:szCs w:val="18"/>
              </w:rPr>
            </w:pPr>
            <w:r w:rsidRPr="00EE3420">
              <w:rPr>
                <w:spacing w:val="-4"/>
              </w:rPr>
              <w:t>Deuxième rapport périodique (</w:t>
            </w:r>
            <w:hyperlink r:id="rId54" w:history="1">
              <w:r w:rsidRPr="009D4883">
                <w:rPr>
                  <w:rStyle w:val="Lienhypertexte"/>
                  <w:spacing w:val="-4"/>
                </w:rPr>
                <w:t>CAT/C/BFA/2</w:t>
              </w:r>
            </w:hyperlink>
            <w:r w:rsidRPr="00EE3420">
              <w:rPr>
                <w:spacing w:val="-4"/>
              </w:rPr>
              <w:t>)</w:t>
            </w:r>
          </w:p>
        </w:tc>
        <w:tc>
          <w:tcPr>
            <w:tcW w:w="1564" w:type="dxa"/>
            <w:shd w:val="clear" w:color="auto" w:fill="auto"/>
          </w:tcPr>
          <w:p w14:paraId="20DF1C7D" w14:textId="77777777" w:rsidR="00712772" w:rsidRPr="00EE15CC" w:rsidRDefault="009D4883" w:rsidP="00712772">
            <w:pPr>
              <w:spacing w:before="40" w:after="120"/>
              <w:rPr>
                <w:szCs w:val="18"/>
              </w:rPr>
            </w:pPr>
            <w:hyperlink r:id="rId55" w:history="1">
              <w:r w:rsidR="00712772" w:rsidRPr="009D4883">
                <w:rPr>
                  <w:rStyle w:val="Lienhypertexte"/>
                </w:rPr>
                <w:t>CAT/C/BFA/CO/2</w:t>
              </w:r>
            </w:hyperlink>
          </w:p>
        </w:tc>
      </w:tr>
      <w:tr w:rsidR="00712772" w:rsidRPr="00EE15CC" w14:paraId="2DD07E1A" w14:textId="77777777" w:rsidTr="00712772">
        <w:trPr>
          <w:cantSplit/>
        </w:trPr>
        <w:tc>
          <w:tcPr>
            <w:tcW w:w="1134" w:type="dxa"/>
            <w:shd w:val="clear" w:color="auto" w:fill="auto"/>
          </w:tcPr>
          <w:p w14:paraId="0CF18F2E" w14:textId="77777777" w:rsidR="00712772" w:rsidRPr="00EE15CC" w:rsidRDefault="00712772" w:rsidP="00712772">
            <w:pPr>
              <w:spacing w:before="40" w:after="120"/>
              <w:ind w:right="113"/>
              <w:rPr>
                <w:szCs w:val="18"/>
              </w:rPr>
            </w:pPr>
            <w:r w:rsidRPr="00EE15CC">
              <w:t>Chypre</w:t>
            </w:r>
          </w:p>
        </w:tc>
        <w:tc>
          <w:tcPr>
            <w:tcW w:w="2282" w:type="dxa"/>
            <w:shd w:val="clear" w:color="auto" w:fill="auto"/>
          </w:tcPr>
          <w:p w14:paraId="2A0E9501" w14:textId="77777777" w:rsidR="00712772" w:rsidRPr="00EE15CC" w:rsidRDefault="00712772" w:rsidP="00712772">
            <w:pPr>
              <w:spacing w:before="40" w:after="120"/>
              <w:ind w:right="113"/>
              <w:rPr>
                <w:szCs w:val="18"/>
              </w:rPr>
            </w:pPr>
            <w:r w:rsidRPr="00EE15CC">
              <w:t xml:space="preserve">Jens </w:t>
            </w:r>
            <w:proofErr w:type="spellStart"/>
            <w:r w:rsidRPr="00EE15CC">
              <w:t>Modvig</w:t>
            </w:r>
            <w:proofErr w:type="spellEnd"/>
            <w:r w:rsidRPr="00EE15CC">
              <w:t xml:space="preserve"> </w:t>
            </w:r>
            <w:r>
              <w:br/>
            </w:r>
            <w:proofErr w:type="spellStart"/>
            <w:r w:rsidRPr="00EE15CC">
              <w:t>Abdelwahab</w:t>
            </w:r>
            <w:proofErr w:type="spellEnd"/>
            <w:r w:rsidRPr="00EE15CC">
              <w:t xml:space="preserve"> Hani</w:t>
            </w:r>
          </w:p>
        </w:tc>
        <w:tc>
          <w:tcPr>
            <w:tcW w:w="2390" w:type="dxa"/>
            <w:shd w:val="clear" w:color="auto" w:fill="auto"/>
          </w:tcPr>
          <w:p w14:paraId="0C77112C" w14:textId="77777777" w:rsidR="00712772" w:rsidRPr="00EE3420" w:rsidRDefault="00712772" w:rsidP="00712772">
            <w:pPr>
              <w:spacing w:before="40" w:after="120"/>
              <w:ind w:right="57"/>
              <w:rPr>
                <w:spacing w:val="-4"/>
                <w:szCs w:val="18"/>
              </w:rPr>
            </w:pPr>
            <w:r w:rsidRPr="00EE3420">
              <w:rPr>
                <w:spacing w:val="-6"/>
              </w:rPr>
              <w:t>Cinquième rapport périodique</w:t>
            </w:r>
            <w:r w:rsidRPr="00EE3420">
              <w:rPr>
                <w:spacing w:val="-4"/>
              </w:rPr>
              <w:t xml:space="preserve"> (</w:t>
            </w:r>
            <w:hyperlink r:id="rId56" w:history="1">
              <w:r w:rsidRPr="009D4883">
                <w:rPr>
                  <w:rStyle w:val="Lienhypertexte"/>
                  <w:spacing w:val="-4"/>
                </w:rPr>
                <w:t>CAT/C/CYP/5</w:t>
              </w:r>
            </w:hyperlink>
            <w:r w:rsidRPr="00EE3420">
              <w:rPr>
                <w:spacing w:val="-4"/>
              </w:rPr>
              <w:t>)</w:t>
            </w:r>
          </w:p>
        </w:tc>
        <w:tc>
          <w:tcPr>
            <w:tcW w:w="1564" w:type="dxa"/>
            <w:shd w:val="clear" w:color="auto" w:fill="auto"/>
          </w:tcPr>
          <w:p w14:paraId="4EDA753D" w14:textId="77777777" w:rsidR="00712772" w:rsidRPr="00EE15CC" w:rsidRDefault="009D4883" w:rsidP="00712772">
            <w:pPr>
              <w:spacing w:before="40" w:after="120"/>
              <w:rPr>
                <w:szCs w:val="18"/>
              </w:rPr>
            </w:pPr>
            <w:hyperlink r:id="rId57" w:history="1">
              <w:r w:rsidR="00712772" w:rsidRPr="009D4883">
                <w:rPr>
                  <w:rStyle w:val="Lienhypertexte"/>
                </w:rPr>
                <w:t>CAT/C/CYP/CO/5</w:t>
              </w:r>
            </w:hyperlink>
          </w:p>
        </w:tc>
      </w:tr>
      <w:tr w:rsidR="00712772" w:rsidRPr="00EE15CC" w14:paraId="51DA6520" w14:textId="77777777" w:rsidTr="00712772">
        <w:trPr>
          <w:cantSplit/>
        </w:trPr>
        <w:tc>
          <w:tcPr>
            <w:tcW w:w="1134" w:type="dxa"/>
            <w:shd w:val="clear" w:color="auto" w:fill="auto"/>
          </w:tcPr>
          <w:p w14:paraId="3282763A" w14:textId="77777777" w:rsidR="00712772" w:rsidRPr="00EE15CC" w:rsidRDefault="00712772" w:rsidP="00712772">
            <w:pPr>
              <w:spacing w:before="40" w:after="120"/>
              <w:ind w:right="113"/>
              <w:rPr>
                <w:szCs w:val="18"/>
              </w:rPr>
            </w:pPr>
            <w:r w:rsidRPr="00EE15CC">
              <w:t>Lettonie</w:t>
            </w:r>
          </w:p>
        </w:tc>
        <w:tc>
          <w:tcPr>
            <w:tcW w:w="2282" w:type="dxa"/>
            <w:shd w:val="clear" w:color="auto" w:fill="auto"/>
          </w:tcPr>
          <w:p w14:paraId="51FE4D2F" w14:textId="77777777" w:rsidR="00712772" w:rsidRPr="00EE15CC" w:rsidRDefault="00712772" w:rsidP="00712772">
            <w:pPr>
              <w:spacing w:before="40" w:after="120"/>
              <w:ind w:right="113"/>
              <w:rPr>
                <w:szCs w:val="18"/>
                <w:lang w:val="es-ES"/>
              </w:rPr>
            </w:pPr>
            <w:r w:rsidRPr="00EE15CC">
              <w:rPr>
                <w:lang w:val="es-ES"/>
              </w:rPr>
              <w:t>Diego Rodríguez-Pinzón</w:t>
            </w:r>
            <w:r>
              <w:rPr>
                <w:lang w:val="es-ES"/>
              </w:rPr>
              <w:br/>
            </w:r>
            <w:r w:rsidRPr="00EE15CC">
              <w:rPr>
                <w:lang w:val="es-ES"/>
              </w:rPr>
              <w:t xml:space="preserve">Ana </w:t>
            </w:r>
            <w:proofErr w:type="spellStart"/>
            <w:r w:rsidRPr="00EE15CC">
              <w:rPr>
                <w:lang w:val="es-ES"/>
              </w:rPr>
              <w:t>Racu</w:t>
            </w:r>
            <w:proofErr w:type="spellEnd"/>
          </w:p>
        </w:tc>
        <w:tc>
          <w:tcPr>
            <w:tcW w:w="2390" w:type="dxa"/>
            <w:shd w:val="clear" w:color="auto" w:fill="auto"/>
          </w:tcPr>
          <w:p w14:paraId="23E3F42B" w14:textId="77777777" w:rsidR="00712772" w:rsidRPr="00EE15CC" w:rsidRDefault="00712772" w:rsidP="00712772">
            <w:pPr>
              <w:spacing w:before="40" w:after="120"/>
              <w:ind w:right="57"/>
              <w:rPr>
                <w:szCs w:val="18"/>
              </w:rPr>
            </w:pPr>
            <w:r w:rsidRPr="00EE15CC">
              <w:t>Sixième rapport périodique (</w:t>
            </w:r>
            <w:hyperlink r:id="rId58" w:history="1">
              <w:r w:rsidRPr="009D4883">
                <w:rPr>
                  <w:rStyle w:val="Lienhypertexte"/>
                </w:rPr>
                <w:t>CAT/C/LVA/6</w:t>
              </w:r>
            </w:hyperlink>
            <w:r w:rsidRPr="00EE15CC">
              <w:t>)</w:t>
            </w:r>
          </w:p>
        </w:tc>
        <w:tc>
          <w:tcPr>
            <w:tcW w:w="1564" w:type="dxa"/>
            <w:shd w:val="clear" w:color="auto" w:fill="auto"/>
          </w:tcPr>
          <w:p w14:paraId="7B1AE544" w14:textId="77777777" w:rsidR="00712772" w:rsidRPr="00EE15CC" w:rsidRDefault="009D4883" w:rsidP="00712772">
            <w:pPr>
              <w:spacing w:before="40" w:after="120"/>
              <w:rPr>
                <w:szCs w:val="18"/>
              </w:rPr>
            </w:pPr>
            <w:hyperlink r:id="rId59" w:history="1">
              <w:r w:rsidR="00712772" w:rsidRPr="009D4883">
                <w:rPr>
                  <w:rStyle w:val="Lienhypertexte"/>
                </w:rPr>
                <w:t>CAT/C/LVA/CO/6</w:t>
              </w:r>
            </w:hyperlink>
          </w:p>
        </w:tc>
      </w:tr>
      <w:tr w:rsidR="00712772" w:rsidRPr="00EE15CC" w14:paraId="2E90C45F" w14:textId="77777777" w:rsidTr="00712772">
        <w:trPr>
          <w:cantSplit/>
        </w:trPr>
        <w:tc>
          <w:tcPr>
            <w:tcW w:w="1134" w:type="dxa"/>
            <w:shd w:val="clear" w:color="auto" w:fill="auto"/>
          </w:tcPr>
          <w:p w14:paraId="42666D8B" w14:textId="77777777" w:rsidR="00712772" w:rsidRPr="00EE15CC" w:rsidRDefault="00712772" w:rsidP="00712772">
            <w:pPr>
              <w:spacing w:before="40" w:after="120"/>
              <w:ind w:right="113"/>
              <w:rPr>
                <w:szCs w:val="18"/>
              </w:rPr>
            </w:pPr>
            <w:r w:rsidRPr="00EE15CC">
              <w:t>Niger</w:t>
            </w:r>
          </w:p>
        </w:tc>
        <w:tc>
          <w:tcPr>
            <w:tcW w:w="2282" w:type="dxa"/>
            <w:shd w:val="clear" w:color="auto" w:fill="auto"/>
          </w:tcPr>
          <w:p w14:paraId="6E853D11" w14:textId="77777777" w:rsidR="00712772" w:rsidRPr="00EE15CC" w:rsidRDefault="00712772" w:rsidP="00712772">
            <w:pPr>
              <w:spacing w:before="40" w:after="120"/>
              <w:ind w:right="113"/>
              <w:rPr>
                <w:szCs w:val="18"/>
              </w:rPr>
            </w:pPr>
            <w:proofErr w:type="spellStart"/>
            <w:r w:rsidRPr="00EE15CC">
              <w:t>Abdelwahab</w:t>
            </w:r>
            <w:proofErr w:type="spellEnd"/>
            <w:r w:rsidRPr="00EE15CC">
              <w:t xml:space="preserve"> Hani</w:t>
            </w:r>
            <w:r>
              <w:br/>
            </w:r>
            <w:proofErr w:type="spellStart"/>
            <w:r w:rsidRPr="00EE15CC">
              <w:t>Essadia</w:t>
            </w:r>
            <w:proofErr w:type="spellEnd"/>
            <w:r w:rsidRPr="00EE15CC">
              <w:t xml:space="preserve"> </w:t>
            </w:r>
            <w:proofErr w:type="spellStart"/>
            <w:r w:rsidRPr="00EE15CC">
              <w:t>Belmir</w:t>
            </w:r>
            <w:proofErr w:type="spellEnd"/>
          </w:p>
        </w:tc>
        <w:tc>
          <w:tcPr>
            <w:tcW w:w="2390" w:type="dxa"/>
            <w:shd w:val="clear" w:color="auto" w:fill="auto"/>
          </w:tcPr>
          <w:p w14:paraId="0884B1A3" w14:textId="77777777" w:rsidR="00712772" w:rsidRPr="00EE15CC" w:rsidRDefault="00712772" w:rsidP="00712772">
            <w:pPr>
              <w:spacing w:before="40" w:after="120"/>
              <w:ind w:right="57"/>
              <w:rPr>
                <w:szCs w:val="18"/>
              </w:rPr>
            </w:pPr>
            <w:r w:rsidRPr="00EE15CC">
              <w:t>Rapport initial (</w:t>
            </w:r>
            <w:hyperlink r:id="rId60" w:history="1">
              <w:r w:rsidRPr="009D4883">
                <w:rPr>
                  <w:rStyle w:val="Lienhypertexte"/>
                </w:rPr>
                <w:t>CAT/C/NER/1</w:t>
              </w:r>
            </w:hyperlink>
            <w:r w:rsidRPr="00EE15CC">
              <w:t>)</w:t>
            </w:r>
          </w:p>
        </w:tc>
        <w:tc>
          <w:tcPr>
            <w:tcW w:w="1564" w:type="dxa"/>
            <w:shd w:val="clear" w:color="auto" w:fill="auto"/>
          </w:tcPr>
          <w:p w14:paraId="659F6273" w14:textId="77777777" w:rsidR="00712772" w:rsidRPr="00EE15CC" w:rsidRDefault="009D4883" w:rsidP="00712772">
            <w:pPr>
              <w:spacing w:before="40" w:after="120"/>
              <w:rPr>
                <w:szCs w:val="18"/>
              </w:rPr>
            </w:pPr>
            <w:hyperlink r:id="rId61" w:history="1">
              <w:r w:rsidR="00712772" w:rsidRPr="009D4883">
                <w:rPr>
                  <w:rStyle w:val="Lienhypertexte"/>
                </w:rPr>
                <w:t>CAT/C/NER/CO/1</w:t>
              </w:r>
            </w:hyperlink>
          </w:p>
        </w:tc>
      </w:tr>
      <w:tr w:rsidR="00712772" w:rsidRPr="00EE15CC" w14:paraId="0FC36FAA" w14:textId="77777777" w:rsidTr="00712772">
        <w:trPr>
          <w:cantSplit/>
        </w:trPr>
        <w:tc>
          <w:tcPr>
            <w:tcW w:w="1134" w:type="dxa"/>
            <w:shd w:val="clear" w:color="auto" w:fill="auto"/>
          </w:tcPr>
          <w:p w14:paraId="02CA4E40" w14:textId="77777777" w:rsidR="00712772" w:rsidRPr="00EE15CC" w:rsidRDefault="00712772" w:rsidP="00712772">
            <w:pPr>
              <w:spacing w:before="40" w:after="120"/>
              <w:ind w:right="113"/>
              <w:rPr>
                <w:szCs w:val="18"/>
              </w:rPr>
            </w:pPr>
            <w:r w:rsidRPr="00EE15CC">
              <w:lastRenderedPageBreak/>
              <w:t>Ouzbékistan</w:t>
            </w:r>
          </w:p>
        </w:tc>
        <w:tc>
          <w:tcPr>
            <w:tcW w:w="2282" w:type="dxa"/>
            <w:shd w:val="clear" w:color="auto" w:fill="auto"/>
          </w:tcPr>
          <w:p w14:paraId="2628A9A5" w14:textId="77777777" w:rsidR="00712772" w:rsidRPr="00EE15CC" w:rsidRDefault="00712772" w:rsidP="00712772">
            <w:pPr>
              <w:spacing w:before="40" w:after="120"/>
              <w:ind w:right="113"/>
              <w:rPr>
                <w:szCs w:val="18"/>
                <w:lang w:val="es-ES"/>
              </w:rPr>
            </w:pPr>
            <w:r w:rsidRPr="00EE15CC">
              <w:rPr>
                <w:lang w:val="es-ES"/>
              </w:rPr>
              <w:t xml:space="preserve">Felice </w:t>
            </w:r>
            <w:proofErr w:type="spellStart"/>
            <w:r w:rsidRPr="00EE15CC">
              <w:rPr>
                <w:lang w:val="es-ES"/>
              </w:rPr>
              <w:t>Gaer</w:t>
            </w:r>
            <w:proofErr w:type="spellEnd"/>
            <w:r>
              <w:rPr>
                <w:lang w:val="es-ES"/>
              </w:rPr>
              <w:br/>
            </w:r>
            <w:r w:rsidRPr="00EE15CC">
              <w:rPr>
                <w:lang w:val="es-ES"/>
              </w:rPr>
              <w:t>Diego Rodríguez-Pinzón</w:t>
            </w:r>
          </w:p>
        </w:tc>
        <w:tc>
          <w:tcPr>
            <w:tcW w:w="2390" w:type="dxa"/>
            <w:shd w:val="clear" w:color="auto" w:fill="auto"/>
          </w:tcPr>
          <w:p w14:paraId="0100E1DC" w14:textId="77777777" w:rsidR="00712772" w:rsidRPr="00EE3420" w:rsidRDefault="00712772" w:rsidP="00712772">
            <w:pPr>
              <w:spacing w:before="40" w:after="120"/>
              <w:ind w:right="57"/>
              <w:rPr>
                <w:spacing w:val="-4"/>
                <w:szCs w:val="18"/>
              </w:rPr>
            </w:pPr>
            <w:r w:rsidRPr="00EE3420">
              <w:rPr>
                <w:spacing w:val="-6"/>
              </w:rPr>
              <w:t>Cinquième rapport périodique</w:t>
            </w:r>
            <w:r w:rsidRPr="00EE3420">
              <w:rPr>
                <w:spacing w:val="-4"/>
              </w:rPr>
              <w:t xml:space="preserve"> (</w:t>
            </w:r>
            <w:hyperlink r:id="rId62" w:history="1">
              <w:r w:rsidRPr="009D4883">
                <w:rPr>
                  <w:rStyle w:val="Lienhypertexte"/>
                  <w:spacing w:val="-4"/>
                </w:rPr>
                <w:t>CAT/C/UZB/5</w:t>
              </w:r>
            </w:hyperlink>
            <w:r w:rsidRPr="00EE3420">
              <w:rPr>
                <w:spacing w:val="-4"/>
              </w:rPr>
              <w:t>)</w:t>
            </w:r>
          </w:p>
        </w:tc>
        <w:tc>
          <w:tcPr>
            <w:tcW w:w="1564" w:type="dxa"/>
            <w:shd w:val="clear" w:color="auto" w:fill="auto"/>
          </w:tcPr>
          <w:p w14:paraId="19E560E8" w14:textId="77777777" w:rsidR="00712772" w:rsidRPr="00EE15CC" w:rsidRDefault="009D4883" w:rsidP="00712772">
            <w:pPr>
              <w:spacing w:before="40" w:after="120"/>
              <w:rPr>
                <w:szCs w:val="18"/>
              </w:rPr>
            </w:pPr>
            <w:hyperlink r:id="rId63" w:history="1">
              <w:r w:rsidR="00712772" w:rsidRPr="009D4883">
                <w:rPr>
                  <w:rStyle w:val="Lienhypertexte"/>
                </w:rPr>
                <w:t>CAT/C/UZB/CO/5</w:t>
              </w:r>
            </w:hyperlink>
          </w:p>
        </w:tc>
      </w:tr>
      <w:tr w:rsidR="00712772" w:rsidRPr="00EE15CC" w14:paraId="4B3DF8F5" w14:textId="77777777" w:rsidTr="00712772">
        <w:trPr>
          <w:cantSplit/>
          <w:tblHeader/>
        </w:trPr>
        <w:tc>
          <w:tcPr>
            <w:tcW w:w="1134" w:type="dxa"/>
            <w:tcBorders>
              <w:bottom w:val="single" w:sz="12" w:space="0" w:color="auto"/>
            </w:tcBorders>
            <w:shd w:val="clear" w:color="auto" w:fill="auto"/>
          </w:tcPr>
          <w:p w14:paraId="579F8165" w14:textId="77777777" w:rsidR="00712772" w:rsidRPr="00EE15CC" w:rsidRDefault="00712772" w:rsidP="00712772">
            <w:pPr>
              <w:spacing w:before="40" w:after="120"/>
              <w:ind w:right="113"/>
              <w:rPr>
                <w:szCs w:val="18"/>
              </w:rPr>
            </w:pPr>
            <w:r w:rsidRPr="00EE15CC">
              <w:t>Portugal</w:t>
            </w:r>
          </w:p>
        </w:tc>
        <w:tc>
          <w:tcPr>
            <w:tcW w:w="2282" w:type="dxa"/>
            <w:tcBorders>
              <w:bottom w:val="single" w:sz="12" w:space="0" w:color="auto"/>
            </w:tcBorders>
            <w:shd w:val="clear" w:color="auto" w:fill="auto"/>
          </w:tcPr>
          <w:p w14:paraId="1D33DD77" w14:textId="77777777" w:rsidR="00712772" w:rsidRPr="00EE15CC" w:rsidRDefault="00712772" w:rsidP="00712772">
            <w:pPr>
              <w:spacing w:before="40" w:after="120"/>
              <w:ind w:right="113"/>
              <w:rPr>
                <w:szCs w:val="18"/>
              </w:rPr>
            </w:pPr>
            <w:r w:rsidRPr="00EE15CC">
              <w:t xml:space="preserve">Claude Heller </w:t>
            </w:r>
            <w:r>
              <w:br/>
            </w:r>
            <w:proofErr w:type="spellStart"/>
            <w:r w:rsidRPr="00EE3420">
              <w:rPr>
                <w:spacing w:val="-4"/>
              </w:rPr>
              <w:t>Bakhtiyar</w:t>
            </w:r>
            <w:proofErr w:type="spellEnd"/>
            <w:r w:rsidRPr="00EE3420">
              <w:rPr>
                <w:spacing w:val="-4"/>
              </w:rPr>
              <w:t xml:space="preserve"> </w:t>
            </w:r>
            <w:proofErr w:type="spellStart"/>
            <w:r w:rsidRPr="00EE3420">
              <w:rPr>
                <w:spacing w:val="-4"/>
              </w:rPr>
              <w:t>Tuzmukhamedov</w:t>
            </w:r>
            <w:proofErr w:type="spellEnd"/>
          </w:p>
        </w:tc>
        <w:tc>
          <w:tcPr>
            <w:tcW w:w="2390" w:type="dxa"/>
            <w:tcBorders>
              <w:bottom w:val="single" w:sz="12" w:space="0" w:color="auto"/>
            </w:tcBorders>
            <w:shd w:val="clear" w:color="auto" w:fill="auto"/>
          </w:tcPr>
          <w:p w14:paraId="69C3F140" w14:textId="77777777" w:rsidR="00712772" w:rsidRPr="00EE3420" w:rsidRDefault="00712772" w:rsidP="00712772">
            <w:pPr>
              <w:spacing w:before="40" w:after="120"/>
              <w:ind w:right="57"/>
              <w:rPr>
                <w:spacing w:val="-4"/>
                <w:szCs w:val="18"/>
              </w:rPr>
            </w:pPr>
            <w:r w:rsidRPr="00EE3420">
              <w:rPr>
                <w:spacing w:val="-4"/>
              </w:rPr>
              <w:t>Septième rapport périodique (</w:t>
            </w:r>
            <w:hyperlink r:id="rId64" w:history="1">
              <w:r w:rsidRPr="009D4883">
                <w:rPr>
                  <w:rStyle w:val="Lienhypertexte"/>
                  <w:spacing w:val="-4"/>
                </w:rPr>
                <w:t>CAT/C/PRT/7</w:t>
              </w:r>
            </w:hyperlink>
            <w:r w:rsidRPr="00EE3420">
              <w:rPr>
                <w:spacing w:val="-4"/>
              </w:rPr>
              <w:t>)</w:t>
            </w:r>
          </w:p>
        </w:tc>
        <w:tc>
          <w:tcPr>
            <w:tcW w:w="1564" w:type="dxa"/>
            <w:tcBorders>
              <w:bottom w:val="single" w:sz="12" w:space="0" w:color="auto"/>
            </w:tcBorders>
            <w:shd w:val="clear" w:color="auto" w:fill="auto"/>
          </w:tcPr>
          <w:p w14:paraId="1D0B07FB" w14:textId="77777777" w:rsidR="00712772" w:rsidRPr="00EE15CC" w:rsidRDefault="009D4883" w:rsidP="00712772">
            <w:pPr>
              <w:spacing w:before="40" w:after="120"/>
              <w:rPr>
                <w:szCs w:val="18"/>
              </w:rPr>
            </w:pPr>
            <w:hyperlink r:id="rId65" w:history="1">
              <w:r w:rsidR="00712772" w:rsidRPr="009D4883">
                <w:rPr>
                  <w:rStyle w:val="Lienhypertexte"/>
                </w:rPr>
                <w:t>CAT/C/PRT/CO/7</w:t>
              </w:r>
            </w:hyperlink>
          </w:p>
        </w:tc>
      </w:tr>
    </w:tbl>
    <w:p w14:paraId="2384A181" w14:textId="6385051A" w:rsidR="00712772" w:rsidRPr="001D6294" w:rsidRDefault="00712772" w:rsidP="00712772">
      <w:pPr>
        <w:pStyle w:val="SingleTxtG"/>
        <w:spacing w:before="240"/>
      </w:pPr>
      <w:r w:rsidRPr="001D6294">
        <w:t>39.</w:t>
      </w:r>
      <w:r w:rsidRPr="001D6294">
        <w:tab/>
        <w:t>Les rapports de Cuba (</w:t>
      </w:r>
      <w:hyperlink r:id="rId66" w:history="1">
        <w:r w:rsidRPr="009D4883">
          <w:rPr>
            <w:rStyle w:val="Lienhypertexte"/>
          </w:rPr>
          <w:t>CAT/C/CUB/3</w:t>
        </w:r>
      </w:hyperlink>
      <w:r w:rsidRPr="001D6294">
        <w:t>), des Émirats arabes unis (</w:t>
      </w:r>
      <w:hyperlink r:id="rId67" w:history="1">
        <w:r w:rsidRPr="009D4883">
          <w:rPr>
            <w:rStyle w:val="Lienhypertexte"/>
          </w:rPr>
          <w:t>CAT/C/ARE/1</w:t>
        </w:r>
      </w:hyperlink>
      <w:r w:rsidRPr="001D6294">
        <w:t>), du Kenya (</w:t>
      </w:r>
      <w:hyperlink r:id="rId68" w:history="1">
        <w:r w:rsidRPr="009D4883">
          <w:rPr>
            <w:rStyle w:val="Lienhypertexte"/>
          </w:rPr>
          <w:t>CAT/C/KEN/3</w:t>
        </w:r>
      </w:hyperlink>
      <w:r w:rsidRPr="001D6294">
        <w:t>), de l</w:t>
      </w:r>
      <w:r>
        <w:t>’</w:t>
      </w:r>
      <w:r w:rsidRPr="001D6294">
        <w:t>Islande (</w:t>
      </w:r>
      <w:hyperlink r:id="rId69" w:history="1">
        <w:r w:rsidRPr="009D4883">
          <w:rPr>
            <w:rStyle w:val="Lienhypertexte"/>
          </w:rPr>
          <w:t>CAT/C/ISL/4</w:t>
        </w:r>
      </w:hyperlink>
      <w:r w:rsidRPr="001D6294">
        <w:t>), du Monténégro (</w:t>
      </w:r>
      <w:hyperlink r:id="rId70" w:history="1">
        <w:r w:rsidRPr="009D4883">
          <w:rPr>
            <w:rStyle w:val="Lienhypertexte"/>
          </w:rPr>
          <w:t>CAT/C/MNE/3</w:t>
        </w:r>
      </w:hyperlink>
      <w:r w:rsidRPr="001D6294">
        <w:t>) et de l</w:t>
      </w:r>
      <w:r>
        <w:t>’</w:t>
      </w:r>
      <w:r w:rsidRPr="001D6294">
        <w:t>Uruguay (</w:t>
      </w:r>
      <w:hyperlink r:id="rId71" w:history="1">
        <w:r w:rsidRPr="009D4883">
          <w:rPr>
            <w:rStyle w:val="Lienhypertexte"/>
          </w:rPr>
          <w:t>CAT/C/URY/4</w:t>
        </w:r>
      </w:hyperlink>
      <w:r w:rsidRPr="001D6294">
        <w:t>), dont l</w:t>
      </w:r>
      <w:r>
        <w:t>’</w:t>
      </w:r>
      <w:r w:rsidRPr="001D6294">
        <w:t>examen était initialement prévu pour la soixante</w:t>
      </w:r>
      <w:r>
        <w:noBreakHyphen/>
      </w:r>
      <w:r w:rsidRPr="001D6294">
        <w:t>neuvième session, n</w:t>
      </w:r>
      <w:r>
        <w:t>’</w:t>
      </w:r>
      <w:r w:rsidRPr="001D6294">
        <w:t xml:space="preserve">ont pas été examinés pendant la période considérée en raison de la situation liée </w:t>
      </w:r>
      <w:r>
        <w:t>à la</w:t>
      </w:r>
      <w:r w:rsidRPr="001D6294">
        <w:t xml:space="preserve"> COVID-19. Ils peuvent être consultés en ligne au moyen du Système de diffusion électronique des documents de l</w:t>
      </w:r>
      <w:r>
        <w:t>’</w:t>
      </w:r>
      <w:r w:rsidRPr="001D6294">
        <w:t>ONU</w:t>
      </w:r>
      <w:r w:rsidRPr="00EE3420">
        <w:t xml:space="preserve"> (</w:t>
      </w:r>
      <w:hyperlink r:id="rId72" w:history="1">
        <w:r w:rsidRPr="00EE3420">
          <w:rPr>
            <w:rStyle w:val="Lienhypertexte"/>
          </w:rPr>
          <w:t>http</w:t>
        </w:r>
        <w:r w:rsidR="004817DF">
          <w:rPr>
            <w:rStyle w:val="Lienhypertexte"/>
          </w:rPr>
          <w:t>:/</w:t>
        </w:r>
        <w:r w:rsidRPr="00EE3420">
          <w:rPr>
            <w:rStyle w:val="Lienhypertexte"/>
          </w:rPr>
          <w:t>/documents.un.org</w:t>
        </w:r>
      </w:hyperlink>
      <w:r w:rsidRPr="001D6294">
        <w:t>).</w:t>
      </w:r>
    </w:p>
    <w:p w14:paraId="323484D1" w14:textId="77777777" w:rsidR="00712772" w:rsidRPr="001D6294" w:rsidRDefault="00712772" w:rsidP="00712772">
      <w:pPr>
        <w:pStyle w:val="SingleTxtG"/>
      </w:pPr>
      <w:r w:rsidRPr="001D6294">
        <w:t>40.</w:t>
      </w:r>
      <w:r w:rsidRPr="001D6294">
        <w:tab/>
        <w:t>Conformément à l</w:t>
      </w:r>
      <w:r>
        <w:t>’</w:t>
      </w:r>
      <w:r w:rsidRPr="001D6294">
        <w:t>article 68 de son règlement intérieur, le Comité a invité des représentants de tous les États parties qui présentaient des rapports à assister aux séances au cours desquelles leur rapport allait être examiné. Tous les États parties concernés ont envoyé des représentants pour participer à l</w:t>
      </w:r>
      <w:r>
        <w:t>’</w:t>
      </w:r>
      <w:r w:rsidRPr="001D6294">
        <w:t>examen de leur rapport. Le Comité les en a remerciés dans ses observations finales.</w:t>
      </w:r>
    </w:p>
    <w:p w14:paraId="23D80D2F" w14:textId="77777777" w:rsidR="00712772" w:rsidRPr="001D6294" w:rsidRDefault="00712772" w:rsidP="00712772">
      <w:pPr>
        <w:pStyle w:val="SingleTxtG"/>
      </w:pPr>
      <w:r w:rsidRPr="001D6294">
        <w:t>41.</w:t>
      </w:r>
      <w:r w:rsidRPr="001D6294">
        <w:tab/>
        <w:t>Deux rapporteurs ont été désignés pour chacun des rapports examinés, comme indiqué dans les tableaux ci-dessus.</w:t>
      </w:r>
    </w:p>
    <w:p w14:paraId="327E93F3" w14:textId="77777777" w:rsidR="00712772" w:rsidRPr="001D6294" w:rsidRDefault="00712772" w:rsidP="00712772">
      <w:pPr>
        <w:pStyle w:val="HChG"/>
      </w:pPr>
      <w:r>
        <w:tab/>
      </w:r>
      <w:r w:rsidRPr="001D6294">
        <w:t>IV.</w:t>
      </w:r>
      <w:r w:rsidRPr="001D6294">
        <w:tab/>
        <w:t xml:space="preserve">Suivi des observations finales relatives aux rapports </w:t>
      </w:r>
      <w:r>
        <w:br/>
      </w:r>
      <w:r w:rsidRPr="001D6294">
        <w:t>des États parties</w:t>
      </w:r>
      <w:bookmarkStart w:id="126" w:name="_Toc14181238"/>
      <w:bookmarkStart w:id="127" w:name="_Toc37768177"/>
      <w:bookmarkEnd w:id="126"/>
      <w:bookmarkEnd w:id="127"/>
    </w:p>
    <w:p w14:paraId="3CFE9CE1" w14:textId="5AEFA89C" w:rsidR="00712772" w:rsidRPr="001D6294" w:rsidRDefault="00712772" w:rsidP="00712772">
      <w:pPr>
        <w:pStyle w:val="SingleTxtG"/>
      </w:pPr>
      <w:r w:rsidRPr="001D6294">
        <w:t>42.</w:t>
      </w:r>
      <w:r w:rsidRPr="001D6294">
        <w:tab/>
        <w:t>À sa trentième session, en</w:t>
      </w:r>
      <w:r w:rsidR="00C27275">
        <w:t xml:space="preserve"> </w:t>
      </w:r>
      <w:r w:rsidR="00D715E1">
        <w:t xml:space="preserve">mai </w:t>
      </w:r>
      <w:r w:rsidRPr="001D6294">
        <w:t>2003, le Comité a mis en place une procédure pour assurer le suivi des observations finales adoptées à l</w:t>
      </w:r>
      <w:r>
        <w:t>’</w:t>
      </w:r>
      <w:r w:rsidRPr="001D6294">
        <w:t>issue de l</w:t>
      </w:r>
      <w:r>
        <w:t>’</w:t>
      </w:r>
      <w:r w:rsidRPr="001D6294">
        <w:t>examen des rapports soumis par les États parties en application de l</w:t>
      </w:r>
      <w:r>
        <w:t>’</w:t>
      </w:r>
      <w:r w:rsidRPr="001D6294">
        <w:t>article 19 de la Convention (</w:t>
      </w:r>
      <w:hyperlink r:id="rId73" w:history="1">
        <w:r w:rsidRPr="009D4883">
          <w:rPr>
            <w:rStyle w:val="Lienhypertexte"/>
          </w:rPr>
          <w:t>A/58/44</w:t>
        </w:r>
      </w:hyperlink>
      <w:r w:rsidRPr="001D6294">
        <w:t xml:space="preserve">, </w:t>
      </w:r>
      <w:r w:rsidR="00C27275">
        <w:t>par. </w:t>
      </w:r>
      <w:r w:rsidRPr="001D6294">
        <w:t>12). Depuis, il a fait figurer des informations sur le suivi dans chacun de ses rapports annuels, récapitulant les renseignements reçus concernant les mesures de suivi adoptées par les États parties et décrivant les tendances de fond ainsi que les modifications apportées ultérieurement à la procédure. On trouvera une description plus détaillée de la procédure dans les Directives concernant le suivi des observations finales, adoptées par le Comité à sa cinquante-cinquième session (</w:t>
      </w:r>
      <w:hyperlink r:id="rId74" w:history="1">
        <w:r w:rsidRPr="009D4883">
          <w:rPr>
            <w:rStyle w:val="Lienhypertexte"/>
          </w:rPr>
          <w:t>CAT/C/55/3</w:t>
        </w:r>
      </w:hyperlink>
      <w:r w:rsidRPr="001D6294">
        <w:t>).</w:t>
      </w:r>
    </w:p>
    <w:p w14:paraId="0ED54825" w14:textId="77777777" w:rsidR="00712772" w:rsidRPr="001D6294" w:rsidRDefault="00712772" w:rsidP="00712772">
      <w:pPr>
        <w:pStyle w:val="SingleTxtG"/>
      </w:pPr>
      <w:r w:rsidRPr="001D6294">
        <w:t>43.</w:t>
      </w:r>
      <w:r w:rsidRPr="001D6294">
        <w:tab/>
        <w:t>Conformément à son règlement intérieur, le Comité a institué le mandat de rapporteur chargé du suivi des observations finales au titre de l</w:t>
      </w:r>
      <w:r>
        <w:t>’</w:t>
      </w:r>
      <w:r w:rsidRPr="001D6294">
        <w:t xml:space="preserve">article 19 de la Convention. Au cours de la période couverte par le présent rapport annuel, </w:t>
      </w:r>
      <w:proofErr w:type="spellStart"/>
      <w:r w:rsidRPr="001D6294">
        <w:t>Abdelwahab</w:t>
      </w:r>
      <w:proofErr w:type="spellEnd"/>
      <w:r w:rsidRPr="001D6294">
        <w:t xml:space="preserve"> Hani a continué d</w:t>
      </w:r>
      <w:r>
        <w:t>’</w:t>
      </w:r>
      <w:r w:rsidRPr="001D6294">
        <w:t>assumer ce mandat. Compte tenu de ce que le mandat de M.</w:t>
      </w:r>
      <w:r w:rsidR="009D4883">
        <w:t> </w:t>
      </w:r>
      <w:r w:rsidRPr="001D6294">
        <w:t>Hani prenait fin le 31</w:t>
      </w:r>
      <w:r>
        <w:t> </w:t>
      </w:r>
      <w:r w:rsidRPr="001D6294">
        <w:t xml:space="preserve">décembre 2019, </w:t>
      </w:r>
      <w:proofErr w:type="spellStart"/>
      <w:r w:rsidRPr="001D6294">
        <w:t>Bakhtiyar</w:t>
      </w:r>
      <w:proofErr w:type="spellEnd"/>
      <w:r w:rsidRPr="001D6294">
        <w:t xml:space="preserve"> </w:t>
      </w:r>
      <w:proofErr w:type="spellStart"/>
      <w:r w:rsidRPr="001D6294">
        <w:t>Tuzmukhamedov</w:t>
      </w:r>
      <w:proofErr w:type="spellEnd"/>
      <w:r w:rsidRPr="001D6294">
        <w:t xml:space="preserve"> a été nommé Rapporteur pour le suivi des observations finales par intérim jusqu</w:t>
      </w:r>
      <w:r>
        <w:t>’</w:t>
      </w:r>
      <w:r w:rsidRPr="001D6294">
        <w:t>à la soixante-neuvième session du Comité.</w:t>
      </w:r>
    </w:p>
    <w:p w14:paraId="273D7634" w14:textId="77777777" w:rsidR="00712772" w:rsidRPr="009D4883" w:rsidRDefault="00712772" w:rsidP="00712772">
      <w:pPr>
        <w:pStyle w:val="SingleTxtG"/>
        <w:rPr>
          <w:spacing w:val="-1"/>
        </w:rPr>
      </w:pPr>
      <w:r w:rsidRPr="009D4883">
        <w:rPr>
          <w:spacing w:val="-1"/>
        </w:rPr>
        <w:t>44.</w:t>
      </w:r>
      <w:r w:rsidRPr="009D4883">
        <w:rPr>
          <w:spacing w:val="-1"/>
        </w:rPr>
        <w:tab/>
        <w:t>Entre</w:t>
      </w:r>
      <w:r w:rsidR="009D4883" w:rsidRPr="009D4883">
        <w:rPr>
          <w:spacing w:val="-1"/>
        </w:rPr>
        <w:t xml:space="preserve"> </w:t>
      </w:r>
      <w:r w:rsidR="00D715E1" w:rsidRPr="009D4883">
        <w:rPr>
          <w:spacing w:val="-1"/>
        </w:rPr>
        <w:t xml:space="preserve">mai </w:t>
      </w:r>
      <w:r w:rsidRPr="009D4883">
        <w:rPr>
          <w:spacing w:val="-1"/>
        </w:rPr>
        <w:t>2003 et la fin de la période considérée, le Comité a examiné 257</w:t>
      </w:r>
      <w:r w:rsidR="009D4883" w:rsidRPr="009D4883">
        <w:rPr>
          <w:spacing w:val="-1"/>
        </w:rPr>
        <w:t> </w:t>
      </w:r>
      <w:r w:rsidRPr="009D4883">
        <w:rPr>
          <w:spacing w:val="-1"/>
        </w:rPr>
        <w:t>rapports d’États parties, pour lesquels il a demandé des renseignements sur la suite donnée à certaines de ses recommandations. Sur les 241</w:t>
      </w:r>
      <w:r w:rsidR="009D4883" w:rsidRPr="009D4883">
        <w:rPr>
          <w:spacing w:val="-1"/>
        </w:rPr>
        <w:t> </w:t>
      </w:r>
      <w:r w:rsidRPr="009D4883">
        <w:rPr>
          <w:spacing w:val="-1"/>
        </w:rPr>
        <w:t>rapports de suivi qui devaient lui parvenir avant le 15</w:t>
      </w:r>
      <w:r w:rsidR="00D715E1" w:rsidRPr="009D4883">
        <w:rPr>
          <w:spacing w:val="-1"/>
        </w:rPr>
        <w:t xml:space="preserve"> mai </w:t>
      </w:r>
      <w:r w:rsidRPr="009D4883">
        <w:rPr>
          <w:spacing w:val="-1"/>
        </w:rPr>
        <w:t>2020, 176 avaient été reçus au moment de l’adoption du présent rapport, soit un taux de réponse de 73 %. L’état des réponses attendues au titre du suivi est publié sous forme de tableau sur la page Web du Comité</w:t>
      </w:r>
      <w:r w:rsidRPr="009D4883">
        <w:rPr>
          <w:rStyle w:val="Appelnotedebasdep"/>
          <w:spacing w:val="-1"/>
        </w:rPr>
        <w:footnoteReference w:id="5"/>
      </w:r>
      <w:r w:rsidRPr="009D4883">
        <w:rPr>
          <w:spacing w:val="-1"/>
        </w:rPr>
        <w:t>. On trouve aussi sur cette page les renseignements reçus des États parties, les lettres envoyées aux États parties par le Rapporteur chargé du suivi, les réponses des États parties ainsi que les rapports reçus des institutions nationales des droits de l’homme, des ONG et des autres acteurs de la société civile.</w:t>
      </w:r>
    </w:p>
    <w:p w14:paraId="7BEC7CA8" w14:textId="77777777" w:rsidR="00712772" w:rsidRPr="001D6294" w:rsidRDefault="00712772" w:rsidP="00712772">
      <w:pPr>
        <w:pStyle w:val="SingleTxtG"/>
      </w:pPr>
      <w:r w:rsidRPr="001D6294">
        <w:lastRenderedPageBreak/>
        <w:t>45.</w:t>
      </w:r>
      <w:r w:rsidRPr="001D6294">
        <w:tab/>
        <w:t>Au 15</w:t>
      </w:r>
      <w:r w:rsidR="00D715E1">
        <w:t xml:space="preserve"> mai </w:t>
      </w:r>
      <w:r w:rsidRPr="001D6294">
        <w:t>2020, les États ci-après n</w:t>
      </w:r>
      <w:r>
        <w:t>’</w:t>
      </w:r>
      <w:r w:rsidRPr="001D6294">
        <w:t>avaient pas encore communiqué de renseignements au titre du suivi, alors que le délai était échu</w:t>
      </w:r>
      <w:r w:rsidRPr="000A213B">
        <w:rPr>
          <w:rStyle w:val="Appelnotedebasdep"/>
        </w:rPr>
        <w:footnoteReference w:id="6"/>
      </w:r>
      <w:r w:rsidR="004817DF">
        <w:t> :</w:t>
      </w:r>
      <w:r w:rsidRPr="001D6294">
        <w:t xml:space="preserve"> Albanie (quarante-huitième session), Antigua-et-Barbuda (soixante et unième session), B</w:t>
      </w:r>
      <w:r>
        <w:t>é</w:t>
      </w:r>
      <w:r w:rsidRPr="001D6294">
        <w:t>larus (soixante-troisième session), Cabo Verde (cinquante-neuvième session), Cambodge (quarante-cinquième session), Cameroun (soixante-deuxième session), Congo (cinquante-quatrième session), Djibouti (quarante-septième session), Gabon (quarante-neuvième session), Ghana (quarante-sixième session), Guinée (cinquante-deuxième session), Indonésie (quarantième session), Jordanie (cinquante</w:t>
      </w:r>
      <w:r>
        <w:noBreakHyphen/>
      </w:r>
      <w:r w:rsidRPr="001D6294">
        <w:t>sixième session), Madagascar (quarante-septième session), Mozambique (cinquante et unième session), Namibie (cinquante-neuvième session), Ouganda (trente-quatrième session), Paraguay (soixante et unième session), Pérou (soixante-cinquième session), Philippines (cinquante-septième session), République arabe syrienne (quarante-huitième session), Rwanda (soixante-deuxième session), Saint-Siège (cinquante</w:t>
      </w:r>
      <w:r>
        <w:noBreakHyphen/>
      </w:r>
      <w:r w:rsidRPr="001D6294">
        <w:t>deuxième session), Seychelles (soixante-quatrième session), Sierra Leone (cinquante-deuxième session), Sri Lanka (cinquante-neuvième session), Tadjikistan (soixante-troisième session), Viet Nam (soixante-cinquième session), Yémen (quarante</w:t>
      </w:r>
      <w:r>
        <w:noBreakHyphen/>
      </w:r>
      <w:r w:rsidRPr="001D6294">
        <w:t>quatrième session) et Zambie (quarantième session).</w:t>
      </w:r>
    </w:p>
    <w:p w14:paraId="3A773C15" w14:textId="65CA5E2F" w:rsidR="00712772" w:rsidRPr="001D6294" w:rsidRDefault="00712772" w:rsidP="00712772">
      <w:pPr>
        <w:pStyle w:val="SingleTxtG"/>
      </w:pPr>
      <w:r w:rsidRPr="001D6294">
        <w:t>46.</w:t>
      </w:r>
      <w:r w:rsidRPr="001D6294">
        <w:tab/>
        <w:t>Le Rapporteur envoie un rappel à chacun des pays qui n</w:t>
      </w:r>
      <w:r>
        <w:t>’</w:t>
      </w:r>
      <w:r w:rsidRPr="001D6294">
        <w:t>ont pas fourni les renseignements demandés sur la suite donnée aux recommandations. Pendant la période considérée, de tels rappels ont été envoyés par des lettres datées du 21</w:t>
      </w:r>
      <w:r w:rsidR="00D715E1">
        <w:t xml:space="preserve"> mai </w:t>
      </w:r>
      <w:r w:rsidRPr="001D6294">
        <w:t xml:space="preserve">2019 à la République de </w:t>
      </w:r>
      <w:r w:rsidRPr="00A6707D">
        <w:t>Moldova</w:t>
      </w:r>
      <w:r w:rsidRPr="001D6294">
        <w:t xml:space="preserve"> et au Rwanda</w:t>
      </w:r>
      <w:r w:rsidR="004817DF">
        <w:t> ;</w:t>
      </w:r>
      <w:r w:rsidRPr="001D6294">
        <w:t xml:space="preserve"> par des lettres datées du 4</w:t>
      </w:r>
      <w:r w:rsidR="00C27275">
        <w:t> </w:t>
      </w:r>
      <w:r w:rsidRPr="001D6294">
        <w:t>juin 2019 au Cameroun et à l</w:t>
      </w:r>
      <w:r>
        <w:t>’</w:t>
      </w:r>
      <w:r w:rsidRPr="001D6294">
        <w:t xml:space="preserve">Arabie </w:t>
      </w:r>
      <w:r>
        <w:t>s</w:t>
      </w:r>
      <w:r w:rsidRPr="001D6294">
        <w:t>aoudite</w:t>
      </w:r>
      <w:r w:rsidR="004817DF">
        <w:t> ;</w:t>
      </w:r>
      <w:r w:rsidRPr="001D6294">
        <w:t xml:space="preserve"> par des lettres datées du 9</w:t>
      </w:r>
      <w:r w:rsidR="00C27275">
        <w:t> </w:t>
      </w:r>
      <w:r w:rsidRPr="001D6294">
        <w:t>octobre 2019 au Bélarus, au Qatar et au Tadjikistan</w:t>
      </w:r>
      <w:r w:rsidR="004817DF">
        <w:t> ;</w:t>
      </w:r>
      <w:r w:rsidRPr="001D6294">
        <w:t xml:space="preserve"> par des lettres datées du 29</w:t>
      </w:r>
      <w:r w:rsidR="00C27275">
        <w:t> </w:t>
      </w:r>
      <w:r w:rsidRPr="001D6294">
        <w:t>novembre 2019 à la Mauritanie et aux Seychelles</w:t>
      </w:r>
      <w:r w:rsidR="004817DF">
        <w:t> ;</w:t>
      </w:r>
      <w:r>
        <w:t xml:space="preserve"> par des lettres datées du 30 avril 2020 au Pérou et au Viet Nam</w:t>
      </w:r>
      <w:r w:rsidRPr="000A213B">
        <w:rPr>
          <w:rStyle w:val="Appelnotedebasdep"/>
        </w:rPr>
        <w:footnoteReference w:id="7"/>
      </w:r>
      <w:r w:rsidRPr="001D6294">
        <w:t>.</w:t>
      </w:r>
    </w:p>
    <w:p w14:paraId="0B48BFA2" w14:textId="77777777" w:rsidR="00712772" w:rsidRPr="001D6294" w:rsidRDefault="00712772" w:rsidP="00712772">
      <w:pPr>
        <w:pStyle w:val="SingleTxtG"/>
      </w:pPr>
      <w:r w:rsidRPr="001D6294">
        <w:t>47.</w:t>
      </w:r>
      <w:r w:rsidRPr="001D6294">
        <w:tab/>
        <w:t>Entre le 18</w:t>
      </w:r>
      <w:r w:rsidR="00D715E1">
        <w:t xml:space="preserve"> mai </w:t>
      </w:r>
      <w:r w:rsidRPr="001D6294">
        <w:t>2019 et le 15</w:t>
      </w:r>
      <w:r w:rsidR="00D715E1">
        <w:t xml:space="preserve"> mai </w:t>
      </w:r>
      <w:r w:rsidRPr="001D6294">
        <w:t>2020, des réponses au titre du suivi ont été reçues des États parties suivants</w:t>
      </w:r>
      <w:r w:rsidRPr="000A213B">
        <w:rPr>
          <w:rStyle w:val="Appelnotedebasdep"/>
        </w:rPr>
        <w:footnoteReference w:id="8"/>
      </w:r>
      <w:r w:rsidRPr="001D6294">
        <w:t xml:space="preserve"> (dans l</w:t>
      </w:r>
      <w:r>
        <w:t>’</w:t>
      </w:r>
      <w:r w:rsidRPr="001D6294">
        <w:t>ordre chronologique)</w:t>
      </w:r>
      <w:r w:rsidR="004817DF">
        <w:t> :</w:t>
      </w:r>
      <w:r w:rsidRPr="001D6294">
        <w:t xml:space="preserve"> Pakistan (</w:t>
      </w:r>
      <w:hyperlink r:id="rId75" w:history="1">
        <w:r w:rsidRPr="009D4883">
          <w:rPr>
            <w:rStyle w:val="Lienhypertexte"/>
          </w:rPr>
          <w:t>CAT/C/PAK/CO/1/Add.1</w:t>
        </w:r>
      </w:hyperlink>
      <w:r w:rsidRPr="001D6294">
        <w:t>, 31</w:t>
      </w:r>
      <w:r w:rsidR="00D715E1">
        <w:t xml:space="preserve"> mai </w:t>
      </w:r>
      <w:r w:rsidRPr="001D6294">
        <w:t>2019)</w:t>
      </w:r>
      <w:r w:rsidR="004817DF">
        <w:t> ;</w:t>
      </w:r>
      <w:r w:rsidRPr="001D6294">
        <w:t xml:space="preserve"> Arabie </w:t>
      </w:r>
      <w:r>
        <w:t>s</w:t>
      </w:r>
      <w:r w:rsidRPr="001D6294">
        <w:t>aoudite (</w:t>
      </w:r>
      <w:hyperlink r:id="rId76" w:history="1">
        <w:r w:rsidRPr="009D4883">
          <w:rPr>
            <w:rStyle w:val="Lienhypertexte"/>
          </w:rPr>
          <w:t>CAT/C/SAU/FCO/2</w:t>
        </w:r>
      </w:hyperlink>
      <w:r>
        <w:t xml:space="preserve">, </w:t>
      </w:r>
      <w:r w:rsidRPr="001D6294">
        <w:t>27</w:t>
      </w:r>
      <w:r w:rsidR="009D4883">
        <w:t> </w:t>
      </w:r>
      <w:r w:rsidRPr="001D6294">
        <w:t>juin 2019)</w:t>
      </w:r>
      <w:r w:rsidR="004817DF">
        <w:t> ;</w:t>
      </w:r>
      <w:r w:rsidRPr="001D6294">
        <w:t xml:space="preserve"> Tchéquie (</w:t>
      </w:r>
      <w:hyperlink r:id="rId77" w:history="1">
        <w:r w:rsidRPr="009D4883">
          <w:rPr>
            <w:rStyle w:val="Lienhypertexte"/>
          </w:rPr>
          <w:t>CAT/C/CZE/CO/6/Add.1</w:t>
        </w:r>
      </w:hyperlink>
      <w:r w:rsidRPr="001D6294">
        <w:t>, 28</w:t>
      </w:r>
      <w:r w:rsidR="009D4883">
        <w:t> </w:t>
      </w:r>
      <w:r w:rsidRPr="001D6294">
        <w:t>juin 2019)</w:t>
      </w:r>
      <w:r w:rsidR="004817DF">
        <w:t> ;</w:t>
      </w:r>
      <w:r w:rsidRPr="001D6294">
        <w:t xml:space="preserve"> Italie (</w:t>
      </w:r>
      <w:hyperlink r:id="rId78" w:history="1">
        <w:r w:rsidRPr="009D4883">
          <w:rPr>
            <w:rStyle w:val="Lienhypertexte"/>
          </w:rPr>
          <w:t>CAT/C/ITA/CO/5-6/Add.2</w:t>
        </w:r>
      </w:hyperlink>
      <w:r w:rsidRPr="001D6294">
        <w:t>, 30</w:t>
      </w:r>
      <w:r w:rsidR="009D4883">
        <w:t> </w:t>
      </w:r>
      <w:r w:rsidRPr="001D6294">
        <w:t>juillet 2019)</w:t>
      </w:r>
      <w:r w:rsidR="004817DF">
        <w:t> ;</w:t>
      </w:r>
      <w:r w:rsidRPr="001D6294">
        <w:t xml:space="preserve"> République de Moldova (</w:t>
      </w:r>
      <w:hyperlink r:id="rId79" w:history="1">
        <w:r w:rsidRPr="009D4883">
          <w:rPr>
            <w:rStyle w:val="Lienhypertexte"/>
          </w:rPr>
          <w:t>CAT/C/MDA/CO/3/Add.1</w:t>
        </w:r>
      </w:hyperlink>
      <w:r w:rsidRPr="001D6294">
        <w:t>, 31</w:t>
      </w:r>
      <w:r w:rsidR="009D4883">
        <w:t> </w:t>
      </w:r>
      <w:r w:rsidRPr="001D6294">
        <w:t>juillet 2019)</w:t>
      </w:r>
      <w:r w:rsidR="004817DF">
        <w:t> ;</w:t>
      </w:r>
      <w:r w:rsidRPr="001D6294">
        <w:t xml:space="preserve"> Italie (</w:t>
      </w:r>
      <w:hyperlink r:id="rId80" w:history="1">
        <w:r w:rsidRPr="009D4883">
          <w:rPr>
            <w:rStyle w:val="Lienhypertexte"/>
          </w:rPr>
          <w:t>CAT/C/ITA/CO/5-6/Add.3</w:t>
        </w:r>
      </w:hyperlink>
      <w:r w:rsidRPr="001D6294">
        <w:t>, 5</w:t>
      </w:r>
      <w:r w:rsidR="009D4883">
        <w:t> </w:t>
      </w:r>
      <w:r w:rsidRPr="001D6294">
        <w:t>août 2019)</w:t>
      </w:r>
      <w:r w:rsidR="004817DF">
        <w:t> ;</w:t>
      </w:r>
      <w:r w:rsidRPr="001D6294">
        <w:t xml:space="preserve"> Fédération de Russie (</w:t>
      </w:r>
      <w:hyperlink r:id="rId81" w:history="1">
        <w:r w:rsidRPr="009D4883">
          <w:rPr>
            <w:rStyle w:val="Lienhypertexte"/>
          </w:rPr>
          <w:t>CAT/C/RUS/CO/6/Add.1</w:t>
        </w:r>
      </w:hyperlink>
      <w:r w:rsidRPr="001D6294">
        <w:t>, 13</w:t>
      </w:r>
      <w:r w:rsidR="009D4883">
        <w:t> </w:t>
      </w:r>
      <w:r w:rsidRPr="001D6294">
        <w:t>août 2019)</w:t>
      </w:r>
      <w:r w:rsidR="004817DF">
        <w:t> ;</w:t>
      </w:r>
      <w:r w:rsidRPr="001D6294">
        <w:t xml:space="preserve"> Chili (</w:t>
      </w:r>
      <w:hyperlink r:id="rId82" w:history="1">
        <w:r w:rsidRPr="009D4883">
          <w:rPr>
            <w:rStyle w:val="Lienhypertexte"/>
          </w:rPr>
          <w:t>CAT/C/CHL/CO/6/Add.1</w:t>
        </w:r>
      </w:hyperlink>
      <w:r w:rsidRPr="001D6294">
        <w:t xml:space="preserve"> et annexes, 14</w:t>
      </w:r>
      <w:r>
        <w:t> </w:t>
      </w:r>
      <w:r w:rsidRPr="001D6294">
        <w:t>août 2019)</w:t>
      </w:r>
      <w:r w:rsidR="004817DF">
        <w:t> ;</w:t>
      </w:r>
      <w:r w:rsidRPr="001D6294">
        <w:t xml:space="preserve"> Qatar (</w:t>
      </w:r>
      <w:hyperlink r:id="rId83" w:history="1">
        <w:r w:rsidRPr="009D4883">
          <w:rPr>
            <w:rStyle w:val="Lienhypertexte"/>
          </w:rPr>
          <w:t>CAT/C/QAT/FCO/3</w:t>
        </w:r>
      </w:hyperlink>
      <w:r w:rsidRPr="001D6294">
        <w:t>, 14</w:t>
      </w:r>
      <w:r w:rsidR="009D4883">
        <w:t> </w:t>
      </w:r>
      <w:r w:rsidRPr="001D6294">
        <w:t>octobre 2019)</w:t>
      </w:r>
      <w:r w:rsidR="004817DF">
        <w:t> ;</w:t>
      </w:r>
      <w:r w:rsidRPr="001D6294">
        <w:t xml:space="preserve"> Maldives (</w:t>
      </w:r>
      <w:hyperlink r:id="rId84" w:history="1">
        <w:r w:rsidRPr="009D4883">
          <w:rPr>
            <w:rStyle w:val="Lienhypertexte"/>
          </w:rPr>
          <w:t>CAT/C/MDV/CO/1/Add.1</w:t>
        </w:r>
      </w:hyperlink>
      <w:r w:rsidRPr="001D6294">
        <w:t>, 25</w:t>
      </w:r>
      <w:r w:rsidR="009D4883">
        <w:t> </w:t>
      </w:r>
      <w:r w:rsidRPr="001D6294">
        <w:t>octobre 2019)</w:t>
      </w:r>
      <w:r w:rsidR="004817DF">
        <w:t> ;</w:t>
      </w:r>
      <w:r w:rsidRPr="001D6294">
        <w:t xml:space="preserve"> Pays-Bas (CAT/C/NLD/FCO/7, 6</w:t>
      </w:r>
      <w:r>
        <w:t> </w:t>
      </w:r>
      <w:r w:rsidRPr="001D6294">
        <w:t>décembre 2019)</w:t>
      </w:r>
      <w:r w:rsidR="004817DF">
        <w:t> ;</w:t>
      </w:r>
      <w:r w:rsidRPr="001D6294">
        <w:t xml:space="preserve"> </w:t>
      </w:r>
      <w:r>
        <w:t>Guatemala</w:t>
      </w:r>
      <w:r w:rsidRPr="001D6294">
        <w:t xml:space="preserve"> (</w:t>
      </w:r>
      <w:hyperlink r:id="rId85" w:history="1">
        <w:r w:rsidRPr="009D4883">
          <w:rPr>
            <w:rStyle w:val="Lienhypertexte"/>
          </w:rPr>
          <w:t>CAT/C/GTM/FCO/7</w:t>
        </w:r>
      </w:hyperlink>
      <w:r w:rsidRPr="001D6294">
        <w:t xml:space="preserve">, </w:t>
      </w:r>
      <w:r>
        <w:t>24</w:t>
      </w:r>
      <w:r w:rsidR="009D4883">
        <w:t> </w:t>
      </w:r>
      <w:r w:rsidRPr="001D6294">
        <w:t>décembre 2019)</w:t>
      </w:r>
      <w:r w:rsidR="004817DF">
        <w:t> ;</w:t>
      </w:r>
      <w:r w:rsidRPr="001D6294">
        <w:t xml:space="preserve"> Mauritanie (</w:t>
      </w:r>
      <w:hyperlink r:id="rId86" w:history="1">
        <w:r w:rsidRPr="009D4883">
          <w:rPr>
            <w:rStyle w:val="Lienhypertexte"/>
          </w:rPr>
          <w:t>CAT/C/MRT/FCO/2</w:t>
        </w:r>
      </w:hyperlink>
      <w:r w:rsidRPr="001D6294">
        <w:t>, 2</w:t>
      </w:r>
      <w:r w:rsidR="009D4883">
        <w:t> </w:t>
      </w:r>
      <w:r w:rsidRPr="001D6294">
        <w:t>janvier 2020)</w:t>
      </w:r>
      <w:r w:rsidR="004817DF">
        <w:t> ;</w:t>
      </w:r>
      <w:r w:rsidRPr="001D6294">
        <w:t xml:space="preserve"> Canada (</w:t>
      </w:r>
      <w:hyperlink r:id="rId87" w:history="1">
        <w:r w:rsidRPr="009D4883">
          <w:rPr>
            <w:rStyle w:val="Lienhypertexte"/>
          </w:rPr>
          <w:t>CAT/C/CAN/FCO/7</w:t>
        </w:r>
      </w:hyperlink>
      <w:r w:rsidRPr="001D6294">
        <w:t>, 21</w:t>
      </w:r>
      <w:r w:rsidR="009D4883">
        <w:t> </w:t>
      </w:r>
      <w:r w:rsidRPr="001D6294">
        <w:t>février 2020).</w:t>
      </w:r>
    </w:p>
    <w:p w14:paraId="00EC60B4" w14:textId="77777777" w:rsidR="00712772" w:rsidRPr="001D6294" w:rsidRDefault="00712772" w:rsidP="00712772">
      <w:pPr>
        <w:pStyle w:val="SingleTxtG"/>
      </w:pPr>
      <w:r w:rsidRPr="001D6294">
        <w:t>48.</w:t>
      </w:r>
      <w:r w:rsidRPr="001D6294">
        <w:tab/>
        <w:t>Le Rapporteur a accueilli avec satisfaction les renseignements envoyés par ces États parties concernant les mesures prises pour s</w:t>
      </w:r>
      <w:r>
        <w:t>’</w:t>
      </w:r>
      <w:r w:rsidRPr="001D6294">
        <w:t>acquitter des obligations qui leur incombent au titre de la Convention. Il a procédé à une évaluation des réponses reçues pour déterminer si tous les points mentionnés par le Comité avaient été traités et si les renseignements fournis répondaient aux préoccupations et recommandations du Comité. Le Rapporteur a adressé des lettres aux États parties dans le cadre de la procédure de suivi, après que les rapports de suivi ont été reçus et évalués. Il y exposait son analyse et signalait les questions restées en suspens. Pendant la période considérée, des lettres ont été adressées en date du 21</w:t>
      </w:r>
      <w:r w:rsidR="00D715E1">
        <w:t xml:space="preserve"> mai </w:t>
      </w:r>
      <w:r w:rsidRPr="001D6294">
        <w:t>2019 à l</w:t>
      </w:r>
      <w:r>
        <w:t>’</w:t>
      </w:r>
      <w:r w:rsidRPr="001D6294">
        <w:t>Irlande et au Turkménistan</w:t>
      </w:r>
      <w:r w:rsidR="004817DF">
        <w:t> ;</w:t>
      </w:r>
      <w:r w:rsidRPr="001D6294">
        <w:t xml:space="preserve"> des lettres ont été adressées en date du 27</w:t>
      </w:r>
      <w:r w:rsidR="009D4883">
        <w:t> </w:t>
      </w:r>
      <w:r w:rsidRPr="001D6294">
        <w:t>juin 2019 à la Bulgarie, à l</w:t>
      </w:r>
      <w:r>
        <w:t>’</w:t>
      </w:r>
      <w:r w:rsidRPr="001D6294">
        <w:t>Italie, au Liban, à Maurice, à la République de Corée et au Timor-Leste</w:t>
      </w:r>
      <w:r w:rsidR="004817DF">
        <w:t> ;</w:t>
      </w:r>
      <w:r w:rsidRPr="001D6294">
        <w:t xml:space="preserve"> des lettres ont été adressées en date du 9</w:t>
      </w:r>
      <w:r w:rsidR="009D4883">
        <w:t> </w:t>
      </w:r>
      <w:r w:rsidRPr="001D6294">
        <w:t>octobre 2019 à la Bosnie-Herzégovine, à la Norvège, au Pakistan et au Sénégal</w:t>
      </w:r>
      <w:r w:rsidR="004817DF">
        <w:t> ;</w:t>
      </w:r>
      <w:r w:rsidRPr="001D6294">
        <w:t xml:space="preserve"> des lettres ont été adressées en date du 29</w:t>
      </w:r>
      <w:r w:rsidR="009D4883">
        <w:t> </w:t>
      </w:r>
      <w:r w:rsidRPr="001D6294">
        <w:t>novembre 2019 au Chili et à la République de Moldova</w:t>
      </w:r>
      <w:r w:rsidR="004817DF">
        <w:t> ;</w:t>
      </w:r>
      <w:r w:rsidRPr="001D6294">
        <w:t xml:space="preserve"> une lettre a été adressée en date du 6</w:t>
      </w:r>
      <w:r w:rsidR="009D4883">
        <w:t> </w:t>
      </w:r>
      <w:r w:rsidRPr="001D6294">
        <w:t>décembre 2019 à la Tchéquie</w:t>
      </w:r>
      <w:r w:rsidR="004817DF">
        <w:t> ;</w:t>
      </w:r>
      <w:r w:rsidRPr="001D6294">
        <w:t xml:space="preserve"> des lettres ont été adressées en date du 18</w:t>
      </w:r>
      <w:r w:rsidR="009D4883">
        <w:t> </w:t>
      </w:r>
      <w:r w:rsidRPr="001D6294">
        <w:t xml:space="preserve">décembre 2019 au Qatar et aux </w:t>
      </w:r>
      <w:r w:rsidRPr="001D6294">
        <w:lastRenderedPageBreak/>
        <w:t>Maldives</w:t>
      </w:r>
      <w:r w:rsidR="004817DF">
        <w:t> ;</w:t>
      </w:r>
      <w:r w:rsidRPr="001D6294">
        <w:t xml:space="preserve"> une lettre a été adressée en date du 3</w:t>
      </w:r>
      <w:r w:rsidR="009D4883">
        <w:t> </w:t>
      </w:r>
      <w:r w:rsidRPr="001D6294">
        <w:t>mars 2020 à la Fédération de Russie</w:t>
      </w:r>
      <w:r w:rsidR="004817DF">
        <w:t> ;</w:t>
      </w:r>
      <w:r>
        <w:t xml:space="preserve"> une lettre a été adressée en date du 30 avril 2020 aux Pays-Bas</w:t>
      </w:r>
      <w:r w:rsidRPr="000A213B">
        <w:rPr>
          <w:rStyle w:val="Appelnotedebasdep"/>
        </w:rPr>
        <w:footnoteReference w:id="9"/>
      </w:r>
      <w:r w:rsidRPr="001D6294">
        <w:t>.</w:t>
      </w:r>
      <w:bookmarkStart w:id="128" w:name="_Hlk11937009"/>
      <w:bookmarkEnd w:id="128"/>
    </w:p>
    <w:p w14:paraId="07468B5F" w14:textId="77777777" w:rsidR="00712772" w:rsidRPr="001D6294" w:rsidRDefault="00712772" w:rsidP="00712772">
      <w:pPr>
        <w:pStyle w:val="SingleTxtG"/>
      </w:pPr>
      <w:r w:rsidRPr="00283FB8">
        <w:t>49.</w:t>
      </w:r>
      <w:r w:rsidRPr="00283FB8">
        <w:tab/>
        <w:t>Le Rapporteur a également</w:t>
      </w:r>
      <w:r w:rsidRPr="001D6294">
        <w:t xml:space="preserve"> accueilli avec satisfaction les renseignements soumis par des institutions nationales des droits de l</w:t>
      </w:r>
      <w:r>
        <w:t>’</w:t>
      </w:r>
      <w:r w:rsidRPr="001D6294">
        <w:t>homme, des ONG de défense des droits de l</w:t>
      </w:r>
      <w:r>
        <w:t>’</w:t>
      </w:r>
      <w:r w:rsidRPr="001D6294">
        <w:t>homme et d</w:t>
      </w:r>
      <w:r>
        <w:t>’</w:t>
      </w:r>
      <w:r w:rsidRPr="001D6294">
        <w:t>autres groupes de la société civile dans le cadre de la procédure de suivi. Au 15</w:t>
      </w:r>
      <w:r w:rsidR="00D715E1">
        <w:t xml:space="preserve"> mai </w:t>
      </w:r>
      <w:r w:rsidRPr="001D6294">
        <w:t>2019, le Comité avait reçu de ces sources des rapports au titre du suivi concernant les États parties suivants (dans l</w:t>
      </w:r>
      <w:r>
        <w:t>’</w:t>
      </w:r>
      <w:r w:rsidRPr="001D6294">
        <w:t>ordre chronologique)</w:t>
      </w:r>
      <w:r w:rsidR="004817DF">
        <w:t> :</w:t>
      </w:r>
      <w:r w:rsidRPr="001D6294">
        <w:t xml:space="preserve"> Arabie saoudite</w:t>
      </w:r>
      <w:r w:rsidR="004817DF">
        <w:t> ;</w:t>
      </w:r>
      <w:r w:rsidRPr="001D6294">
        <w:t xml:space="preserve"> Fédération de Russie</w:t>
      </w:r>
      <w:r w:rsidR="004817DF">
        <w:t> ;</w:t>
      </w:r>
      <w:r w:rsidRPr="001D6294">
        <w:t xml:space="preserve"> Pakistan</w:t>
      </w:r>
      <w:r w:rsidR="004817DF">
        <w:t> ;</w:t>
      </w:r>
      <w:r w:rsidRPr="001D6294">
        <w:t xml:space="preserve"> Bélarus</w:t>
      </w:r>
      <w:r w:rsidR="004817DF">
        <w:t> ;</w:t>
      </w:r>
      <w:r w:rsidRPr="001D6294">
        <w:t xml:space="preserve"> Saint-Siège</w:t>
      </w:r>
      <w:r w:rsidR="004817DF">
        <w:t> ;</w:t>
      </w:r>
      <w:r w:rsidRPr="001D6294">
        <w:t xml:space="preserve"> Hong</w:t>
      </w:r>
      <w:r>
        <w:t> </w:t>
      </w:r>
      <w:r w:rsidRPr="001D6294">
        <w:t>Kong (Chine)</w:t>
      </w:r>
      <w:r w:rsidR="004817DF">
        <w:t> ;</w:t>
      </w:r>
      <w:r w:rsidRPr="001D6294">
        <w:t xml:space="preserve"> Tadjikistan</w:t>
      </w:r>
      <w:r w:rsidR="004817DF">
        <w:t> ;</w:t>
      </w:r>
      <w:r w:rsidRPr="001D6294">
        <w:t xml:space="preserve"> Guatemala</w:t>
      </w:r>
      <w:r w:rsidR="004817DF">
        <w:t> ;</w:t>
      </w:r>
      <w:r>
        <w:t xml:space="preserve"> Canada</w:t>
      </w:r>
      <w:r w:rsidR="004817DF">
        <w:t> ;</w:t>
      </w:r>
      <w:r>
        <w:t xml:space="preserve"> Royaume-Uni de Grande-Bretagne et d’Irlande du Nord</w:t>
      </w:r>
      <w:r w:rsidRPr="000A213B">
        <w:rPr>
          <w:rStyle w:val="Appelnotedebasdep"/>
        </w:rPr>
        <w:footnoteReference w:id="10"/>
      </w:r>
      <w:r w:rsidRPr="001D6294">
        <w:t>.</w:t>
      </w:r>
      <w:bookmarkStart w:id="129" w:name="_Hlk11937307"/>
      <w:bookmarkEnd w:id="129"/>
    </w:p>
    <w:p w14:paraId="385D74E9" w14:textId="77777777" w:rsidR="00712772" w:rsidRPr="001D6294" w:rsidRDefault="00712772" w:rsidP="00712772">
      <w:pPr>
        <w:pStyle w:val="SingleTxtG"/>
      </w:pPr>
      <w:r w:rsidRPr="001D6294">
        <w:t>50.</w:t>
      </w:r>
      <w:r w:rsidRPr="001D6294">
        <w:tab/>
        <w:t>Aux soixante-septième et soixante-huitième sessions, le Rapporteur chargé du suivi des observations finales a présenté oralement au Comité des rapports intermédiaires sur la procédure, comme cela avait été fait aux sessions précédentes.</w:t>
      </w:r>
    </w:p>
    <w:p w14:paraId="745AD2DD" w14:textId="77777777" w:rsidR="00712772" w:rsidRPr="001D6294" w:rsidRDefault="00712772" w:rsidP="00712772">
      <w:pPr>
        <w:pStyle w:val="HChG"/>
      </w:pPr>
      <w:r>
        <w:tab/>
      </w:r>
      <w:r w:rsidRPr="001D6294">
        <w:t>V.</w:t>
      </w:r>
      <w:r w:rsidRPr="001D6294">
        <w:tab/>
        <w:t>Activités menées par le Comité en application de l</w:t>
      </w:r>
      <w:r>
        <w:t>’</w:t>
      </w:r>
      <w:r w:rsidRPr="001D6294">
        <w:t>article</w:t>
      </w:r>
      <w:r w:rsidR="009D4883">
        <w:t xml:space="preserve"> </w:t>
      </w:r>
      <w:r w:rsidRPr="001D6294">
        <w:t>20 de la Convention</w:t>
      </w:r>
      <w:bookmarkStart w:id="130" w:name="_Toc14181239"/>
      <w:bookmarkStart w:id="131" w:name="_Toc37768178"/>
      <w:bookmarkEnd w:id="130"/>
      <w:bookmarkEnd w:id="131"/>
    </w:p>
    <w:p w14:paraId="5B586411" w14:textId="77777777" w:rsidR="00712772" w:rsidRPr="001D6294" w:rsidRDefault="00712772" w:rsidP="00712772">
      <w:pPr>
        <w:pStyle w:val="SingleTxtG"/>
      </w:pPr>
      <w:r w:rsidRPr="001D6294">
        <w:t>51.</w:t>
      </w:r>
      <w:r w:rsidRPr="001D6294">
        <w:tab/>
        <w:t>Le Comité a poursuivi ses travaux en application de l</w:t>
      </w:r>
      <w:r>
        <w:t>’</w:t>
      </w:r>
      <w:r w:rsidRPr="001D6294">
        <w:t>article 20 de la Convention pendant la période couverte par le présent rapport.</w:t>
      </w:r>
    </w:p>
    <w:p w14:paraId="6903BCB6" w14:textId="77777777" w:rsidR="00712772" w:rsidRPr="001D6294" w:rsidRDefault="00712772" w:rsidP="00712772">
      <w:pPr>
        <w:pStyle w:val="SingleTxtG"/>
      </w:pPr>
      <w:r w:rsidRPr="001D6294">
        <w:t>52.</w:t>
      </w:r>
      <w:r w:rsidRPr="001D6294">
        <w:tab/>
        <w:t>Dans le cadre des activités de suivi du Comité, les rapporteurs pour l</w:t>
      </w:r>
      <w:r>
        <w:t>’</w:t>
      </w:r>
      <w:r w:rsidRPr="001D6294">
        <w:t>article 20 ont continué à encourager les États parties ayant fait l</w:t>
      </w:r>
      <w:r>
        <w:t>’</w:t>
      </w:r>
      <w:r w:rsidRPr="001D6294">
        <w:t>objet d</w:t>
      </w:r>
      <w:r>
        <w:t>’</w:t>
      </w:r>
      <w:r w:rsidRPr="001D6294">
        <w:t>une enquête dont les résultats ont été rendus publics à prendre des mesures pour mettre en œuvre les recommandations du</w:t>
      </w:r>
      <w:r w:rsidR="009D4883">
        <w:t> </w:t>
      </w:r>
      <w:r w:rsidRPr="001D6294">
        <w:t>Comité.</w:t>
      </w:r>
    </w:p>
    <w:p w14:paraId="4F6B7878" w14:textId="77777777" w:rsidR="00712772" w:rsidRPr="001D6294" w:rsidRDefault="00712772" w:rsidP="004817DF">
      <w:pPr>
        <w:pStyle w:val="HChG"/>
      </w:pPr>
      <w:r>
        <w:tab/>
      </w:r>
      <w:r w:rsidRPr="001D6294">
        <w:t>VI.</w:t>
      </w:r>
      <w:r w:rsidRPr="001D6294">
        <w:tab/>
        <w:t xml:space="preserve">Examen de communications soumises en application </w:t>
      </w:r>
      <w:r>
        <w:br/>
      </w:r>
      <w:r w:rsidRPr="001D6294">
        <w:t>de l</w:t>
      </w:r>
      <w:r>
        <w:t>’</w:t>
      </w:r>
      <w:r w:rsidRPr="001D6294">
        <w:t>article 22 de la Convention</w:t>
      </w:r>
      <w:bookmarkStart w:id="132" w:name="_Toc14181240"/>
      <w:bookmarkStart w:id="133" w:name="_Toc37768179"/>
      <w:bookmarkEnd w:id="132"/>
      <w:bookmarkEnd w:id="133"/>
    </w:p>
    <w:p w14:paraId="68F97213" w14:textId="77777777" w:rsidR="00712772" w:rsidRPr="001D6294" w:rsidRDefault="00712772" w:rsidP="004817DF">
      <w:pPr>
        <w:pStyle w:val="H1G"/>
      </w:pPr>
      <w:r>
        <w:tab/>
      </w:r>
      <w:r w:rsidRPr="001D6294">
        <w:t>A.</w:t>
      </w:r>
      <w:r w:rsidRPr="001D6294">
        <w:tab/>
        <w:t>Introduction</w:t>
      </w:r>
      <w:bookmarkStart w:id="134" w:name="_Toc14181241"/>
      <w:bookmarkStart w:id="135" w:name="_Toc37768180"/>
      <w:bookmarkEnd w:id="134"/>
      <w:bookmarkEnd w:id="135"/>
    </w:p>
    <w:p w14:paraId="449A44FA" w14:textId="77777777" w:rsidR="00712772" w:rsidRPr="001D6294" w:rsidRDefault="00712772" w:rsidP="004817DF">
      <w:pPr>
        <w:pStyle w:val="SingleTxtG"/>
      </w:pPr>
      <w:r w:rsidRPr="001D6294">
        <w:t>53.</w:t>
      </w:r>
      <w:r w:rsidRPr="001D6294">
        <w:tab/>
        <w:t>Conformément à l</w:t>
      </w:r>
      <w:r>
        <w:t>’</w:t>
      </w:r>
      <w:r w:rsidRPr="001D6294">
        <w:t>article 22 de la Convention, les particuliers qui affirment être victimes d</w:t>
      </w:r>
      <w:r>
        <w:t>’</w:t>
      </w:r>
      <w:r w:rsidRPr="001D6294">
        <w:t>une violation par un État partie des dispositions de la Convention ont le droit d</w:t>
      </w:r>
      <w:r>
        <w:t>’</w:t>
      </w:r>
      <w:r w:rsidRPr="001D6294">
        <w:t>adresser une requête au Comité contre la torture pour examen, sous réserve des conditions énoncées dans cet article. Soixante-neuf des États parties à la Convention ont déclaré reconnaître la compétence du Comité pour recevoir et examiner des requêtes en vertu de l</w:t>
      </w:r>
      <w:r>
        <w:t>’</w:t>
      </w:r>
      <w:r w:rsidRPr="001D6294">
        <w:t>article 22 de la Convention. Le Comité ne peut pas recevoir de requête concernant un État partie à la Convention qui n</w:t>
      </w:r>
      <w:r>
        <w:t>’</w:t>
      </w:r>
      <w:r w:rsidRPr="001D6294">
        <w:t>a pas reconnu sa compétence en vertu de l</w:t>
      </w:r>
      <w:r>
        <w:t>’</w:t>
      </w:r>
      <w:r w:rsidRPr="001D6294">
        <w:t>article</w:t>
      </w:r>
      <w:r>
        <w:t> </w:t>
      </w:r>
      <w:r w:rsidRPr="001D6294">
        <w:t>22.</w:t>
      </w:r>
    </w:p>
    <w:p w14:paraId="6D55113F" w14:textId="77777777" w:rsidR="00712772" w:rsidRPr="001D6294" w:rsidRDefault="00712772" w:rsidP="004817DF">
      <w:pPr>
        <w:pStyle w:val="SingleTxtG"/>
      </w:pPr>
      <w:r w:rsidRPr="001D6294">
        <w:t>54.</w:t>
      </w:r>
      <w:r w:rsidRPr="001D6294">
        <w:tab/>
        <w:t>Conformément au paragraphe 1 de l</w:t>
      </w:r>
      <w:r>
        <w:t>’</w:t>
      </w:r>
      <w:r w:rsidRPr="001D6294">
        <w:t>article 104 de son règlement intérieur, le Comité a créé le poste de Rapporteur chargé des nouvelles requêtes et des mesures provisoires de protection, qui est actuellement occupé par M.</w:t>
      </w:r>
      <w:r w:rsidR="009D4883">
        <w:t> </w:t>
      </w:r>
      <w:proofErr w:type="spellStart"/>
      <w:r w:rsidRPr="001D6294">
        <w:t>Rodríguez</w:t>
      </w:r>
      <w:proofErr w:type="spellEnd"/>
      <w:r w:rsidRPr="001D6294">
        <w:t>-Pinzón.</w:t>
      </w:r>
    </w:p>
    <w:p w14:paraId="73838356" w14:textId="77777777" w:rsidR="00712772" w:rsidRPr="001D6294" w:rsidRDefault="00712772" w:rsidP="004817DF">
      <w:pPr>
        <w:pStyle w:val="SingleTxtG"/>
      </w:pPr>
      <w:r w:rsidRPr="001D6294">
        <w:t>55.</w:t>
      </w:r>
      <w:r w:rsidRPr="001D6294">
        <w:tab/>
        <w:t>Les requêtes soumises en application de l</w:t>
      </w:r>
      <w:r>
        <w:t>’</w:t>
      </w:r>
      <w:r w:rsidRPr="001D6294">
        <w:t>article 22 de la Convention sont examinées en séance privée. Tous les documents relatifs aux travaux du Comité au titre de l</w:t>
      </w:r>
      <w:r>
        <w:t>’</w:t>
      </w:r>
      <w:r w:rsidRPr="001D6294">
        <w:t>article</w:t>
      </w:r>
      <w:r>
        <w:t> </w:t>
      </w:r>
      <w:r w:rsidRPr="001D6294">
        <w:t>22 (observations des parties et autres documents de travail du Comité) sont confidentiels.</w:t>
      </w:r>
    </w:p>
    <w:p w14:paraId="17527859" w14:textId="77777777" w:rsidR="00712772" w:rsidRPr="001D6294" w:rsidRDefault="00712772" w:rsidP="004817DF">
      <w:pPr>
        <w:pStyle w:val="SingleTxtG"/>
      </w:pPr>
      <w:r w:rsidRPr="001D6294">
        <w:t>56.</w:t>
      </w:r>
      <w:r w:rsidRPr="001D6294">
        <w:tab/>
        <w:t>Le Comité rend une décision à la lumière de tous les renseignements qui lui sont apportés par les parties. Ses constatations sont communiquées aux parties et sont ensuite rendues publiques. Le texte des décisions du Comité déclarant une requête irrecevable ou mettant fin à l</w:t>
      </w:r>
      <w:r>
        <w:t>’</w:t>
      </w:r>
      <w:r w:rsidRPr="001D6294">
        <w:t>examen d</w:t>
      </w:r>
      <w:r>
        <w:t>’</w:t>
      </w:r>
      <w:r w:rsidRPr="001D6294">
        <w:t>une requête est également rendu public. L</w:t>
      </w:r>
      <w:r>
        <w:t>’</w:t>
      </w:r>
      <w:r w:rsidRPr="001D6294">
        <w:t>identité du requérant n</w:t>
      </w:r>
      <w:r>
        <w:t>’</w:t>
      </w:r>
      <w:r w:rsidRPr="001D6294">
        <w:t>est pas divulguée, mais le nom de l</w:t>
      </w:r>
      <w:r>
        <w:t>’</w:t>
      </w:r>
      <w:r w:rsidRPr="001D6294">
        <w:t>État partie concerné est indiqué.</w:t>
      </w:r>
    </w:p>
    <w:p w14:paraId="51DFBCC8" w14:textId="77777777" w:rsidR="00712772" w:rsidRPr="001D6294" w:rsidRDefault="00712772" w:rsidP="004817DF">
      <w:pPr>
        <w:pStyle w:val="H1G"/>
      </w:pPr>
      <w:r>
        <w:lastRenderedPageBreak/>
        <w:tab/>
      </w:r>
      <w:r w:rsidRPr="001D6294">
        <w:t>B.</w:t>
      </w:r>
      <w:r w:rsidRPr="001D6294">
        <w:tab/>
        <w:t>Mesures provisoires de protection</w:t>
      </w:r>
      <w:bookmarkStart w:id="136" w:name="_Toc14181242"/>
      <w:bookmarkStart w:id="137" w:name="_Toc37768181"/>
      <w:bookmarkEnd w:id="136"/>
      <w:bookmarkEnd w:id="137"/>
    </w:p>
    <w:p w14:paraId="0F5A2551" w14:textId="77777777" w:rsidR="00712772" w:rsidRPr="001D6294" w:rsidRDefault="00712772" w:rsidP="004817DF">
      <w:pPr>
        <w:pStyle w:val="SingleTxtG"/>
      </w:pPr>
      <w:r w:rsidRPr="001D6294">
        <w:t>57.</w:t>
      </w:r>
      <w:r w:rsidRPr="001D6294">
        <w:tab/>
        <w:t>Il est fréquent que les requérants demandent une protection à titre préventif, en particulier quand ils sont sous le coup d</w:t>
      </w:r>
      <w:r>
        <w:t>’</w:t>
      </w:r>
      <w:r w:rsidRPr="001D6294">
        <w:t>une mesure d</w:t>
      </w:r>
      <w:r>
        <w:t>’</w:t>
      </w:r>
      <w:r w:rsidRPr="001D6294">
        <w:t>expulsion ou d</w:t>
      </w:r>
      <w:r>
        <w:t>’</w:t>
      </w:r>
      <w:r w:rsidRPr="001D6294">
        <w:t>extradition imminente et qu</w:t>
      </w:r>
      <w:r>
        <w:t>’</w:t>
      </w:r>
      <w:r w:rsidRPr="001D6294">
        <w:t>ils dénoncent un risque de violation de l</w:t>
      </w:r>
      <w:r>
        <w:t>’</w:t>
      </w:r>
      <w:r w:rsidRPr="001D6294">
        <w:t>article 3 de la Convention. En vertu du paragraphe 1 de l</w:t>
      </w:r>
      <w:r>
        <w:t>’</w:t>
      </w:r>
      <w:r w:rsidRPr="001D6294">
        <w:t>article 114 de son règlement intérieur, le Comité, par l</w:t>
      </w:r>
      <w:r>
        <w:t>’</w:t>
      </w:r>
      <w:r w:rsidRPr="001D6294">
        <w:t>intermédiaire de son Rapporteur chargé des nouvelles requêtes et des mesures provisoires de protection peut, à tout moment après avoir reçu une requête, adresser à l</w:t>
      </w:r>
      <w:r>
        <w:t>’</w:t>
      </w:r>
      <w:r w:rsidRPr="001D6294">
        <w:t>État partie une demande tendant à ce qu</w:t>
      </w:r>
      <w:r>
        <w:t>’</w:t>
      </w:r>
      <w:r w:rsidRPr="001D6294">
        <w:t>il prenne les mesures provisoires que le Comité juge nécessaires pour éviter qu</w:t>
      </w:r>
      <w:r>
        <w:t>’</w:t>
      </w:r>
      <w:r w:rsidRPr="001D6294">
        <w:t>un préjudice irréparable ne soit causé à la victime ou aux victimes de la violation alléguée. L</w:t>
      </w:r>
      <w:r>
        <w:t>’</w:t>
      </w:r>
      <w:r w:rsidRPr="001D6294">
        <w:t xml:space="preserve">État partie est informé que la demande de mesures provisoires ne préjuge pas la décision qui sera prise en définitive sur la recevabilité ou sur le fond de la requête. Pendant la période couverte par le présent rapport, </w:t>
      </w:r>
      <w:r>
        <w:t>6</w:t>
      </w:r>
      <w:r w:rsidRPr="001D6294">
        <w:t>3</w:t>
      </w:r>
      <w:r w:rsidR="00E54B3B">
        <w:t> </w:t>
      </w:r>
      <w:r w:rsidRPr="001D6294">
        <w:t>demandes de mesures provisoires de protection ont été formulées concernant des requêtes, dont 2</w:t>
      </w:r>
      <w:r>
        <w:t>6</w:t>
      </w:r>
      <w:r w:rsidRPr="001D6294">
        <w:t xml:space="preserve"> ont été approuvées par le Rapporteur chargé des nouvelles requêtes et des mesures provisoires de protection, qui surveille le respect par les États parties de ces demandes.</w:t>
      </w:r>
    </w:p>
    <w:p w14:paraId="1056540B" w14:textId="77777777" w:rsidR="00712772" w:rsidRPr="001D6294" w:rsidRDefault="00712772" w:rsidP="004817DF">
      <w:pPr>
        <w:pStyle w:val="H1G"/>
      </w:pPr>
      <w:r>
        <w:tab/>
      </w:r>
      <w:r w:rsidRPr="001D6294">
        <w:t>C.</w:t>
      </w:r>
      <w:r w:rsidRPr="001D6294">
        <w:tab/>
        <w:t>État des travaux</w:t>
      </w:r>
      <w:bookmarkStart w:id="138" w:name="_Toc14181243"/>
      <w:bookmarkStart w:id="139" w:name="_Toc37768182"/>
      <w:bookmarkEnd w:id="138"/>
      <w:bookmarkEnd w:id="139"/>
    </w:p>
    <w:p w14:paraId="5AE2E5A3" w14:textId="4EEE0C9B" w:rsidR="00712772" w:rsidRPr="00B4186D" w:rsidRDefault="00712772" w:rsidP="004817DF">
      <w:pPr>
        <w:pStyle w:val="SingleTxtG"/>
      </w:pPr>
      <w:r w:rsidRPr="001D6294">
        <w:t>58.</w:t>
      </w:r>
      <w:r w:rsidRPr="001D6294">
        <w:tab/>
        <w:t>Au 15</w:t>
      </w:r>
      <w:r w:rsidR="00D715E1">
        <w:t xml:space="preserve"> mai </w:t>
      </w:r>
      <w:r w:rsidRPr="001D6294">
        <w:t xml:space="preserve">2020, le Comité avait enregistré, depuis 1989, </w:t>
      </w:r>
      <w:r>
        <w:t>1 00</w:t>
      </w:r>
      <w:r w:rsidRPr="001D6294">
        <w:t>3 requêtes concernant 39</w:t>
      </w:r>
      <w:r w:rsidR="00E54B3B">
        <w:t> </w:t>
      </w:r>
      <w:r w:rsidRPr="001D6294">
        <w:t>États parties</w:t>
      </w:r>
      <w:r w:rsidRPr="000A213B">
        <w:rPr>
          <w:rStyle w:val="Appelnotedebasdep"/>
        </w:rPr>
        <w:footnoteReference w:id="11"/>
      </w:r>
      <w:r w:rsidRPr="001D6294">
        <w:t xml:space="preserve">. Sur ce nombre, </w:t>
      </w:r>
      <w:r>
        <w:t>30</w:t>
      </w:r>
      <w:r w:rsidRPr="001D6294">
        <w:t>0 avaient été classées et 113 avaient été déclarées irrecevables. Le Comité avait adopté des constatations sur le fond pour 398</w:t>
      </w:r>
      <w:r w:rsidR="009D4883">
        <w:t> </w:t>
      </w:r>
      <w:r w:rsidRPr="001D6294">
        <w:t>requêtes et constaté que les faits faisaient apparaître des violations de la Convention dans 158 d</w:t>
      </w:r>
      <w:r>
        <w:t>’</w:t>
      </w:r>
      <w:r w:rsidRPr="001D6294">
        <w:t>entre elles. Pendant la période considérée, le Comité a adopté deux décisions concernant la recevabilité et a reporté l</w:t>
      </w:r>
      <w:r>
        <w:t>’</w:t>
      </w:r>
      <w:r w:rsidRPr="001D6294">
        <w:t>examen de trois requêtes. Quelque 1</w:t>
      </w:r>
      <w:r>
        <w:t>92</w:t>
      </w:r>
      <w:r w:rsidR="00E54B3B">
        <w:t> </w:t>
      </w:r>
      <w:r w:rsidRPr="001D6294">
        <w:t>requêtes n</w:t>
      </w:r>
      <w:r>
        <w:t>’</w:t>
      </w:r>
      <w:r w:rsidRPr="001D6294">
        <w:t>avaient pas encore été examinées. Toutes les décisions adoptées sur le fond, ainsi que les décisions d</w:t>
      </w:r>
      <w:r>
        <w:t>’</w:t>
      </w:r>
      <w:r w:rsidRPr="001D6294">
        <w:t>irrecevabilité et de cessation de l</w:t>
      </w:r>
      <w:r>
        <w:t>’</w:t>
      </w:r>
      <w:r w:rsidRPr="001D6294">
        <w:t>examen, peuvent être consultées dans la base de données sur la jurisprudence des organes conventionne</w:t>
      </w:r>
      <w:r w:rsidRPr="00B4186D">
        <w:t>ls (</w:t>
      </w:r>
      <w:hyperlink r:id="rId88" w:history="1">
        <w:r w:rsidRPr="00B4186D">
          <w:rPr>
            <w:rStyle w:val="Lienhypertexte"/>
          </w:rPr>
          <w:t>http</w:t>
        </w:r>
        <w:r w:rsidR="004817DF">
          <w:rPr>
            <w:rStyle w:val="Lienhypertexte"/>
          </w:rPr>
          <w:t>:/</w:t>
        </w:r>
        <w:r w:rsidRPr="00B4186D">
          <w:rPr>
            <w:rStyle w:val="Lienhypertexte"/>
          </w:rPr>
          <w:t>/juris.ohchr.org/</w:t>
        </w:r>
      </w:hyperlink>
      <w:r w:rsidRPr="00B4186D">
        <w:t xml:space="preserve">) </w:t>
      </w:r>
      <w:r w:rsidRPr="001D6294">
        <w:t>ainsi que sur le site Web du HCDH (</w:t>
      </w:r>
      <w:hyperlink r:id="rId89" w:history="1">
        <w:r w:rsidRPr="00B4186D">
          <w:rPr>
            <w:rStyle w:val="Lienhypertexte"/>
          </w:rPr>
          <w:t>www.ohchr.org</w:t>
        </w:r>
      </w:hyperlink>
      <w:r w:rsidRPr="001D6294">
        <w:t xml:space="preserve">) et dans le Système de diffusion électronique des documents de </w:t>
      </w:r>
      <w:r w:rsidRPr="00B4186D">
        <w:t>l</w:t>
      </w:r>
      <w:r>
        <w:t>’</w:t>
      </w:r>
      <w:r w:rsidRPr="00B4186D">
        <w:t>ONU (</w:t>
      </w:r>
      <w:hyperlink r:id="rId90" w:history="1">
        <w:r w:rsidRPr="00B4186D">
          <w:rPr>
            <w:rStyle w:val="Lienhypertexte"/>
          </w:rPr>
          <w:t>http</w:t>
        </w:r>
        <w:r w:rsidR="004817DF">
          <w:rPr>
            <w:rStyle w:val="Lienhypertexte"/>
          </w:rPr>
          <w:t>:/</w:t>
        </w:r>
        <w:r w:rsidRPr="00B4186D">
          <w:rPr>
            <w:rStyle w:val="Lienhypertexte"/>
          </w:rPr>
          <w:t>/documents.un.org/prod/ods.nsf/home.xsp</w:t>
        </w:r>
      </w:hyperlink>
      <w:r w:rsidRPr="00B4186D">
        <w:t>).</w:t>
      </w:r>
      <w:bookmarkStart w:id="140" w:name="_Hlk37079242"/>
    </w:p>
    <w:bookmarkEnd w:id="140"/>
    <w:p w14:paraId="4D908E88" w14:textId="77777777" w:rsidR="00712772" w:rsidRPr="001D6294" w:rsidRDefault="00712772" w:rsidP="004817DF">
      <w:pPr>
        <w:pStyle w:val="SingleTxtG"/>
      </w:pPr>
      <w:r w:rsidRPr="001D6294">
        <w:t>59.</w:t>
      </w:r>
      <w:r w:rsidRPr="001D6294">
        <w:tab/>
        <w:t>À sa soixante-septième session, le Comité a adopté une décision sur le fond concernant cinq communications. Dans l</w:t>
      </w:r>
      <w:r>
        <w:t>’</w:t>
      </w:r>
      <w:r w:rsidRPr="001D6294">
        <w:t xml:space="preserve">affaire </w:t>
      </w:r>
      <w:r w:rsidRPr="001D6294">
        <w:rPr>
          <w:i/>
          <w:iCs/>
        </w:rPr>
        <w:t>A c. Bosnie-Herzégovine</w:t>
      </w:r>
      <w:r w:rsidRPr="001D6294">
        <w:t xml:space="preserve"> (</w:t>
      </w:r>
      <w:hyperlink r:id="rId91" w:history="1">
        <w:r w:rsidRPr="009D4883">
          <w:rPr>
            <w:rStyle w:val="Lienhypertexte"/>
          </w:rPr>
          <w:t>CAT/C/67/D/</w:t>
        </w:r>
        <w:r w:rsidR="00E54B3B">
          <w:rPr>
            <w:rStyle w:val="Lienhypertexte"/>
          </w:rPr>
          <w:t xml:space="preserve"> </w:t>
        </w:r>
        <w:r w:rsidRPr="009D4883">
          <w:rPr>
            <w:rStyle w:val="Lienhypertexte"/>
          </w:rPr>
          <w:t>854/2017</w:t>
        </w:r>
      </w:hyperlink>
      <w:r w:rsidRPr="001D6294">
        <w:t>), le Comité a conclu à une violation du paragraphe 1 de l</w:t>
      </w:r>
      <w:r>
        <w:t>’</w:t>
      </w:r>
      <w:r w:rsidRPr="001D6294">
        <w:t>article 14, lu conjointement avec le paragraphe 1 de l</w:t>
      </w:r>
      <w:r>
        <w:t>’</w:t>
      </w:r>
      <w:r w:rsidRPr="001D6294">
        <w:t>article premier de la Convention, car l</w:t>
      </w:r>
      <w:r>
        <w:t>’</w:t>
      </w:r>
      <w:r w:rsidRPr="001D6294">
        <w:t>État partie n</w:t>
      </w:r>
      <w:r>
        <w:t>’</w:t>
      </w:r>
      <w:r w:rsidRPr="001D6294">
        <w:t>avait pas accordé de réparation, notamment une indemnisation juste et adéquate, à la requérante, dont il avait été établi qu</w:t>
      </w:r>
      <w:r>
        <w:t>’</w:t>
      </w:r>
      <w:r w:rsidRPr="001D6294">
        <w:t>elle avait été victime d</w:t>
      </w:r>
      <w:r>
        <w:t>’</w:t>
      </w:r>
      <w:r w:rsidRPr="001D6294">
        <w:t>un viol en tant que crime de guerre contre la population civile commis pendant le conflit armé. Dans l</w:t>
      </w:r>
      <w:r>
        <w:t>’</w:t>
      </w:r>
      <w:r w:rsidRPr="001D6294">
        <w:t xml:space="preserve">affaire </w:t>
      </w:r>
      <w:proofErr w:type="spellStart"/>
      <w:r w:rsidRPr="001D6294">
        <w:rPr>
          <w:i/>
          <w:iCs/>
        </w:rPr>
        <w:t>Ayaz</w:t>
      </w:r>
      <w:proofErr w:type="spellEnd"/>
      <w:r w:rsidRPr="001D6294">
        <w:rPr>
          <w:i/>
          <w:iCs/>
        </w:rPr>
        <w:t xml:space="preserve"> c. Serbie</w:t>
      </w:r>
      <w:r w:rsidRPr="001D6294">
        <w:t xml:space="preserve"> (</w:t>
      </w:r>
      <w:hyperlink r:id="rId92" w:history="1">
        <w:r w:rsidRPr="009D4883">
          <w:rPr>
            <w:rStyle w:val="Lienhypertexte"/>
          </w:rPr>
          <w:t>CAT/C/67/D/857/2017</w:t>
        </w:r>
      </w:hyperlink>
      <w:r w:rsidRPr="001D6294">
        <w:t>), le Comité a conclu que le renvoi par l</w:t>
      </w:r>
      <w:r>
        <w:t>’</w:t>
      </w:r>
      <w:r w:rsidRPr="001D6294">
        <w:t>État partie du requérant en Turquie, malgré une demande de mesures provisoires, avait constitué une violation des articles 3 et 22 de la Convention. Le Comité a conclu que le retour forcé ou l</w:t>
      </w:r>
      <w:r>
        <w:t>’</w:t>
      </w:r>
      <w:r w:rsidRPr="001D6294">
        <w:t>extradition des requérants ne constituerait pas une violation par les États parties de l</w:t>
      </w:r>
      <w:r>
        <w:t>’</w:t>
      </w:r>
      <w:r w:rsidRPr="001D6294">
        <w:t>article</w:t>
      </w:r>
      <w:r>
        <w:t> </w:t>
      </w:r>
      <w:r w:rsidRPr="001D6294">
        <w:t xml:space="preserve">3 de la Convention dans ses décisions relatives aux affaires </w:t>
      </w:r>
      <w:r w:rsidRPr="001D6294">
        <w:rPr>
          <w:i/>
          <w:iCs/>
        </w:rPr>
        <w:t>V.</w:t>
      </w:r>
      <w:r>
        <w:rPr>
          <w:i/>
          <w:iCs/>
        </w:rPr>
        <w:t> </w:t>
      </w:r>
      <w:r w:rsidRPr="001D6294">
        <w:rPr>
          <w:i/>
          <w:iCs/>
        </w:rPr>
        <w:t>M. c. Australie</w:t>
      </w:r>
      <w:r w:rsidRPr="001D6294">
        <w:t xml:space="preserve"> (</w:t>
      </w:r>
      <w:hyperlink r:id="rId93" w:history="1">
        <w:r w:rsidRPr="009D4883">
          <w:rPr>
            <w:rStyle w:val="Lienhypertexte"/>
          </w:rPr>
          <w:t>CAT/C/67/D/723/2015</w:t>
        </w:r>
      </w:hyperlink>
      <w:r w:rsidRPr="001D6294">
        <w:t xml:space="preserve">), </w:t>
      </w:r>
      <w:r w:rsidRPr="001D6294">
        <w:rPr>
          <w:i/>
          <w:iCs/>
        </w:rPr>
        <w:t>X</w:t>
      </w:r>
      <w:r>
        <w:rPr>
          <w:i/>
          <w:iCs/>
        </w:rPr>
        <w:t>.</w:t>
      </w:r>
      <w:r w:rsidRPr="001D6294">
        <w:rPr>
          <w:i/>
          <w:iCs/>
        </w:rPr>
        <w:t xml:space="preserve"> c. Suisse</w:t>
      </w:r>
      <w:r w:rsidRPr="001D6294">
        <w:t xml:space="preserve"> (</w:t>
      </w:r>
      <w:hyperlink r:id="rId94" w:history="1">
        <w:r w:rsidRPr="009D4883">
          <w:rPr>
            <w:rStyle w:val="Lienhypertexte"/>
          </w:rPr>
          <w:t>CAT/C/67/D/775/2016</w:t>
        </w:r>
      </w:hyperlink>
      <w:r w:rsidRPr="001D6294">
        <w:t xml:space="preserve">) et </w:t>
      </w:r>
      <w:r w:rsidRPr="001D6294">
        <w:rPr>
          <w:i/>
          <w:iCs/>
        </w:rPr>
        <w:t xml:space="preserve">X, Y et autres c. Suède </w:t>
      </w:r>
      <w:r w:rsidRPr="001D6294">
        <w:t>(</w:t>
      </w:r>
      <w:hyperlink r:id="rId95" w:history="1">
        <w:r w:rsidRPr="009D4883">
          <w:rPr>
            <w:rStyle w:val="Lienhypertexte"/>
          </w:rPr>
          <w:t>CAT/C/67/D/816/2017</w:t>
        </w:r>
      </w:hyperlink>
      <w:r w:rsidRPr="001D6294">
        <w:t>).</w:t>
      </w:r>
    </w:p>
    <w:p w14:paraId="3DB8DBF6" w14:textId="77777777" w:rsidR="00712772" w:rsidRPr="001D6294" w:rsidRDefault="00712772" w:rsidP="004817DF">
      <w:pPr>
        <w:pStyle w:val="SingleTxtG"/>
      </w:pPr>
      <w:r w:rsidRPr="001D6294">
        <w:t>60.</w:t>
      </w:r>
      <w:r w:rsidRPr="001D6294">
        <w:tab/>
        <w:t xml:space="preserve">Le Comité a déclaré </w:t>
      </w:r>
      <w:r>
        <w:t>quatre</w:t>
      </w:r>
      <w:r w:rsidRPr="001D6294">
        <w:t xml:space="preserve"> communications irrecevables, à savoir les affaires </w:t>
      </w:r>
      <w:r w:rsidRPr="001D6294">
        <w:rPr>
          <w:i/>
        </w:rPr>
        <w:t>V.</w:t>
      </w:r>
      <w:r>
        <w:rPr>
          <w:i/>
        </w:rPr>
        <w:t> </w:t>
      </w:r>
      <w:r w:rsidRPr="001D6294">
        <w:rPr>
          <w:i/>
        </w:rPr>
        <w:t>P.</w:t>
      </w:r>
      <w:r>
        <w:rPr>
          <w:i/>
        </w:rPr>
        <w:t> </w:t>
      </w:r>
      <w:r w:rsidRPr="001D6294">
        <w:rPr>
          <w:i/>
        </w:rPr>
        <w:t>c. Fédération de Russie</w:t>
      </w:r>
      <w:r w:rsidRPr="001D6294">
        <w:t xml:space="preserve"> (</w:t>
      </w:r>
      <w:hyperlink r:id="rId96" w:history="1">
        <w:r w:rsidRPr="009D4883">
          <w:rPr>
            <w:rStyle w:val="Lienhypertexte"/>
          </w:rPr>
          <w:t>CAT/C/67/D</w:t>
        </w:r>
        <w:r w:rsidRPr="009D4883">
          <w:rPr>
            <w:rStyle w:val="Lienhypertexte"/>
          </w:rPr>
          <w:t>/</w:t>
        </w:r>
        <w:r w:rsidRPr="009D4883">
          <w:rPr>
            <w:rStyle w:val="Lienhypertexte"/>
          </w:rPr>
          <w:t>780/2016</w:t>
        </w:r>
      </w:hyperlink>
      <w:r w:rsidR="00297772">
        <w:t xml:space="preserve"> et </w:t>
      </w:r>
      <w:hyperlink r:id="rId97" w:history="1">
        <w:r w:rsidRPr="00297772">
          <w:rPr>
            <w:rStyle w:val="Lienhypertexte"/>
          </w:rPr>
          <w:t>C</w:t>
        </w:r>
        <w:r w:rsidRPr="00297772">
          <w:rPr>
            <w:rStyle w:val="Lienhypertexte"/>
          </w:rPr>
          <w:t>o</w:t>
        </w:r>
        <w:r w:rsidRPr="00297772">
          <w:rPr>
            <w:rStyle w:val="Lienhypertexte"/>
          </w:rPr>
          <w:t>r</w:t>
        </w:r>
        <w:r w:rsidRPr="00297772">
          <w:rPr>
            <w:rStyle w:val="Lienhypertexte"/>
          </w:rPr>
          <w:t>r.1</w:t>
        </w:r>
      </w:hyperlink>
      <w:r w:rsidRPr="001D6294">
        <w:t xml:space="preserve">), </w:t>
      </w:r>
      <w:r w:rsidRPr="001D6294">
        <w:rPr>
          <w:i/>
        </w:rPr>
        <w:t>X c. Canada</w:t>
      </w:r>
      <w:r w:rsidRPr="001D6294">
        <w:t xml:space="preserve"> (</w:t>
      </w:r>
      <w:hyperlink r:id="rId98" w:history="1">
        <w:r w:rsidRPr="00297772">
          <w:rPr>
            <w:rStyle w:val="Lienhypertexte"/>
          </w:rPr>
          <w:t>CAT/C/67/</w:t>
        </w:r>
        <w:r w:rsidR="00E54B3B">
          <w:rPr>
            <w:rStyle w:val="Lienhypertexte"/>
          </w:rPr>
          <w:t xml:space="preserve"> </w:t>
        </w:r>
        <w:r w:rsidRPr="00297772">
          <w:rPr>
            <w:rStyle w:val="Lienhypertexte"/>
          </w:rPr>
          <w:t>D/791/2016</w:t>
        </w:r>
      </w:hyperlink>
      <w:r w:rsidRPr="001D6294">
        <w:t xml:space="preserve">), </w:t>
      </w:r>
      <w:r w:rsidRPr="001D6294">
        <w:rPr>
          <w:i/>
        </w:rPr>
        <w:t>M.</w:t>
      </w:r>
      <w:r>
        <w:rPr>
          <w:i/>
        </w:rPr>
        <w:t> </w:t>
      </w:r>
      <w:r w:rsidRPr="001D6294">
        <w:rPr>
          <w:i/>
        </w:rPr>
        <w:t>Z. c. Belgique</w:t>
      </w:r>
      <w:r w:rsidRPr="001D6294">
        <w:t xml:space="preserve"> (</w:t>
      </w:r>
      <w:hyperlink r:id="rId99" w:history="1">
        <w:r w:rsidRPr="00297772">
          <w:rPr>
            <w:rStyle w:val="Lienhypertexte"/>
          </w:rPr>
          <w:t>CAT/C/67/D/813/2017</w:t>
        </w:r>
      </w:hyperlink>
      <w:r w:rsidRPr="001D6294">
        <w:t xml:space="preserve">) et </w:t>
      </w:r>
      <w:r w:rsidRPr="001D6294">
        <w:rPr>
          <w:i/>
        </w:rPr>
        <w:t>B.</w:t>
      </w:r>
      <w:r>
        <w:rPr>
          <w:i/>
        </w:rPr>
        <w:t> </w:t>
      </w:r>
      <w:r w:rsidRPr="001D6294">
        <w:rPr>
          <w:i/>
        </w:rPr>
        <w:t>K. c. Suisse</w:t>
      </w:r>
      <w:r w:rsidRPr="001D6294">
        <w:t xml:space="preserve"> (</w:t>
      </w:r>
      <w:hyperlink r:id="rId100" w:history="1">
        <w:r w:rsidRPr="00297772">
          <w:rPr>
            <w:rStyle w:val="Lienhypertexte"/>
          </w:rPr>
          <w:t>CAT/C/67/</w:t>
        </w:r>
        <w:r w:rsidR="00E54B3B">
          <w:rPr>
            <w:rStyle w:val="Lienhypertexte"/>
          </w:rPr>
          <w:t xml:space="preserve"> </w:t>
        </w:r>
        <w:r w:rsidRPr="00297772">
          <w:rPr>
            <w:rStyle w:val="Lienhypertexte"/>
          </w:rPr>
          <w:t>D/828/2017</w:t>
        </w:r>
      </w:hyperlink>
      <w:r w:rsidRPr="001D6294">
        <w:t>), et une communication recevable, l</w:t>
      </w:r>
      <w:r>
        <w:t>’</w:t>
      </w:r>
      <w:r w:rsidRPr="001D6294">
        <w:t xml:space="preserve">affaire </w:t>
      </w:r>
      <w:r w:rsidRPr="001D6294">
        <w:rPr>
          <w:i/>
        </w:rPr>
        <w:t>A c. Maroc</w:t>
      </w:r>
      <w:r w:rsidRPr="001D6294">
        <w:t xml:space="preserve"> (</w:t>
      </w:r>
      <w:r w:rsidRPr="00B4186D">
        <w:rPr>
          <w:rFonts w:eastAsia="MS Mincho"/>
        </w:rPr>
        <w:t>n</w:t>
      </w:r>
      <w:r w:rsidRPr="00B4186D">
        <w:rPr>
          <w:rFonts w:eastAsia="MS Mincho"/>
          <w:vertAlign w:val="superscript"/>
        </w:rPr>
        <w:t>o</w:t>
      </w:r>
      <w:r>
        <w:rPr>
          <w:rFonts w:eastAsia="MS Mincho"/>
          <w:vertAlign w:val="superscript"/>
        </w:rPr>
        <w:t> </w:t>
      </w:r>
      <w:r w:rsidRPr="001D6294">
        <w:t>871/2018), et a mis fin à l</w:t>
      </w:r>
      <w:r>
        <w:t>’</w:t>
      </w:r>
      <w:r w:rsidRPr="001D6294">
        <w:t>examen des communications relatives aux affaire</w:t>
      </w:r>
      <w:r>
        <w:t>s</w:t>
      </w:r>
      <w:r w:rsidRPr="001D6294">
        <w:t xml:space="preserve"> </w:t>
      </w:r>
      <w:r w:rsidRPr="001D6294">
        <w:rPr>
          <w:i/>
        </w:rPr>
        <w:t>J.</w:t>
      </w:r>
      <w:r>
        <w:rPr>
          <w:i/>
        </w:rPr>
        <w:t> </w:t>
      </w:r>
      <w:r w:rsidRPr="001D6294">
        <w:rPr>
          <w:i/>
        </w:rPr>
        <w:t>S. c.</w:t>
      </w:r>
      <w:r>
        <w:rPr>
          <w:i/>
        </w:rPr>
        <w:t xml:space="preserve"> </w:t>
      </w:r>
      <w:r w:rsidRPr="001D6294">
        <w:rPr>
          <w:i/>
        </w:rPr>
        <w:t>Canada</w:t>
      </w:r>
      <w:r w:rsidRPr="001D6294">
        <w:t xml:space="preserve"> (</w:t>
      </w:r>
      <w:hyperlink r:id="rId101" w:history="1">
        <w:r w:rsidRPr="00297772">
          <w:rPr>
            <w:rStyle w:val="Lienhypertexte"/>
          </w:rPr>
          <w:t>CAT/C/67/D/</w:t>
        </w:r>
        <w:r w:rsidR="00E54B3B">
          <w:rPr>
            <w:rStyle w:val="Lienhypertexte"/>
          </w:rPr>
          <w:t xml:space="preserve"> </w:t>
        </w:r>
        <w:r w:rsidRPr="00297772">
          <w:rPr>
            <w:rStyle w:val="Lienhypertexte"/>
          </w:rPr>
          <w:t>665/2015</w:t>
        </w:r>
      </w:hyperlink>
      <w:r w:rsidRPr="001D6294">
        <w:t xml:space="preserve">), </w:t>
      </w:r>
      <w:r w:rsidRPr="001D6294">
        <w:rPr>
          <w:i/>
        </w:rPr>
        <w:t>J.</w:t>
      </w:r>
      <w:r>
        <w:rPr>
          <w:i/>
        </w:rPr>
        <w:t> </w:t>
      </w:r>
      <w:r w:rsidRPr="001D6294">
        <w:rPr>
          <w:i/>
        </w:rPr>
        <w:t>D. c. Suisse</w:t>
      </w:r>
      <w:r w:rsidRPr="001D6294">
        <w:t xml:space="preserve"> (</w:t>
      </w:r>
      <w:hyperlink r:id="rId102" w:history="1">
        <w:r w:rsidRPr="00297772">
          <w:rPr>
            <w:rStyle w:val="Lienhypertexte"/>
          </w:rPr>
          <w:t>CAT/C/67/D/700/2015</w:t>
        </w:r>
      </w:hyperlink>
      <w:r w:rsidRPr="001D6294">
        <w:t xml:space="preserve">), </w:t>
      </w:r>
      <w:r w:rsidRPr="001D6294">
        <w:rPr>
          <w:i/>
        </w:rPr>
        <w:t>G.</w:t>
      </w:r>
      <w:r>
        <w:rPr>
          <w:i/>
        </w:rPr>
        <w:t> </w:t>
      </w:r>
      <w:r w:rsidRPr="001D6294">
        <w:rPr>
          <w:i/>
        </w:rPr>
        <w:t>S. c. Canada</w:t>
      </w:r>
      <w:r w:rsidRPr="001D6294">
        <w:t xml:space="preserve"> (</w:t>
      </w:r>
      <w:hyperlink r:id="rId103" w:history="1">
        <w:r w:rsidRPr="00297772">
          <w:rPr>
            <w:rStyle w:val="Lienhypertexte"/>
          </w:rPr>
          <w:t>CAT/C/67/D/786/</w:t>
        </w:r>
        <w:r w:rsidR="00E54B3B">
          <w:rPr>
            <w:rStyle w:val="Lienhypertexte"/>
          </w:rPr>
          <w:t xml:space="preserve"> </w:t>
        </w:r>
        <w:r w:rsidRPr="00297772">
          <w:rPr>
            <w:rStyle w:val="Lienhypertexte"/>
          </w:rPr>
          <w:t>2016</w:t>
        </w:r>
      </w:hyperlink>
      <w:r w:rsidRPr="001D6294">
        <w:t xml:space="preserve">), </w:t>
      </w:r>
      <w:r w:rsidRPr="001D6294">
        <w:rPr>
          <w:i/>
        </w:rPr>
        <w:t>M.</w:t>
      </w:r>
      <w:r>
        <w:rPr>
          <w:i/>
        </w:rPr>
        <w:t> </w:t>
      </w:r>
      <w:r w:rsidRPr="001D6294">
        <w:rPr>
          <w:i/>
        </w:rPr>
        <w:t>S. c. Canada</w:t>
      </w:r>
      <w:r w:rsidRPr="001D6294">
        <w:t xml:space="preserve"> (</w:t>
      </w:r>
      <w:hyperlink r:id="rId104" w:history="1">
        <w:r w:rsidRPr="00297772">
          <w:rPr>
            <w:rStyle w:val="Lienhypertexte"/>
          </w:rPr>
          <w:t>CAT/C/67/D/787/2016</w:t>
        </w:r>
      </w:hyperlink>
      <w:r w:rsidRPr="001D6294">
        <w:t xml:space="preserve">), </w:t>
      </w:r>
      <w:r w:rsidRPr="001D6294">
        <w:rPr>
          <w:i/>
        </w:rPr>
        <w:t>S.</w:t>
      </w:r>
      <w:r>
        <w:rPr>
          <w:i/>
        </w:rPr>
        <w:t> </w:t>
      </w:r>
      <w:r w:rsidRPr="001D6294">
        <w:rPr>
          <w:i/>
        </w:rPr>
        <w:t>S. c. Pays-Bas</w:t>
      </w:r>
      <w:r w:rsidRPr="001D6294">
        <w:t xml:space="preserve"> (</w:t>
      </w:r>
      <w:hyperlink r:id="rId105" w:history="1">
        <w:r w:rsidRPr="00297772">
          <w:rPr>
            <w:rStyle w:val="Lienhypertexte"/>
          </w:rPr>
          <w:t>CAT/C/67/D/800/</w:t>
        </w:r>
        <w:r w:rsidR="00E54B3B">
          <w:rPr>
            <w:rStyle w:val="Lienhypertexte"/>
          </w:rPr>
          <w:t xml:space="preserve"> </w:t>
        </w:r>
        <w:r w:rsidRPr="00297772">
          <w:rPr>
            <w:rStyle w:val="Lienhypertexte"/>
          </w:rPr>
          <w:t>2017</w:t>
        </w:r>
      </w:hyperlink>
      <w:r w:rsidRPr="001D6294">
        <w:t xml:space="preserve">), </w:t>
      </w:r>
      <w:r w:rsidRPr="001D6294">
        <w:rPr>
          <w:i/>
        </w:rPr>
        <w:t>J.</w:t>
      </w:r>
      <w:r>
        <w:rPr>
          <w:i/>
        </w:rPr>
        <w:t> </w:t>
      </w:r>
      <w:r w:rsidRPr="001D6294">
        <w:rPr>
          <w:i/>
        </w:rPr>
        <w:t>N. c. Australie</w:t>
      </w:r>
      <w:r w:rsidRPr="001D6294">
        <w:t xml:space="preserve"> (CAT/C/67/D/806/2017), </w:t>
      </w:r>
      <w:r w:rsidRPr="001D6294">
        <w:rPr>
          <w:i/>
        </w:rPr>
        <w:t>D.</w:t>
      </w:r>
      <w:r>
        <w:rPr>
          <w:i/>
        </w:rPr>
        <w:t> </w:t>
      </w:r>
      <w:r w:rsidRPr="001D6294">
        <w:rPr>
          <w:i/>
        </w:rPr>
        <w:t>M. c. Finlande</w:t>
      </w:r>
      <w:r w:rsidRPr="001D6294">
        <w:t xml:space="preserve"> (</w:t>
      </w:r>
      <w:hyperlink r:id="rId106" w:history="1">
        <w:r w:rsidRPr="00297772">
          <w:rPr>
            <w:rStyle w:val="Lienhypertexte"/>
          </w:rPr>
          <w:t>CAT/C/67/D/844/</w:t>
        </w:r>
        <w:r w:rsidR="00E54B3B">
          <w:rPr>
            <w:rStyle w:val="Lienhypertexte"/>
          </w:rPr>
          <w:t xml:space="preserve"> </w:t>
        </w:r>
        <w:r w:rsidRPr="00297772">
          <w:rPr>
            <w:rStyle w:val="Lienhypertexte"/>
          </w:rPr>
          <w:t>2017</w:t>
        </w:r>
      </w:hyperlink>
      <w:r w:rsidRPr="001D6294">
        <w:t xml:space="preserve">), </w:t>
      </w:r>
      <w:r w:rsidRPr="001D6294">
        <w:rPr>
          <w:i/>
        </w:rPr>
        <w:t>B.</w:t>
      </w:r>
      <w:r>
        <w:rPr>
          <w:i/>
        </w:rPr>
        <w:t> </w:t>
      </w:r>
      <w:r w:rsidRPr="001D6294">
        <w:rPr>
          <w:i/>
        </w:rPr>
        <w:t>S. c. Canada</w:t>
      </w:r>
      <w:r w:rsidRPr="001D6294">
        <w:t xml:space="preserve"> (</w:t>
      </w:r>
      <w:hyperlink r:id="rId107" w:history="1">
        <w:r w:rsidRPr="00297772">
          <w:rPr>
            <w:rStyle w:val="Lienhypertexte"/>
          </w:rPr>
          <w:t>CAT/C/67/D/849/2017</w:t>
        </w:r>
      </w:hyperlink>
      <w:r w:rsidRPr="001D6294">
        <w:t xml:space="preserve">) et </w:t>
      </w:r>
      <w:r w:rsidRPr="001D6294">
        <w:rPr>
          <w:i/>
        </w:rPr>
        <w:t>J.</w:t>
      </w:r>
      <w:r>
        <w:rPr>
          <w:i/>
        </w:rPr>
        <w:t> </w:t>
      </w:r>
      <w:r w:rsidRPr="001D6294">
        <w:rPr>
          <w:i/>
        </w:rPr>
        <w:t>E. et consorts. c. Suède</w:t>
      </w:r>
      <w:r w:rsidRPr="001D6294">
        <w:t xml:space="preserve"> (</w:t>
      </w:r>
      <w:hyperlink r:id="rId108" w:history="1">
        <w:r w:rsidRPr="00297772">
          <w:rPr>
            <w:rStyle w:val="Lienhypertexte"/>
          </w:rPr>
          <w:t>CAT/C/67/D/</w:t>
        </w:r>
        <w:r w:rsidR="00E54B3B">
          <w:rPr>
            <w:rStyle w:val="Lienhypertexte"/>
          </w:rPr>
          <w:t xml:space="preserve"> </w:t>
        </w:r>
        <w:r w:rsidRPr="00297772">
          <w:rPr>
            <w:rStyle w:val="Lienhypertexte"/>
          </w:rPr>
          <w:t>906/2018</w:t>
        </w:r>
      </w:hyperlink>
      <w:r w:rsidRPr="001D6294">
        <w:t>). Le Comité a également décidé de reporter l</w:t>
      </w:r>
      <w:r>
        <w:t>’</w:t>
      </w:r>
      <w:r w:rsidRPr="001D6294">
        <w:t xml:space="preserve">examen de deux plaintes, à </w:t>
      </w:r>
      <w:r>
        <w:t xml:space="preserve">savoir </w:t>
      </w:r>
      <w:r w:rsidRPr="001D6294">
        <w:lastRenderedPageBreak/>
        <w:t xml:space="preserve">les affaires </w:t>
      </w:r>
      <w:r w:rsidRPr="00C40B5E">
        <w:rPr>
          <w:i/>
        </w:rPr>
        <w:t>E. C. c. Irlande</w:t>
      </w:r>
      <w:r w:rsidRPr="001D6294">
        <w:t xml:space="preserve"> (</w:t>
      </w:r>
      <w:r w:rsidRPr="00C40B5E">
        <w:rPr>
          <w:rFonts w:eastAsia="MS Mincho"/>
        </w:rPr>
        <w:t>n</w:t>
      </w:r>
      <w:r w:rsidRPr="00C40B5E">
        <w:rPr>
          <w:rFonts w:eastAsia="MS Mincho"/>
          <w:vertAlign w:val="superscript"/>
        </w:rPr>
        <w:t>o</w:t>
      </w:r>
      <w:r>
        <w:t> </w:t>
      </w:r>
      <w:r w:rsidRPr="001D6294">
        <w:t xml:space="preserve">879/2018) et </w:t>
      </w:r>
      <w:r w:rsidRPr="00C40B5E">
        <w:rPr>
          <w:i/>
        </w:rPr>
        <w:t>E. I. M. et consorts</w:t>
      </w:r>
      <w:r w:rsidRPr="001D6294">
        <w:t xml:space="preserve"> </w:t>
      </w:r>
      <w:r w:rsidRPr="00C40B5E">
        <w:rPr>
          <w:i/>
        </w:rPr>
        <w:t>c. Suède</w:t>
      </w:r>
      <w:r w:rsidRPr="001D6294">
        <w:t xml:space="preserve"> (</w:t>
      </w:r>
      <w:r w:rsidRPr="00C40B5E">
        <w:rPr>
          <w:rFonts w:eastAsia="MS Mincho"/>
        </w:rPr>
        <w:t>n</w:t>
      </w:r>
      <w:r w:rsidRPr="00C40B5E">
        <w:rPr>
          <w:rFonts w:eastAsia="MS Mincho"/>
          <w:vertAlign w:val="superscript"/>
        </w:rPr>
        <w:t>o</w:t>
      </w:r>
      <w:r>
        <w:t> </w:t>
      </w:r>
      <w:r w:rsidRPr="001D6294">
        <w:t>773/2016) à la session suivante.</w:t>
      </w:r>
      <w:bookmarkStart w:id="141" w:name="_Hlk37081854"/>
      <w:bookmarkEnd w:id="141"/>
    </w:p>
    <w:p w14:paraId="77DB3D10" w14:textId="19D70E35" w:rsidR="00712772" w:rsidRPr="001D6294" w:rsidRDefault="00712772" w:rsidP="004817DF">
      <w:pPr>
        <w:pStyle w:val="SingleTxtG"/>
      </w:pPr>
      <w:r w:rsidRPr="001D6294">
        <w:t>61.</w:t>
      </w:r>
      <w:r w:rsidRPr="001D6294">
        <w:tab/>
        <w:t>À sa soixante-huitième session, le 29</w:t>
      </w:r>
      <w:r w:rsidR="00C27275">
        <w:t> </w:t>
      </w:r>
      <w:r w:rsidRPr="001D6294">
        <w:t>novembre 2019, le Comité a eu un échange de vues avec la Cour européenne des droits de l</w:t>
      </w:r>
      <w:r>
        <w:t>’</w:t>
      </w:r>
      <w:r w:rsidRPr="001D6294">
        <w:t>homme, représentée par le juge Carlo</w:t>
      </w:r>
      <w:r>
        <w:t> </w:t>
      </w:r>
      <w:proofErr w:type="spellStart"/>
      <w:r w:rsidRPr="001D6294">
        <w:t>Ranzoni</w:t>
      </w:r>
      <w:proofErr w:type="spellEnd"/>
      <w:r w:rsidRPr="001D6294">
        <w:t>, la Cour africaine des droits de l</w:t>
      </w:r>
      <w:r>
        <w:t>’</w:t>
      </w:r>
      <w:r w:rsidRPr="001D6294">
        <w:t xml:space="preserve">homme et des peuples, représentée par le juge </w:t>
      </w:r>
      <w:proofErr w:type="spellStart"/>
      <w:r w:rsidRPr="001D6294">
        <w:t>Rafâa</w:t>
      </w:r>
      <w:proofErr w:type="spellEnd"/>
      <w:r w:rsidRPr="001D6294">
        <w:t xml:space="preserve"> Ben Achour (par </w:t>
      </w:r>
      <w:proofErr w:type="spellStart"/>
      <w:r w:rsidRPr="001D6294">
        <w:t>visioconférence</w:t>
      </w:r>
      <w:proofErr w:type="spellEnd"/>
      <w:r w:rsidRPr="001D6294">
        <w:t>) et la Cour interaméricaine des droits de l</w:t>
      </w:r>
      <w:r>
        <w:t>’</w:t>
      </w:r>
      <w:r w:rsidRPr="001D6294">
        <w:t xml:space="preserve">homme, représentée par Carlos E. </w:t>
      </w:r>
      <w:proofErr w:type="spellStart"/>
      <w:r w:rsidRPr="001D6294">
        <w:t>Gaio</w:t>
      </w:r>
      <w:proofErr w:type="spellEnd"/>
      <w:r w:rsidRPr="001D6294">
        <w:t xml:space="preserve"> (par </w:t>
      </w:r>
      <w:proofErr w:type="spellStart"/>
      <w:r w:rsidRPr="001D6294">
        <w:t>visioconférence</w:t>
      </w:r>
      <w:proofErr w:type="spellEnd"/>
      <w:r w:rsidRPr="001D6294">
        <w:t>). Lors de cette réunion, organisée avec l</w:t>
      </w:r>
      <w:r>
        <w:t>’</w:t>
      </w:r>
      <w:r w:rsidRPr="001D6294">
        <w:t xml:space="preserve">appui généreux de </w:t>
      </w:r>
      <w:r>
        <w:t>la Fondation René Cassin/</w:t>
      </w:r>
      <w:r w:rsidRPr="001D6294">
        <w:t>Institut international des droits de l</w:t>
      </w:r>
      <w:r>
        <w:t>’</w:t>
      </w:r>
      <w:r w:rsidRPr="001D6294">
        <w:t xml:space="preserve">homme, les participants ont examiné les questions des effets extraterritoriaux des conventions et de la compétence </w:t>
      </w:r>
      <w:proofErr w:type="spellStart"/>
      <w:r w:rsidRPr="001D6294">
        <w:rPr>
          <w:i/>
          <w:iCs/>
        </w:rPr>
        <w:t>ratione</w:t>
      </w:r>
      <w:proofErr w:type="spellEnd"/>
      <w:r w:rsidRPr="001D6294">
        <w:rPr>
          <w:i/>
          <w:iCs/>
        </w:rPr>
        <w:t xml:space="preserve"> </w:t>
      </w:r>
      <w:proofErr w:type="spellStart"/>
      <w:r w:rsidRPr="001D6294">
        <w:rPr>
          <w:i/>
          <w:iCs/>
        </w:rPr>
        <w:t>temporis</w:t>
      </w:r>
      <w:proofErr w:type="spellEnd"/>
      <w:r w:rsidRPr="001D6294">
        <w:t xml:space="preserve"> des organes pour apprécier les conditions de recevabilité, ainsi que de la jurisprudence pertinente. À cette session, le Comité a adopté des décisions sur le fond concernant </w:t>
      </w:r>
      <w:r>
        <w:t>10</w:t>
      </w:r>
      <w:r w:rsidR="00297772">
        <w:t> </w:t>
      </w:r>
      <w:r w:rsidRPr="001D6294">
        <w:t>communications. Dans l</w:t>
      </w:r>
      <w:r>
        <w:t>’</w:t>
      </w:r>
      <w:r w:rsidRPr="001D6294">
        <w:t xml:space="preserve">affaire </w:t>
      </w:r>
      <w:proofErr w:type="spellStart"/>
      <w:r w:rsidRPr="001D6294">
        <w:rPr>
          <w:i/>
          <w:iCs/>
        </w:rPr>
        <w:t>Khater</w:t>
      </w:r>
      <w:proofErr w:type="spellEnd"/>
      <w:r w:rsidRPr="001D6294">
        <w:rPr>
          <w:i/>
          <w:iCs/>
        </w:rPr>
        <w:t xml:space="preserve"> c. Maroc </w:t>
      </w:r>
      <w:r w:rsidRPr="001D6294">
        <w:t>(</w:t>
      </w:r>
      <w:hyperlink r:id="rId109" w:history="1">
        <w:r w:rsidRPr="00297772">
          <w:rPr>
            <w:rStyle w:val="Lienhypertexte"/>
          </w:rPr>
          <w:t>CAT/C/68/D/782/2016</w:t>
        </w:r>
      </w:hyperlink>
      <w:r w:rsidRPr="001D6294">
        <w:t>), le Comité a conclu que l</w:t>
      </w:r>
      <w:r>
        <w:t>’</w:t>
      </w:r>
      <w:r w:rsidRPr="001D6294">
        <w:t>extradition du requérant vers l</w:t>
      </w:r>
      <w:r>
        <w:t>’</w:t>
      </w:r>
      <w:r w:rsidRPr="001D6294">
        <w:t>Égypte par l</w:t>
      </w:r>
      <w:r>
        <w:t>’</w:t>
      </w:r>
      <w:r w:rsidRPr="001D6294">
        <w:t>État partie constituerait une violation de l</w:t>
      </w:r>
      <w:r>
        <w:t>’</w:t>
      </w:r>
      <w:r w:rsidRPr="001D6294">
        <w:t>article 3 de la Convention, et que l</w:t>
      </w:r>
      <w:r>
        <w:t>’</w:t>
      </w:r>
      <w:r w:rsidRPr="001D6294">
        <w:t>absence de garanties juridiques fondamentales et les conditions de détention du requérant constituaient une violation de l</w:t>
      </w:r>
      <w:r>
        <w:t>’</w:t>
      </w:r>
      <w:r w:rsidRPr="001D6294">
        <w:t>article 16 de la Convention. Dans l</w:t>
      </w:r>
      <w:r>
        <w:t>’</w:t>
      </w:r>
      <w:r w:rsidRPr="001D6294">
        <w:t xml:space="preserve">affaire </w:t>
      </w:r>
      <w:proofErr w:type="spellStart"/>
      <w:r w:rsidRPr="001D6294">
        <w:rPr>
          <w:i/>
          <w:iCs/>
        </w:rPr>
        <w:t>Aarrass</w:t>
      </w:r>
      <w:proofErr w:type="spellEnd"/>
      <w:r w:rsidRPr="001D6294">
        <w:rPr>
          <w:i/>
          <w:iCs/>
        </w:rPr>
        <w:t xml:space="preserve"> c. Maroc </w:t>
      </w:r>
      <w:r w:rsidRPr="001D6294">
        <w:t>(</w:t>
      </w:r>
      <w:hyperlink r:id="rId110" w:history="1">
        <w:r w:rsidRPr="00297772">
          <w:rPr>
            <w:rStyle w:val="Lienhypertexte"/>
          </w:rPr>
          <w:t>CAT/C/68/D/817/2017</w:t>
        </w:r>
      </w:hyperlink>
      <w:r w:rsidRPr="001D6294">
        <w:t>), le Comité a conclu que les conditions de détention du requérant, notamment l</w:t>
      </w:r>
      <w:r>
        <w:t>’</w:t>
      </w:r>
      <w:r w:rsidRPr="001D6294">
        <w:t>isolement cellulaire de fait qui lui était imposé, constituaient une violation de l</w:t>
      </w:r>
      <w:r>
        <w:t>’</w:t>
      </w:r>
      <w:r w:rsidRPr="001D6294">
        <w:t>article</w:t>
      </w:r>
      <w:r>
        <w:t> </w:t>
      </w:r>
      <w:r w:rsidRPr="001D6294">
        <w:t>16 et du paragraphe 1 de l</w:t>
      </w:r>
      <w:r>
        <w:t>’</w:t>
      </w:r>
      <w:r w:rsidRPr="001D6294">
        <w:t xml:space="preserve">article 2, lus conjointement avec les articles </w:t>
      </w:r>
      <w:r w:rsidR="00C27275">
        <w:t>1</w:t>
      </w:r>
      <w:r w:rsidR="00C27275" w:rsidRPr="00C27275">
        <w:rPr>
          <w:vertAlign w:val="superscript"/>
        </w:rPr>
        <w:t>er</w:t>
      </w:r>
      <w:r w:rsidR="00C27275">
        <w:t xml:space="preserve"> </w:t>
      </w:r>
      <w:r w:rsidRPr="001D6294">
        <w:t>et 11 de la Convention, et que le fait que le requérant ne s</w:t>
      </w:r>
      <w:r>
        <w:t>’</w:t>
      </w:r>
      <w:r w:rsidRPr="001D6294">
        <w:t>était pas vu offrir de réparation pour les mauvais traitements subis constituait une violation de l</w:t>
      </w:r>
      <w:r>
        <w:t>’</w:t>
      </w:r>
      <w:r w:rsidRPr="001D6294">
        <w:t>article 14 de la Convention. Dans sa décision relative à l</w:t>
      </w:r>
      <w:r>
        <w:t>’</w:t>
      </w:r>
      <w:r w:rsidRPr="001D6294">
        <w:t xml:space="preserve">affaire </w:t>
      </w:r>
      <w:proofErr w:type="spellStart"/>
      <w:r w:rsidRPr="001D6294">
        <w:rPr>
          <w:i/>
          <w:iCs/>
        </w:rPr>
        <w:t>Bakay</w:t>
      </w:r>
      <w:proofErr w:type="spellEnd"/>
      <w:r w:rsidRPr="001D6294">
        <w:rPr>
          <w:i/>
          <w:iCs/>
        </w:rPr>
        <w:t xml:space="preserve"> c. Maroc</w:t>
      </w:r>
      <w:r w:rsidRPr="001D6294">
        <w:t xml:space="preserve"> (</w:t>
      </w:r>
      <w:hyperlink r:id="rId111" w:history="1">
        <w:r w:rsidRPr="00297772">
          <w:rPr>
            <w:rStyle w:val="Lienhypertexte"/>
          </w:rPr>
          <w:t>CAT/C/68/D/826/2017</w:t>
        </w:r>
      </w:hyperlink>
      <w:r w:rsidRPr="001D6294">
        <w:t>), le Comité a conclu que l</w:t>
      </w:r>
      <w:r>
        <w:t>’</w:t>
      </w:r>
      <w:r w:rsidRPr="001D6294">
        <w:t>expulsion du requérant vers la Turquie par l</w:t>
      </w:r>
      <w:r>
        <w:t>’</w:t>
      </w:r>
      <w:r w:rsidRPr="001D6294">
        <w:t>État partie constituerait une violation de l</w:t>
      </w:r>
      <w:r>
        <w:t>’</w:t>
      </w:r>
      <w:r w:rsidRPr="001D6294">
        <w:t>article 3 de la Convention. Dans l</w:t>
      </w:r>
      <w:r>
        <w:t>’</w:t>
      </w:r>
      <w:r w:rsidRPr="001D6294">
        <w:t xml:space="preserve">affaire </w:t>
      </w:r>
      <w:r w:rsidRPr="001D6294">
        <w:rPr>
          <w:i/>
          <w:iCs/>
        </w:rPr>
        <w:t>E.</w:t>
      </w:r>
      <w:r>
        <w:rPr>
          <w:i/>
          <w:iCs/>
        </w:rPr>
        <w:t> </w:t>
      </w:r>
      <w:r w:rsidRPr="001D6294">
        <w:rPr>
          <w:i/>
          <w:iCs/>
        </w:rPr>
        <w:t>L.</w:t>
      </w:r>
      <w:r>
        <w:rPr>
          <w:i/>
          <w:iCs/>
        </w:rPr>
        <w:t> </w:t>
      </w:r>
      <w:r w:rsidRPr="001D6294">
        <w:rPr>
          <w:i/>
          <w:iCs/>
        </w:rPr>
        <w:t xml:space="preserve">G. c. Espagne </w:t>
      </w:r>
      <w:r w:rsidRPr="001D6294">
        <w:t>(</w:t>
      </w:r>
      <w:hyperlink r:id="rId112" w:history="1">
        <w:r w:rsidRPr="00297772">
          <w:rPr>
            <w:rStyle w:val="Lienhypertexte"/>
          </w:rPr>
          <w:t>CAT/C/68/D/818/2017</w:t>
        </w:r>
      </w:hyperlink>
      <w:r w:rsidRPr="001D6294">
        <w:t>), qui portait sur des mauvais traitements infligés par la police à un détenu, faits à la suite desquels il n</w:t>
      </w:r>
      <w:r>
        <w:t>’</w:t>
      </w:r>
      <w:r w:rsidRPr="001D6294">
        <w:t>avait pas été rapidement mené d</w:t>
      </w:r>
      <w:r>
        <w:t>’</w:t>
      </w:r>
      <w:r w:rsidRPr="001D6294">
        <w:t>enquête impartiale, le Comité a conclu à des violations du paragraphe 1 de l</w:t>
      </w:r>
      <w:r>
        <w:t>’</w:t>
      </w:r>
      <w:r w:rsidRPr="001D6294">
        <w:t>article 2, lu conjointement avec l</w:t>
      </w:r>
      <w:r>
        <w:t>’</w:t>
      </w:r>
      <w:r w:rsidRPr="001D6294">
        <w:t>article</w:t>
      </w:r>
      <w:r w:rsidR="00C27275">
        <w:t xml:space="preserve"> </w:t>
      </w:r>
      <w:r w:rsidRPr="001D6294">
        <w:t>16, de l</w:t>
      </w:r>
      <w:r>
        <w:t>’</w:t>
      </w:r>
      <w:r w:rsidRPr="001D6294">
        <w:t>article 11, lu seul et conjointement avec l</w:t>
      </w:r>
      <w:r>
        <w:t>’</w:t>
      </w:r>
      <w:r w:rsidRPr="001D6294">
        <w:t>article 2, et de l</w:t>
      </w:r>
      <w:r>
        <w:t>’</w:t>
      </w:r>
      <w:r w:rsidRPr="001D6294">
        <w:t>article 16, lu seul. Dans l</w:t>
      </w:r>
      <w:r>
        <w:t>’</w:t>
      </w:r>
      <w:r w:rsidRPr="001D6294">
        <w:t xml:space="preserve">affaire </w:t>
      </w:r>
      <w:proofErr w:type="spellStart"/>
      <w:r w:rsidRPr="001D6294">
        <w:rPr>
          <w:i/>
          <w:iCs/>
        </w:rPr>
        <w:t>Zentveld</w:t>
      </w:r>
      <w:proofErr w:type="spellEnd"/>
      <w:r w:rsidRPr="001D6294">
        <w:rPr>
          <w:i/>
          <w:iCs/>
        </w:rPr>
        <w:t xml:space="preserve"> c. Nouvelle-Zélande</w:t>
      </w:r>
      <w:r w:rsidRPr="001D6294">
        <w:t xml:space="preserve"> (</w:t>
      </w:r>
      <w:hyperlink r:id="rId113" w:history="1">
        <w:r w:rsidRPr="00297772">
          <w:rPr>
            <w:rStyle w:val="Lienhypertexte"/>
          </w:rPr>
          <w:t>CAT/C/68/D/852/2017</w:t>
        </w:r>
      </w:hyperlink>
      <w:r w:rsidRPr="001D6294">
        <w:t>), le Comité a estimé que le fait que l</w:t>
      </w:r>
      <w:r>
        <w:t>’</w:t>
      </w:r>
      <w:r w:rsidRPr="001D6294">
        <w:t>État partie n</w:t>
      </w:r>
      <w:r>
        <w:t>’</w:t>
      </w:r>
      <w:r w:rsidRPr="001D6294">
        <w:t>a pas mené une enquête efficace sur les circonstances entourant les actes de torture et les mauvais traitements subis par le requérant lorsqu</w:t>
      </w:r>
      <w:r>
        <w:t>’</w:t>
      </w:r>
      <w:r w:rsidRPr="001D6294">
        <w:t>il se trouvait dans l</w:t>
      </w:r>
      <w:r>
        <w:t>’</w:t>
      </w:r>
      <w:r w:rsidRPr="001D6294">
        <w:t>unité pour enfants et adolescents de l</w:t>
      </w:r>
      <w:r>
        <w:t>’</w:t>
      </w:r>
      <w:r w:rsidRPr="001D6294">
        <w:t>hôpital psychiatrique de Lake Alice constituait une violation des articles</w:t>
      </w:r>
      <w:r w:rsidR="00C27275">
        <w:t> </w:t>
      </w:r>
      <w:r w:rsidRPr="001D6294">
        <w:t>12, 13 et 14 de la Convention. Dans l</w:t>
      </w:r>
      <w:r>
        <w:t>’</w:t>
      </w:r>
      <w:r w:rsidRPr="001D6294">
        <w:t xml:space="preserve">affaire </w:t>
      </w:r>
      <w:proofErr w:type="spellStart"/>
      <w:r w:rsidRPr="00C40B5E">
        <w:rPr>
          <w:i/>
        </w:rPr>
        <w:t>Calfunao</w:t>
      </w:r>
      <w:proofErr w:type="spellEnd"/>
      <w:r w:rsidRPr="00C40B5E">
        <w:rPr>
          <w:i/>
        </w:rPr>
        <w:t xml:space="preserve"> </w:t>
      </w:r>
      <w:proofErr w:type="spellStart"/>
      <w:r w:rsidRPr="00C40B5E">
        <w:rPr>
          <w:i/>
        </w:rPr>
        <w:t>Paillalef</w:t>
      </w:r>
      <w:proofErr w:type="spellEnd"/>
      <w:r w:rsidRPr="001D6294">
        <w:t xml:space="preserve"> </w:t>
      </w:r>
      <w:r w:rsidRPr="00C40B5E">
        <w:rPr>
          <w:i/>
        </w:rPr>
        <w:t>c. Suisse</w:t>
      </w:r>
      <w:r w:rsidRPr="001D6294">
        <w:t xml:space="preserve"> (</w:t>
      </w:r>
      <w:hyperlink r:id="rId114" w:history="1">
        <w:r w:rsidRPr="00297772">
          <w:rPr>
            <w:rStyle w:val="Lienhypertexte"/>
          </w:rPr>
          <w:t>CAT/C/68/D/882/2018</w:t>
        </w:r>
      </w:hyperlink>
      <w:r w:rsidRPr="001D6294">
        <w:t>), le Comité a conclu que l</w:t>
      </w:r>
      <w:r>
        <w:t>’</w:t>
      </w:r>
      <w:r w:rsidRPr="001D6294">
        <w:t>expulsion du requérant vers le Chili constituerait une violation de l</w:t>
      </w:r>
      <w:r>
        <w:t>’</w:t>
      </w:r>
      <w:r w:rsidRPr="001D6294">
        <w:t>article 3 de la Convention. Le Comité a conclu que le retour forcé des requérants ne constituerait pas une violation par les États parties de l</w:t>
      </w:r>
      <w:r>
        <w:t>’</w:t>
      </w:r>
      <w:r w:rsidRPr="001D6294">
        <w:t xml:space="preserve">article 3 de la Convention dans ses décisions relatives aux affaires </w:t>
      </w:r>
      <w:r w:rsidRPr="001D6294">
        <w:rPr>
          <w:i/>
        </w:rPr>
        <w:t>S.</w:t>
      </w:r>
      <w:r>
        <w:rPr>
          <w:i/>
        </w:rPr>
        <w:t> </w:t>
      </w:r>
      <w:r w:rsidRPr="001D6294">
        <w:rPr>
          <w:i/>
        </w:rPr>
        <w:t>P. c. Australie</w:t>
      </w:r>
      <w:r w:rsidRPr="001D6294">
        <w:t xml:space="preserve"> (</w:t>
      </w:r>
      <w:hyperlink r:id="rId115" w:history="1">
        <w:r w:rsidRPr="00297772">
          <w:rPr>
            <w:rStyle w:val="Lienhypertexte"/>
          </w:rPr>
          <w:t>CAT/C/68/D/718/2015</w:t>
        </w:r>
      </w:hyperlink>
      <w:r w:rsidRPr="001D6294">
        <w:t xml:space="preserve">), </w:t>
      </w:r>
      <w:r w:rsidRPr="001D6294">
        <w:rPr>
          <w:i/>
        </w:rPr>
        <w:t>S.</w:t>
      </w:r>
      <w:r>
        <w:rPr>
          <w:i/>
        </w:rPr>
        <w:t> </w:t>
      </w:r>
      <w:r w:rsidRPr="001D6294">
        <w:rPr>
          <w:i/>
        </w:rPr>
        <w:t>W.</w:t>
      </w:r>
      <w:r>
        <w:rPr>
          <w:i/>
        </w:rPr>
        <w:t> </w:t>
      </w:r>
      <w:r w:rsidRPr="001D6294">
        <w:rPr>
          <w:i/>
        </w:rPr>
        <w:t>R. c. Australie</w:t>
      </w:r>
      <w:r w:rsidRPr="001D6294">
        <w:t xml:space="preserve"> (</w:t>
      </w:r>
      <w:hyperlink r:id="rId116" w:history="1">
        <w:r w:rsidRPr="00297772">
          <w:rPr>
            <w:rStyle w:val="Lienhypertexte"/>
          </w:rPr>
          <w:t>CAT/C/68/D/855/2017</w:t>
        </w:r>
      </w:hyperlink>
      <w:r w:rsidRPr="001D6294">
        <w:t xml:space="preserve">), </w:t>
      </w:r>
      <w:r w:rsidRPr="001D6294">
        <w:rPr>
          <w:i/>
        </w:rPr>
        <w:t>X c. Pays-Bas</w:t>
      </w:r>
      <w:r w:rsidRPr="001D6294">
        <w:t xml:space="preserve"> (</w:t>
      </w:r>
      <w:hyperlink r:id="rId117" w:history="1">
        <w:r w:rsidRPr="00297772">
          <w:rPr>
            <w:rStyle w:val="Lienhypertexte"/>
          </w:rPr>
          <w:t>CAT/C/68/D/863/2018</w:t>
        </w:r>
      </w:hyperlink>
      <w:r w:rsidRPr="001D6294">
        <w:t xml:space="preserve">) et </w:t>
      </w:r>
      <w:r w:rsidRPr="001D6294">
        <w:rPr>
          <w:i/>
        </w:rPr>
        <w:t>T.</w:t>
      </w:r>
      <w:r>
        <w:rPr>
          <w:i/>
        </w:rPr>
        <w:t> </w:t>
      </w:r>
      <w:r w:rsidRPr="001D6294">
        <w:rPr>
          <w:i/>
        </w:rPr>
        <w:t>M. c. Suède</w:t>
      </w:r>
      <w:r w:rsidRPr="001D6294">
        <w:t xml:space="preserve"> (</w:t>
      </w:r>
      <w:hyperlink r:id="rId118" w:history="1">
        <w:r w:rsidRPr="00297772">
          <w:rPr>
            <w:rStyle w:val="Lienhypertexte"/>
          </w:rPr>
          <w:t>CAT/C/68/D/860/2018</w:t>
        </w:r>
      </w:hyperlink>
      <w:r w:rsidRPr="001D6294">
        <w:t>).</w:t>
      </w:r>
    </w:p>
    <w:p w14:paraId="30C280B4" w14:textId="039DA4B2" w:rsidR="00712772" w:rsidRPr="001D6294" w:rsidRDefault="00712772" w:rsidP="004817DF">
      <w:pPr>
        <w:pStyle w:val="SingleTxtG"/>
      </w:pPr>
      <w:r w:rsidRPr="001D6294">
        <w:t>62.</w:t>
      </w:r>
      <w:r w:rsidRPr="001D6294">
        <w:tab/>
        <w:t>Le Comité a déclaré une communication irrecevable, à savoir l</w:t>
      </w:r>
      <w:r>
        <w:t>’</w:t>
      </w:r>
      <w:r w:rsidRPr="001D6294">
        <w:t xml:space="preserve">affaire </w:t>
      </w:r>
      <w:r w:rsidRPr="001D6294">
        <w:rPr>
          <w:i/>
        </w:rPr>
        <w:t>H.</w:t>
      </w:r>
      <w:r>
        <w:rPr>
          <w:i/>
        </w:rPr>
        <w:t> </w:t>
      </w:r>
      <w:r w:rsidRPr="001D6294">
        <w:rPr>
          <w:i/>
        </w:rPr>
        <w:t>S. c</w:t>
      </w:r>
      <w:r>
        <w:rPr>
          <w:i/>
        </w:rPr>
        <w:t>.</w:t>
      </w:r>
      <w:r w:rsidRPr="001D6294">
        <w:rPr>
          <w:i/>
        </w:rPr>
        <w:t xml:space="preserve"> Canada</w:t>
      </w:r>
      <w:r w:rsidRPr="001D6294">
        <w:t xml:space="preserve"> (</w:t>
      </w:r>
      <w:hyperlink r:id="rId119" w:history="1">
        <w:r w:rsidRPr="00297772">
          <w:rPr>
            <w:rStyle w:val="Lienhypertexte"/>
          </w:rPr>
          <w:t>CAT/C/68/D/568/2013</w:t>
        </w:r>
      </w:hyperlink>
      <w:r w:rsidRPr="001D6294">
        <w:t>), et une communication recevable, l</w:t>
      </w:r>
      <w:r>
        <w:t>’</w:t>
      </w:r>
      <w:r w:rsidRPr="001D6294">
        <w:t xml:space="preserve">affaire </w:t>
      </w:r>
      <w:r w:rsidRPr="001D6294">
        <w:rPr>
          <w:i/>
        </w:rPr>
        <w:t>E.</w:t>
      </w:r>
      <w:r>
        <w:rPr>
          <w:i/>
        </w:rPr>
        <w:t> </w:t>
      </w:r>
      <w:r w:rsidRPr="001D6294">
        <w:rPr>
          <w:i/>
        </w:rPr>
        <w:t>C</w:t>
      </w:r>
      <w:r>
        <w:rPr>
          <w:i/>
        </w:rPr>
        <w:t>.</w:t>
      </w:r>
      <w:r w:rsidRPr="001D6294">
        <w:rPr>
          <w:i/>
        </w:rPr>
        <w:t xml:space="preserve"> c. Irlande</w:t>
      </w:r>
      <w:r w:rsidRPr="001D6294">
        <w:t xml:space="preserve"> (</w:t>
      </w:r>
      <w:r w:rsidRPr="00851BB5">
        <w:rPr>
          <w:rFonts w:eastAsia="MS Mincho"/>
        </w:rPr>
        <w:t>n</w:t>
      </w:r>
      <w:r w:rsidRPr="00851BB5">
        <w:rPr>
          <w:rFonts w:eastAsia="MS Mincho"/>
          <w:vertAlign w:val="superscript"/>
        </w:rPr>
        <w:t>o</w:t>
      </w:r>
      <w:r>
        <w:t> </w:t>
      </w:r>
      <w:r w:rsidRPr="001D6294">
        <w:t>879/2018)</w:t>
      </w:r>
      <w:r>
        <w:t>,</w:t>
      </w:r>
      <w:r w:rsidRPr="001D6294">
        <w:t xml:space="preserve"> et a mis fin à l</w:t>
      </w:r>
      <w:r>
        <w:t>’</w:t>
      </w:r>
      <w:r w:rsidRPr="001D6294">
        <w:t xml:space="preserve">examen des communications relatives aux affaires </w:t>
      </w:r>
      <w:r w:rsidRPr="001D6294">
        <w:rPr>
          <w:i/>
        </w:rPr>
        <w:t>M.</w:t>
      </w:r>
      <w:r>
        <w:rPr>
          <w:i/>
        </w:rPr>
        <w:t> </w:t>
      </w:r>
      <w:r w:rsidRPr="001D6294">
        <w:rPr>
          <w:i/>
        </w:rPr>
        <w:t>B. c</w:t>
      </w:r>
      <w:r>
        <w:rPr>
          <w:i/>
        </w:rPr>
        <w:t>.</w:t>
      </w:r>
      <w:r w:rsidRPr="001D6294">
        <w:rPr>
          <w:i/>
        </w:rPr>
        <w:t xml:space="preserve"> Australie</w:t>
      </w:r>
      <w:r w:rsidRPr="001D6294">
        <w:t xml:space="preserve"> (</w:t>
      </w:r>
      <w:hyperlink r:id="rId120" w:history="1">
        <w:r w:rsidRPr="00297772">
          <w:rPr>
            <w:rStyle w:val="Lienhypertexte"/>
          </w:rPr>
          <w:t>CAT/C/68/D/646/2014</w:t>
        </w:r>
      </w:hyperlink>
      <w:r w:rsidRPr="001D6294">
        <w:t xml:space="preserve">), </w:t>
      </w:r>
      <w:r w:rsidRPr="001D6294">
        <w:rPr>
          <w:i/>
        </w:rPr>
        <w:t>P.</w:t>
      </w:r>
      <w:r>
        <w:rPr>
          <w:i/>
        </w:rPr>
        <w:t> </w:t>
      </w:r>
      <w:r w:rsidRPr="001D6294">
        <w:rPr>
          <w:i/>
        </w:rPr>
        <w:t>P</w:t>
      </w:r>
      <w:r>
        <w:rPr>
          <w:i/>
        </w:rPr>
        <w:t>.</w:t>
      </w:r>
      <w:r w:rsidRPr="001D6294">
        <w:rPr>
          <w:i/>
        </w:rPr>
        <w:t xml:space="preserve"> c</w:t>
      </w:r>
      <w:r>
        <w:rPr>
          <w:i/>
        </w:rPr>
        <w:t>.</w:t>
      </w:r>
      <w:r w:rsidRPr="001D6294">
        <w:rPr>
          <w:i/>
        </w:rPr>
        <w:t xml:space="preserve"> Australie</w:t>
      </w:r>
      <w:r w:rsidRPr="001D6294">
        <w:t xml:space="preserve"> (</w:t>
      </w:r>
      <w:hyperlink r:id="rId121" w:history="1">
        <w:r w:rsidRPr="00297772">
          <w:rPr>
            <w:rStyle w:val="Lienhypertexte"/>
          </w:rPr>
          <w:t>CAT/C/68/D/746/2016</w:t>
        </w:r>
      </w:hyperlink>
      <w:r w:rsidRPr="001D6294">
        <w:t xml:space="preserve">), </w:t>
      </w:r>
      <w:r w:rsidRPr="001D6294">
        <w:rPr>
          <w:i/>
        </w:rPr>
        <w:t>D.</w:t>
      </w:r>
      <w:r>
        <w:rPr>
          <w:i/>
        </w:rPr>
        <w:t> </w:t>
      </w:r>
      <w:r w:rsidRPr="001D6294">
        <w:rPr>
          <w:i/>
        </w:rPr>
        <w:t>M.</w:t>
      </w:r>
      <w:r>
        <w:rPr>
          <w:i/>
        </w:rPr>
        <w:t> </w:t>
      </w:r>
      <w:r w:rsidRPr="001D6294">
        <w:rPr>
          <w:i/>
        </w:rPr>
        <w:t>D. c. Australie</w:t>
      </w:r>
      <w:r w:rsidRPr="001D6294">
        <w:t xml:space="preserve"> (</w:t>
      </w:r>
      <w:hyperlink r:id="rId122" w:history="1">
        <w:r w:rsidRPr="00297772">
          <w:rPr>
            <w:rStyle w:val="Lienhypertexte"/>
          </w:rPr>
          <w:t>CAT/C/68/D/763/2016</w:t>
        </w:r>
      </w:hyperlink>
      <w:r w:rsidRPr="001D6294">
        <w:t xml:space="preserve">), </w:t>
      </w:r>
      <w:r w:rsidRPr="001D6294">
        <w:rPr>
          <w:i/>
        </w:rPr>
        <w:t>E.</w:t>
      </w:r>
      <w:r>
        <w:rPr>
          <w:i/>
        </w:rPr>
        <w:t> </w:t>
      </w:r>
      <w:r w:rsidRPr="001D6294">
        <w:rPr>
          <w:i/>
        </w:rPr>
        <w:t>I.</w:t>
      </w:r>
      <w:r>
        <w:rPr>
          <w:i/>
        </w:rPr>
        <w:t> </w:t>
      </w:r>
      <w:r w:rsidRPr="001D6294">
        <w:rPr>
          <w:i/>
        </w:rPr>
        <w:t>M. et consorts c. Suède</w:t>
      </w:r>
      <w:r w:rsidRPr="001D6294">
        <w:t xml:space="preserve"> (</w:t>
      </w:r>
      <w:hyperlink r:id="rId123" w:history="1">
        <w:r w:rsidRPr="00297772">
          <w:rPr>
            <w:rStyle w:val="Lienhypertexte"/>
          </w:rPr>
          <w:t>CAT/C/68/D/</w:t>
        </w:r>
        <w:r w:rsidR="00C27275">
          <w:rPr>
            <w:rStyle w:val="Lienhypertexte"/>
          </w:rPr>
          <w:t xml:space="preserve"> </w:t>
        </w:r>
        <w:r w:rsidRPr="00297772">
          <w:rPr>
            <w:rStyle w:val="Lienhypertexte"/>
          </w:rPr>
          <w:t>773/2016</w:t>
        </w:r>
      </w:hyperlink>
      <w:r w:rsidRPr="001D6294">
        <w:t xml:space="preserve">), </w:t>
      </w:r>
      <w:r w:rsidRPr="001D6294">
        <w:rPr>
          <w:i/>
        </w:rPr>
        <w:t>B. c. Australie</w:t>
      </w:r>
      <w:r w:rsidRPr="001D6294">
        <w:t xml:space="preserve"> (</w:t>
      </w:r>
      <w:hyperlink r:id="rId124" w:history="1">
        <w:r w:rsidRPr="00297772">
          <w:rPr>
            <w:rStyle w:val="Lienhypertexte"/>
          </w:rPr>
          <w:t>CAT/C/68/D/815/2017</w:t>
        </w:r>
      </w:hyperlink>
      <w:r w:rsidRPr="001D6294">
        <w:t xml:space="preserve">), </w:t>
      </w:r>
      <w:r w:rsidRPr="001D6294">
        <w:rPr>
          <w:i/>
        </w:rPr>
        <w:t>B.</w:t>
      </w:r>
      <w:r>
        <w:rPr>
          <w:i/>
        </w:rPr>
        <w:t> </w:t>
      </w:r>
      <w:r w:rsidRPr="001D6294">
        <w:rPr>
          <w:i/>
        </w:rPr>
        <w:t>B. c. Suisse</w:t>
      </w:r>
      <w:r w:rsidRPr="001D6294">
        <w:t xml:space="preserve"> (</w:t>
      </w:r>
      <w:hyperlink r:id="rId125" w:history="1">
        <w:r w:rsidRPr="00297772">
          <w:rPr>
            <w:rStyle w:val="Lienhypertexte"/>
          </w:rPr>
          <w:t>CAT/C/68/D/821/</w:t>
        </w:r>
        <w:r w:rsidR="00C27275">
          <w:rPr>
            <w:rStyle w:val="Lienhypertexte"/>
          </w:rPr>
          <w:t xml:space="preserve"> </w:t>
        </w:r>
        <w:r w:rsidRPr="00297772">
          <w:rPr>
            <w:rStyle w:val="Lienhypertexte"/>
          </w:rPr>
          <w:t>2017</w:t>
        </w:r>
      </w:hyperlink>
      <w:r w:rsidRPr="001D6294">
        <w:t xml:space="preserve">), </w:t>
      </w:r>
      <w:r w:rsidRPr="001D6294">
        <w:rPr>
          <w:i/>
        </w:rPr>
        <w:t xml:space="preserve">Y c. Canada </w:t>
      </w:r>
      <w:r w:rsidRPr="001D6294">
        <w:t>(</w:t>
      </w:r>
      <w:hyperlink r:id="rId126" w:history="1">
        <w:r w:rsidRPr="00297772">
          <w:rPr>
            <w:rStyle w:val="Lienhypertexte"/>
          </w:rPr>
          <w:t>CAT/C/68/D/848/2017</w:t>
        </w:r>
      </w:hyperlink>
      <w:r w:rsidRPr="001D6294">
        <w:t xml:space="preserve">), </w:t>
      </w:r>
      <w:r w:rsidRPr="001D6294">
        <w:rPr>
          <w:i/>
        </w:rPr>
        <w:t>A.</w:t>
      </w:r>
      <w:r>
        <w:rPr>
          <w:i/>
        </w:rPr>
        <w:t> </w:t>
      </w:r>
      <w:r w:rsidRPr="001D6294">
        <w:rPr>
          <w:i/>
        </w:rPr>
        <w:t>A. c. Suisse</w:t>
      </w:r>
      <w:r w:rsidRPr="001D6294">
        <w:t xml:space="preserve"> (</w:t>
      </w:r>
      <w:hyperlink r:id="rId127" w:history="1">
        <w:r w:rsidRPr="00297772">
          <w:rPr>
            <w:rStyle w:val="Lienhypertexte"/>
          </w:rPr>
          <w:t>CAT/C/68/D/850/2017</w:t>
        </w:r>
      </w:hyperlink>
      <w:r w:rsidRPr="001D6294">
        <w:t xml:space="preserve">), </w:t>
      </w:r>
      <w:r w:rsidRPr="001D6294">
        <w:rPr>
          <w:i/>
        </w:rPr>
        <w:t>N.</w:t>
      </w:r>
      <w:r>
        <w:rPr>
          <w:i/>
        </w:rPr>
        <w:t> </w:t>
      </w:r>
      <w:r w:rsidRPr="001D6294">
        <w:rPr>
          <w:i/>
        </w:rPr>
        <w:t>M. c. Suisse</w:t>
      </w:r>
      <w:r w:rsidRPr="001D6294">
        <w:t xml:space="preserve"> (</w:t>
      </w:r>
      <w:hyperlink r:id="rId128" w:history="1">
        <w:r w:rsidRPr="00297772">
          <w:rPr>
            <w:rStyle w:val="Lienhypertexte"/>
          </w:rPr>
          <w:t>CAT/C/68/D/864/2018</w:t>
        </w:r>
      </w:hyperlink>
      <w:r w:rsidRPr="001D6294">
        <w:t xml:space="preserve">), </w:t>
      </w:r>
      <w:r w:rsidRPr="001D6294">
        <w:rPr>
          <w:i/>
        </w:rPr>
        <w:t>S.</w:t>
      </w:r>
      <w:r>
        <w:rPr>
          <w:i/>
        </w:rPr>
        <w:t> </w:t>
      </w:r>
      <w:r w:rsidRPr="001D6294">
        <w:rPr>
          <w:i/>
        </w:rPr>
        <w:t>B. c. Suisse</w:t>
      </w:r>
      <w:r w:rsidRPr="001D6294">
        <w:t xml:space="preserve"> (</w:t>
      </w:r>
      <w:hyperlink r:id="rId129" w:history="1">
        <w:r w:rsidRPr="00297772">
          <w:rPr>
            <w:rStyle w:val="Lienhypertexte"/>
          </w:rPr>
          <w:t>CAT/C/68/D/894/2018</w:t>
        </w:r>
      </w:hyperlink>
      <w:r w:rsidRPr="001D6294">
        <w:t xml:space="preserve">), </w:t>
      </w:r>
      <w:r w:rsidRPr="001D6294">
        <w:rPr>
          <w:i/>
        </w:rPr>
        <w:t>A.</w:t>
      </w:r>
      <w:r>
        <w:rPr>
          <w:i/>
        </w:rPr>
        <w:t> </w:t>
      </w:r>
      <w:r w:rsidRPr="001D6294">
        <w:rPr>
          <w:i/>
        </w:rPr>
        <w:t>S. c. Suède</w:t>
      </w:r>
      <w:r w:rsidRPr="001D6294">
        <w:t xml:space="preserve"> (</w:t>
      </w:r>
      <w:hyperlink r:id="rId130" w:history="1">
        <w:r w:rsidRPr="00297772">
          <w:rPr>
            <w:rStyle w:val="Lienhypertexte"/>
          </w:rPr>
          <w:t>CAT/C/68/D/897/2018</w:t>
        </w:r>
      </w:hyperlink>
      <w:r w:rsidRPr="001D6294">
        <w:t xml:space="preserve">) et </w:t>
      </w:r>
      <w:r w:rsidRPr="001D6294">
        <w:rPr>
          <w:i/>
        </w:rPr>
        <w:t>N.</w:t>
      </w:r>
      <w:r>
        <w:rPr>
          <w:i/>
        </w:rPr>
        <w:t> </w:t>
      </w:r>
      <w:r w:rsidRPr="001D6294">
        <w:rPr>
          <w:i/>
        </w:rPr>
        <w:t>G. c Suède</w:t>
      </w:r>
      <w:r w:rsidRPr="001D6294">
        <w:t xml:space="preserve"> (</w:t>
      </w:r>
      <w:hyperlink r:id="rId131" w:history="1">
        <w:r w:rsidRPr="00297772">
          <w:rPr>
            <w:rStyle w:val="Lienhypertexte"/>
          </w:rPr>
          <w:t>CAT/C/68/D/924/2019</w:t>
        </w:r>
      </w:hyperlink>
      <w:r w:rsidRPr="001D6294">
        <w:t>)</w:t>
      </w:r>
      <w:r>
        <w:t>.</w:t>
      </w:r>
      <w:r w:rsidRPr="001D6294">
        <w:t xml:space="preserve"> Le Comité a également décidé de reporter l</w:t>
      </w:r>
      <w:r>
        <w:t>’</w:t>
      </w:r>
      <w:r w:rsidRPr="001D6294">
        <w:t>examen d</w:t>
      </w:r>
      <w:r>
        <w:t>’</w:t>
      </w:r>
      <w:r w:rsidRPr="001D6294">
        <w:t>une requête, à savoir l</w:t>
      </w:r>
      <w:r>
        <w:t>’</w:t>
      </w:r>
      <w:r w:rsidRPr="001D6294">
        <w:t xml:space="preserve">affaire </w:t>
      </w:r>
      <w:r w:rsidRPr="001D6294">
        <w:rPr>
          <w:i/>
        </w:rPr>
        <w:t>D. L. c. Suède</w:t>
      </w:r>
      <w:r w:rsidRPr="001D6294">
        <w:t xml:space="preserve"> (</w:t>
      </w:r>
      <w:r w:rsidRPr="00851BB5">
        <w:rPr>
          <w:rFonts w:eastAsia="MS Mincho"/>
        </w:rPr>
        <w:t>n</w:t>
      </w:r>
      <w:r w:rsidRPr="00851BB5">
        <w:rPr>
          <w:rFonts w:eastAsia="MS Mincho"/>
          <w:vertAlign w:val="superscript"/>
        </w:rPr>
        <w:t>o</w:t>
      </w:r>
      <w:r>
        <w:t> </w:t>
      </w:r>
      <w:r w:rsidRPr="001D6294">
        <w:t>785/2016), à la session suivante.</w:t>
      </w:r>
    </w:p>
    <w:p w14:paraId="30D056D4" w14:textId="77777777" w:rsidR="00712772" w:rsidRPr="001D6294" w:rsidRDefault="00712772" w:rsidP="004817DF">
      <w:pPr>
        <w:pStyle w:val="H1G"/>
      </w:pPr>
      <w:bookmarkStart w:id="142" w:name="_Hlk37078161"/>
      <w:bookmarkEnd w:id="142"/>
      <w:r>
        <w:tab/>
      </w:r>
      <w:r w:rsidRPr="001D6294">
        <w:t>D.</w:t>
      </w:r>
      <w:r w:rsidRPr="001D6294">
        <w:tab/>
        <w:t>Activités de suivi</w:t>
      </w:r>
      <w:bookmarkStart w:id="143" w:name="_Toc14181244"/>
      <w:bookmarkStart w:id="144" w:name="_Toc37768183"/>
      <w:bookmarkEnd w:id="143"/>
      <w:bookmarkEnd w:id="144"/>
    </w:p>
    <w:p w14:paraId="439FC9E6" w14:textId="77777777" w:rsidR="00712772" w:rsidRPr="001D6294" w:rsidRDefault="00712772" w:rsidP="004817DF">
      <w:pPr>
        <w:pStyle w:val="SingleTxtG"/>
      </w:pPr>
      <w:r w:rsidRPr="001D6294">
        <w:t>6</w:t>
      </w:r>
      <w:r>
        <w:t>3</w:t>
      </w:r>
      <w:r w:rsidRPr="001D6294">
        <w:t>.</w:t>
      </w:r>
      <w:r w:rsidRPr="001D6294">
        <w:tab/>
        <w:t>À sa vingt-huitième session, en</w:t>
      </w:r>
      <w:r w:rsidR="00297772">
        <w:t xml:space="preserve"> </w:t>
      </w:r>
      <w:r w:rsidR="00D715E1">
        <w:t xml:space="preserve">mai </w:t>
      </w:r>
      <w:r w:rsidRPr="001D6294">
        <w:t>2002, le Comité a créé le mandat de Rapporteur chargé du suivi des décisions adoptées au titre de l</w:t>
      </w:r>
      <w:r>
        <w:t>’</w:t>
      </w:r>
      <w:r w:rsidRPr="001D6294">
        <w:t>article 22 de la Convention, qui est actuellement exercé par M.</w:t>
      </w:r>
      <w:r w:rsidR="00297772">
        <w:t> </w:t>
      </w:r>
      <w:r w:rsidRPr="001D6294">
        <w:t>Heller. À sa 527</w:t>
      </w:r>
      <w:r w:rsidRPr="00851BB5">
        <w:rPr>
          <w:vertAlign w:val="superscript"/>
        </w:rPr>
        <w:t>e</w:t>
      </w:r>
      <w:r w:rsidR="00297772">
        <w:t> </w:t>
      </w:r>
      <w:r w:rsidRPr="001D6294">
        <w:t>séance, le 16</w:t>
      </w:r>
      <w:r w:rsidR="00D715E1">
        <w:t xml:space="preserve"> mai </w:t>
      </w:r>
      <w:r w:rsidRPr="001D6294">
        <w:t>2002, le Comité a décidé que le Rapporteur devrait mener, entre autres, les activités suivantes</w:t>
      </w:r>
      <w:r w:rsidR="004817DF">
        <w:t> :</w:t>
      </w:r>
      <w:r w:rsidRPr="001D6294">
        <w:t xml:space="preserve"> surveiller </w:t>
      </w:r>
      <w:r w:rsidRPr="001D6294">
        <w:lastRenderedPageBreak/>
        <w:t>l</w:t>
      </w:r>
      <w:r>
        <w:t>’</w:t>
      </w:r>
      <w:r w:rsidRPr="001D6294">
        <w:t>application des décisions du Comité en envoyant des notes verbales aux États parties pour s</w:t>
      </w:r>
      <w:r>
        <w:t>’</w:t>
      </w:r>
      <w:r w:rsidRPr="001D6294">
        <w:t>informer des mesures prises pour donner suite à ces décisions</w:t>
      </w:r>
      <w:r w:rsidR="004817DF">
        <w:t> ;</w:t>
      </w:r>
      <w:r w:rsidRPr="001D6294">
        <w:t xml:space="preserve"> recommander au Comité les mesures à prendre comme suite aux réponses des États parties, à l</w:t>
      </w:r>
      <w:r>
        <w:t>’</w:t>
      </w:r>
      <w:r w:rsidRPr="001D6294">
        <w:t>absence de réponse de leur part et à toutes les lettres reçues ultérieurement des requérants à propos de la non</w:t>
      </w:r>
      <w:r>
        <w:noBreakHyphen/>
      </w:r>
      <w:r w:rsidRPr="001D6294">
        <w:t>application de décisions du Comité</w:t>
      </w:r>
      <w:r w:rsidR="004817DF">
        <w:t> ;</w:t>
      </w:r>
      <w:r w:rsidRPr="001D6294">
        <w:t xml:space="preserve"> rencontrer les représentants des missions permanentes des États parties pour encourager ces derniers à appliquer les décisions du Comité et déterminer si la fourniture de services consultatifs ou d</w:t>
      </w:r>
      <w:r>
        <w:t>’</w:t>
      </w:r>
      <w:r w:rsidRPr="001D6294">
        <w:t>une assistance technique par le Haut-Commissariat aux droits de l</w:t>
      </w:r>
      <w:r>
        <w:t>’</w:t>
      </w:r>
      <w:r w:rsidRPr="001D6294">
        <w:t>homme serait appropriée ou souhaitable</w:t>
      </w:r>
      <w:r w:rsidR="004817DF">
        <w:t> ;</w:t>
      </w:r>
      <w:r w:rsidRPr="001D6294">
        <w:t xml:space="preserve"> effectuer, avec l</w:t>
      </w:r>
      <w:r>
        <w:t>’</w:t>
      </w:r>
      <w:r w:rsidRPr="001D6294">
        <w:t>approbation du Comité, des visites de suivi dans les États parties</w:t>
      </w:r>
      <w:r w:rsidR="004817DF">
        <w:t> ;</w:t>
      </w:r>
      <w:r w:rsidRPr="001D6294">
        <w:t xml:space="preserve"> établir périodiquement à l</w:t>
      </w:r>
      <w:r>
        <w:t>’</w:t>
      </w:r>
      <w:r w:rsidRPr="001D6294">
        <w:t>intention du Comité des rapports sur ses activités.</w:t>
      </w:r>
    </w:p>
    <w:p w14:paraId="64114FF3" w14:textId="77777777" w:rsidR="00712772" w:rsidRPr="001D6294" w:rsidRDefault="00712772" w:rsidP="004817DF">
      <w:pPr>
        <w:pStyle w:val="SingleTxtG"/>
      </w:pPr>
      <w:r w:rsidRPr="001D6294">
        <w:t>6</w:t>
      </w:r>
      <w:r>
        <w:t>4</w:t>
      </w:r>
      <w:r w:rsidRPr="001D6294">
        <w:t>.</w:t>
      </w:r>
      <w:r w:rsidRPr="001D6294">
        <w:tab/>
        <w:t>À sa soixante-septième session, le Comité a examiné des renseignements se rapportant à huit affaires qui font actuellement l</w:t>
      </w:r>
      <w:r>
        <w:t>’</w:t>
      </w:r>
      <w:r w:rsidRPr="001D6294">
        <w:t>objet de la procédure de suivi. Le Comité a décidé de mettre fin au dialogue au titre du suivi, bien que celui-ci n</w:t>
      </w:r>
      <w:r>
        <w:t>’</w:t>
      </w:r>
      <w:r w:rsidRPr="001D6294">
        <w:t>ait pas abouti à un résultat satisfaisant, en ce qui concernait la décision relative à l</w:t>
      </w:r>
      <w:r>
        <w:t>’</w:t>
      </w:r>
      <w:r w:rsidRPr="001D6294">
        <w:t xml:space="preserve">affaire </w:t>
      </w:r>
      <w:r w:rsidRPr="001D6294">
        <w:rPr>
          <w:i/>
          <w:iCs/>
        </w:rPr>
        <w:t>A.</w:t>
      </w:r>
      <w:r>
        <w:rPr>
          <w:i/>
          <w:iCs/>
        </w:rPr>
        <w:t> </w:t>
      </w:r>
      <w:r w:rsidRPr="001D6294">
        <w:rPr>
          <w:i/>
          <w:iCs/>
        </w:rPr>
        <w:t>M.</w:t>
      </w:r>
      <w:r>
        <w:rPr>
          <w:i/>
          <w:iCs/>
        </w:rPr>
        <w:t> </w:t>
      </w:r>
      <w:r w:rsidRPr="001D6294">
        <w:rPr>
          <w:i/>
          <w:iCs/>
        </w:rPr>
        <w:t>D. et consorts c. Danemark</w:t>
      </w:r>
      <w:r w:rsidRPr="001D6294">
        <w:t xml:space="preserve"> (</w:t>
      </w:r>
      <w:hyperlink r:id="rId132" w:history="1">
        <w:r w:rsidRPr="00297772">
          <w:rPr>
            <w:rStyle w:val="Lienhypertexte"/>
          </w:rPr>
          <w:t>CAT/C/60/D/653/2015</w:t>
        </w:r>
      </w:hyperlink>
      <w:r w:rsidRPr="001D6294">
        <w:t xml:space="preserve">). Le Comité a examiné les renseignements se rapportant à sept autres décisions, concernant lesquelles il a décidé de poursuivre le dialogue au titre du suivi. Le Comité a également décidé de faire état de la non-application des décisions adoptées dans les affaires </w:t>
      </w:r>
      <w:proofErr w:type="spellStart"/>
      <w:r w:rsidRPr="001D6294">
        <w:rPr>
          <w:i/>
          <w:iCs/>
        </w:rPr>
        <w:t>Aarrass</w:t>
      </w:r>
      <w:proofErr w:type="spellEnd"/>
      <w:r w:rsidRPr="001D6294">
        <w:rPr>
          <w:i/>
          <w:iCs/>
        </w:rPr>
        <w:t xml:space="preserve"> c. Maroc</w:t>
      </w:r>
      <w:r w:rsidRPr="001D6294">
        <w:t xml:space="preserve"> (</w:t>
      </w:r>
      <w:hyperlink r:id="rId133" w:history="1">
        <w:r w:rsidRPr="00297772">
          <w:rPr>
            <w:rStyle w:val="Lienhypertexte"/>
          </w:rPr>
          <w:t>CAT/C/52/D/477/2011</w:t>
        </w:r>
      </w:hyperlink>
      <w:r w:rsidRPr="001D6294">
        <w:t xml:space="preserve">) et </w:t>
      </w:r>
      <w:proofErr w:type="spellStart"/>
      <w:r w:rsidRPr="001D6294">
        <w:rPr>
          <w:i/>
          <w:iCs/>
        </w:rPr>
        <w:t>Asfari</w:t>
      </w:r>
      <w:proofErr w:type="spellEnd"/>
      <w:r w:rsidRPr="001D6294">
        <w:rPr>
          <w:i/>
          <w:iCs/>
        </w:rPr>
        <w:t xml:space="preserve"> c. Maroc</w:t>
      </w:r>
      <w:r w:rsidRPr="001D6294">
        <w:t xml:space="preserve"> (</w:t>
      </w:r>
      <w:hyperlink r:id="rId134" w:history="1">
        <w:r w:rsidRPr="00297772">
          <w:rPr>
            <w:rStyle w:val="Lienhypertexte"/>
          </w:rPr>
          <w:t>CAT/C/59/D/606/2014</w:t>
        </w:r>
      </w:hyperlink>
      <w:r w:rsidRPr="001D6294">
        <w:t>) dans le rapport annuel qu</w:t>
      </w:r>
      <w:r>
        <w:t>’</w:t>
      </w:r>
      <w:r w:rsidRPr="001D6294">
        <w:t>il soumet à l</w:t>
      </w:r>
      <w:r>
        <w:t>’</w:t>
      </w:r>
      <w:r w:rsidRPr="001D6294">
        <w:t>Assemblée générale.</w:t>
      </w:r>
    </w:p>
    <w:p w14:paraId="0734FD7D" w14:textId="5123187F" w:rsidR="00712772" w:rsidRPr="001D6294" w:rsidRDefault="00712772" w:rsidP="004817DF">
      <w:pPr>
        <w:pStyle w:val="SingleTxtG"/>
      </w:pPr>
      <w:r w:rsidRPr="00652F11">
        <w:t>6</w:t>
      </w:r>
      <w:r>
        <w:t>5</w:t>
      </w:r>
      <w:r w:rsidRPr="00652F11">
        <w:t>.</w:t>
      </w:r>
      <w:r w:rsidRPr="00652F11">
        <w:tab/>
        <w:t>À sa soixante-huitième session, le Comité a examiné des renseignements reçus se rapportant à 11 affaires q</w:t>
      </w:r>
      <w:r w:rsidRPr="001D6294">
        <w:t>ui font actuellement l</w:t>
      </w:r>
      <w:r>
        <w:t>’</w:t>
      </w:r>
      <w:r w:rsidRPr="001D6294">
        <w:t>objet de la procédure de suivi. Le Comité a décidé de mettre fin au dialogue au titre du suivi, en concluant à un règlement satisfaisant, concernant quatre décisions, adoptées dans les affaires suivantes</w:t>
      </w:r>
      <w:r w:rsidR="004817DF">
        <w:t> :</w:t>
      </w:r>
      <w:r w:rsidRPr="001D6294">
        <w:t xml:space="preserve"> </w:t>
      </w:r>
      <w:r w:rsidRPr="001D6294">
        <w:rPr>
          <w:i/>
        </w:rPr>
        <w:t>R.</w:t>
      </w:r>
      <w:r>
        <w:rPr>
          <w:i/>
        </w:rPr>
        <w:t> </w:t>
      </w:r>
      <w:r w:rsidRPr="001D6294">
        <w:rPr>
          <w:i/>
        </w:rPr>
        <w:t>G. et consorts c. Suède</w:t>
      </w:r>
      <w:r w:rsidRPr="001D6294">
        <w:t xml:space="preserve"> (</w:t>
      </w:r>
      <w:hyperlink r:id="rId135" w:history="1">
        <w:r w:rsidRPr="00297772">
          <w:rPr>
            <w:rStyle w:val="Lienhypertexte"/>
          </w:rPr>
          <w:t>CAT/C/56/D/586/2014</w:t>
        </w:r>
      </w:hyperlink>
      <w:r w:rsidRPr="001D6294">
        <w:t xml:space="preserve">), </w:t>
      </w:r>
      <w:r w:rsidRPr="001D6294">
        <w:rPr>
          <w:i/>
        </w:rPr>
        <w:t>A.</w:t>
      </w:r>
      <w:r>
        <w:rPr>
          <w:i/>
        </w:rPr>
        <w:t> </w:t>
      </w:r>
      <w:r w:rsidRPr="001D6294">
        <w:rPr>
          <w:i/>
        </w:rPr>
        <w:t>N. c. Suisse</w:t>
      </w:r>
      <w:r w:rsidRPr="001D6294">
        <w:t xml:space="preserve"> (</w:t>
      </w:r>
      <w:hyperlink r:id="rId136" w:history="1">
        <w:r w:rsidRPr="00297772">
          <w:rPr>
            <w:rStyle w:val="Lienhypertexte"/>
          </w:rPr>
          <w:t>CAT/C/64/D/742/2016</w:t>
        </w:r>
      </w:hyperlink>
      <w:r w:rsidRPr="001D6294">
        <w:t xml:space="preserve">), </w:t>
      </w:r>
      <w:proofErr w:type="spellStart"/>
      <w:r w:rsidRPr="001D6294">
        <w:rPr>
          <w:i/>
        </w:rPr>
        <w:t>Harun</w:t>
      </w:r>
      <w:proofErr w:type="spellEnd"/>
      <w:r>
        <w:rPr>
          <w:i/>
        </w:rPr>
        <w:t> </w:t>
      </w:r>
      <w:r w:rsidRPr="001D6294">
        <w:rPr>
          <w:i/>
        </w:rPr>
        <w:t>c. Suisse</w:t>
      </w:r>
      <w:r w:rsidRPr="001D6294">
        <w:t xml:space="preserve"> (</w:t>
      </w:r>
      <w:hyperlink r:id="rId137" w:history="1">
        <w:r w:rsidRPr="00297772">
          <w:rPr>
            <w:rStyle w:val="Lienhypertexte"/>
          </w:rPr>
          <w:t>CAT/C/65/D/758/2016</w:t>
        </w:r>
      </w:hyperlink>
      <w:r w:rsidRPr="001D6294">
        <w:t xml:space="preserve">) et </w:t>
      </w:r>
      <w:r w:rsidRPr="001D6294">
        <w:rPr>
          <w:i/>
        </w:rPr>
        <w:t>M.</w:t>
      </w:r>
      <w:r>
        <w:rPr>
          <w:i/>
        </w:rPr>
        <w:t> </w:t>
      </w:r>
      <w:r w:rsidRPr="001D6294">
        <w:rPr>
          <w:i/>
        </w:rPr>
        <w:t>G. c. Suisse</w:t>
      </w:r>
      <w:r w:rsidRPr="001D6294">
        <w:t xml:space="preserve"> (</w:t>
      </w:r>
      <w:hyperlink r:id="rId138" w:history="1">
        <w:r w:rsidRPr="00297772">
          <w:rPr>
            <w:rStyle w:val="Lienhypertexte"/>
          </w:rPr>
          <w:t>CAT/C/65/D/811/2017</w:t>
        </w:r>
      </w:hyperlink>
      <w:r w:rsidRPr="001D6294">
        <w:t>). Le Comité a examiné les informations reçues concernant sept autres décisions</w:t>
      </w:r>
      <w:r w:rsidR="004817DF">
        <w:t> :</w:t>
      </w:r>
      <w:r w:rsidRPr="001D6294">
        <w:t xml:space="preserve"> </w:t>
      </w:r>
      <w:proofErr w:type="spellStart"/>
      <w:r w:rsidRPr="001D6294">
        <w:rPr>
          <w:i/>
        </w:rPr>
        <w:t>Aarrass</w:t>
      </w:r>
      <w:proofErr w:type="spellEnd"/>
      <w:r w:rsidRPr="001D6294">
        <w:rPr>
          <w:i/>
        </w:rPr>
        <w:t xml:space="preserve"> c. Maroc</w:t>
      </w:r>
      <w:r w:rsidRPr="001D6294">
        <w:t xml:space="preserve">, </w:t>
      </w:r>
      <w:proofErr w:type="spellStart"/>
      <w:r w:rsidRPr="0028032B">
        <w:rPr>
          <w:i/>
        </w:rPr>
        <w:t>Ramírez</w:t>
      </w:r>
      <w:proofErr w:type="spellEnd"/>
      <w:r>
        <w:t> </w:t>
      </w:r>
      <w:proofErr w:type="spellStart"/>
      <w:r w:rsidRPr="001D6294">
        <w:rPr>
          <w:i/>
        </w:rPr>
        <w:t>Martínez</w:t>
      </w:r>
      <w:proofErr w:type="spellEnd"/>
      <w:r w:rsidRPr="001D6294">
        <w:rPr>
          <w:i/>
        </w:rPr>
        <w:t xml:space="preserve"> et consorts c. Mexique</w:t>
      </w:r>
      <w:r w:rsidRPr="001D6294">
        <w:t xml:space="preserve"> (</w:t>
      </w:r>
      <w:hyperlink r:id="rId139" w:history="1">
        <w:r w:rsidRPr="00297772">
          <w:rPr>
            <w:rStyle w:val="Lienhypertexte"/>
          </w:rPr>
          <w:t>CAT/C/55/D/500/2012</w:t>
        </w:r>
      </w:hyperlink>
      <w:r w:rsidRPr="001D6294">
        <w:t xml:space="preserve">), </w:t>
      </w:r>
      <w:r w:rsidRPr="001D6294">
        <w:rPr>
          <w:i/>
        </w:rPr>
        <w:t>F.</w:t>
      </w:r>
      <w:r>
        <w:rPr>
          <w:i/>
        </w:rPr>
        <w:t> </w:t>
      </w:r>
      <w:r w:rsidRPr="001D6294">
        <w:rPr>
          <w:i/>
        </w:rPr>
        <w:t>K. c. Danemark</w:t>
      </w:r>
      <w:r w:rsidRPr="001D6294">
        <w:t xml:space="preserve"> (</w:t>
      </w:r>
      <w:hyperlink r:id="rId140" w:history="1">
        <w:r w:rsidRPr="00297772">
          <w:rPr>
            <w:rStyle w:val="Lienhypertexte"/>
          </w:rPr>
          <w:t>CAT/C/56/D/580/2014</w:t>
        </w:r>
      </w:hyperlink>
      <w:r w:rsidRPr="001D6294">
        <w:t xml:space="preserve">), </w:t>
      </w:r>
      <w:proofErr w:type="spellStart"/>
      <w:r w:rsidRPr="001D6294">
        <w:rPr>
          <w:i/>
        </w:rPr>
        <w:t>Asfari</w:t>
      </w:r>
      <w:proofErr w:type="spellEnd"/>
      <w:r w:rsidRPr="001D6294">
        <w:rPr>
          <w:i/>
        </w:rPr>
        <w:t xml:space="preserve"> c. Maroc</w:t>
      </w:r>
      <w:r w:rsidRPr="001D6294">
        <w:t xml:space="preserve">, </w:t>
      </w:r>
      <w:r w:rsidRPr="001D6294">
        <w:rPr>
          <w:i/>
        </w:rPr>
        <w:t>I.</w:t>
      </w:r>
      <w:r>
        <w:rPr>
          <w:i/>
        </w:rPr>
        <w:t> </w:t>
      </w:r>
      <w:r w:rsidRPr="001D6294">
        <w:rPr>
          <w:i/>
        </w:rPr>
        <w:t>A. et consorts c. Suède</w:t>
      </w:r>
      <w:r w:rsidRPr="001D6294">
        <w:t xml:space="preserve"> (</w:t>
      </w:r>
      <w:hyperlink r:id="rId141" w:history="1">
        <w:r w:rsidRPr="00297772">
          <w:rPr>
            <w:rStyle w:val="Lienhypertexte"/>
          </w:rPr>
          <w:t>CAT/C/66/</w:t>
        </w:r>
        <w:r w:rsidR="00C27275">
          <w:rPr>
            <w:rStyle w:val="Lienhypertexte"/>
          </w:rPr>
          <w:t xml:space="preserve"> </w:t>
        </w:r>
        <w:bookmarkStart w:id="145" w:name="_GoBack"/>
        <w:bookmarkEnd w:id="145"/>
        <w:r w:rsidRPr="00297772">
          <w:rPr>
            <w:rStyle w:val="Lienhypertexte"/>
          </w:rPr>
          <w:t>D/729/2016</w:t>
        </w:r>
      </w:hyperlink>
      <w:r w:rsidRPr="001D6294">
        <w:t xml:space="preserve">), </w:t>
      </w:r>
      <w:proofErr w:type="spellStart"/>
      <w:r w:rsidRPr="001D6294">
        <w:rPr>
          <w:i/>
        </w:rPr>
        <w:t>Yrusta</w:t>
      </w:r>
      <w:proofErr w:type="spellEnd"/>
      <w:r w:rsidRPr="001D6294">
        <w:rPr>
          <w:i/>
        </w:rPr>
        <w:t xml:space="preserve"> et </w:t>
      </w:r>
      <w:proofErr w:type="spellStart"/>
      <w:r w:rsidRPr="001D6294">
        <w:rPr>
          <w:i/>
        </w:rPr>
        <w:t>del</w:t>
      </w:r>
      <w:proofErr w:type="spellEnd"/>
      <w:r w:rsidRPr="001D6294">
        <w:rPr>
          <w:i/>
        </w:rPr>
        <w:t xml:space="preserve"> Valle </w:t>
      </w:r>
      <w:proofErr w:type="spellStart"/>
      <w:r w:rsidRPr="001D6294">
        <w:rPr>
          <w:i/>
        </w:rPr>
        <w:t>Yrusta</w:t>
      </w:r>
      <w:proofErr w:type="spellEnd"/>
      <w:r w:rsidRPr="001D6294">
        <w:rPr>
          <w:i/>
        </w:rPr>
        <w:t xml:space="preserve"> c. Argentine</w:t>
      </w:r>
      <w:r w:rsidRPr="001D6294">
        <w:t xml:space="preserve"> (</w:t>
      </w:r>
      <w:hyperlink r:id="rId142" w:history="1">
        <w:r w:rsidRPr="00297772">
          <w:rPr>
            <w:rStyle w:val="Lienhypertexte"/>
          </w:rPr>
          <w:t>CAT/C/65/D/778/2016</w:t>
        </w:r>
      </w:hyperlink>
      <w:r w:rsidRPr="001D6294">
        <w:t xml:space="preserve">) et </w:t>
      </w:r>
      <w:r w:rsidRPr="001D6294">
        <w:rPr>
          <w:i/>
        </w:rPr>
        <w:t>A c. Bosnie-Herzégovine</w:t>
      </w:r>
      <w:r w:rsidRPr="001D6294">
        <w:t xml:space="preserve"> (</w:t>
      </w:r>
      <w:hyperlink r:id="rId143" w:history="1">
        <w:r w:rsidRPr="00297772">
          <w:rPr>
            <w:rStyle w:val="Lienhypertexte"/>
          </w:rPr>
          <w:t>CAT/C/67/D/854/2017</w:t>
        </w:r>
      </w:hyperlink>
      <w:r w:rsidRPr="001D6294">
        <w:t>) et a décidé de poursuivre le dialogue au titre du suivi concernant ces affaires. Le Comité a également décidé de demander à effectuer une visite de suivi eu égard à la non</w:t>
      </w:r>
      <w:r>
        <w:t>-</w:t>
      </w:r>
      <w:r w:rsidRPr="001D6294">
        <w:t>application de la décision adoptée dans l</w:t>
      </w:r>
      <w:r>
        <w:t>’</w:t>
      </w:r>
      <w:r w:rsidRPr="001D6294">
        <w:t xml:space="preserve">affaire </w:t>
      </w:r>
      <w:proofErr w:type="spellStart"/>
      <w:r w:rsidRPr="001D6294">
        <w:rPr>
          <w:i/>
        </w:rPr>
        <w:t>Asfari</w:t>
      </w:r>
      <w:proofErr w:type="spellEnd"/>
      <w:r w:rsidRPr="001D6294">
        <w:rPr>
          <w:i/>
        </w:rPr>
        <w:t xml:space="preserve"> c. Maroc</w:t>
      </w:r>
      <w:r w:rsidRPr="001D6294">
        <w:t>, et d</w:t>
      </w:r>
      <w:r>
        <w:t>’</w:t>
      </w:r>
      <w:r w:rsidRPr="001D6294">
        <w:t>envoyer des lettres de suivi dans lesquelles il demanderait d</w:t>
      </w:r>
      <w:r>
        <w:t>’</w:t>
      </w:r>
      <w:r w:rsidRPr="001D6294">
        <w:t>accélérer l</w:t>
      </w:r>
      <w:r>
        <w:t>’</w:t>
      </w:r>
      <w:r w:rsidRPr="001D6294">
        <w:t xml:space="preserve">application des décisions adoptées dans les affaires </w:t>
      </w:r>
      <w:proofErr w:type="spellStart"/>
      <w:r w:rsidRPr="001D6294">
        <w:rPr>
          <w:i/>
        </w:rPr>
        <w:t>Aarrass</w:t>
      </w:r>
      <w:proofErr w:type="spellEnd"/>
      <w:r w:rsidRPr="001D6294">
        <w:rPr>
          <w:i/>
        </w:rPr>
        <w:t xml:space="preserve"> c. Maroc</w:t>
      </w:r>
      <w:r w:rsidRPr="001D6294">
        <w:t xml:space="preserve"> et </w:t>
      </w:r>
      <w:proofErr w:type="spellStart"/>
      <w:r w:rsidRPr="001D6294">
        <w:rPr>
          <w:i/>
        </w:rPr>
        <w:t>Ramírez</w:t>
      </w:r>
      <w:proofErr w:type="spellEnd"/>
      <w:r w:rsidRPr="001D6294">
        <w:rPr>
          <w:i/>
        </w:rPr>
        <w:t xml:space="preserve"> </w:t>
      </w:r>
      <w:proofErr w:type="spellStart"/>
      <w:r w:rsidRPr="001D6294">
        <w:rPr>
          <w:i/>
        </w:rPr>
        <w:t>Martínez</w:t>
      </w:r>
      <w:proofErr w:type="spellEnd"/>
      <w:r w:rsidRPr="001D6294">
        <w:rPr>
          <w:i/>
        </w:rPr>
        <w:t xml:space="preserve"> et consorts c. Mexique</w:t>
      </w:r>
      <w:r w:rsidRPr="001D6294">
        <w:t>. En outre, il a décidé de demander à rencontrer le Représentant permanent du Mexique auprès de l</w:t>
      </w:r>
      <w:r>
        <w:t>’</w:t>
      </w:r>
      <w:r w:rsidRPr="001D6294">
        <w:t>Office des Nations Unies et d</w:t>
      </w:r>
      <w:r>
        <w:t>’</w:t>
      </w:r>
      <w:r w:rsidRPr="001D6294">
        <w:t>autres organisations internationales pour s</w:t>
      </w:r>
      <w:r>
        <w:t>’</w:t>
      </w:r>
      <w:r w:rsidRPr="001D6294">
        <w:t>entretenir de la décision adoptée dans l</w:t>
      </w:r>
      <w:r>
        <w:t>’</w:t>
      </w:r>
      <w:r w:rsidRPr="001D6294">
        <w:t xml:space="preserve">affaire </w:t>
      </w:r>
      <w:proofErr w:type="spellStart"/>
      <w:r w:rsidRPr="001D6294">
        <w:rPr>
          <w:i/>
        </w:rPr>
        <w:t>Ramírez</w:t>
      </w:r>
      <w:proofErr w:type="spellEnd"/>
      <w:r>
        <w:rPr>
          <w:i/>
        </w:rPr>
        <w:t> </w:t>
      </w:r>
      <w:proofErr w:type="spellStart"/>
      <w:r w:rsidRPr="001D6294">
        <w:rPr>
          <w:i/>
        </w:rPr>
        <w:t>Martínez</w:t>
      </w:r>
      <w:proofErr w:type="spellEnd"/>
      <w:r w:rsidRPr="001D6294">
        <w:rPr>
          <w:i/>
        </w:rPr>
        <w:t xml:space="preserve"> et consorts c. Mexique</w:t>
      </w:r>
      <w:r w:rsidRPr="001D6294">
        <w:t>, ainsi que le Représentant permanent du Maroc auprès de l</w:t>
      </w:r>
      <w:r>
        <w:t>’</w:t>
      </w:r>
      <w:r w:rsidRPr="001D6294">
        <w:t>Office des Nations Unies et d</w:t>
      </w:r>
      <w:r>
        <w:t>’</w:t>
      </w:r>
      <w:r w:rsidRPr="001D6294">
        <w:t>autres organisations internationales à Genève pour s</w:t>
      </w:r>
      <w:r>
        <w:t>’</w:t>
      </w:r>
      <w:r w:rsidRPr="001D6294">
        <w:t>entretenir de la décision adoptée dans l</w:t>
      </w:r>
      <w:r>
        <w:t>’</w:t>
      </w:r>
      <w:r w:rsidRPr="001D6294">
        <w:t xml:space="preserve">affaire </w:t>
      </w:r>
      <w:proofErr w:type="spellStart"/>
      <w:r w:rsidRPr="001D6294">
        <w:rPr>
          <w:i/>
        </w:rPr>
        <w:t>Asfari</w:t>
      </w:r>
      <w:proofErr w:type="spellEnd"/>
      <w:r w:rsidRPr="001D6294">
        <w:rPr>
          <w:i/>
        </w:rPr>
        <w:t xml:space="preserve"> c. Maroc</w:t>
      </w:r>
      <w:r w:rsidRPr="001D6294">
        <w:t xml:space="preserve">. Le Comité a également décidé de faire état de la non-application persistante des décisions adoptées dans les affaires </w:t>
      </w:r>
      <w:proofErr w:type="spellStart"/>
      <w:r w:rsidRPr="001D6294">
        <w:rPr>
          <w:i/>
        </w:rPr>
        <w:t>Aarrass</w:t>
      </w:r>
      <w:proofErr w:type="spellEnd"/>
      <w:r w:rsidRPr="001D6294">
        <w:rPr>
          <w:i/>
        </w:rPr>
        <w:t xml:space="preserve"> c. Maroc</w:t>
      </w:r>
      <w:r w:rsidRPr="001D6294">
        <w:t xml:space="preserve">, </w:t>
      </w:r>
      <w:proofErr w:type="spellStart"/>
      <w:r w:rsidRPr="001D6294">
        <w:rPr>
          <w:i/>
        </w:rPr>
        <w:t>Ramírez</w:t>
      </w:r>
      <w:proofErr w:type="spellEnd"/>
      <w:r w:rsidRPr="001D6294">
        <w:rPr>
          <w:i/>
        </w:rPr>
        <w:t xml:space="preserve"> </w:t>
      </w:r>
      <w:proofErr w:type="spellStart"/>
      <w:r w:rsidRPr="001D6294">
        <w:rPr>
          <w:i/>
        </w:rPr>
        <w:t>Martínez</w:t>
      </w:r>
      <w:proofErr w:type="spellEnd"/>
      <w:r w:rsidRPr="001D6294">
        <w:rPr>
          <w:i/>
        </w:rPr>
        <w:t xml:space="preserve"> et consorts c. Mexique </w:t>
      </w:r>
      <w:r w:rsidRPr="001D6294">
        <w:t xml:space="preserve">et </w:t>
      </w:r>
      <w:proofErr w:type="spellStart"/>
      <w:r w:rsidRPr="001D6294">
        <w:rPr>
          <w:i/>
        </w:rPr>
        <w:t>Asfari</w:t>
      </w:r>
      <w:proofErr w:type="spellEnd"/>
      <w:r w:rsidRPr="001D6294">
        <w:rPr>
          <w:i/>
        </w:rPr>
        <w:t xml:space="preserve"> c. Maroc</w:t>
      </w:r>
      <w:r w:rsidRPr="001D6294">
        <w:t xml:space="preserve"> dans le rapport annuel qu</w:t>
      </w:r>
      <w:r>
        <w:t>’</w:t>
      </w:r>
      <w:r w:rsidRPr="001D6294">
        <w:t>il soumet à l</w:t>
      </w:r>
      <w:r>
        <w:t>’</w:t>
      </w:r>
      <w:r w:rsidRPr="001D6294">
        <w:t>Assemblée générale.</w:t>
      </w:r>
    </w:p>
    <w:p w14:paraId="16ED6095" w14:textId="77777777" w:rsidR="00712772" w:rsidRPr="001D6294" w:rsidRDefault="00712772" w:rsidP="004817DF">
      <w:pPr>
        <w:pStyle w:val="SingleTxtG"/>
      </w:pPr>
      <w:r w:rsidRPr="001D6294">
        <w:t>6</w:t>
      </w:r>
      <w:r>
        <w:t>6</w:t>
      </w:r>
      <w:r w:rsidRPr="001D6294">
        <w:t>.</w:t>
      </w:r>
      <w:r w:rsidRPr="001D6294">
        <w:tab/>
        <w:t xml:space="preserve">Toujours à la soixante-huitième session, </w:t>
      </w:r>
      <w:r w:rsidRPr="00851BB5">
        <w:t>M</w:t>
      </w:r>
      <w:r w:rsidRPr="00851BB5">
        <w:rPr>
          <w:vertAlign w:val="superscript"/>
        </w:rPr>
        <w:t>me</w:t>
      </w:r>
      <w:r w:rsidRPr="00851BB5">
        <w:t> </w:t>
      </w:r>
      <w:proofErr w:type="spellStart"/>
      <w:r w:rsidRPr="001D6294">
        <w:t>Racu</w:t>
      </w:r>
      <w:proofErr w:type="spellEnd"/>
      <w:r w:rsidRPr="001D6294">
        <w:t xml:space="preserve"> a présenté au Comité un rapport oral sur les représailles. Le Comité a reçu des renseignements actualisés concernant les représailles dans le cadre des requêtes en cours d</w:t>
      </w:r>
      <w:r>
        <w:t>’</w:t>
      </w:r>
      <w:r w:rsidRPr="001D6294">
        <w:t>examen et du suivi des décisions.</w:t>
      </w:r>
      <w:bookmarkStart w:id="146" w:name="_Hlk37261030"/>
      <w:bookmarkEnd w:id="146"/>
    </w:p>
    <w:p w14:paraId="2B9EE223" w14:textId="77777777" w:rsidR="00712772" w:rsidRPr="001D6294" w:rsidRDefault="00712772" w:rsidP="004817DF">
      <w:pPr>
        <w:pStyle w:val="SingleTxtG"/>
      </w:pPr>
      <w:r w:rsidRPr="001D6294">
        <w:t>6</w:t>
      </w:r>
      <w:r>
        <w:t>7</w:t>
      </w:r>
      <w:r w:rsidRPr="001D6294">
        <w:t>.</w:t>
      </w:r>
      <w:r w:rsidRPr="001D6294">
        <w:tab/>
        <w:t>En raison du report de la soixante-neuvième session, le Comité, au cours de la période considérée, n</w:t>
      </w:r>
      <w:r>
        <w:t>’</w:t>
      </w:r>
      <w:r w:rsidRPr="001D6294">
        <w:t>a examiné aucune autre demande relative à des affaires faisant l</w:t>
      </w:r>
      <w:r>
        <w:t>’</w:t>
      </w:r>
      <w:r w:rsidRPr="001D6294">
        <w:t>objet d</w:t>
      </w:r>
      <w:r>
        <w:t>’</w:t>
      </w:r>
      <w:r w:rsidRPr="001D6294">
        <w:t>un suivi dans le cadre de la procédure de suivi du Comité.</w:t>
      </w:r>
    </w:p>
    <w:p w14:paraId="0956206D" w14:textId="77777777" w:rsidR="00712772" w:rsidRPr="001D6294" w:rsidRDefault="00712772" w:rsidP="004817DF">
      <w:pPr>
        <w:pStyle w:val="SingleTxtG"/>
      </w:pPr>
      <w:r>
        <w:t>68</w:t>
      </w:r>
      <w:r w:rsidRPr="001D6294">
        <w:t>.</w:t>
      </w:r>
      <w:r w:rsidRPr="001D6294">
        <w:tab/>
        <w:t>Au 15</w:t>
      </w:r>
      <w:r w:rsidR="00D715E1">
        <w:t xml:space="preserve"> mai </w:t>
      </w:r>
      <w:r w:rsidRPr="001D6294">
        <w:t>2020, le Comité avait mis fin au dialogue au titre du suivi en concluant à un règlement satisfaisant ou partiellement satisfaisant concernant 70</w:t>
      </w:r>
      <w:r w:rsidR="00297772">
        <w:t> </w:t>
      </w:r>
      <w:r w:rsidRPr="001D6294">
        <w:t>communications, sur un total de 158</w:t>
      </w:r>
      <w:r w:rsidR="00297772">
        <w:t> </w:t>
      </w:r>
      <w:r w:rsidRPr="001D6294">
        <w:t xml:space="preserve">communications pour lesquelles il avait conclu à des violations de différentes dispositions de la Convention. On trouvera de plus amples informations à ce sujet dans les documents publiés sous la cote </w:t>
      </w:r>
      <w:hyperlink r:id="rId144" w:history="1">
        <w:r w:rsidRPr="00297772">
          <w:rPr>
            <w:rStyle w:val="Lienhypertexte"/>
          </w:rPr>
          <w:t>CAT/C/67/3</w:t>
        </w:r>
      </w:hyperlink>
      <w:r w:rsidRPr="001D6294">
        <w:t xml:space="preserve"> </w:t>
      </w:r>
      <w:r>
        <w:t>et</w:t>
      </w:r>
      <w:r w:rsidRPr="001D6294">
        <w:t xml:space="preserve"> </w:t>
      </w:r>
      <w:hyperlink r:id="rId145" w:history="1">
        <w:r w:rsidRPr="00297772">
          <w:rPr>
            <w:rStyle w:val="Lienhypertexte"/>
          </w:rPr>
          <w:t>CAT/C/68/3</w:t>
        </w:r>
      </w:hyperlink>
      <w:r w:rsidRPr="001D6294">
        <w:t>.</w:t>
      </w:r>
    </w:p>
    <w:p w14:paraId="4826A28E" w14:textId="77777777" w:rsidR="00712772" w:rsidRPr="001D6294" w:rsidRDefault="00712772" w:rsidP="004817DF">
      <w:pPr>
        <w:pStyle w:val="HChG"/>
      </w:pPr>
      <w:r>
        <w:lastRenderedPageBreak/>
        <w:tab/>
      </w:r>
      <w:r w:rsidRPr="001D6294">
        <w:t>VII.</w:t>
      </w:r>
      <w:r w:rsidRPr="001D6294">
        <w:tab/>
        <w:t>Réunions du Comité en 2020</w:t>
      </w:r>
      <w:bookmarkStart w:id="147" w:name="_Toc14181245"/>
      <w:bookmarkStart w:id="148" w:name="_Toc37768184"/>
      <w:bookmarkEnd w:id="147"/>
      <w:bookmarkEnd w:id="148"/>
    </w:p>
    <w:p w14:paraId="0D36FAD4" w14:textId="77777777" w:rsidR="00712772" w:rsidRPr="001D6294" w:rsidRDefault="00712772" w:rsidP="004817DF">
      <w:pPr>
        <w:pStyle w:val="SingleTxtG"/>
      </w:pPr>
      <w:r>
        <w:t>69</w:t>
      </w:r>
      <w:r w:rsidRPr="001D6294">
        <w:t>.</w:t>
      </w:r>
      <w:r w:rsidRPr="001D6294">
        <w:tab/>
        <w:t xml:space="preserve">Conformément à la résolution </w:t>
      </w:r>
      <w:hyperlink r:id="rId146" w:history="1">
        <w:r w:rsidRPr="00F74694">
          <w:rPr>
            <w:rStyle w:val="Lienhypertexte"/>
          </w:rPr>
          <w:t>68</w:t>
        </w:r>
        <w:r w:rsidRPr="00F74694">
          <w:rPr>
            <w:rStyle w:val="Lienhypertexte"/>
          </w:rPr>
          <w:t>/</w:t>
        </w:r>
        <w:r w:rsidRPr="00F74694">
          <w:rPr>
            <w:rStyle w:val="Lienhypertexte"/>
          </w:rPr>
          <w:t>268</w:t>
        </w:r>
      </w:hyperlink>
      <w:r w:rsidRPr="001D6294">
        <w:t xml:space="preserve"> de l</w:t>
      </w:r>
      <w:r>
        <w:t>’</w:t>
      </w:r>
      <w:r w:rsidRPr="001D6294">
        <w:t>Assemblée générale, le Comité tiendra deux autres sessions ordinaires en 2020</w:t>
      </w:r>
      <w:r w:rsidR="004817DF">
        <w:t> :</w:t>
      </w:r>
      <w:r w:rsidRPr="001D6294">
        <w:t xml:space="preserve"> la soixante-</w:t>
      </w:r>
      <w:r>
        <w:t>neuvième</w:t>
      </w:r>
      <w:r w:rsidRPr="001D6294">
        <w:t xml:space="preserve"> session (13-</w:t>
      </w:r>
      <w:r>
        <w:t>30</w:t>
      </w:r>
      <w:r w:rsidR="00F74694">
        <w:t> </w:t>
      </w:r>
      <w:r w:rsidRPr="001D6294">
        <w:t>juillet 2020) et la soixante</w:t>
      </w:r>
      <w:r>
        <w:t xml:space="preserve">-dixième </w:t>
      </w:r>
      <w:r w:rsidRPr="001D6294">
        <w:t>session (9</w:t>
      </w:r>
      <w:r w:rsidR="00F74694">
        <w:t> </w:t>
      </w:r>
      <w:r w:rsidRPr="001D6294">
        <w:t>novembre-4</w:t>
      </w:r>
      <w:r w:rsidR="00F74694">
        <w:t> </w:t>
      </w:r>
      <w:r w:rsidRPr="001D6294">
        <w:t>décembre 2020).</w:t>
      </w:r>
    </w:p>
    <w:p w14:paraId="1141574F" w14:textId="77777777" w:rsidR="00712772" w:rsidRPr="001D6294" w:rsidRDefault="00712772" w:rsidP="004817DF">
      <w:pPr>
        <w:pStyle w:val="HChG"/>
      </w:pPr>
      <w:r>
        <w:tab/>
      </w:r>
      <w:r w:rsidRPr="001D6294">
        <w:t>VIII.</w:t>
      </w:r>
      <w:r w:rsidRPr="001D6294">
        <w:tab/>
        <w:t>Adoption du rapport annuel du Comité sur ses activités</w:t>
      </w:r>
      <w:bookmarkStart w:id="149" w:name="_Toc14181246"/>
      <w:bookmarkStart w:id="150" w:name="_Toc37768185"/>
      <w:bookmarkEnd w:id="149"/>
      <w:bookmarkEnd w:id="150"/>
    </w:p>
    <w:p w14:paraId="12BF1F55" w14:textId="77777777" w:rsidR="00712772" w:rsidRPr="001D6294" w:rsidRDefault="00712772" w:rsidP="004817DF">
      <w:pPr>
        <w:pStyle w:val="SingleTxtG"/>
      </w:pPr>
      <w:r w:rsidRPr="001D6294">
        <w:t>7</w:t>
      </w:r>
      <w:r>
        <w:t>0</w:t>
      </w:r>
      <w:r w:rsidRPr="001D6294">
        <w:t>.</w:t>
      </w:r>
      <w:r w:rsidRPr="001D6294">
        <w:tab/>
        <w:t>Conformément à l</w:t>
      </w:r>
      <w:r>
        <w:t>’</w:t>
      </w:r>
      <w:r w:rsidRPr="001D6294">
        <w:t>article 24 de la Convention, le Comité soumet aux États parties et à l</w:t>
      </w:r>
      <w:r>
        <w:t>’</w:t>
      </w:r>
      <w:r w:rsidRPr="001D6294">
        <w:t>Assemblée générale un rapport annuel sur ses activités. Comme le Comité tient chaque année sa troisième session ordinaire en novembre, période qui coïncide avec les sessions ordinaires de l</w:t>
      </w:r>
      <w:r>
        <w:t>’</w:t>
      </w:r>
      <w:r w:rsidRPr="001D6294">
        <w:t>Assemblée générale, il adopte son rapport annuel à la fin de sa session de printemps, afin de le transmettre à l</w:t>
      </w:r>
      <w:r>
        <w:t>’</w:t>
      </w:r>
      <w:r w:rsidRPr="001D6294">
        <w:t>Assemblée générale la même année civile. En conséquence, le Comité a examiné et a adopté son rapport sur ses travaux à ses soixante</w:t>
      </w:r>
      <w:r>
        <w:noBreakHyphen/>
      </w:r>
      <w:r w:rsidRPr="001D6294">
        <w:t>septième et soixante-huitième sessions.</w:t>
      </w:r>
    </w:p>
    <w:p w14:paraId="4921CB1B" w14:textId="77777777" w:rsidR="00712772" w:rsidRPr="001D6294" w:rsidRDefault="00712772" w:rsidP="004817DF">
      <w:pPr>
        <w:pStyle w:val="HChG"/>
      </w:pPr>
      <w:r>
        <w:br w:type="page"/>
      </w:r>
      <w:r w:rsidRPr="001D6294">
        <w:lastRenderedPageBreak/>
        <w:t>Annexe I</w:t>
      </w:r>
      <w:bookmarkStart w:id="151" w:name="_Toc14181247"/>
      <w:bookmarkStart w:id="152" w:name="_Toc37768186"/>
      <w:bookmarkStart w:id="153" w:name="_Toc305402614"/>
      <w:bookmarkEnd w:id="151"/>
      <w:bookmarkEnd w:id="152"/>
    </w:p>
    <w:p w14:paraId="3079B2BC" w14:textId="77777777" w:rsidR="00712772" w:rsidRPr="001D6294" w:rsidRDefault="00712772" w:rsidP="004817DF">
      <w:pPr>
        <w:pStyle w:val="HChG"/>
      </w:pPr>
      <w:r w:rsidRPr="001D6294">
        <w:tab/>
      </w:r>
      <w:r w:rsidRPr="001D6294">
        <w:tab/>
        <w:t>Composition du Comité et du Bureau et mandats du 18</w:t>
      </w:r>
      <w:r w:rsidR="00D715E1">
        <w:t xml:space="preserve"> mai </w:t>
      </w:r>
      <w:r w:rsidRPr="001D6294">
        <w:t>au 31 décembre 2019</w:t>
      </w:r>
      <w:bookmarkStart w:id="154" w:name="_Toc14181248"/>
      <w:bookmarkStart w:id="155" w:name="_Toc37768187"/>
      <w:bookmarkEnd w:id="153"/>
      <w:bookmarkEnd w:id="154"/>
      <w:bookmarkEnd w:id="155"/>
    </w:p>
    <w:tbl>
      <w:tblPr>
        <w:tblW w:w="7370" w:type="dxa"/>
        <w:tblInd w:w="1134" w:type="dxa"/>
        <w:tblLayout w:type="fixed"/>
        <w:tblCellMar>
          <w:left w:w="0" w:type="dxa"/>
          <w:right w:w="0" w:type="dxa"/>
        </w:tblCellMar>
        <w:tblLook w:val="0000" w:firstRow="0" w:lastRow="0" w:firstColumn="0" w:lastColumn="0" w:noHBand="0" w:noVBand="0"/>
      </w:tblPr>
      <w:tblGrid>
        <w:gridCol w:w="4172"/>
        <w:gridCol w:w="2065"/>
        <w:gridCol w:w="1133"/>
      </w:tblGrid>
      <w:tr w:rsidR="00712772" w:rsidRPr="00574846" w14:paraId="7AC0AD97" w14:textId="77777777" w:rsidTr="00712772">
        <w:trPr>
          <w:cantSplit/>
          <w:tblHeader/>
        </w:trPr>
        <w:tc>
          <w:tcPr>
            <w:tcW w:w="4172" w:type="dxa"/>
            <w:tcBorders>
              <w:top w:val="single" w:sz="4" w:space="0" w:color="auto"/>
              <w:bottom w:val="single" w:sz="12" w:space="0" w:color="auto"/>
            </w:tcBorders>
            <w:shd w:val="clear" w:color="auto" w:fill="auto"/>
            <w:vAlign w:val="bottom"/>
          </w:tcPr>
          <w:p w14:paraId="47CAADAA" w14:textId="77777777" w:rsidR="00712772" w:rsidRPr="00574846" w:rsidRDefault="00712772" w:rsidP="00712772">
            <w:pPr>
              <w:spacing w:before="80" w:after="80" w:line="200" w:lineRule="exact"/>
              <w:ind w:right="113"/>
              <w:rPr>
                <w:i/>
                <w:sz w:val="16"/>
                <w:szCs w:val="18"/>
              </w:rPr>
            </w:pPr>
            <w:r w:rsidRPr="00574846">
              <w:rPr>
                <w:i/>
                <w:sz w:val="16"/>
              </w:rPr>
              <w:t>Nom</w:t>
            </w:r>
          </w:p>
        </w:tc>
        <w:tc>
          <w:tcPr>
            <w:tcW w:w="2065" w:type="dxa"/>
            <w:tcBorders>
              <w:top w:val="single" w:sz="4" w:space="0" w:color="auto"/>
              <w:bottom w:val="single" w:sz="12" w:space="0" w:color="auto"/>
            </w:tcBorders>
            <w:shd w:val="clear" w:color="auto" w:fill="auto"/>
            <w:vAlign w:val="bottom"/>
          </w:tcPr>
          <w:p w14:paraId="457524A8" w14:textId="77777777" w:rsidR="00712772" w:rsidRPr="00574846" w:rsidRDefault="00712772" w:rsidP="00712772">
            <w:pPr>
              <w:spacing w:before="80" w:after="80" w:line="200" w:lineRule="exact"/>
              <w:ind w:right="113"/>
              <w:rPr>
                <w:i/>
                <w:sz w:val="16"/>
                <w:szCs w:val="18"/>
              </w:rPr>
            </w:pPr>
            <w:r w:rsidRPr="00574846">
              <w:rPr>
                <w:i/>
                <w:sz w:val="16"/>
              </w:rPr>
              <w:t>Pays de nationalité</w:t>
            </w:r>
          </w:p>
        </w:tc>
        <w:tc>
          <w:tcPr>
            <w:tcW w:w="1133" w:type="dxa"/>
            <w:tcBorders>
              <w:top w:val="single" w:sz="4" w:space="0" w:color="auto"/>
              <w:bottom w:val="single" w:sz="12" w:space="0" w:color="auto"/>
            </w:tcBorders>
            <w:shd w:val="clear" w:color="auto" w:fill="auto"/>
            <w:vAlign w:val="bottom"/>
          </w:tcPr>
          <w:p w14:paraId="3A0C08F7" w14:textId="77777777" w:rsidR="00712772" w:rsidRPr="00574846" w:rsidRDefault="00712772" w:rsidP="00712772">
            <w:pPr>
              <w:spacing w:before="80" w:after="80" w:line="200" w:lineRule="exact"/>
              <w:rPr>
                <w:i/>
                <w:sz w:val="16"/>
                <w:szCs w:val="18"/>
              </w:rPr>
            </w:pPr>
            <w:r w:rsidRPr="00574846">
              <w:rPr>
                <w:i/>
                <w:sz w:val="16"/>
              </w:rPr>
              <w:t>Mandat expirant le 31 décembre</w:t>
            </w:r>
          </w:p>
        </w:tc>
      </w:tr>
      <w:tr w:rsidR="00712772" w:rsidRPr="00574846" w14:paraId="25F2F6BF" w14:textId="77777777" w:rsidTr="00712772">
        <w:trPr>
          <w:cantSplit/>
          <w:trHeight w:hRule="exact" w:val="113"/>
          <w:tblHeader/>
        </w:trPr>
        <w:tc>
          <w:tcPr>
            <w:tcW w:w="4172" w:type="dxa"/>
            <w:tcBorders>
              <w:top w:val="single" w:sz="12" w:space="0" w:color="auto"/>
            </w:tcBorders>
            <w:shd w:val="clear" w:color="auto" w:fill="auto"/>
          </w:tcPr>
          <w:p w14:paraId="4CD06D18" w14:textId="77777777" w:rsidR="00712772" w:rsidRPr="00574846" w:rsidRDefault="00712772" w:rsidP="00712772">
            <w:pPr>
              <w:spacing w:before="40" w:after="120"/>
              <w:ind w:right="113"/>
            </w:pPr>
          </w:p>
        </w:tc>
        <w:tc>
          <w:tcPr>
            <w:tcW w:w="2065" w:type="dxa"/>
            <w:tcBorders>
              <w:top w:val="single" w:sz="12" w:space="0" w:color="auto"/>
            </w:tcBorders>
            <w:shd w:val="clear" w:color="auto" w:fill="auto"/>
          </w:tcPr>
          <w:p w14:paraId="72F619A4" w14:textId="77777777" w:rsidR="00712772" w:rsidRPr="00574846" w:rsidRDefault="00712772" w:rsidP="00712772">
            <w:pPr>
              <w:spacing w:before="40" w:after="120"/>
              <w:ind w:right="113"/>
            </w:pPr>
          </w:p>
        </w:tc>
        <w:tc>
          <w:tcPr>
            <w:tcW w:w="1133" w:type="dxa"/>
            <w:tcBorders>
              <w:top w:val="single" w:sz="12" w:space="0" w:color="auto"/>
            </w:tcBorders>
            <w:shd w:val="clear" w:color="auto" w:fill="auto"/>
          </w:tcPr>
          <w:p w14:paraId="6642A64E" w14:textId="77777777" w:rsidR="00712772" w:rsidRPr="00574846" w:rsidRDefault="00712772" w:rsidP="00712772">
            <w:pPr>
              <w:spacing w:before="40" w:after="120"/>
            </w:pPr>
          </w:p>
        </w:tc>
      </w:tr>
      <w:tr w:rsidR="00712772" w:rsidRPr="00574846" w14:paraId="350B04DC" w14:textId="77777777" w:rsidTr="00712772">
        <w:trPr>
          <w:cantSplit/>
        </w:trPr>
        <w:tc>
          <w:tcPr>
            <w:tcW w:w="4172" w:type="dxa"/>
            <w:shd w:val="clear" w:color="auto" w:fill="auto"/>
          </w:tcPr>
          <w:p w14:paraId="74F0D340" w14:textId="77777777" w:rsidR="00712772" w:rsidRPr="00574846" w:rsidRDefault="00712772" w:rsidP="00712772">
            <w:pPr>
              <w:spacing w:before="40" w:after="120"/>
              <w:ind w:right="113"/>
              <w:rPr>
                <w:szCs w:val="18"/>
              </w:rPr>
            </w:pPr>
            <w:proofErr w:type="spellStart"/>
            <w:r w:rsidRPr="00574846">
              <w:t>Essadia</w:t>
            </w:r>
            <w:proofErr w:type="spellEnd"/>
            <w:r w:rsidRPr="00574846">
              <w:t xml:space="preserve"> </w:t>
            </w:r>
            <w:proofErr w:type="spellStart"/>
            <w:r w:rsidRPr="00574846">
              <w:t>Belmir</w:t>
            </w:r>
            <w:proofErr w:type="spellEnd"/>
            <w:r w:rsidRPr="00574846">
              <w:t xml:space="preserve"> </w:t>
            </w:r>
            <w:r>
              <w:br/>
            </w:r>
            <w:r w:rsidRPr="00574846">
              <w:t>(Vice-Présidente)</w:t>
            </w:r>
          </w:p>
        </w:tc>
        <w:tc>
          <w:tcPr>
            <w:tcW w:w="2065" w:type="dxa"/>
            <w:shd w:val="clear" w:color="auto" w:fill="auto"/>
          </w:tcPr>
          <w:p w14:paraId="55E54498" w14:textId="77777777" w:rsidR="00712772" w:rsidRPr="00574846" w:rsidRDefault="00712772" w:rsidP="00712772">
            <w:pPr>
              <w:spacing w:before="40" w:after="120"/>
              <w:ind w:right="113"/>
              <w:rPr>
                <w:szCs w:val="18"/>
              </w:rPr>
            </w:pPr>
            <w:r w:rsidRPr="00574846">
              <w:t>Maroc</w:t>
            </w:r>
          </w:p>
        </w:tc>
        <w:tc>
          <w:tcPr>
            <w:tcW w:w="1133" w:type="dxa"/>
            <w:shd w:val="clear" w:color="auto" w:fill="auto"/>
          </w:tcPr>
          <w:p w14:paraId="57856F48" w14:textId="77777777" w:rsidR="00712772" w:rsidRPr="00574846" w:rsidRDefault="00712772" w:rsidP="00712772">
            <w:pPr>
              <w:spacing w:before="40" w:after="120"/>
              <w:rPr>
                <w:szCs w:val="18"/>
              </w:rPr>
            </w:pPr>
            <w:r w:rsidRPr="00574846">
              <w:t>2021</w:t>
            </w:r>
          </w:p>
        </w:tc>
      </w:tr>
      <w:tr w:rsidR="00712772" w:rsidRPr="00574846" w14:paraId="69444823" w14:textId="77777777" w:rsidTr="00712772">
        <w:trPr>
          <w:cantSplit/>
        </w:trPr>
        <w:tc>
          <w:tcPr>
            <w:tcW w:w="4172" w:type="dxa"/>
            <w:shd w:val="clear" w:color="auto" w:fill="auto"/>
          </w:tcPr>
          <w:p w14:paraId="02C62E63" w14:textId="77777777" w:rsidR="00712772" w:rsidRPr="00574846" w:rsidRDefault="00712772" w:rsidP="00712772">
            <w:pPr>
              <w:spacing w:before="40" w:after="120"/>
              <w:ind w:right="113"/>
              <w:rPr>
                <w:szCs w:val="18"/>
              </w:rPr>
            </w:pPr>
            <w:r w:rsidRPr="00574846">
              <w:t xml:space="preserve">Felice </w:t>
            </w:r>
            <w:proofErr w:type="spellStart"/>
            <w:r w:rsidRPr="00574846">
              <w:t>Gaer</w:t>
            </w:r>
            <w:proofErr w:type="spellEnd"/>
            <w:r w:rsidRPr="00574846">
              <w:t xml:space="preserve"> </w:t>
            </w:r>
            <w:r>
              <w:br/>
            </w:r>
            <w:r w:rsidRPr="00574846">
              <w:t>(Vice-Présidente)</w:t>
            </w:r>
          </w:p>
        </w:tc>
        <w:tc>
          <w:tcPr>
            <w:tcW w:w="2065" w:type="dxa"/>
            <w:shd w:val="clear" w:color="auto" w:fill="auto"/>
          </w:tcPr>
          <w:p w14:paraId="07EE43DD" w14:textId="77777777" w:rsidR="00712772" w:rsidRPr="00574846" w:rsidRDefault="00712772" w:rsidP="00712772">
            <w:pPr>
              <w:spacing w:before="40" w:after="120"/>
              <w:ind w:right="113"/>
              <w:rPr>
                <w:szCs w:val="18"/>
              </w:rPr>
            </w:pPr>
            <w:r w:rsidRPr="00574846">
              <w:t>États-Unis d</w:t>
            </w:r>
            <w:r>
              <w:t>’</w:t>
            </w:r>
            <w:r w:rsidRPr="00574846">
              <w:t>Amérique</w:t>
            </w:r>
          </w:p>
        </w:tc>
        <w:tc>
          <w:tcPr>
            <w:tcW w:w="1133" w:type="dxa"/>
            <w:shd w:val="clear" w:color="auto" w:fill="auto"/>
          </w:tcPr>
          <w:p w14:paraId="5AAE3C18" w14:textId="77777777" w:rsidR="00712772" w:rsidRPr="00574846" w:rsidRDefault="00712772" w:rsidP="00712772">
            <w:pPr>
              <w:spacing w:before="40" w:after="120"/>
              <w:rPr>
                <w:szCs w:val="18"/>
              </w:rPr>
            </w:pPr>
            <w:r w:rsidRPr="00574846">
              <w:t>2019</w:t>
            </w:r>
          </w:p>
        </w:tc>
      </w:tr>
      <w:tr w:rsidR="00712772" w:rsidRPr="00574846" w14:paraId="05F4C0A1" w14:textId="77777777" w:rsidTr="00712772">
        <w:trPr>
          <w:cantSplit/>
        </w:trPr>
        <w:tc>
          <w:tcPr>
            <w:tcW w:w="4172" w:type="dxa"/>
            <w:shd w:val="clear" w:color="auto" w:fill="auto"/>
          </w:tcPr>
          <w:p w14:paraId="7B90590D" w14:textId="77777777" w:rsidR="00712772" w:rsidRPr="00574846" w:rsidRDefault="00712772" w:rsidP="00712772">
            <w:pPr>
              <w:spacing w:before="40" w:after="120"/>
              <w:ind w:right="113"/>
              <w:rPr>
                <w:szCs w:val="18"/>
              </w:rPr>
            </w:pPr>
            <w:proofErr w:type="spellStart"/>
            <w:r w:rsidRPr="00574846">
              <w:t>Abdelwahab</w:t>
            </w:r>
            <w:proofErr w:type="spellEnd"/>
            <w:r w:rsidRPr="00574846">
              <w:t xml:space="preserve"> Hani </w:t>
            </w:r>
            <w:r>
              <w:br/>
            </w:r>
            <w:r w:rsidRPr="0028032B">
              <w:rPr>
                <w:spacing w:val="-2"/>
              </w:rPr>
              <w:t>(Rapporteur chargé du suivi au titre de l</w:t>
            </w:r>
            <w:r>
              <w:rPr>
                <w:spacing w:val="-2"/>
              </w:rPr>
              <w:t>’</w:t>
            </w:r>
            <w:r w:rsidRPr="0028032B">
              <w:rPr>
                <w:spacing w:val="-2"/>
              </w:rPr>
              <w:t>article 19)</w:t>
            </w:r>
          </w:p>
        </w:tc>
        <w:tc>
          <w:tcPr>
            <w:tcW w:w="2065" w:type="dxa"/>
            <w:shd w:val="clear" w:color="auto" w:fill="auto"/>
          </w:tcPr>
          <w:p w14:paraId="6BB54EF7" w14:textId="77777777" w:rsidR="00712772" w:rsidRPr="00574846" w:rsidRDefault="00712772" w:rsidP="00712772">
            <w:pPr>
              <w:spacing w:before="40" w:after="120"/>
              <w:ind w:right="113"/>
              <w:rPr>
                <w:szCs w:val="18"/>
              </w:rPr>
            </w:pPr>
            <w:r w:rsidRPr="00574846">
              <w:t>Tunisie</w:t>
            </w:r>
          </w:p>
        </w:tc>
        <w:tc>
          <w:tcPr>
            <w:tcW w:w="1133" w:type="dxa"/>
            <w:shd w:val="clear" w:color="auto" w:fill="auto"/>
          </w:tcPr>
          <w:p w14:paraId="25A354B1" w14:textId="77777777" w:rsidR="00712772" w:rsidRPr="00574846" w:rsidRDefault="00712772" w:rsidP="00712772">
            <w:pPr>
              <w:spacing w:before="40" w:after="120"/>
              <w:rPr>
                <w:szCs w:val="18"/>
              </w:rPr>
            </w:pPr>
            <w:r w:rsidRPr="00574846">
              <w:t>2019</w:t>
            </w:r>
          </w:p>
        </w:tc>
      </w:tr>
      <w:tr w:rsidR="00712772" w:rsidRPr="00574846" w14:paraId="35BE472F" w14:textId="77777777" w:rsidTr="00712772">
        <w:trPr>
          <w:cantSplit/>
        </w:trPr>
        <w:tc>
          <w:tcPr>
            <w:tcW w:w="4172" w:type="dxa"/>
            <w:shd w:val="clear" w:color="auto" w:fill="auto"/>
          </w:tcPr>
          <w:p w14:paraId="198E880E" w14:textId="77777777" w:rsidR="00712772" w:rsidRPr="00574846" w:rsidRDefault="00712772" w:rsidP="00712772">
            <w:pPr>
              <w:spacing w:before="40" w:after="120"/>
              <w:ind w:right="113"/>
              <w:rPr>
                <w:szCs w:val="18"/>
              </w:rPr>
            </w:pPr>
            <w:r w:rsidRPr="00574846">
              <w:t xml:space="preserve">Claude Heller </w:t>
            </w:r>
            <w:r>
              <w:br/>
            </w:r>
            <w:r w:rsidRPr="00574846">
              <w:t xml:space="preserve">(Vice-Président) </w:t>
            </w:r>
            <w:r>
              <w:br/>
            </w:r>
            <w:r w:rsidRPr="00574846">
              <w:t>(Rapporteur chargé du suivi des décisions adoptées au titre de l</w:t>
            </w:r>
            <w:r>
              <w:t>’</w:t>
            </w:r>
            <w:r w:rsidRPr="00574846">
              <w:t>article 22)</w:t>
            </w:r>
          </w:p>
        </w:tc>
        <w:tc>
          <w:tcPr>
            <w:tcW w:w="2065" w:type="dxa"/>
            <w:shd w:val="clear" w:color="auto" w:fill="auto"/>
          </w:tcPr>
          <w:p w14:paraId="0C0630F8" w14:textId="77777777" w:rsidR="00712772" w:rsidRPr="00574846" w:rsidRDefault="00712772" w:rsidP="00712772">
            <w:pPr>
              <w:spacing w:before="40" w:after="120"/>
              <w:ind w:right="113"/>
              <w:rPr>
                <w:szCs w:val="18"/>
              </w:rPr>
            </w:pPr>
            <w:r w:rsidRPr="00574846">
              <w:t>Mexique</w:t>
            </w:r>
          </w:p>
        </w:tc>
        <w:tc>
          <w:tcPr>
            <w:tcW w:w="1133" w:type="dxa"/>
            <w:shd w:val="clear" w:color="auto" w:fill="auto"/>
          </w:tcPr>
          <w:p w14:paraId="64915031" w14:textId="77777777" w:rsidR="00712772" w:rsidRPr="00574846" w:rsidRDefault="00712772" w:rsidP="00712772">
            <w:pPr>
              <w:spacing w:before="40" w:after="120"/>
              <w:rPr>
                <w:szCs w:val="18"/>
              </w:rPr>
            </w:pPr>
            <w:r w:rsidRPr="00574846">
              <w:t>2019</w:t>
            </w:r>
          </w:p>
        </w:tc>
      </w:tr>
      <w:tr w:rsidR="00712772" w:rsidRPr="00574846" w14:paraId="5E0F22E5" w14:textId="77777777" w:rsidTr="00712772">
        <w:trPr>
          <w:cantSplit/>
        </w:trPr>
        <w:tc>
          <w:tcPr>
            <w:tcW w:w="4172" w:type="dxa"/>
            <w:shd w:val="clear" w:color="auto" w:fill="auto"/>
          </w:tcPr>
          <w:p w14:paraId="5FBDB8AE" w14:textId="77777777" w:rsidR="00712772" w:rsidRPr="00574846" w:rsidRDefault="00712772" w:rsidP="00712772">
            <w:pPr>
              <w:spacing w:before="40" w:after="120"/>
              <w:ind w:right="113"/>
              <w:rPr>
                <w:szCs w:val="18"/>
              </w:rPr>
            </w:pPr>
            <w:r w:rsidRPr="00574846">
              <w:t xml:space="preserve">Jens </w:t>
            </w:r>
            <w:proofErr w:type="spellStart"/>
            <w:r w:rsidRPr="00574846">
              <w:t>Modvig</w:t>
            </w:r>
            <w:proofErr w:type="spellEnd"/>
            <w:r w:rsidRPr="00574846">
              <w:t xml:space="preserve"> </w:t>
            </w:r>
            <w:r>
              <w:br/>
            </w:r>
            <w:r w:rsidRPr="00574846">
              <w:t xml:space="preserve">(Président) </w:t>
            </w:r>
          </w:p>
        </w:tc>
        <w:tc>
          <w:tcPr>
            <w:tcW w:w="2065" w:type="dxa"/>
            <w:shd w:val="clear" w:color="auto" w:fill="auto"/>
          </w:tcPr>
          <w:p w14:paraId="0C62C68D" w14:textId="77777777" w:rsidR="00712772" w:rsidRPr="00574846" w:rsidRDefault="00712772" w:rsidP="00712772">
            <w:pPr>
              <w:spacing w:before="40" w:after="120"/>
              <w:ind w:right="113"/>
              <w:rPr>
                <w:szCs w:val="18"/>
              </w:rPr>
            </w:pPr>
            <w:r w:rsidRPr="00574846">
              <w:t>Danemark</w:t>
            </w:r>
          </w:p>
        </w:tc>
        <w:tc>
          <w:tcPr>
            <w:tcW w:w="1133" w:type="dxa"/>
            <w:shd w:val="clear" w:color="auto" w:fill="auto"/>
          </w:tcPr>
          <w:p w14:paraId="4467D2CF" w14:textId="77777777" w:rsidR="00712772" w:rsidRPr="00574846" w:rsidRDefault="00712772" w:rsidP="00712772">
            <w:pPr>
              <w:spacing w:before="40" w:after="120"/>
              <w:rPr>
                <w:szCs w:val="18"/>
              </w:rPr>
            </w:pPr>
            <w:r w:rsidRPr="00574846">
              <w:t>2021</w:t>
            </w:r>
          </w:p>
        </w:tc>
      </w:tr>
      <w:tr w:rsidR="00712772" w:rsidRPr="00574846" w14:paraId="7AF2D99A" w14:textId="77777777" w:rsidTr="00712772">
        <w:trPr>
          <w:cantSplit/>
        </w:trPr>
        <w:tc>
          <w:tcPr>
            <w:tcW w:w="4172" w:type="dxa"/>
            <w:shd w:val="clear" w:color="auto" w:fill="auto"/>
          </w:tcPr>
          <w:p w14:paraId="05BA80EA" w14:textId="77777777" w:rsidR="00712772" w:rsidRPr="00574846" w:rsidRDefault="00712772" w:rsidP="00712772">
            <w:pPr>
              <w:spacing w:before="40" w:after="120"/>
              <w:ind w:right="113"/>
              <w:rPr>
                <w:szCs w:val="18"/>
              </w:rPr>
            </w:pPr>
            <w:r w:rsidRPr="00574846">
              <w:t xml:space="preserve">Ana </w:t>
            </w:r>
            <w:proofErr w:type="spellStart"/>
            <w:r w:rsidRPr="00574846">
              <w:t>Racu</w:t>
            </w:r>
            <w:proofErr w:type="spellEnd"/>
            <w:r w:rsidRPr="00574846">
              <w:t xml:space="preserve"> </w:t>
            </w:r>
            <w:r>
              <w:br/>
            </w:r>
            <w:r w:rsidRPr="00574846">
              <w:t>(Rapporteuse chargée de la question des représailles)</w:t>
            </w:r>
          </w:p>
        </w:tc>
        <w:tc>
          <w:tcPr>
            <w:tcW w:w="2065" w:type="dxa"/>
            <w:shd w:val="clear" w:color="auto" w:fill="auto"/>
          </w:tcPr>
          <w:p w14:paraId="5EF03CB0" w14:textId="77777777" w:rsidR="00712772" w:rsidRPr="00574846" w:rsidRDefault="00712772" w:rsidP="00712772">
            <w:pPr>
              <w:spacing w:before="40" w:after="120"/>
              <w:ind w:right="113"/>
              <w:rPr>
                <w:szCs w:val="18"/>
              </w:rPr>
            </w:pPr>
            <w:r w:rsidRPr="00574846">
              <w:t>République de Moldova</w:t>
            </w:r>
          </w:p>
        </w:tc>
        <w:tc>
          <w:tcPr>
            <w:tcW w:w="1133" w:type="dxa"/>
            <w:shd w:val="clear" w:color="auto" w:fill="auto"/>
          </w:tcPr>
          <w:p w14:paraId="4155282B" w14:textId="77777777" w:rsidR="00712772" w:rsidRPr="00574846" w:rsidRDefault="00712772" w:rsidP="00712772">
            <w:pPr>
              <w:spacing w:before="40" w:after="120"/>
              <w:rPr>
                <w:szCs w:val="18"/>
              </w:rPr>
            </w:pPr>
            <w:r w:rsidRPr="00574846">
              <w:t>2019</w:t>
            </w:r>
          </w:p>
        </w:tc>
      </w:tr>
      <w:tr w:rsidR="00712772" w:rsidRPr="00574846" w14:paraId="0CEC684B" w14:textId="77777777" w:rsidTr="00712772">
        <w:trPr>
          <w:cantSplit/>
        </w:trPr>
        <w:tc>
          <w:tcPr>
            <w:tcW w:w="4172" w:type="dxa"/>
            <w:shd w:val="clear" w:color="auto" w:fill="auto"/>
          </w:tcPr>
          <w:p w14:paraId="5192DCEF" w14:textId="77777777" w:rsidR="00712772" w:rsidRPr="00574846" w:rsidRDefault="00712772" w:rsidP="00712772">
            <w:pPr>
              <w:spacing w:before="40" w:after="120"/>
              <w:ind w:right="113"/>
              <w:rPr>
                <w:szCs w:val="18"/>
              </w:rPr>
            </w:pPr>
            <w:r w:rsidRPr="00574846">
              <w:t xml:space="preserve">Diego </w:t>
            </w:r>
            <w:proofErr w:type="spellStart"/>
            <w:r w:rsidRPr="00574846">
              <w:t>Rodríguez</w:t>
            </w:r>
            <w:proofErr w:type="spellEnd"/>
            <w:r w:rsidRPr="00574846">
              <w:t>-Pinzón</w:t>
            </w:r>
          </w:p>
        </w:tc>
        <w:tc>
          <w:tcPr>
            <w:tcW w:w="2065" w:type="dxa"/>
            <w:shd w:val="clear" w:color="auto" w:fill="auto"/>
          </w:tcPr>
          <w:p w14:paraId="0A329D8F" w14:textId="77777777" w:rsidR="00712772" w:rsidRPr="00574846" w:rsidRDefault="00712772" w:rsidP="00712772">
            <w:pPr>
              <w:spacing w:before="40" w:after="120"/>
              <w:ind w:right="113"/>
              <w:rPr>
                <w:szCs w:val="18"/>
              </w:rPr>
            </w:pPr>
            <w:r w:rsidRPr="00574846">
              <w:t>Colombie</w:t>
            </w:r>
          </w:p>
        </w:tc>
        <w:tc>
          <w:tcPr>
            <w:tcW w:w="1133" w:type="dxa"/>
            <w:shd w:val="clear" w:color="auto" w:fill="auto"/>
          </w:tcPr>
          <w:p w14:paraId="52D33D88" w14:textId="77777777" w:rsidR="00712772" w:rsidRPr="00574846" w:rsidRDefault="00712772" w:rsidP="00712772">
            <w:pPr>
              <w:spacing w:before="40" w:after="120"/>
              <w:rPr>
                <w:szCs w:val="18"/>
              </w:rPr>
            </w:pPr>
            <w:r w:rsidRPr="00574846">
              <w:t>2021</w:t>
            </w:r>
          </w:p>
        </w:tc>
      </w:tr>
      <w:tr w:rsidR="00712772" w:rsidRPr="00574846" w14:paraId="3EF4ED0F" w14:textId="77777777" w:rsidTr="00712772">
        <w:trPr>
          <w:cantSplit/>
        </w:trPr>
        <w:tc>
          <w:tcPr>
            <w:tcW w:w="4172" w:type="dxa"/>
            <w:shd w:val="clear" w:color="auto" w:fill="auto"/>
          </w:tcPr>
          <w:p w14:paraId="6469CF93" w14:textId="77777777" w:rsidR="00712772" w:rsidRPr="00574846" w:rsidRDefault="00712772" w:rsidP="00712772">
            <w:pPr>
              <w:spacing w:before="40" w:after="120"/>
              <w:ind w:right="113"/>
              <w:rPr>
                <w:szCs w:val="18"/>
              </w:rPr>
            </w:pPr>
            <w:r w:rsidRPr="00574846">
              <w:t xml:space="preserve">Sébastien </w:t>
            </w:r>
            <w:proofErr w:type="spellStart"/>
            <w:r w:rsidRPr="00574846">
              <w:t>Touzé</w:t>
            </w:r>
            <w:proofErr w:type="spellEnd"/>
            <w:r w:rsidRPr="00574846">
              <w:t xml:space="preserve"> </w:t>
            </w:r>
            <w:r>
              <w:br/>
            </w:r>
            <w:r w:rsidRPr="00574846">
              <w:t xml:space="preserve">(Rapporteur) </w:t>
            </w:r>
            <w:r>
              <w:br/>
            </w:r>
            <w:r w:rsidRPr="00574846">
              <w:t>(Rapporteur chargé des nouvelles requêtes et des mesures provisoires de protection)</w:t>
            </w:r>
          </w:p>
        </w:tc>
        <w:tc>
          <w:tcPr>
            <w:tcW w:w="2065" w:type="dxa"/>
            <w:shd w:val="clear" w:color="auto" w:fill="auto"/>
          </w:tcPr>
          <w:p w14:paraId="4A4D1B6F" w14:textId="77777777" w:rsidR="00712772" w:rsidRPr="00574846" w:rsidRDefault="00712772" w:rsidP="00712772">
            <w:pPr>
              <w:spacing w:before="40" w:after="120"/>
              <w:ind w:right="113"/>
              <w:rPr>
                <w:szCs w:val="18"/>
              </w:rPr>
            </w:pPr>
            <w:r w:rsidRPr="00574846">
              <w:t>France</w:t>
            </w:r>
          </w:p>
        </w:tc>
        <w:tc>
          <w:tcPr>
            <w:tcW w:w="1133" w:type="dxa"/>
            <w:shd w:val="clear" w:color="auto" w:fill="auto"/>
          </w:tcPr>
          <w:p w14:paraId="0B2253C9" w14:textId="77777777" w:rsidR="00712772" w:rsidRPr="00574846" w:rsidRDefault="00712772" w:rsidP="00712772">
            <w:pPr>
              <w:spacing w:before="40" w:after="120"/>
              <w:rPr>
                <w:szCs w:val="18"/>
              </w:rPr>
            </w:pPr>
            <w:r w:rsidRPr="00574846">
              <w:t>2019</w:t>
            </w:r>
          </w:p>
        </w:tc>
      </w:tr>
      <w:tr w:rsidR="00712772" w:rsidRPr="00574846" w14:paraId="21CA7121" w14:textId="77777777" w:rsidTr="00712772">
        <w:trPr>
          <w:cantSplit/>
        </w:trPr>
        <w:tc>
          <w:tcPr>
            <w:tcW w:w="4172" w:type="dxa"/>
            <w:shd w:val="clear" w:color="auto" w:fill="auto"/>
          </w:tcPr>
          <w:p w14:paraId="55372447" w14:textId="77777777" w:rsidR="00712772" w:rsidRPr="00574846" w:rsidRDefault="00712772" w:rsidP="00712772">
            <w:pPr>
              <w:spacing w:before="40" w:after="120"/>
              <w:ind w:right="113"/>
              <w:rPr>
                <w:szCs w:val="18"/>
              </w:rPr>
            </w:pPr>
            <w:proofErr w:type="spellStart"/>
            <w:r w:rsidRPr="00574846">
              <w:t>Bakhtiyar</w:t>
            </w:r>
            <w:proofErr w:type="spellEnd"/>
            <w:r w:rsidRPr="00574846">
              <w:t xml:space="preserve"> </w:t>
            </w:r>
            <w:proofErr w:type="spellStart"/>
            <w:r w:rsidRPr="00574846">
              <w:t>Tuzmukhamedov</w:t>
            </w:r>
            <w:proofErr w:type="spellEnd"/>
          </w:p>
        </w:tc>
        <w:tc>
          <w:tcPr>
            <w:tcW w:w="2065" w:type="dxa"/>
            <w:shd w:val="clear" w:color="auto" w:fill="auto"/>
          </w:tcPr>
          <w:p w14:paraId="3F778ABD" w14:textId="77777777" w:rsidR="00712772" w:rsidRPr="00574846" w:rsidRDefault="00712772" w:rsidP="00712772">
            <w:pPr>
              <w:spacing w:before="40" w:after="120"/>
              <w:ind w:right="113"/>
              <w:rPr>
                <w:szCs w:val="18"/>
              </w:rPr>
            </w:pPr>
            <w:r w:rsidRPr="00574846">
              <w:t>Fédération de Russie</w:t>
            </w:r>
          </w:p>
        </w:tc>
        <w:tc>
          <w:tcPr>
            <w:tcW w:w="1133" w:type="dxa"/>
            <w:shd w:val="clear" w:color="auto" w:fill="auto"/>
          </w:tcPr>
          <w:p w14:paraId="6812516B" w14:textId="77777777" w:rsidR="00712772" w:rsidRPr="00574846" w:rsidRDefault="00712772" w:rsidP="00712772">
            <w:pPr>
              <w:spacing w:before="40" w:after="120"/>
              <w:rPr>
                <w:szCs w:val="18"/>
              </w:rPr>
            </w:pPr>
            <w:r w:rsidRPr="00574846">
              <w:t>2021</w:t>
            </w:r>
          </w:p>
        </w:tc>
      </w:tr>
      <w:tr w:rsidR="00712772" w:rsidRPr="00574846" w14:paraId="0A8BB2BB" w14:textId="77777777" w:rsidTr="00712772">
        <w:trPr>
          <w:cantSplit/>
        </w:trPr>
        <w:tc>
          <w:tcPr>
            <w:tcW w:w="4172" w:type="dxa"/>
            <w:tcBorders>
              <w:bottom w:val="single" w:sz="12" w:space="0" w:color="auto"/>
            </w:tcBorders>
            <w:shd w:val="clear" w:color="auto" w:fill="auto"/>
          </w:tcPr>
          <w:p w14:paraId="6E62D11B" w14:textId="77777777" w:rsidR="00712772" w:rsidRPr="00574846" w:rsidRDefault="00712772" w:rsidP="00712772">
            <w:pPr>
              <w:spacing w:before="40" w:after="120"/>
              <w:ind w:right="113"/>
              <w:rPr>
                <w:szCs w:val="18"/>
              </w:rPr>
            </w:pPr>
            <w:proofErr w:type="spellStart"/>
            <w:r w:rsidRPr="00574846">
              <w:t>Honghong</w:t>
            </w:r>
            <w:proofErr w:type="spellEnd"/>
            <w:r w:rsidRPr="00574846">
              <w:t xml:space="preserve"> Zhang </w:t>
            </w:r>
          </w:p>
        </w:tc>
        <w:tc>
          <w:tcPr>
            <w:tcW w:w="2065" w:type="dxa"/>
            <w:tcBorders>
              <w:bottom w:val="single" w:sz="12" w:space="0" w:color="auto"/>
            </w:tcBorders>
            <w:shd w:val="clear" w:color="auto" w:fill="auto"/>
          </w:tcPr>
          <w:p w14:paraId="5FFCFC02" w14:textId="77777777" w:rsidR="00712772" w:rsidRPr="00574846" w:rsidRDefault="00712772" w:rsidP="00712772">
            <w:pPr>
              <w:spacing w:before="40" w:after="120"/>
              <w:ind w:right="113"/>
              <w:rPr>
                <w:szCs w:val="18"/>
              </w:rPr>
            </w:pPr>
            <w:r w:rsidRPr="00574846">
              <w:t>Chine</w:t>
            </w:r>
          </w:p>
        </w:tc>
        <w:tc>
          <w:tcPr>
            <w:tcW w:w="1133" w:type="dxa"/>
            <w:tcBorders>
              <w:bottom w:val="single" w:sz="12" w:space="0" w:color="auto"/>
            </w:tcBorders>
            <w:shd w:val="clear" w:color="auto" w:fill="auto"/>
          </w:tcPr>
          <w:p w14:paraId="075CB4AB" w14:textId="77777777" w:rsidR="00712772" w:rsidRPr="00574846" w:rsidRDefault="00712772" w:rsidP="00712772">
            <w:pPr>
              <w:spacing w:before="40" w:after="120"/>
              <w:rPr>
                <w:szCs w:val="18"/>
              </w:rPr>
            </w:pPr>
            <w:r w:rsidRPr="00574846">
              <w:t>2021</w:t>
            </w:r>
          </w:p>
        </w:tc>
      </w:tr>
    </w:tbl>
    <w:p w14:paraId="2C5462A9" w14:textId="77777777" w:rsidR="00712772" w:rsidRPr="001D6294" w:rsidRDefault="00712772" w:rsidP="004817DF">
      <w:pPr>
        <w:pStyle w:val="HChG"/>
      </w:pPr>
      <w:r>
        <w:br w:type="page"/>
      </w:r>
      <w:r w:rsidRPr="001D6294">
        <w:lastRenderedPageBreak/>
        <w:t>Annexe II</w:t>
      </w:r>
      <w:bookmarkStart w:id="156" w:name="_Toc14181249"/>
      <w:bookmarkStart w:id="157" w:name="_Toc37768188"/>
      <w:bookmarkEnd w:id="156"/>
      <w:bookmarkEnd w:id="157"/>
    </w:p>
    <w:p w14:paraId="3C59C61C" w14:textId="77777777" w:rsidR="00712772" w:rsidRPr="001D6294" w:rsidRDefault="00712772" w:rsidP="004817DF">
      <w:pPr>
        <w:pStyle w:val="HChG"/>
      </w:pPr>
      <w:r w:rsidRPr="001D6294">
        <w:tab/>
      </w:r>
      <w:r w:rsidRPr="001D6294">
        <w:tab/>
        <w:t>Composition du Comité (à compter du 1</w:t>
      </w:r>
      <w:r w:rsidRPr="001C1931">
        <w:rPr>
          <w:vertAlign w:val="superscript"/>
        </w:rPr>
        <w:t>er</w:t>
      </w:r>
      <w:r>
        <w:t xml:space="preserve"> </w:t>
      </w:r>
      <w:r w:rsidRPr="001D6294">
        <w:t xml:space="preserve">janvier 2020) et </w:t>
      </w:r>
      <w:r>
        <w:br/>
      </w:r>
      <w:r w:rsidRPr="001D6294">
        <w:t>du Bureau et mandats (du 1</w:t>
      </w:r>
      <w:r w:rsidRPr="0020585F">
        <w:rPr>
          <w:vertAlign w:val="superscript"/>
        </w:rPr>
        <w:t>er</w:t>
      </w:r>
      <w:r>
        <w:t xml:space="preserve"> </w:t>
      </w:r>
      <w:r w:rsidRPr="001D6294">
        <w:t>janvier au 12 juillet 2020)</w:t>
      </w:r>
      <w:bookmarkStart w:id="158" w:name="_Toc37768189"/>
      <w:bookmarkEnd w:id="158"/>
    </w:p>
    <w:tbl>
      <w:tblPr>
        <w:tblW w:w="7370" w:type="dxa"/>
        <w:tblInd w:w="1134" w:type="dxa"/>
        <w:tblLayout w:type="fixed"/>
        <w:tblCellMar>
          <w:left w:w="0" w:type="dxa"/>
          <w:right w:w="0" w:type="dxa"/>
        </w:tblCellMar>
        <w:tblLook w:val="0000" w:firstRow="0" w:lastRow="0" w:firstColumn="0" w:lastColumn="0" w:noHBand="0" w:noVBand="0"/>
      </w:tblPr>
      <w:tblGrid>
        <w:gridCol w:w="4214"/>
        <w:gridCol w:w="2057"/>
        <w:gridCol w:w="1099"/>
      </w:tblGrid>
      <w:tr w:rsidR="00712772" w:rsidRPr="00574846" w14:paraId="46DC7C26" w14:textId="77777777" w:rsidTr="00712772">
        <w:trPr>
          <w:cantSplit/>
          <w:tblHeader/>
        </w:trPr>
        <w:tc>
          <w:tcPr>
            <w:tcW w:w="4214" w:type="dxa"/>
            <w:tcBorders>
              <w:top w:val="single" w:sz="4" w:space="0" w:color="auto"/>
              <w:bottom w:val="single" w:sz="12" w:space="0" w:color="auto"/>
            </w:tcBorders>
            <w:shd w:val="clear" w:color="auto" w:fill="auto"/>
            <w:vAlign w:val="bottom"/>
          </w:tcPr>
          <w:p w14:paraId="5B11FC68" w14:textId="77777777" w:rsidR="00712772" w:rsidRPr="00574846" w:rsidRDefault="00712772" w:rsidP="00712772">
            <w:pPr>
              <w:spacing w:before="80" w:after="80" w:line="200" w:lineRule="exact"/>
              <w:ind w:right="113"/>
              <w:rPr>
                <w:i/>
                <w:sz w:val="16"/>
                <w:szCs w:val="16"/>
              </w:rPr>
            </w:pPr>
            <w:r w:rsidRPr="00574846">
              <w:rPr>
                <w:i/>
                <w:sz w:val="16"/>
              </w:rPr>
              <w:t>Nom</w:t>
            </w:r>
          </w:p>
        </w:tc>
        <w:tc>
          <w:tcPr>
            <w:tcW w:w="2057" w:type="dxa"/>
            <w:tcBorders>
              <w:top w:val="single" w:sz="4" w:space="0" w:color="auto"/>
              <w:bottom w:val="single" w:sz="12" w:space="0" w:color="auto"/>
            </w:tcBorders>
            <w:shd w:val="clear" w:color="auto" w:fill="auto"/>
            <w:vAlign w:val="bottom"/>
          </w:tcPr>
          <w:p w14:paraId="5C0D129F" w14:textId="77777777" w:rsidR="00712772" w:rsidRPr="00574846" w:rsidRDefault="00712772" w:rsidP="00712772">
            <w:pPr>
              <w:spacing w:before="80" w:after="80" w:line="200" w:lineRule="exact"/>
              <w:ind w:right="113"/>
              <w:rPr>
                <w:i/>
                <w:sz w:val="16"/>
                <w:szCs w:val="16"/>
              </w:rPr>
            </w:pPr>
            <w:r w:rsidRPr="00574846">
              <w:rPr>
                <w:i/>
                <w:sz w:val="16"/>
              </w:rPr>
              <w:t>Pays de nationalité</w:t>
            </w:r>
          </w:p>
        </w:tc>
        <w:tc>
          <w:tcPr>
            <w:tcW w:w="1099" w:type="dxa"/>
            <w:tcBorders>
              <w:top w:val="single" w:sz="4" w:space="0" w:color="auto"/>
              <w:bottom w:val="single" w:sz="12" w:space="0" w:color="auto"/>
            </w:tcBorders>
            <w:shd w:val="clear" w:color="auto" w:fill="auto"/>
            <w:vAlign w:val="bottom"/>
          </w:tcPr>
          <w:p w14:paraId="7C904CBA" w14:textId="77777777" w:rsidR="00712772" w:rsidRPr="00574846" w:rsidRDefault="00712772" w:rsidP="00712772">
            <w:pPr>
              <w:spacing w:before="80" w:after="80" w:line="200" w:lineRule="exact"/>
              <w:rPr>
                <w:i/>
                <w:sz w:val="16"/>
                <w:szCs w:val="16"/>
              </w:rPr>
            </w:pPr>
            <w:r w:rsidRPr="00574846">
              <w:rPr>
                <w:i/>
                <w:sz w:val="16"/>
              </w:rPr>
              <w:t>Mandat expirant le 31 décembre</w:t>
            </w:r>
          </w:p>
        </w:tc>
      </w:tr>
      <w:tr w:rsidR="00712772" w:rsidRPr="00574846" w14:paraId="3D063A31" w14:textId="77777777" w:rsidTr="00712772">
        <w:trPr>
          <w:cantSplit/>
          <w:trHeight w:hRule="exact" w:val="113"/>
          <w:tblHeader/>
        </w:trPr>
        <w:tc>
          <w:tcPr>
            <w:tcW w:w="4214" w:type="dxa"/>
            <w:tcBorders>
              <w:top w:val="single" w:sz="12" w:space="0" w:color="auto"/>
            </w:tcBorders>
            <w:shd w:val="clear" w:color="auto" w:fill="auto"/>
          </w:tcPr>
          <w:p w14:paraId="13938BF5" w14:textId="77777777" w:rsidR="00712772" w:rsidRPr="00574846" w:rsidRDefault="00712772" w:rsidP="00712772">
            <w:pPr>
              <w:spacing w:before="40" w:after="120"/>
              <w:ind w:right="113"/>
            </w:pPr>
          </w:p>
        </w:tc>
        <w:tc>
          <w:tcPr>
            <w:tcW w:w="2057" w:type="dxa"/>
            <w:tcBorders>
              <w:top w:val="single" w:sz="12" w:space="0" w:color="auto"/>
            </w:tcBorders>
            <w:shd w:val="clear" w:color="auto" w:fill="auto"/>
          </w:tcPr>
          <w:p w14:paraId="1E6CFACA" w14:textId="77777777" w:rsidR="00712772" w:rsidRPr="00574846" w:rsidRDefault="00712772" w:rsidP="00712772">
            <w:pPr>
              <w:spacing w:before="40" w:after="120"/>
              <w:ind w:right="113"/>
            </w:pPr>
          </w:p>
        </w:tc>
        <w:tc>
          <w:tcPr>
            <w:tcW w:w="1099" w:type="dxa"/>
            <w:tcBorders>
              <w:top w:val="single" w:sz="12" w:space="0" w:color="auto"/>
            </w:tcBorders>
            <w:shd w:val="clear" w:color="auto" w:fill="auto"/>
          </w:tcPr>
          <w:p w14:paraId="55DDE77B" w14:textId="77777777" w:rsidR="00712772" w:rsidRPr="00574846" w:rsidRDefault="00712772" w:rsidP="00712772">
            <w:pPr>
              <w:spacing w:before="40" w:after="120"/>
            </w:pPr>
          </w:p>
        </w:tc>
      </w:tr>
      <w:tr w:rsidR="00712772" w:rsidRPr="00574846" w14:paraId="02CA28F1" w14:textId="77777777" w:rsidTr="00712772">
        <w:trPr>
          <w:cantSplit/>
        </w:trPr>
        <w:tc>
          <w:tcPr>
            <w:tcW w:w="4214" w:type="dxa"/>
            <w:shd w:val="clear" w:color="auto" w:fill="auto"/>
          </w:tcPr>
          <w:p w14:paraId="32F341D8" w14:textId="77777777" w:rsidR="00712772" w:rsidRPr="00574846" w:rsidRDefault="00712772" w:rsidP="00712772">
            <w:pPr>
              <w:spacing w:before="40" w:after="120"/>
              <w:ind w:right="113"/>
              <w:rPr>
                <w:szCs w:val="18"/>
              </w:rPr>
            </w:pPr>
            <w:proofErr w:type="spellStart"/>
            <w:r w:rsidRPr="00574846">
              <w:t>Essadia</w:t>
            </w:r>
            <w:proofErr w:type="spellEnd"/>
            <w:r w:rsidRPr="00574846">
              <w:t xml:space="preserve"> </w:t>
            </w:r>
            <w:proofErr w:type="spellStart"/>
            <w:r w:rsidRPr="00574846">
              <w:t>Belmir</w:t>
            </w:r>
            <w:proofErr w:type="spellEnd"/>
            <w:r w:rsidRPr="00574846">
              <w:t xml:space="preserve"> </w:t>
            </w:r>
            <w:r>
              <w:br/>
            </w:r>
            <w:r w:rsidRPr="00574846">
              <w:t>(Vice-Présidente)</w:t>
            </w:r>
          </w:p>
        </w:tc>
        <w:tc>
          <w:tcPr>
            <w:tcW w:w="2057" w:type="dxa"/>
            <w:shd w:val="clear" w:color="auto" w:fill="auto"/>
          </w:tcPr>
          <w:p w14:paraId="3931BF5B" w14:textId="77777777" w:rsidR="00712772" w:rsidRPr="00574846" w:rsidRDefault="00712772" w:rsidP="00712772">
            <w:pPr>
              <w:spacing w:before="40" w:after="120"/>
              <w:ind w:right="113"/>
              <w:rPr>
                <w:szCs w:val="18"/>
              </w:rPr>
            </w:pPr>
            <w:r w:rsidRPr="00574846">
              <w:t>Maroc</w:t>
            </w:r>
          </w:p>
        </w:tc>
        <w:tc>
          <w:tcPr>
            <w:tcW w:w="1099" w:type="dxa"/>
            <w:shd w:val="clear" w:color="auto" w:fill="auto"/>
          </w:tcPr>
          <w:p w14:paraId="4486CF43" w14:textId="77777777" w:rsidR="00712772" w:rsidRPr="00574846" w:rsidRDefault="00712772" w:rsidP="00712772">
            <w:pPr>
              <w:spacing w:before="40" w:after="120"/>
              <w:rPr>
                <w:szCs w:val="18"/>
              </w:rPr>
            </w:pPr>
            <w:r w:rsidRPr="00574846">
              <w:t>2021</w:t>
            </w:r>
          </w:p>
        </w:tc>
      </w:tr>
      <w:tr w:rsidR="00712772" w:rsidRPr="00574846" w14:paraId="29BE9801" w14:textId="77777777" w:rsidTr="00712772">
        <w:trPr>
          <w:cantSplit/>
        </w:trPr>
        <w:tc>
          <w:tcPr>
            <w:tcW w:w="4214" w:type="dxa"/>
            <w:shd w:val="clear" w:color="auto" w:fill="auto"/>
          </w:tcPr>
          <w:p w14:paraId="209152BC" w14:textId="77777777" w:rsidR="00712772" w:rsidRPr="00574846" w:rsidRDefault="00712772" w:rsidP="00712772">
            <w:pPr>
              <w:spacing w:before="40" w:after="120"/>
              <w:ind w:right="113"/>
              <w:rPr>
                <w:szCs w:val="18"/>
              </w:rPr>
            </w:pPr>
            <w:r w:rsidRPr="00574846">
              <w:t xml:space="preserve">Claude Heller </w:t>
            </w:r>
            <w:r>
              <w:br/>
            </w:r>
            <w:r w:rsidRPr="00574846">
              <w:t xml:space="preserve">(Vice-Président) </w:t>
            </w:r>
            <w:r>
              <w:br/>
            </w:r>
            <w:r w:rsidRPr="00574846">
              <w:t>(Rapporteur chargé du suivi des décisions adoptées au titre de l</w:t>
            </w:r>
            <w:r>
              <w:t>’</w:t>
            </w:r>
            <w:r w:rsidRPr="00574846">
              <w:t>article 22)</w:t>
            </w:r>
          </w:p>
        </w:tc>
        <w:tc>
          <w:tcPr>
            <w:tcW w:w="2057" w:type="dxa"/>
            <w:shd w:val="clear" w:color="auto" w:fill="auto"/>
          </w:tcPr>
          <w:p w14:paraId="021FBE16" w14:textId="77777777" w:rsidR="00712772" w:rsidRPr="00574846" w:rsidRDefault="00712772" w:rsidP="00712772">
            <w:pPr>
              <w:spacing w:before="40" w:after="120"/>
              <w:ind w:right="113"/>
              <w:rPr>
                <w:szCs w:val="18"/>
              </w:rPr>
            </w:pPr>
            <w:r w:rsidRPr="00574846">
              <w:t>Mexique</w:t>
            </w:r>
          </w:p>
        </w:tc>
        <w:tc>
          <w:tcPr>
            <w:tcW w:w="1099" w:type="dxa"/>
            <w:shd w:val="clear" w:color="auto" w:fill="auto"/>
          </w:tcPr>
          <w:p w14:paraId="16CBF68F" w14:textId="77777777" w:rsidR="00712772" w:rsidRPr="00574846" w:rsidRDefault="00712772" w:rsidP="00712772">
            <w:pPr>
              <w:spacing w:before="40" w:after="120"/>
              <w:rPr>
                <w:szCs w:val="18"/>
              </w:rPr>
            </w:pPr>
            <w:r w:rsidRPr="00574846">
              <w:t>2023</w:t>
            </w:r>
          </w:p>
        </w:tc>
      </w:tr>
      <w:tr w:rsidR="00712772" w:rsidRPr="00574846" w14:paraId="28D750F8" w14:textId="77777777" w:rsidTr="00712772">
        <w:trPr>
          <w:cantSplit/>
        </w:trPr>
        <w:tc>
          <w:tcPr>
            <w:tcW w:w="4214" w:type="dxa"/>
            <w:shd w:val="clear" w:color="auto" w:fill="auto"/>
          </w:tcPr>
          <w:p w14:paraId="0FDA36DB" w14:textId="77777777" w:rsidR="00712772" w:rsidRPr="00574846" w:rsidRDefault="00712772" w:rsidP="00712772">
            <w:pPr>
              <w:spacing w:before="40" w:after="120"/>
              <w:ind w:right="113"/>
              <w:rPr>
                <w:szCs w:val="18"/>
              </w:rPr>
            </w:pPr>
            <w:r w:rsidRPr="00574846">
              <w:t xml:space="preserve">Erdoğan </w:t>
            </w:r>
            <w:proofErr w:type="spellStart"/>
            <w:r w:rsidRPr="00574846">
              <w:t>İşcan</w:t>
            </w:r>
            <w:proofErr w:type="spellEnd"/>
          </w:p>
        </w:tc>
        <w:tc>
          <w:tcPr>
            <w:tcW w:w="2057" w:type="dxa"/>
            <w:shd w:val="clear" w:color="auto" w:fill="auto"/>
          </w:tcPr>
          <w:p w14:paraId="417736E4" w14:textId="77777777" w:rsidR="00712772" w:rsidRPr="00574846" w:rsidRDefault="00712772" w:rsidP="00712772">
            <w:pPr>
              <w:spacing w:before="40" w:after="120"/>
              <w:ind w:right="113"/>
              <w:rPr>
                <w:szCs w:val="18"/>
              </w:rPr>
            </w:pPr>
            <w:r w:rsidRPr="00574846">
              <w:t>Turquie</w:t>
            </w:r>
          </w:p>
        </w:tc>
        <w:tc>
          <w:tcPr>
            <w:tcW w:w="1099" w:type="dxa"/>
            <w:shd w:val="clear" w:color="auto" w:fill="auto"/>
          </w:tcPr>
          <w:p w14:paraId="15819FAC" w14:textId="77777777" w:rsidR="00712772" w:rsidRPr="00574846" w:rsidRDefault="00712772" w:rsidP="00712772">
            <w:pPr>
              <w:spacing w:before="40" w:after="120"/>
              <w:rPr>
                <w:szCs w:val="18"/>
              </w:rPr>
            </w:pPr>
            <w:r w:rsidRPr="00574846">
              <w:t>2023</w:t>
            </w:r>
          </w:p>
        </w:tc>
      </w:tr>
      <w:tr w:rsidR="00712772" w:rsidRPr="00574846" w14:paraId="2514AD0F" w14:textId="77777777" w:rsidTr="00712772">
        <w:trPr>
          <w:cantSplit/>
        </w:trPr>
        <w:tc>
          <w:tcPr>
            <w:tcW w:w="4214" w:type="dxa"/>
            <w:shd w:val="clear" w:color="auto" w:fill="auto"/>
          </w:tcPr>
          <w:p w14:paraId="6749F882" w14:textId="77777777" w:rsidR="00712772" w:rsidRPr="00574846" w:rsidRDefault="00712772" w:rsidP="00712772">
            <w:pPr>
              <w:spacing w:before="40" w:after="120"/>
              <w:ind w:right="113"/>
              <w:rPr>
                <w:szCs w:val="18"/>
              </w:rPr>
            </w:pPr>
            <w:r w:rsidRPr="00574846">
              <w:t xml:space="preserve">Liu </w:t>
            </w:r>
            <w:proofErr w:type="spellStart"/>
            <w:r w:rsidRPr="00574846">
              <w:t>Huawen</w:t>
            </w:r>
            <w:proofErr w:type="spellEnd"/>
            <w:r w:rsidRPr="00574846">
              <w:t xml:space="preserve"> </w:t>
            </w:r>
          </w:p>
        </w:tc>
        <w:tc>
          <w:tcPr>
            <w:tcW w:w="2057" w:type="dxa"/>
            <w:shd w:val="clear" w:color="auto" w:fill="auto"/>
          </w:tcPr>
          <w:p w14:paraId="1BCF78D5" w14:textId="77777777" w:rsidR="00712772" w:rsidRPr="00574846" w:rsidRDefault="00712772" w:rsidP="00712772">
            <w:pPr>
              <w:spacing w:before="40" w:after="120"/>
              <w:ind w:right="113"/>
              <w:rPr>
                <w:szCs w:val="18"/>
              </w:rPr>
            </w:pPr>
            <w:r w:rsidRPr="00574846">
              <w:t>Chine</w:t>
            </w:r>
          </w:p>
        </w:tc>
        <w:tc>
          <w:tcPr>
            <w:tcW w:w="1099" w:type="dxa"/>
            <w:shd w:val="clear" w:color="auto" w:fill="auto"/>
          </w:tcPr>
          <w:p w14:paraId="015B428C" w14:textId="77777777" w:rsidR="00712772" w:rsidRPr="00574846" w:rsidRDefault="00712772" w:rsidP="00712772">
            <w:pPr>
              <w:spacing w:before="40" w:after="120"/>
              <w:rPr>
                <w:szCs w:val="18"/>
              </w:rPr>
            </w:pPr>
            <w:r w:rsidRPr="00574846">
              <w:t>2021</w:t>
            </w:r>
          </w:p>
        </w:tc>
      </w:tr>
      <w:tr w:rsidR="00712772" w:rsidRPr="00574846" w14:paraId="3C79D55F" w14:textId="77777777" w:rsidTr="00712772">
        <w:trPr>
          <w:cantSplit/>
        </w:trPr>
        <w:tc>
          <w:tcPr>
            <w:tcW w:w="4214" w:type="dxa"/>
            <w:shd w:val="clear" w:color="auto" w:fill="auto"/>
          </w:tcPr>
          <w:p w14:paraId="253FD4C5" w14:textId="77777777" w:rsidR="00712772" w:rsidRPr="00574846" w:rsidRDefault="00712772" w:rsidP="00712772">
            <w:pPr>
              <w:spacing w:before="40" w:after="120"/>
              <w:ind w:right="113"/>
              <w:rPr>
                <w:szCs w:val="18"/>
              </w:rPr>
            </w:pPr>
            <w:r w:rsidRPr="00574846">
              <w:t xml:space="preserve">Jens </w:t>
            </w:r>
            <w:proofErr w:type="spellStart"/>
            <w:r w:rsidRPr="00574846">
              <w:t>Modvig</w:t>
            </w:r>
            <w:proofErr w:type="spellEnd"/>
            <w:r w:rsidRPr="00574846">
              <w:t xml:space="preserve"> </w:t>
            </w:r>
            <w:r>
              <w:br/>
            </w:r>
            <w:r w:rsidRPr="00574846">
              <w:t xml:space="preserve">(Président) </w:t>
            </w:r>
          </w:p>
        </w:tc>
        <w:tc>
          <w:tcPr>
            <w:tcW w:w="2057" w:type="dxa"/>
            <w:shd w:val="clear" w:color="auto" w:fill="auto"/>
          </w:tcPr>
          <w:p w14:paraId="1CD25103" w14:textId="77777777" w:rsidR="00712772" w:rsidRPr="00574846" w:rsidRDefault="00712772" w:rsidP="00712772">
            <w:pPr>
              <w:spacing w:before="40" w:after="120"/>
              <w:ind w:right="113"/>
              <w:rPr>
                <w:szCs w:val="18"/>
              </w:rPr>
            </w:pPr>
            <w:r w:rsidRPr="00574846">
              <w:t>Danemark</w:t>
            </w:r>
          </w:p>
        </w:tc>
        <w:tc>
          <w:tcPr>
            <w:tcW w:w="1099" w:type="dxa"/>
            <w:shd w:val="clear" w:color="auto" w:fill="auto"/>
          </w:tcPr>
          <w:p w14:paraId="4B7AAE34" w14:textId="77777777" w:rsidR="00712772" w:rsidRPr="00574846" w:rsidRDefault="00712772" w:rsidP="00712772">
            <w:pPr>
              <w:spacing w:before="40" w:after="120"/>
              <w:rPr>
                <w:szCs w:val="18"/>
              </w:rPr>
            </w:pPr>
            <w:r w:rsidRPr="00574846">
              <w:t>2021</w:t>
            </w:r>
          </w:p>
        </w:tc>
      </w:tr>
      <w:tr w:rsidR="00712772" w:rsidRPr="00574846" w14:paraId="281ECF62" w14:textId="77777777" w:rsidTr="00712772">
        <w:trPr>
          <w:cantSplit/>
        </w:trPr>
        <w:tc>
          <w:tcPr>
            <w:tcW w:w="4214" w:type="dxa"/>
            <w:shd w:val="clear" w:color="auto" w:fill="auto"/>
          </w:tcPr>
          <w:p w14:paraId="28FB82D1" w14:textId="77777777" w:rsidR="00712772" w:rsidRPr="00574846" w:rsidRDefault="00712772" w:rsidP="00712772">
            <w:pPr>
              <w:spacing w:before="40" w:after="120"/>
              <w:ind w:right="113"/>
              <w:rPr>
                <w:szCs w:val="18"/>
              </w:rPr>
            </w:pPr>
            <w:proofErr w:type="spellStart"/>
            <w:r w:rsidRPr="00574846">
              <w:t>Ilvija</w:t>
            </w:r>
            <w:proofErr w:type="spellEnd"/>
            <w:r w:rsidRPr="00574846">
              <w:t xml:space="preserve"> </w:t>
            </w:r>
            <w:proofErr w:type="spellStart"/>
            <w:r w:rsidRPr="00574846">
              <w:t>P‎ūce</w:t>
            </w:r>
            <w:proofErr w:type="spellEnd"/>
          </w:p>
        </w:tc>
        <w:tc>
          <w:tcPr>
            <w:tcW w:w="2057" w:type="dxa"/>
            <w:shd w:val="clear" w:color="auto" w:fill="auto"/>
          </w:tcPr>
          <w:p w14:paraId="53D65594" w14:textId="77777777" w:rsidR="00712772" w:rsidRPr="00574846" w:rsidRDefault="00712772" w:rsidP="00712772">
            <w:pPr>
              <w:spacing w:before="40" w:after="120"/>
              <w:ind w:right="113"/>
              <w:rPr>
                <w:szCs w:val="18"/>
              </w:rPr>
            </w:pPr>
            <w:r w:rsidRPr="00574846">
              <w:t>Lettonie</w:t>
            </w:r>
          </w:p>
        </w:tc>
        <w:tc>
          <w:tcPr>
            <w:tcW w:w="1099" w:type="dxa"/>
            <w:shd w:val="clear" w:color="auto" w:fill="auto"/>
          </w:tcPr>
          <w:p w14:paraId="609DFDCF" w14:textId="77777777" w:rsidR="00712772" w:rsidRPr="00574846" w:rsidRDefault="00712772" w:rsidP="00712772">
            <w:pPr>
              <w:spacing w:before="40" w:after="120"/>
              <w:rPr>
                <w:szCs w:val="18"/>
              </w:rPr>
            </w:pPr>
            <w:r w:rsidRPr="00574846">
              <w:t>2023</w:t>
            </w:r>
          </w:p>
        </w:tc>
      </w:tr>
      <w:tr w:rsidR="00712772" w:rsidRPr="00574846" w14:paraId="43C41706" w14:textId="77777777" w:rsidTr="00712772">
        <w:trPr>
          <w:cantSplit/>
        </w:trPr>
        <w:tc>
          <w:tcPr>
            <w:tcW w:w="4214" w:type="dxa"/>
            <w:shd w:val="clear" w:color="auto" w:fill="auto"/>
          </w:tcPr>
          <w:p w14:paraId="4106ACA2" w14:textId="77777777" w:rsidR="00712772" w:rsidRPr="00574846" w:rsidRDefault="00712772" w:rsidP="00712772">
            <w:pPr>
              <w:spacing w:before="40" w:after="120"/>
              <w:ind w:right="113"/>
              <w:rPr>
                <w:szCs w:val="18"/>
              </w:rPr>
            </w:pPr>
            <w:r w:rsidRPr="00574846">
              <w:t xml:space="preserve">Ana </w:t>
            </w:r>
            <w:proofErr w:type="spellStart"/>
            <w:r w:rsidRPr="00574846">
              <w:t>Racu</w:t>
            </w:r>
            <w:proofErr w:type="spellEnd"/>
          </w:p>
        </w:tc>
        <w:tc>
          <w:tcPr>
            <w:tcW w:w="2057" w:type="dxa"/>
            <w:shd w:val="clear" w:color="auto" w:fill="auto"/>
          </w:tcPr>
          <w:p w14:paraId="38198803" w14:textId="77777777" w:rsidR="00712772" w:rsidRPr="00574846" w:rsidRDefault="00712772" w:rsidP="00712772">
            <w:pPr>
              <w:spacing w:before="40" w:after="120"/>
              <w:ind w:right="113"/>
              <w:rPr>
                <w:szCs w:val="18"/>
              </w:rPr>
            </w:pPr>
            <w:r w:rsidRPr="00574846">
              <w:t>République de Moldova</w:t>
            </w:r>
          </w:p>
        </w:tc>
        <w:tc>
          <w:tcPr>
            <w:tcW w:w="1099" w:type="dxa"/>
            <w:shd w:val="clear" w:color="auto" w:fill="auto"/>
          </w:tcPr>
          <w:p w14:paraId="4683A7AB" w14:textId="77777777" w:rsidR="00712772" w:rsidRPr="00574846" w:rsidRDefault="00712772" w:rsidP="00712772">
            <w:pPr>
              <w:spacing w:before="40" w:after="120"/>
              <w:rPr>
                <w:szCs w:val="18"/>
              </w:rPr>
            </w:pPr>
            <w:r w:rsidRPr="00574846">
              <w:t>2023</w:t>
            </w:r>
          </w:p>
        </w:tc>
      </w:tr>
      <w:tr w:rsidR="00712772" w:rsidRPr="00574846" w14:paraId="3738FAE7" w14:textId="77777777" w:rsidTr="00712772">
        <w:trPr>
          <w:cantSplit/>
        </w:trPr>
        <w:tc>
          <w:tcPr>
            <w:tcW w:w="4214" w:type="dxa"/>
            <w:shd w:val="clear" w:color="auto" w:fill="auto"/>
          </w:tcPr>
          <w:p w14:paraId="54B41B18" w14:textId="77777777" w:rsidR="00712772" w:rsidRPr="00574846" w:rsidRDefault="00712772" w:rsidP="00712772">
            <w:pPr>
              <w:spacing w:before="40" w:after="120"/>
              <w:ind w:right="113"/>
              <w:rPr>
                <w:szCs w:val="18"/>
              </w:rPr>
            </w:pPr>
            <w:r w:rsidRPr="00574846">
              <w:t xml:space="preserve">Diego </w:t>
            </w:r>
            <w:proofErr w:type="spellStart"/>
            <w:r w:rsidRPr="00574846">
              <w:t>Rodríguez</w:t>
            </w:r>
            <w:proofErr w:type="spellEnd"/>
            <w:r w:rsidRPr="00574846">
              <w:t xml:space="preserve">-Pinzón </w:t>
            </w:r>
            <w:r>
              <w:br/>
            </w:r>
            <w:r w:rsidRPr="00574846">
              <w:t xml:space="preserve">(Rapporteur par intérim) </w:t>
            </w:r>
            <w:r>
              <w:br/>
            </w:r>
            <w:r w:rsidRPr="00574846">
              <w:t>(Rapporteur chargé des nouvelles requêtes et des mesures provisoires de protection par intérim)</w:t>
            </w:r>
          </w:p>
        </w:tc>
        <w:tc>
          <w:tcPr>
            <w:tcW w:w="2057" w:type="dxa"/>
            <w:shd w:val="clear" w:color="auto" w:fill="auto"/>
          </w:tcPr>
          <w:p w14:paraId="1C80405D" w14:textId="77777777" w:rsidR="00712772" w:rsidRPr="00574846" w:rsidRDefault="00712772" w:rsidP="00712772">
            <w:pPr>
              <w:spacing w:before="40" w:after="120"/>
              <w:ind w:right="113"/>
              <w:rPr>
                <w:szCs w:val="18"/>
              </w:rPr>
            </w:pPr>
            <w:r w:rsidRPr="00574846">
              <w:t>Colombie</w:t>
            </w:r>
          </w:p>
        </w:tc>
        <w:tc>
          <w:tcPr>
            <w:tcW w:w="1099" w:type="dxa"/>
            <w:shd w:val="clear" w:color="auto" w:fill="auto"/>
          </w:tcPr>
          <w:p w14:paraId="7F31DEB0" w14:textId="77777777" w:rsidR="00712772" w:rsidRPr="00574846" w:rsidRDefault="00712772" w:rsidP="00712772">
            <w:pPr>
              <w:spacing w:before="40" w:after="120"/>
              <w:rPr>
                <w:szCs w:val="18"/>
              </w:rPr>
            </w:pPr>
            <w:r w:rsidRPr="00574846">
              <w:t>2021</w:t>
            </w:r>
          </w:p>
        </w:tc>
      </w:tr>
      <w:tr w:rsidR="00712772" w:rsidRPr="00574846" w14:paraId="7EE8ED03" w14:textId="77777777" w:rsidTr="00712772">
        <w:trPr>
          <w:cantSplit/>
        </w:trPr>
        <w:tc>
          <w:tcPr>
            <w:tcW w:w="4214" w:type="dxa"/>
            <w:shd w:val="clear" w:color="auto" w:fill="auto"/>
          </w:tcPr>
          <w:p w14:paraId="1FFE383A" w14:textId="77777777" w:rsidR="00712772" w:rsidRPr="00574846" w:rsidRDefault="00712772" w:rsidP="00712772">
            <w:pPr>
              <w:spacing w:before="40" w:after="120"/>
              <w:ind w:right="113"/>
              <w:rPr>
                <w:szCs w:val="18"/>
              </w:rPr>
            </w:pPr>
            <w:r w:rsidRPr="00574846">
              <w:t xml:space="preserve">Sébastien </w:t>
            </w:r>
            <w:proofErr w:type="spellStart"/>
            <w:r w:rsidRPr="00574846">
              <w:t>Touzé</w:t>
            </w:r>
            <w:proofErr w:type="spellEnd"/>
            <w:r w:rsidRPr="00574846">
              <w:t xml:space="preserve"> </w:t>
            </w:r>
            <w:r>
              <w:br/>
            </w:r>
            <w:r w:rsidRPr="00574846">
              <w:t>(Vice-Président par intérim)</w:t>
            </w:r>
          </w:p>
        </w:tc>
        <w:tc>
          <w:tcPr>
            <w:tcW w:w="2057" w:type="dxa"/>
            <w:shd w:val="clear" w:color="auto" w:fill="auto"/>
          </w:tcPr>
          <w:p w14:paraId="76BFC768" w14:textId="77777777" w:rsidR="00712772" w:rsidRPr="00574846" w:rsidRDefault="00712772" w:rsidP="00712772">
            <w:pPr>
              <w:spacing w:before="40" w:after="120"/>
              <w:ind w:right="113"/>
              <w:rPr>
                <w:szCs w:val="18"/>
              </w:rPr>
            </w:pPr>
            <w:r w:rsidRPr="00574846">
              <w:t>France</w:t>
            </w:r>
          </w:p>
        </w:tc>
        <w:tc>
          <w:tcPr>
            <w:tcW w:w="1099" w:type="dxa"/>
            <w:shd w:val="clear" w:color="auto" w:fill="auto"/>
          </w:tcPr>
          <w:p w14:paraId="3651E5C8" w14:textId="77777777" w:rsidR="00712772" w:rsidRPr="00574846" w:rsidRDefault="00712772" w:rsidP="00712772">
            <w:pPr>
              <w:spacing w:before="40" w:after="120"/>
              <w:rPr>
                <w:szCs w:val="18"/>
              </w:rPr>
            </w:pPr>
            <w:r w:rsidRPr="00574846">
              <w:t>2023</w:t>
            </w:r>
          </w:p>
        </w:tc>
      </w:tr>
      <w:tr w:rsidR="00712772" w:rsidRPr="00574846" w14:paraId="2C68B377" w14:textId="77777777" w:rsidTr="00712772">
        <w:trPr>
          <w:cantSplit/>
        </w:trPr>
        <w:tc>
          <w:tcPr>
            <w:tcW w:w="4214" w:type="dxa"/>
            <w:tcBorders>
              <w:bottom w:val="single" w:sz="12" w:space="0" w:color="auto"/>
            </w:tcBorders>
            <w:shd w:val="clear" w:color="auto" w:fill="auto"/>
          </w:tcPr>
          <w:p w14:paraId="48D9979B" w14:textId="77777777" w:rsidR="00712772" w:rsidRPr="00574846" w:rsidRDefault="00712772" w:rsidP="00712772">
            <w:pPr>
              <w:spacing w:before="40" w:after="120"/>
              <w:ind w:right="113"/>
              <w:rPr>
                <w:szCs w:val="18"/>
              </w:rPr>
            </w:pPr>
            <w:proofErr w:type="spellStart"/>
            <w:r w:rsidRPr="00574846">
              <w:t>Bakhtiyar</w:t>
            </w:r>
            <w:proofErr w:type="spellEnd"/>
            <w:r w:rsidRPr="00574846">
              <w:t xml:space="preserve"> </w:t>
            </w:r>
            <w:proofErr w:type="spellStart"/>
            <w:r w:rsidRPr="00574846">
              <w:t>Tuzmukhamedov</w:t>
            </w:r>
            <w:proofErr w:type="spellEnd"/>
            <w:r w:rsidRPr="00574846">
              <w:t xml:space="preserve"> </w:t>
            </w:r>
            <w:r>
              <w:br/>
            </w:r>
            <w:r w:rsidRPr="00574846">
              <w:t>(Rapporteur chargé du suivi au titre de l</w:t>
            </w:r>
            <w:r>
              <w:t>’</w:t>
            </w:r>
            <w:r w:rsidRPr="00574846">
              <w:t>article</w:t>
            </w:r>
            <w:r>
              <w:t> </w:t>
            </w:r>
            <w:r w:rsidRPr="00574846">
              <w:t>19 par intérim)</w:t>
            </w:r>
          </w:p>
        </w:tc>
        <w:tc>
          <w:tcPr>
            <w:tcW w:w="2057" w:type="dxa"/>
            <w:tcBorders>
              <w:bottom w:val="single" w:sz="12" w:space="0" w:color="auto"/>
            </w:tcBorders>
            <w:shd w:val="clear" w:color="auto" w:fill="auto"/>
          </w:tcPr>
          <w:p w14:paraId="5E99F78A" w14:textId="77777777" w:rsidR="00712772" w:rsidRPr="00574846" w:rsidRDefault="00712772" w:rsidP="00712772">
            <w:pPr>
              <w:spacing w:before="40" w:after="120"/>
              <w:ind w:right="113"/>
              <w:rPr>
                <w:szCs w:val="18"/>
              </w:rPr>
            </w:pPr>
            <w:r w:rsidRPr="00574846">
              <w:t>Fédération de Russie</w:t>
            </w:r>
          </w:p>
        </w:tc>
        <w:tc>
          <w:tcPr>
            <w:tcW w:w="1099" w:type="dxa"/>
            <w:tcBorders>
              <w:bottom w:val="single" w:sz="12" w:space="0" w:color="auto"/>
            </w:tcBorders>
            <w:shd w:val="clear" w:color="auto" w:fill="auto"/>
          </w:tcPr>
          <w:p w14:paraId="53BA47FE" w14:textId="77777777" w:rsidR="00712772" w:rsidRPr="00574846" w:rsidRDefault="00712772" w:rsidP="00712772">
            <w:pPr>
              <w:spacing w:before="40" w:after="120"/>
              <w:rPr>
                <w:szCs w:val="18"/>
              </w:rPr>
            </w:pPr>
            <w:r w:rsidRPr="00574846">
              <w:t>2021</w:t>
            </w:r>
          </w:p>
        </w:tc>
      </w:tr>
    </w:tbl>
    <w:p w14:paraId="47B9AE0D" w14:textId="77777777" w:rsidR="00712772" w:rsidRPr="001D6294" w:rsidRDefault="00712772" w:rsidP="004817DF">
      <w:pPr>
        <w:pStyle w:val="HChG"/>
      </w:pPr>
      <w:r>
        <w:br w:type="page"/>
      </w:r>
      <w:r w:rsidRPr="001D6294">
        <w:lastRenderedPageBreak/>
        <w:t>Annexe III</w:t>
      </w:r>
      <w:bookmarkStart w:id="159" w:name="_Toc37768190"/>
      <w:bookmarkEnd w:id="159"/>
    </w:p>
    <w:p w14:paraId="3957100D" w14:textId="77777777" w:rsidR="00712772" w:rsidRPr="001D6294" w:rsidRDefault="00712772" w:rsidP="004817DF">
      <w:pPr>
        <w:pStyle w:val="HChG"/>
      </w:pPr>
      <w:r w:rsidRPr="001D6294">
        <w:tab/>
      </w:r>
      <w:r w:rsidRPr="001D6294">
        <w:tab/>
        <w:t>Mesures visant à cibler le dialogue avec les États parties</w:t>
      </w:r>
      <w:bookmarkStart w:id="160" w:name="_Toc37768191"/>
      <w:bookmarkEnd w:id="160"/>
    </w:p>
    <w:p w14:paraId="5C0F88B4" w14:textId="77777777" w:rsidR="00712772" w:rsidRPr="001D6294" w:rsidRDefault="00712772" w:rsidP="00712772">
      <w:pPr>
        <w:pStyle w:val="SingleTxtG"/>
      </w:pPr>
      <w:r w:rsidRPr="001D6294">
        <w:t>1.</w:t>
      </w:r>
      <w:r w:rsidRPr="001D6294">
        <w:tab/>
        <w:t>Le Comité contre la torture s</w:t>
      </w:r>
      <w:r>
        <w:t>’</w:t>
      </w:r>
      <w:r w:rsidRPr="001D6294">
        <w:t>efforcera de faire en sorte que le dialogue avec les États parties et les recommandations formulées à l</w:t>
      </w:r>
      <w:r>
        <w:t>’</w:t>
      </w:r>
      <w:r w:rsidRPr="001D6294">
        <w:t>intention de ceux-ci soient plus ciblés et davantage coordonnés avec les examens effectués par d</w:t>
      </w:r>
      <w:r>
        <w:t>’</w:t>
      </w:r>
      <w:r w:rsidRPr="001D6294">
        <w:t>autres organes conventionnels. À cette fin, le Comité, à sa soixante-neuvième session, suivra la procédure décrite ci-dessous, à titre d</w:t>
      </w:r>
      <w:r>
        <w:t>’</w:t>
      </w:r>
      <w:r w:rsidRPr="001D6294">
        <w:t>expérience pilote.</w:t>
      </w:r>
    </w:p>
    <w:p w14:paraId="5AFC5441" w14:textId="77777777" w:rsidR="00712772" w:rsidRPr="001D6294" w:rsidRDefault="00712772" w:rsidP="00712772">
      <w:pPr>
        <w:pStyle w:val="H1G"/>
      </w:pPr>
      <w:r w:rsidRPr="001D6294">
        <w:tab/>
      </w:r>
      <w:r w:rsidRPr="001D6294">
        <w:tab/>
        <w:t>Coordination des listes de points à traiter établies avant la soumission des rapports</w:t>
      </w:r>
      <w:bookmarkStart w:id="161" w:name="_Toc37768192"/>
      <w:bookmarkEnd w:id="161"/>
    </w:p>
    <w:p w14:paraId="1D392CEA" w14:textId="77777777" w:rsidR="00712772" w:rsidRPr="001D6294" w:rsidRDefault="00712772" w:rsidP="00712772">
      <w:pPr>
        <w:pStyle w:val="SingleTxtG"/>
      </w:pPr>
      <w:r w:rsidRPr="001D6294">
        <w:t>2.</w:t>
      </w:r>
      <w:r w:rsidRPr="001D6294">
        <w:tab/>
        <w:t>Lorsqu</w:t>
      </w:r>
      <w:r>
        <w:t>’</w:t>
      </w:r>
      <w:r w:rsidRPr="001D6294">
        <w:t>un projet de liste de points à traiter est établi avant la soumission d</w:t>
      </w:r>
      <w:r>
        <w:t>’</w:t>
      </w:r>
      <w:r w:rsidRPr="001D6294">
        <w:t>un rapport, les listes préalables de points établies par d</w:t>
      </w:r>
      <w:r>
        <w:t>’</w:t>
      </w:r>
      <w:r w:rsidRPr="001D6294">
        <w:t>autres organes conventionnels pour le même État partie au cours de l</w:t>
      </w:r>
      <w:r>
        <w:t>’</w:t>
      </w:r>
      <w:r w:rsidRPr="001D6294">
        <w:t>année écoulée sont fournies aux rapporteurs pour le pays concerné. Cela doit permettre aux rapporteurs pour le pays de décider comment, dans la liste de points préalable établie par le Comité, traiter de manière coordonnée les questions qui peuvent se recouper, par exemple en supprimant les points qui s</w:t>
      </w:r>
      <w:r>
        <w:t>’</w:t>
      </w:r>
      <w:r w:rsidRPr="001D6294">
        <w:t>y rapportent, en les adaptant ou en mettant l</w:t>
      </w:r>
      <w:r>
        <w:t>’</w:t>
      </w:r>
      <w:r w:rsidRPr="001D6294">
        <w:t>accent sur eux. Le projet de liste préalable de points à traiter est ensuite envoyé aux rapporteurs des autres organes conventionnels concernés, qui disposent d</w:t>
      </w:r>
      <w:r>
        <w:t>’</w:t>
      </w:r>
      <w:r w:rsidRPr="001D6294">
        <w:t xml:space="preserve">un délai cinq jours </w:t>
      </w:r>
      <w:bookmarkStart w:id="162" w:name="_Hlk37767923"/>
      <w:r w:rsidRPr="001D6294">
        <w:t>pour formuler des commentaires.</w:t>
      </w:r>
    </w:p>
    <w:bookmarkEnd w:id="162"/>
    <w:p w14:paraId="357CC4AE" w14:textId="77777777" w:rsidR="00712772" w:rsidRPr="001D6294" w:rsidRDefault="00712772" w:rsidP="00712772">
      <w:pPr>
        <w:pStyle w:val="H1G"/>
      </w:pPr>
      <w:r w:rsidRPr="001D6294">
        <w:tab/>
      </w:r>
      <w:r w:rsidRPr="001D6294">
        <w:tab/>
        <w:t xml:space="preserve">Ciblage des listes de points à traiter établies avant la soumission </w:t>
      </w:r>
      <w:r>
        <w:br/>
      </w:r>
      <w:r w:rsidRPr="001D6294">
        <w:t>des rapports</w:t>
      </w:r>
      <w:bookmarkStart w:id="163" w:name="_Toc37768193"/>
      <w:bookmarkEnd w:id="163"/>
    </w:p>
    <w:p w14:paraId="0E921F7B" w14:textId="77777777" w:rsidR="00712772" w:rsidRPr="001D6294" w:rsidRDefault="00712772" w:rsidP="00712772">
      <w:pPr>
        <w:pStyle w:val="SingleTxtG"/>
      </w:pPr>
      <w:r w:rsidRPr="001D6294">
        <w:t>3.</w:t>
      </w:r>
      <w:r w:rsidRPr="001D6294">
        <w:tab/>
        <w:t>Les listes préalables de points à traiter peuvent être ciblées en fixant un nombre maximum de questions. Cela implique inévitablement de sacrifier certaines questions. Limiter le nombre de questions devrait obliger le secrétariat et les membres du Comité à être plus rigoureux dans la hiérarchisation des points et à utiliser des libellés plus précis. Il est proposé de limiter le nombre de questions à 25 ou 30.</w:t>
      </w:r>
    </w:p>
    <w:p w14:paraId="16CE641D" w14:textId="77777777" w:rsidR="00712772" w:rsidRPr="001D6294" w:rsidRDefault="00712772" w:rsidP="00712772">
      <w:pPr>
        <w:pStyle w:val="H1G"/>
      </w:pPr>
      <w:r w:rsidRPr="001D6294">
        <w:tab/>
      </w:r>
      <w:r w:rsidRPr="001D6294">
        <w:tab/>
        <w:t>Coordination des observations finales</w:t>
      </w:r>
      <w:bookmarkStart w:id="164" w:name="_Toc37768194"/>
      <w:bookmarkEnd w:id="164"/>
    </w:p>
    <w:p w14:paraId="06E36961" w14:textId="77777777" w:rsidR="00712772" w:rsidRPr="001D6294" w:rsidRDefault="00712772" w:rsidP="00712772">
      <w:pPr>
        <w:pStyle w:val="SingleTxtG"/>
      </w:pPr>
      <w:r w:rsidRPr="001D6294">
        <w:t>4.</w:t>
      </w:r>
      <w:r w:rsidRPr="001D6294">
        <w:tab/>
        <w:t>Dans l</w:t>
      </w:r>
      <w:r>
        <w:t>’</w:t>
      </w:r>
      <w:r w:rsidRPr="001D6294">
        <w:t>index de la documentation relative au pays établi par le secrétariat, il est fait état des observations finales les plus récentes formulées par d</w:t>
      </w:r>
      <w:r>
        <w:t>’</w:t>
      </w:r>
      <w:r w:rsidRPr="001D6294">
        <w:t>autres organes conventionnels. Lorsqu</w:t>
      </w:r>
      <w:r>
        <w:t>’</w:t>
      </w:r>
      <w:r w:rsidRPr="001D6294">
        <w:t>il élabore un projet d</w:t>
      </w:r>
      <w:r>
        <w:t>’</w:t>
      </w:r>
      <w:r w:rsidRPr="001D6294">
        <w:t>observations finales pour le Comité contre la torture, le secrétariat fait des comparaisons et met en évidence les questions qui pourraient se chevaucher. Les rapporteurs du Comité pour le pays peuvent choisir de supprimer les observations finales se rapportant à ces questions, de les adapter ou de mettre l</w:t>
      </w:r>
      <w:r>
        <w:t>’</w:t>
      </w:r>
      <w:r w:rsidRPr="001D6294">
        <w:t>accent sur elles, selon qu</w:t>
      </w:r>
      <w:r>
        <w:t>’</w:t>
      </w:r>
      <w:r w:rsidRPr="001D6294">
        <w:t>il convient.</w:t>
      </w:r>
    </w:p>
    <w:p w14:paraId="5D4E7498" w14:textId="77777777" w:rsidR="00712772" w:rsidRPr="001D6294" w:rsidRDefault="00712772" w:rsidP="00712772">
      <w:pPr>
        <w:pStyle w:val="H1G"/>
      </w:pPr>
      <w:r w:rsidRPr="001D6294">
        <w:tab/>
      </w:r>
      <w:r w:rsidRPr="001D6294">
        <w:tab/>
        <w:t>Ciblage des observations finales</w:t>
      </w:r>
      <w:bookmarkStart w:id="165" w:name="_Toc37768195"/>
      <w:bookmarkEnd w:id="165"/>
    </w:p>
    <w:p w14:paraId="25DBDA90" w14:textId="77777777" w:rsidR="00712772" w:rsidRPr="001D6294" w:rsidRDefault="00712772" w:rsidP="00712772">
      <w:pPr>
        <w:pStyle w:val="SingleTxtG"/>
      </w:pPr>
      <w:r w:rsidRPr="001D6294">
        <w:t>5.</w:t>
      </w:r>
      <w:r w:rsidRPr="001D6294">
        <w:tab/>
        <w:t>Il est recommandé de formuler des recommandations plus précises, afin de mieux orienter les États parties quant aux moyens de mettre en œuvre ces recommandations. À cette fin, le secrétariat et le Président du Comité réunissent des exemples de recommandations formulées dans des précédentes observations finales.</w:t>
      </w:r>
    </w:p>
    <w:p w14:paraId="7E5C9D00" w14:textId="77777777" w:rsidR="00EF7D1D" w:rsidRPr="00712772" w:rsidRDefault="00712772" w:rsidP="00712772">
      <w:pPr>
        <w:pStyle w:val="SingleTxtG"/>
        <w:spacing w:before="240" w:after="0"/>
        <w:jc w:val="center"/>
        <w:rPr>
          <w:u w:val="single"/>
        </w:rPr>
      </w:pPr>
      <w:r>
        <w:rPr>
          <w:u w:val="single"/>
        </w:rPr>
        <w:tab/>
      </w:r>
      <w:r>
        <w:rPr>
          <w:u w:val="single"/>
        </w:rPr>
        <w:tab/>
      </w:r>
      <w:r>
        <w:rPr>
          <w:u w:val="single"/>
        </w:rPr>
        <w:tab/>
      </w:r>
    </w:p>
    <w:sectPr w:rsidR="00EF7D1D" w:rsidRPr="00712772" w:rsidSect="00712772">
      <w:headerReference w:type="default" r:id="rId147"/>
      <w:footerReference w:type="default" r:id="rId148"/>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9B0C6" w14:textId="77777777" w:rsidR="00297772" w:rsidRDefault="00297772"/>
  </w:endnote>
  <w:endnote w:type="continuationSeparator" w:id="0">
    <w:p w14:paraId="36FE98F5" w14:textId="77777777" w:rsidR="00297772" w:rsidRDefault="00297772">
      <w:pPr>
        <w:pStyle w:val="Pieddepage"/>
      </w:pPr>
    </w:p>
  </w:endnote>
  <w:endnote w:type="continuationNotice" w:id="1">
    <w:p w14:paraId="64A02D25" w14:textId="77777777" w:rsidR="00297772" w:rsidRPr="00C451B9" w:rsidRDefault="00297772"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E890F" w14:textId="51D0DD81" w:rsidR="00297772" w:rsidRDefault="002A2D08">
    <w:pPr>
      <w:pStyle w:val="Pieddepage"/>
    </w:pPr>
    <w:r>
      <w:rPr>
        <w:noProof/>
        <w:lang w:eastAsia="fr-CH"/>
      </w:rPr>
      <w:drawing>
        <wp:anchor distT="0" distB="0" distL="114300" distR="114300" simplePos="0" relativeHeight="251659776" behindDoc="0" locked="0" layoutInCell="1" allowOverlap="1" wp14:anchorId="53FEA1AF" wp14:editId="73CC4D49">
          <wp:simplePos x="0" y="0"/>
          <wp:positionH relativeFrom="column">
            <wp:posOffset>5564710</wp:posOffset>
          </wp:positionH>
          <wp:positionV relativeFrom="paragraph">
            <wp:posOffset>954</wp:posOffset>
          </wp:positionV>
          <wp:extent cx="561975" cy="561975"/>
          <wp:effectExtent l="0" t="0" r="9525" b="9525"/>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GE.20-08115  (F)    190620    230620</w:t>
    </w:r>
    <w:r>
      <w:rPr>
        <w:sz w:val="20"/>
      </w:rPr>
      <w:br/>
    </w:r>
    <w:r w:rsidRPr="002A2D08">
      <w:rPr>
        <w:rFonts w:ascii="C39T30Lfz" w:hAnsi="C39T30Lfz"/>
        <w:sz w:val="56"/>
      </w:rPr>
      <w:t></w:t>
    </w:r>
    <w:r w:rsidRPr="002A2D08">
      <w:rPr>
        <w:rFonts w:ascii="C39T30Lfz" w:hAnsi="C39T30Lfz"/>
        <w:sz w:val="56"/>
      </w:rPr>
      <w:t></w:t>
    </w:r>
    <w:r w:rsidRPr="002A2D08">
      <w:rPr>
        <w:rFonts w:ascii="C39T30Lfz" w:hAnsi="C39T30Lfz"/>
        <w:sz w:val="56"/>
      </w:rPr>
      <w:t></w:t>
    </w:r>
    <w:r w:rsidRPr="002A2D08">
      <w:rPr>
        <w:rFonts w:ascii="C39T30Lfz" w:hAnsi="C39T30Lfz"/>
        <w:sz w:val="56"/>
      </w:rPr>
      <w:t></w:t>
    </w:r>
    <w:r w:rsidRPr="002A2D08">
      <w:rPr>
        <w:rFonts w:ascii="C39T30Lfz" w:hAnsi="C39T30Lfz"/>
        <w:sz w:val="56"/>
      </w:rPr>
      <w:t></w:t>
    </w:r>
    <w:r w:rsidRPr="002A2D08">
      <w:rPr>
        <w:rFonts w:ascii="C39T30Lfz" w:hAnsi="C39T30Lfz"/>
        <w:sz w:val="56"/>
      </w:rPr>
      <w:t></w:t>
    </w:r>
    <w:r w:rsidRPr="002A2D08">
      <w:rPr>
        <w:rFonts w:ascii="C39T30Lfz" w:hAnsi="C39T30Lfz"/>
        <w:sz w:val="56"/>
      </w:rPr>
      <w:t></w:t>
    </w:r>
    <w:r w:rsidRPr="002A2D08">
      <w:rPr>
        <w:rFonts w:ascii="C39T30Lfz" w:hAnsi="C39T30Lfz"/>
        <w:sz w:val="56"/>
      </w:rPr>
      <w:t></w:t>
    </w:r>
    <w:r w:rsidRPr="002A2D08">
      <w:rPr>
        <w:rFonts w:ascii="C39T30Lfz" w:hAnsi="C39T30Lfz"/>
        <w:noProof/>
        <w:sz w:val="56"/>
        <w:lang w:eastAsia="fr-CH"/>
      </w:rPr>
      <w:drawing>
        <wp:anchor distT="0" distB="0" distL="114300" distR="114300" simplePos="0" relativeHeight="251657728" behindDoc="0" locked="0" layoutInCell="1" allowOverlap="0" wp14:anchorId="7A8BAB74" wp14:editId="366485FB">
          <wp:simplePos x="0" y="0"/>
          <wp:positionH relativeFrom="margin">
            <wp:posOffset>4363874</wp:posOffset>
          </wp:positionH>
          <wp:positionV relativeFrom="margin">
            <wp:posOffset>9264107</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2D08">
      <w:rPr>
        <w:rFonts w:ascii="C39T30Lfz" w:hAnsi="C39T30Lfz"/>
        <w:sz w:val="5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209DF" w14:textId="77777777" w:rsidR="00297772" w:rsidRDefault="0029777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A26D5" w14:textId="77777777" w:rsidR="00297772" w:rsidRDefault="00297772">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4C34" w14:textId="77777777" w:rsidR="00297772" w:rsidRPr="00712772" w:rsidRDefault="00297772" w:rsidP="00712772">
    <w:pPr>
      <w:pStyle w:val="Pieddepage"/>
      <w:tabs>
        <w:tab w:val="right" w:pos="9638"/>
      </w:tabs>
    </w:pPr>
    <w:r w:rsidRPr="00712772">
      <w:rPr>
        <w:b/>
        <w:sz w:val="18"/>
      </w:rPr>
      <w:fldChar w:fldCharType="begin"/>
    </w:r>
    <w:r w:rsidRPr="00712772">
      <w:rPr>
        <w:b/>
        <w:sz w:val="18"/>
      </w:rPr>
      <w:instrText xml:space="preserve"> PAGE  \* MERGEFORMAT </w:instrText>
    </w:r>
    <w:r w:rsidRPr="00712772">
      <w:rPr>
        <w:b/>
        <w:sz w:val="18"/>
      </w:rPr>
      <w:fldChar w:fldCharType="separate"/>
    </w:r>
    <w:r w:rsidRPr="00712772">
      <w:rPr>
        <w:b/>
        <w:noProof/>
        <w:sz w:val="18"/>
      </w:rPr>
      <w:t>iv</w:t>
    </w:r>
    <w:r w:rsidRPr="00712772">
      <w:rPr>
        <w:b/>
        <w:sz w:val="18"/>
      </w:rPr>
      <w:fldChar w:fldCharType="end"/>
    </w:r>
    <w:r>
      <w:rPr>
        <w:b/>
        <w:sz w:val="18"/>
      </w:rPr>
      <w:tab/>
    </w:r>
    <w:r>
      <w:t>GE.20-08115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5BD50" w14:textId="77777777" w:rsidR="00297772" w:rsidRPr="00712772" w:rsidRDefault="00297772" w:rsidP="00712772">
    <w:pPr>
      <w:pStyle w:val="Pieddepage"/>
      <w:tabs>
        <w:tab w:val="right" w:pos="9638"/>
      </w:tabs>
      <w:rPr>
        <w:b/>
        <w:sz w:val="18"/>
      </w:rPr>
    </w:pPr>
    <w:r>
      <w:t>GE.20-08115</w:t>
    </w:r>
    <w:r>
      <w:tab/>
    </w:r>
    <w:r w:rsidRPr="00712772">
      <w:rPr>
        <w:b/>
        <w:sz w:val="18"/>
      </w:rPr>
      <w:fldChar w:fldCharType="begin"/>
    </w:r>
    <w:r w:rsidRPr="00712772">
      <w:rPr>
        <w:b/>
        <w:sz w:val="18"/>
      </w:rPr>
      <w:instrText xml:space="preserve"> PAGE  \* MERGEFORMAT </w:instrText>
    </w:r>
    <w:r w:rsidRPr="00712772">
      <w:rPr>
        <w:b/>
        <w:sz w:val="18"/>
      </w:rPr>
      <w:fldChar w:fldCharType="separate"/>
    </w:r>
    <w:r w:rsidRPr="00712772">
      <w:rPr>
        <w:b/>
        <w:noProof/>
        <w:sz w:val="18"/>
      </w:rPr>
      <w:t>v</w:t>
    </w:r>
    <w:r w:rsidRPr="00712772">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8DDD4" w14:textId="77777777" w:rsidR="00297772" w:rsidRPr="00712772" w:rsidRDefault="00297772" w:rsidP="00712772">
    <w:pPr>
      <w:pStyle w:val="Pieddepage"/>
      <w:tabs>
        <w:tab w:val="right" w:pos="9638"/>
      </w:tabs>
      <w:spacing w:before="120"/>
      <w:rPr>
        <w:b/>
        <w:sz w:val="18"/>
      </w:rPr>
    </w:pPr>
    <w:r>
      <w:rPr>
        <w:sz w:val="20"/>
      </w:rPr>
      <w:t>GE.20-08115  (F)</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F1884" w14:textId="77777777" w:rsidR="00297772" w:rsidRPr="00712772" w:rsidRDefault="00297772" w:rsidP="00712772">
    <w:pPr>
      <w:pStyle w:val="Pieddepage"/>
      <w:tabs>
        <w:tab w:val="right" w:pos="9638"/>
      </w:tabs>
      <w:rPr>
        <w:b/>
        <w:sz w:val="18"/>
      </w:rPr>
    </w:pPr>
    <w:r>
      <w:t>GE.20-08115</w:t>
    </w:r>
    <w:r>
      <w:tab/>
    </w:r>
    <w:r w:rsidRPr="00712772">
      <w:rPr>
        <w:b/>
        <w:sz w:val="18"/>
      </w:rPr>
      <w:fldChar w:fldCharType="begin"/>
    </w:r>
    <w:r w:rsidRPr="00712772">
      <w:rPr>
        <w:b/>
        <w:sz w:val="18"/>
      </w:rPr>
      <w:instrText xml:space="preserve"> PAGE  \* MERGEFORMAT </w:instrText>
    </w:r>
    <w:r w:rsidRPr="00712772">
      <w:rPr>
        <w:b/>
        <w:sz w:val="18"/>
      </w:rPr>
      <w:fldChar w:fldCharType="separate"/>
    </w:r>
    <w:r w:rsidRPr="00712772">
      <w:rPr>
        <w:b/>
        <w:noProof/>
        <w:sz w:val="18"/>
      </w:rPr>
      <w:t>v</w:t>
    </w:r>
    <w:r w:rsidRPr="0071277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E13CD" w14:textId="77777777" w:rsidR="00297772" w:rsidRPr="00D27D5E" w:rsidRDefault="00297772" w:rsidP="00D27D5E">
      <w:pPr>
        <w:tabs>
          <w:tab w:val="right" w:pos="2155"/>
        </w:tabs>
        <w:spacing w:after="80"/>
        <w:ind w:left="680"/>
        <w:rPr>
          <w:u w:val="single"/>
        </w:rPr>
      </w:pPr>
      <w:r>
        <w:rPr>
          <w:u w:val="single"/>
        </w:rPr>
        <w:tab/>
      </w:r>
    </w:p>
  </w:footnote>
  <w:footnote w:type="continuationSeparator" w:id="0">
    <w:p w14:paraId="1C4657DB" w14:textId="77777777" w:rsidR="00297772" w:rsidRPr="00D171D4" w:rsidRDefault="00297772" w:rsidP="00D171D4">
      <w:pPr>
        <w:tabs>
          <w:tab w:val="right" w:pos="2155"/>
        </w:tabs>
        <w:spacing w:after="80"/>
        <w:ind w:left="680"/>
        <w:rPr>
          <w:u w:val="single"/>
        </w:rPr>
      </w:pPr>
      <w:r w:rsidRPr="00D171D4">
        <w:rPr>
          <w:u w:val="single"/>
        </w:rPr>
        <w:tab/>
      </w:r>
    </w:p>
  </w:footnote>
  <w:footnote w:type="continuationNotice" w:id="1">
    <w:p w14:paraId="4865D873" w14:textId="77777777" w:rsidR="00297772" w:rsidRPr="00C451B9" w:rsidRDefault="00297772" w:rsidP="00C451B9">
      <w:pPr>
        <w:spacing w:line="240" w:lineRule="auto"/>
        <w:rPr>
          <w:sz w:val="2"/>
          <w:szCs w:val="2"/>
        </w:rPr>
      </w:pPr>
    </w:p>
  </w:footnote>
  <w:footnote w:id="2">
    <w:p w14:paraId="62E54FB6" w14:textId="56A47A63" w:rsidR="00297772" w:rsidRDefault="00297772" w:rsidP="00712772">
      <w:pPr>
        <w:pStyle w:val="Notedebasdepage"/>
      </w:pPr>
      <w:r>
        <w:tab/>
      </w:r>
      <w:r w:rsidRPr="000A213B">
        <w:rPr>
          <w:rStyle w:val="Appelnotedebasdep"/>
        </w:rPr>
        <w:footnoteRef/>
      </w:r>
      <w:r w:rsidRPr="00A6707D">
        <w:tab/>
        <w:t xml:space="preserve">Voir </w:t>
      </w:r>
      <w:hyperlink r:id="rId1" w:history="1">
        <w:r w:rsidRPr="009D4883">
          <w:rPr>
            <w:rStyle w:val="Lienhypertexte"/>
          </w:rPr>
          <w:t>A/69/44</w:t>
        </w:r>
      </w:hyperlink>
      <w:r w:rsidRPr="00A6707D">
        <w:t xml:space="preserve">, </w:t>
      </w:r>
      <w:r w:rsidR="00C27275">
        <w:t>par. </w:t>
      </w:r>
      <w:r w:rsidRPr="00A6707D">
        <w:t>46</w:t>
      </w:r>
      <w:r>
        <w:t> ;</w:t>
      </w:r>
      <w:r w:rsidRPr="00A6707D">
        <w:t xml:space="preserve"> </w:t>
      </w:r>
      <w:hyperlink r:id="rId2" w:history="1">
        <w:r w:rsidRPr="009D4883">
          <w:rPr>
            <w:rStyle w:val="Lienhypertexte"/>
          </w:rPr>
          <w:t>A/70/44</w:t>
        </w:r>
      </w:hyperlink>
      <w:r w:rsidRPr="00A6707D">
        <w:t xml:space="preserve">, </w:t>
      </w:r>
      <w:r w:rsidR="00C27275">
        <w:t>par. </w:t>
      </w:r>
      <w:r w:rsidRPr="00A6707D">
        <w:t>40</w:t>
      </w:r>
      <w:r>
        <w:t> ;</w:t>
      </w:r>
      <w:r w:rsidRPr="00A6707D">
        <w:t xml:space="preserve"> </w:t>
      </w:r>
      <w:hyperlink r:id="rId3" w:history="1">
        <w:r w:rsidRPr="009D4883">
          <w:rPr>
            <w:rStyle w:val="Lienhypertexte"/>
          </w:rPr>
          <w:t>A/71</w:t>
        </w:r>
        <w:r w:rsidRPr="009D4883">
          <w:rPr>
            <w:rStyle w:val="Lienhypertexte"/>
          </w:rPr>
          <w:t>/</w:t>
        </w:r>
        <w:r w:rsidRPr="009D4883">
          <w:rPr>
            <w:rStyle w:val="Lienhypertexte"/>
          </w:rPr>
          <w:t>44</w:t>
        </w:r>
      </w:hyperlink>
      <w:r w:rsidRPr="00A6707D">
        <w:t xml:space="preserve">, </w:t>
      </w:r>
      <w:r w:rsidR="00C27275">
        <w:t>par. </w:t>
      </w:r>
      <w:r w:rsidRPr="00A6707D">
        <w:t>35</w:t>
      </w:r>
      <w:r>
        <w:t> ;</w:t>
      </w:r>
      <w:r w:rsidRPr="00A6707D">
        <w:t xml:space="preserve"> </w:t>
      </w:r>
      <w:hyperlink r:id="rId4" w:history="1">
        <w:r w:rsidRPr="009D4883">
          <w:rPr>
            <w:rStyle w:val="Lienhypertexte"/>
          </w:rPr>
          <w:t>A/72</w:t>
        </w:r>
        <w:r w:rsidRPr="009D4883">
          <w:rPr>
            <w:rStyle w:val="Lienhypertexte"/>
          </w:rPr>
          <w:t>/</w:t>
        </w:r>
        <w:r w:rsidRPr="009D4883">
          <w:rPr>
            <w:rStyle w:val="Lienhypertexte"/>
          </w:rPr>
          <w:t>44</w:t>
        </w:r>
      </w:hyperlink>
      <w:r w:rsidRPr="00A6707D">
        <w:t xml:space="preserve">, </w:t>
      </w:r>
      <w:r w:rsidR="00C27275">
        <w:t>par. </w:t>
      </w:r>
      <w:r w:rsidRPr="00A6707D">
        <w:t>34</w:t>
      </w:r>
      <w:r>
        <w:t> ;</w:t>
      </w:r>
      <w:r w:rsidRPr="00A6707D">
        <w:t xml:space="preserve"> </w:t>
      </w:r>
      <w:hyperlink r:id="rId5" w:history="1">
        <w:r w:rsidRPr="009D4883">
          <w:rPr>
            <w:rStyle w:val="Lienhypertexte"/>
          </w:rPr>
          <w:t>A/73/44</w:t>
        </w:r>
      </w:hyperlink>
      <w:r w:rsidRPr="00A6707D">
        <w:t xml:space="preserve">, </w:t>
      </w:r>
      <w:r w:rsidR="00C27275">
        <w:t>par. </w:t>
      </w:r>
      <w:r w:rsidRPr="00A6707D">
        <w:t>34</w:t>
      </w:r>
      <w:r>
        <w:t> ;</w:t>
      </w:r>
      <w:r w:rsidRPr="00A6707D">
        <w:t xml:space="preserve"> et </w:t>
      </w:r>
      <w:hyperlink r:id="rId6" w:history="1">
        <w:r w:rsidRPr="009D4883">
          <w:rPr>
            <w:rStyle w:val="Lienhypertexte"/>
          </w:rPr>
          <w:t>A/74/44</w:t>
        </w:r>
      </w:hyperlink>
      <w:r w:rsidRPr="00A6707D">
        <w:t xml:space="preserve">, </w:t>
      </w:r>
      <w:r w:rsidR="00C27275">
        <w:t>par. </w:t>
      </w:r>
      <w:r w:rsidRPr="00A6707D">
        <w:t>33.</w:t>
      </w:r>
    </w:p>
  </w:footnote>
  <w:footnote w:id="3">
    <w:p w14:paraId="122FEE29" w14:textId="77777777" w:rsidR="00297772" w:rsidRPr="00746521" w:rsidRDefault="00297772" w:rsidP="00712772">
      <w:pPr>
        <w:pStyle w:val="Notedebasdepage"/>
      </w:pPr>
      <w:r>
        <w:tab/>
      </w:r>
      <w:r w:rsidRPr="000A213B">
        <w:rPr>
          <w:rStyle w:val="Appelnotedebasdep"/>
        </w:rPr>
        <w:footnoteRef/>
      </w:r>
      <w:r>
        <w:tab/>
      </w:r>
      <w:r w:rsidRPr="006F7A5D">
        <w:t>À</w:t>
      </w:r>
      <w:r>
        <w:t xml:space="preserve"> sa soixante-deuxième session, le Comité avait envoyé un rappel au Bangladesh pour lui demander de soumettre son rapport initial attendu depuis longtemps et lui proposer de le faire selon la procédure simplifiée. À sa soixante-quatrième session, le Comité a décidé d’informer le Bangladesh qu’il procéderait à un examen en l’absence de rapport à sa soixante-sixième session.</w:t>
      </w:r>
    </w:p>
  </w:footnote>
  <w:footnote w:id="4">
    <w:p w14:paraId="53D043BB" w14:textId="77777777" w:rsidR="00297772" w:rsidRPr="00EE15CC" w:rsidRDefault="00297772" w:rsidP="00712772">
      <w:pPr>
        <w:pStyle w:val="Notedebasdepage"/>
      </w:pPr>
      <w:r>
        <w:tab/>
      </w:r>
      <w:r w:rsidRPr="000A213B">
        <w:rPr>
          <w:rStyle w:val="Appelnotedebasdep"/>
        </w:rPr>
        <w:footnoteRef/>
      </w:r>
      <w:r>
        <w:tab/>
      </w:r>
      <w:r w:rsidRPr="006F7A5D">
        <w:t>À</w:t>
      </w:r>
      <w:r>
        <w:t xml:space="preserve"> sa cinquante-neuvième session, le Comité avait décidé d’envoyer un rappel au Malawi et à la Somalie pour leur demander de soumettre leur rapport initial attendu depuis longtemps et leur proposer de le faire selon la procédure simplifiée. </w:t>
      </w:r>
      <w:r w:rsidRPr="00EE15CC">
        <w:t>Les deux États ont reçu des listes de points préalables à l’établissement de leur rapport, adoptées par le Comité à sa soixante-deuxième session.</w:t>
      </w:r>
    </w:p>
  </w:footnote>
  <w:footnote w:id="5">
    <w:p w14:paraId="77C3368B" w14:textId="34DA7577" w:rsidR="00297772" w:rsidRPr="005D6761" w:rsidRDefault="00297772" w:rsidP="00712772">
      <w:pPr>
        <w:pStyle w:val="Notedebasdepage"/>
      </w:pPr>
      <w:r w:rsidRPr="00B21270">
        <w:tab/>
      </w:r>
      <w:r w:rsidRPr="000A213B">
        <w:rPr>
          <w:rStyle w:val="Appelnotedebasdep"/>
        </w:rPr>
        <w:footnoteRef/>
      </w:r>
      <w:r>
        <w:tab/>
        <w:t xml:space="preserve">En 2010, le Comité a créé une page Web distincte consacrée au suivi : </w:t>
      </w:r>
      <w:hyperlink r:id="rId7" w:history="1">
        <w:r w:rsidRPr="001C1931">
          <w:rPr>
            <w:rStyle w:val="Lienhypertexte"/>
          </w:rPr>
          <w:t>https</w:t>
        </w:r>
        <w:r>
          <w:rPr>
            <w:rStyle w:val="Lienhypertexte"/>
          </w:rPr>
          <w:t>:/</w:t>
        </w:r>
        <w:r w:rsidRPr="001C1931">
          <w:rPr>
            <w:rStyle w:val="Lienhypertexte"/>
          </w:rPr>
          <w:t>/tbinte</w:t>
        </w:r>
        <w:r w:rsidRPr="001C1931">
          <w:rPr>
            <w:rStyle w:val="Lienhypertexte"/>
          </w:rPr>
          <w:t>r</w:t>
        </w:r>
        <w:r w:rsidRPr="001C1931">
          <w:rPr>
            <w:rStyle w:val="Lienhypertexte"/>
          </w:rPr>
          <w:t>net.ohchr.org/</w:t>
        </w:r>
        <w:r>
          <w:rPr>
            <w:rStyle w:val="Lienhypertexte"/>
          </w:rPr>
          <w:t xml:space="preserve"> </w:t>
        </w:r>
        <w:r w:rsidRPr="001C1931">
          <w:rPr>
            <w:rStyle w:val="Lienhypertexte"/>
          </w:rPr>
          <w:t>_</w:t>
        </w:r>
        <w:proofErr w:type="spellStart"/>
        <w:r w:rsidRPr="001C1931">
          <w:rPr>
            <w:rStyle w:val="Lienhypertexte"/>
          </w:rPr>
          <w:t>layouts</w:t>
        </w:r>
        <w:proofErr w:type="spellEnd"/>
        <w:r w:rsidRPr="001C1931">
          <w:rPr>
            <w:rStyle w:val="Lienhypertexte"/>
          </w:rPr>
          <w:t>/15/</w:t>
        </w:r>
        <w:proofErr w:type="spellStart"/>
        <w:r w:rsidRPr="001C1931">
          <w:rPr>
            <w:rStyle w:val="Lienhypertexte"/>
          </w:rPr>
          <w:t>TreatyBodyExternal</w:t>
        </w:r>
        <w:proofErr w:type="spellEnd"/>
        <w:r w:rsidRPr="001C1931">
          <w:rPr>
            <w:rStyle w:val="Lienhypertexte"/>
          </w:rPr>
          <w:t>/</w:t>
        </w:r>
        <w:proofErr w:type="spellStart"/>
        <w:r w:rsidRPr="001C1931">
          <w:rPr>
            <w:rStyle w:val="Lienhypertexte"/>
          </w:rPr>
          <w:t>FollowUp.aspx?Traité</w:t>
        </w:r>
        <w:proofErr w:type="spellEnd"/>
        <w:r w:rsidRPr="001C1931">
          <w:rPr>
            <w:rStyle w:val="Lienhypertexte"/>
          </w:rPr>
          <w:t>=</w:t>
        </w:r>
        <w:proofErr w:type="spellStart"/>
        <w:r w:rsidRPr="001C1931">
          <w:rPr>
            <w:rStyle w:val="Lienhypertexte"/>
          </w:rPr>
          <w:t>CAT&amp;Lang</w:t>
        </w:r>
        <w:proofErr w:type="spellEnd"/>
        <w:r w:rsidRPr="001C1931">
          <w:rPr>
            <w:rStyle w:val="Lienhypertexte"/>
          </w:rPr>
          <w:t>=</w:t>
        </w:r>
        <w:proofErr w:type="spellStart"/>
        <w:r w:rsidRPr="001C1931">
          <w:rPr>
            <w:rStyle w:val="Lienhypertexte"/>
          </w:rPr>
          <w:t>fr</w:t>
        </w:r>
      </w:hyperlink>
      <w:r w:rsidRPr="001C1931">
        <w:t>.</w:t>
      </w:r>
      <w:proofErr w:type="spellEnd"/>
      <w:r w:rsidRPr="001C1931">
        <w:t xml:space="preserve"> </w:t>
      </w:r>
      <w:r>
        <w:t>On trouvera une vue d’ensemble de la procédure depuis 2003 à cette même adresse.</w:t>
      </w:r>
    </w:p>
  </w:footnote>
  <w:footnote w:id="6">
    <w:p w14:paraId="17107BFE" w14:textId="77777777" w:rsidR="00297772" w:rsidRPr="001C1931" w:rsidRDefault="00297772" w:rsidP="00712772">
      <w:pPr>
        <w:pStyle w:val="Notedebasdepage"/>
      </w:pPr>
      <w:r w:rsidRPr="00714B74">
        <w:tab/>
      </w:r>
      <w:r w:rsidRPr="000A213B">
        <w:rPr>
          <w:rStyle w:val="Appelnotedebasdep"/>
        </w:rPr>
        <w:footnoteRef/>
      </w:r>
      <w:r w:rsidRPr="001C1931">
        <w:tab/>
        <w:t>Les États parties qui n’avaient pas envoyé de renseignements au titre du suivi avant la soumission de leur rapport périodique ne figurent pas dans cette liste.</w:t>
      </w:r>
    </w:p>
  </w:footnote>
  <w:footnote w:id="7">
    <w:p w14:paraId="6E717EBC" w14:textId="77777777" w:rsidR="00297772" w:rsidRPr="001C1931" w:rsidRDefault="00297772" w:rsidP="00712772">
      <w:pPr>
        <w:pStyle w:val="Notedebasdepage"/>
      </w:pPr>
      <w:r w:rsidRPr="001C1931">
        <w:tab/>
      </w:r>
      <w:r w:rsidRPr="000A213B">
        <w:rPr>
          <w:rStyle w:val="Appelnotedebasdep"/>
        </w:rPr>
        <w:footnoteRef/>
      </w:r>
      <w:r w:rsidRPr="001C1931">
        <w:tab/>
        <w:t>Les lettres envoyées par le Rapporteur chargé du suivi des observations finales peuvent être consultées sur la page Web consacrée au suivi.</w:t>
      </w:r>
    </w:p>
  </w:footnote>
  <w:footnote w:id="8">
    <w:p w14:paraId="1317ECBC" w14:textId="77777777" w:rsidR="00297772" w:rsidRPr="001C1931" w:rsidRDefault="00297772" w:rsidP="00712772">
      <w:pPr>
        <w:pStyle w:val="Notedebasdepage"/>
      </w:pPr>
      <w:r w:rsidRPr="001C1931">
        <w:tab/>
      </w:r>
      <w:r w:rsidRPr="000A213B">
        <w:rPr>
          <w:rStyle w:val="Appelnotedebasdep"/>
        </w:rPr>
        <w:footnoteRef/>
      </w:r>
      <w:r w:rsidRPr="001C1931">
        <w:tab/>
        <w:t>Les réponses au titre du suivi reçues des États parties peuvent être consultées sur la page Web consacrée au suivi.</w:t>
      </w:r>
    </w:p>
  </w:footnote>
  <w:footnote w:id="9">
    <w:p w14:paraId="17E19448" w14:textId="77777777" w:rsidR="00297772" w:rsidRPr="005D6761" w:rsidRDefault="00297772" w:rsidP="00712772">
      <w:pPr>
        <w:pStyle w:val="Notedebasdepage"/>
      </w:pPr>
      <w:r w:rsidRPr="001C1931">
        <w:tab/>
      </w:r>
      <w:r w:rsidRPr="000A213B">
        <w:rPr>
          <w:rStyle w:val="Appelnotedebasdep"/>
        </w:rPr>
        <w:footnoteRef/>
      </w:r>
      <w:r w:rsidRPr="001C1931">
        <w:tab/>
        <w:t>Les lettres envoyées par le Rapporteur chargé du suivi des observations finales peuvent être consultées sur la page Web consacrée au suivi.</w:t>
      </w:r>
    </w:p>
  </w:footnote>
  <w:footnote w:id="10">
    <w:p w14:paraId="44025989" w14:textId="77777777" w:rsidR="00297772" w:rsidRPr="005D6761" w:rsidRDefault="00297772" w:rsidP="00712772">
      <w:pPr>
        <w:pStyle w:val="Notedebasdepage"/>
      </w:pPr>
      <w:r w:rsidRPr="002A0768">
        <w:tab/>
      </w:r>
      <w:r w:rsidRPr="000A213B">
        <w:rPr>
          <w:rStyle w:val="Appelnotedebasdep"/>
        </w:rPr>
        <w:footnoteRef/>
      </w:r>
      <w:r>
        <w:tab/>
        <w:t>Ces documents peuvent également être consultés sur la page Web consacrée au suivi.</w:t>
      </w:r>
    </w:p>
  </w:footnote>
  <w:footnote w:id="11">
    <w:p w14:paraId="2931AC45" w14:textId="77777777" w:rsidR="00297772" w:rsidRPr="005D6761" w:rsidRDefault="00297772" w:rsidP="00712772">
      <w:pPr>
        <w:pStyle w:val="Notedebasdepage"/>
      </w:pPr>
      <w:r w:rsidRPr="00C71AA0">
        <w:tab/>
      </w:r>
      <w:r w:rsidRPr="000A213B">
        <w:rPr>
          <w:rStyle w:val="Appelnotedebasdep"/>
        </w:rPr>
        <w:footnoteRef/>
      </w:r>
      <w:r>
        <w:tab/>
        <w:t>À des fins statistiques, les requêtes concernant la République fédérale de Yougoslavie examinées par le Comité ainsi que celles concernant la Serbie-et-Monténégro sont attribuées à la Serbie.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19BE3" w14:textId="77777777" w:rsidR="00297772" w:rsidRDefault="00297772" w:rsidP="00E37E2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63759" w14:textId="77777777" w:rsidR="00297772" w:rsidRDefault="00297772" w:rsidP="0071277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5EAAB" w14:textId="3F6CA406" w:rsidR="00297772" w:rsidRPr="00712772" w:rsidRDefault="00297772" w:rsidP="00712772">
    <w:pPr>
      <w:pStyle w:val="En-tte"/>
    </w:pPr>
    <w:fldSimple w:instr=" TITLE  \* MERGEFORMAT ">
      <w:r w:rsidR="0003293F">
        <w:t>A/75/44</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3BC69" w14:textId="58DB7F3E" w:rsidR="00297772" w:rsidRDefault="00297772" w:rsidP="00712772">
    <w:pPr>
      <w:pStyle w:val="En-tte"/>
      <w:jc w:val="right"/>
    </w:pPr>
    <w:fldSimple w:instr=" TITLE  \* MERGEFORMAT ">
      <w:r w:rsidR="0003293F">
        <w:t>A/75/44</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1D653" w14:textId="5088AA93" w:rsidR="00297772" w:rsidRDefault="00297772" w:rsidP="00712772">
    <w:pPr>
      <w:pStyle w:val="En-tte"/>
      <w:jc w:val="right"/>
    </w:pPr>
    <w:fldSimple w:instr=" TITLE  \* MERGEFORMAT ">
      <w:r w:rsidR="0003293F">
        <w:t>A/75/44</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F66EB" w14:textId="1A115D8B" w:rsidR="00297772" w:rsidRDefault="00297772" w:rsidP="00712772">
    <w:pPr>
      <w:pStyle w:val="En-tte"/>
      <w:jc w:val="right"/>
    </w:pPr>
    <w:fldSimple w:instr=" TITLE  \* MERGEFORMAT ">
      <w:r w:rsidR="0003293F">
        <w:t>A/75/44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15"/>
  </w:num>
  <w:num w:numId="5">
    <w:abstractNumId w:val="13"/>
  </w:num>
  <w:num w:numId="6">
    <w:abstractNumId w:val="10"/>
  </w:num>
  <w:num w:numId="7">
    <w:abstractNumId w:val="14"/>
  </w:num>
  <w:num w:numId="8">
    <w:abstractNumId w:val="12"/>
  </w:num>
  <w:num w:numId="9">
    <w:abstractNumId w:val="11"/>
  </w:num>
  <w:num w:numId="10">
    <w:abstractNumId w:val="16"/>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84CD5"/>
    <w:rsid w:val="000067A6"/>
    <w:rsid w:val="0001470D"/>
    <w:rsid w:val="00016165"/>
    <w:rsid w:val="00016AC5"/>
    <w:rsid w:val="00021907"/>
    <w:rsid w:val="000233A5"/>
    <w:rsid w:val="0002445D"/>
    <w:rsid w:val="00024C50"/>
    <w:rsid w:val="00025E92"/>
    <w:rsid w:val="000276A3"/>
    <w:rsid w:val="00031C3D"/>
    <w:rsid w:val="00032060"/>
    <w:rsid w:val="0003293F"/>
    <w:rsid w:val="00040539"/>
    <w:rsid w:val="00040598"/>
    <w:rsid w:val="00047F10"/>
    <w:rsid w:val="00052157"/>
    <w:rsid w:val="0005346D"/>
    <w:rsid w:val="00055FE4"/>
    <w:rsid w:val="000641CE"/>
    <w:rsid w:val="00067310"/>
    <w:rsid w:val="00077E35"/>
    <w:rsid w:val="0008669E"/>
    <w:rsid w:val="00090599"/>
    <w:rsid w:val="00096270"/>
    <w:rsid w:val="000A1501"/>
    <w:rsid w:val="000A2494"/>
    <w:rsid w:val="000A6B7E"/>
    <w:rsid w:val="000C6CDB"/>
    <w:rsid w:val="000D5C25"/>
    <w:rsid w:val="000E4F06"/>
    <w:rsid w:val="000E5601"/>
    <w:rsid w:val="000F3FF0"/>
    <w:rsid w:val="000F41F2"/>
    <w:rsid w:val="0010373B"/>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70821"/>
    <w:rsid w:val="00271E41"/>
    <w:rsid w:val="00284C19"/>
    <w:rsid w:val="00284CD5"/>
    <w:rsid w:val="00286E23"/>
    <w:rsid w:val="002876A1"/>
    <w:rsid w:val="00287CA6"/>
    <w:rsid w:val="00287E79"/>
    <w:rsid w:val="00290049"/>
    <w:rsid w:val="002928F9"/>
    <w:rsid w:val="00294D5B"/>
    <w:rsid w:val="00297772"/>
    <w:rsid w:val="002A2A2C"/>
    <w:rsid w:val="002A2D08"/>
    <w:rsid w:val="002A5D07"/>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679A"/>
    <w:rsid w:val="0038047C"/>
    <w:rsid w:val="00390EEF"/>
    <w:rsid w:val="00394410"/>
    <w:rsid w:val="003976D5"/>
    <w:rsid w:val="003B53B6"/>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1132"/>
    <w:rsid w:val="004817DF"/>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4373"/>
    <w:rsid w:val="00591DB3"/>
    <w:rsid w:val="005939ED"/>
    <w:rsid w:val="005947BC"/>
    <w:rsid w:val="00595E8A"/>
    <w:rsid w:val="005A0268"/>
    <w:rsid w:val="005A2E8B"/>
    <w:rsid w:val="005A6014"/>
    <w:rsid w:val="005B473C"/>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47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2772"/>
    <w:rsid w:val="00714647"/>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79CD"/>
    <w:rsid w:val="007D2668"/>
    <w:rsid w:val="007D3119"/>
    <w:rsid w:val="007F1867"/>
    <w:rsid w:val="007F1EC4"/>
    <w:rsid w:val="007F4A37"/>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95DE5"/>
    <w:rsid w:val="008A0FA8"/>
    <w:rsid w:val="008A1EC0"/>
    <w:rsid w:val="008B44C4"/>
    <w:rsid w:val="008B6DFA"/>
    <w:rsid w:val="008C322B"/>
    <w:rsid w:val="008C4B74"/>
    <w:rsid w:val="008D1156"/>
    <w:rsid w:val="008D59DB"/>
    <w:rsid w:val="008E0319"/>
    <w:rsid w:val="008E4DE2"/>
    <w:rsid w:val="008E7CE2"/>
    <w:rsid w:val="008E7FAE"/>
    <w:rsid w:val="00911BF7"/>
    <w:rsid w:val="0091594A"/>
    <w:rsid w:val="009230F1"/>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D3A8C"/>
    <w:rsid w:val="009D4883"/>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72C35"/>
    <w:rsid w:val="00A752BB"/>
    <w:rsid w:val="00A81F93"/>
    <w:rsid w:val="00A9247E"/>
    <w:rsid w:val="00AA7796"/>
    <w:rsid w:val="00AC67A1"/>
    <w:rsid w:val="00AC7977"/>
    <w:rsid w:val="00AC7E56"/>
    <w:rsid w:val="00AE2617"/>
    <w:rsid w:val="00AE352C"/>
    <w:rsid w:val="00AE79AC"/>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90992"/>
    <w:rsid w:val="00B93C7D"/>
    <w:rsid w:val="00BC3F20"/>
    <w:rsid w:val="00BD03A2"/>
    <w:rsid w:val="00BD28B2"/>
    <w:rsid w:val="00BD5A8D"/>
    <w:rsid w:val="00BD7343"/>
    <w:rsid w:val="00BF0556"/>
    <w:rsid w:val="00BF37EE"/>
    <w:rsid w:val="00C024A1"/>
    <w:rsid w:val="00C02C42"/>
    <w:rsid w:val="00C10FB1"/>
    <w:rsid w:val="00C11282"/>
    <w:rsid w:val="00C12CA3"/>
    <w:rsid w:val="00C14108"/>
    <w:rsid w:val="00C261F8"/>
    <w:rsid w:val="00C27275"/>
    <w:rsid w:val="00C27662"/>
    <w:rsid w:val="00C33100"/>
    <w:rsid w:val="00C451B9"/>
    <w:rsid w:val="00C467A6"/>
    <w:rsid w:val="00C51D9C"/>
    <w:rsid w:val="00C54DA4"/>
    <w:rsid w:val="00C55118"/>
    <w:rsid w:val="00C577D1"/>
    <w:rsid w:val="00C57A2D"/>
    <w:rsid w:val="00C6018C"/>
    <w:rsid w:val="00C67D23"/>
    <w:rsid w:val="00C71827"/>
    <w:rsid w:val="00C825E5"/>
    <w:rsid w:val="00C95EB8"/>
    <w:rsid w:val="00CB02C5"/>
    <w:rsid w:val="00CB39CD"/>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15E1"/>
    <w:rsid w:val="00D7425A"/>
    <w:rsid w:val="00D74F7E"/>
    <w:rsid w:val="00D7695F"/>
    <w:rsid w:val="00D83B6C"/>
    <w:rsid w:val="00D9039B"/>
    <w:rsid w:val="00D93582"/>
    <w:rsid w:val="00DA41A2"/>
    <w:rsid w:val="00DA43A1"/>
    <w:rsid w:val="00DA5E1D"/>
    <w:rsid w:val="00DC4F43"/>
    <w:rsid w:val="00DE15DB"/>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54B3B"/>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C431F"/>
    <w:rsid w:val="00ED3A26"/>
    <w:rsid w:val="00EF33E0"/>
    <w:rsid w:val="00EF70BB"/>
    <w:rsid w:val="00EF7D1D"/>
    <w:rsid w:val="00F02FA9"/>
    <w:rsid w:val="00F06660"/>
    <w:rsid w:val="00F115C8"/>
    <w:rsid w:val="00F116EB"/>
    <w:rsid w:val="00F1794E"/>
    <w:rsid w:val="00F17DC0"/>
    <w:rsid w:val="00F211AF"/>
    <w:rsid w:val="00F25EC3"/>
    <w:rsid w:val="00F32ADB"/>
    <w:rsid w:val="00F32C98"/>
    <w:rsid w:val="00F37E12"/>
    <w:rsid w:val="00F424BD"/>
    <w:rsid w:val="00F515AD"/>
    <w:rsid w:val="00F57DD7"/>
    <w:rsid w:val="00F636AD"/>
    <w:rsid w:val="00F734D9"/>
    <w:rsid w:val="00F73F83"/>
    <w:rsid w:val="00F74694"/>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D02A2"/>
    <w:rsid w:val="00FD5E64"/>
    <w:rsid w:val="00FD7985"/>
    <w:rsid w:val="00FE6526"/>
    <w:rsid w:val="00FF1DBD"/>
    <w:rsid w:val="00FF1E4B"/>
    <w:rsid w:val="00FF2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14:docId w14:val="5717126F"/>
  <w15:docId w15:val="{EA197C45-8768-495B-95EB-23F15315F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722C"/>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qFormat/>
    <w:rsid w:val="00B5722C"/>
    <w:pPr>
      <w:outlineLvl w:val="1"/>
    </w:pPr>
  </w:style>
  <w:style w:type="paragraph" w:styleId="Titre3">
    <w:name w:val="heading 3"/>
    <w:basedOn w:val="Normal"/>
    <w:next w:val="Normal"/>
    <w:link w:val="Titre3Car"/>
    <w:qFormat/>
    <w:rsid w:val="00B5722C"/>
    <w:pPr>
      <w:outlineLvl w:val="2"/>
    </w:pPr>
  </w:style>
  <w:style w:type="paragraph" w:styleId="Titre4">
    <w:name w:val="heading 4"/>
    <w:basedOn w:val="Normal"/>
    <w:next w:val="Normal"/>
    <w:link w:val="Titre4Car"/>
    <w:qFormat/>
    <w:rsid w:val="00B5722C"/>
    <w:pPr>
      <w:outlineLvl w:val="3"/>
    </w:pPr>
  </w:style>
  <w:style w:type="paragraph" w:styleId="Titre5">
    <w:name w:val="heading 5"/>
    <w:basedOn w:val="Normal"/>
    <w:next w:val="Normal"/>
    <w:link w:val="Titre5Car"/>
    <w:qFormat/>
    <w:rsid w:val="00B5722C"/>
    <w:pPr>
      <w:outlineLvl w:val="4"/>
    </w:pPr>
  </w:style>
  <w:style w:type="paragraph" w:styleId="Titre6">
    <w:name w:val="heading 6"/>
    <w:basedOn w:val="Normal"/>
    <w:next w:val="Normal"/>
    <w:link w:val="Titre6Car"/>
    <w:qFormat/>
    <w:rsid w:val="00B5722C"/>
    <w:pPr>
      <w:outlineLvl w:val="5"/>
    </w:pPr>
  </w:style>
  <w:style w:type="paragraph" w:styleId="Titre7">
    <w:name w:val="heading 7"/>
    <w:basedOn w:val="Normal"/>
    <w:next w:val="Normal"/>
    <w:link w:val="Titre7Car"/>
    <w:qFormat/>
    <w:rsid w:val="00B5722C"/>
    <w:pPr>
      <w:outlineLvl w:val="6"/>
    </w:pPr>
  </w:style>
  <w:style w:type="paragraph" w:styleId="Titre8">
    <w:name w:val="heading 8"/>
    <w:basedOn w:val="Normal"/>
    <w:next w:val="Normal"/>
    <w:link w:val="Titre8Car"/>
    <w:qFormat/>
    <w:rsid w:val="00B5722C"/>
    <w:pPr>
      <w:outlineLvl w:val="7"/>
    </w:pPr>
  </w:style>
  <w:style w:type="paragraph" w:styleId="Titre9">
    <w:name w:val="heading 9"/>
    <w:basedOn w:val="Normal"/>
    <w:next w:val="Normal"/>
    <w:link w:val="Titre9Car"/>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B5722C"/>
    <w:pPr>
      <w:pBdr>
        <w:bottom w:val="single" w:sz="4" w:space="4" w:color="auto"/>
      </w:pBdr>
      <w:spacing w:line="240" w:lineRule="auto"/>
    </w:pPr>
    <w:rPr>
      <w:b/>
      <w:sz w:val="18"/>
    </w:rPr>
  </w:style>
  <w:style w:type="paragraph" w:customStyle="1" w:styleId="H1G">
    <w:name w:val="_ H_1_G"/>
    <w:basedOn w:val="Normal"/>
    <w:next w:val="Normal"/>
    <w:link w:val="H1GChar"/>
    <w:qFormat/>
    <w:rsid w:val="00B5722C"/>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qFormat/>
    <w:rsid w:val="00B5722C"/>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B5722C"/>
    <w:pPr>
      <w:keepNext/>
      <w:keepLines/>
      <w:spacing w:before="240" w:after="240" w:line="420" w:lineRule="exact"/>
      <w:ind w:left="1134" w:right="1134"/>
    </w:pPr>
    <w:rPr>
      <w:b/>
      <w:sz w:val="40"/>
    </w:rPr>
  </w:style>
  <w:style w:type="paragraph" w:customStyle="1" w:styleId="SLG">
    <w:name w:val="__S_L_G"/>
    <w:basedOn w:val="Normal"/>
    <w:next w:val="Normal"/>
    <w:rsid w:val="00B5722C"/>
    <w:pPr>
      <w:keepNext/>
      <w:keepLines/>
      <w:spacing w:before="240" w:after="240" w:line="580" w:lineRule="exact"/>
      <w:ind w:left="1134" w:right="1134"/>
    </w:pPr>
    <w:rPr>
      <w:b/>
      <w:sz w:val="56"/>
    </w:rPr>
  </w:style>
  <w:style w:type="paragraph" w:customStyle="1" w:styleId="SSG">
    <w:name w:val="__S_S_G"/>
    <w:basedOn w:val="Normal"/>
    <w:next w:val="Normal"/>
    <w:rsid w:val="00B5722C"/>
    <w:pPr>
      <w:keepNext/>
      <w:keepLines/>
      <w:spacing w:before="240" w:after="240" w:line="300" w:lineRule="exact"/>
      <w:ind w:left="1134" w:right="1134"/>
    </w:pPr>
    <w:rPr>
      <w:b/>
      <w:sz w:val="28"/>
    </w:rPr>
  </w:style>
  <w:style w:type="paragraph" w:customStyle="1" w:styleId="XLargeG">
    <w:name w:val="__XLarge_G"/>
    <w:basedOn w:val="Normal"/>
    <w:next w:val="Normal"/>
    <w:rsid w:val="00B5722C"/>
    <w:pPr>
      <w:keepNext/>
      <w:keepLines/>
      <w:spacing w:before="240" w:after="240" w:line="420" w:lineRule="exact"/>
      <w:ind w:left="1134" w:right="1134"/>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rsid w:val="00B5722C"/>
    <w:rPr>
      <w:color w:val="0000FF"/>
      <w:u w:val="none"/>
    </w:rPr>
  </w:style>
  <w:style w:type="paragraph" w:customStyle="1" w:styleId="ParNoG">
    <w:name w:val="_ParNo_G"/>
    <w:basedOn w:val="Normal"/>
    <w:qFormat/>
    <w:rsid w:val="00B5722C"/>
    <w:pPr>
      <w:numPr>
        <w:numId w:val="6"/>
      </w:numPr>
      <w:tabs>
        <w:tab w:val="clear" w:pos="1701"/>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B5722C"/>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rsid w:val="00B5722C"/>
    <w:rPr>
      <w:rFonts w:eastAsiaTheme="minorHAnsi"/>
      <w:lang w:val="fr-CH" w:eastAsia="en-US"/>
    </w:rPr>
  </w:style>
  <w:style w:type="character" w:customStyle="1" w:styleId="Titre3Car">
    <w:name w:val="Titre 3 Car"/>
    <w:basedOn w:val="Policepardfaut"/>
    <w:link w:val="Titre3"/>
    <w:rsid w:val="00B5722C"/>
    <w:rPr>
      <w:rFonts w:eastAsiaTheme="minorHAnsi"/>
      <w:lang w:val="fr-CH" w:eastAsia="en-US"/>
    </w:rPr>
  </w:style>
  <w:style w:type="character" w:customStyle="1" w:styleId="Titre4Car">
    <w:name w:val="Titre 4 Car"/>
    <w:basedOn w:val="Policepardfaut"/>
    <w:link w:val="Titre4"/>
    <w:rsid w:val="00B5722C"/>
    <w:rPr>
      <w:rFonts w:eastAsiaTheme="minorHAnsi"/>
      <w:lang w:val="fr-CH" w:eastAsia="en-US"/>
    </w:rPr>
  </w:style>
  <w:style w:type="character" w:customStyle="1" w:styleId="Titre5Car">
    <w:name w:val="Titre 5 Car"/>
    <w:basedOn w:val="Policepardfaut"/>
    <w:link w:val="Titre5"/>
    <w:rsid w:val="00B5722C"/>
    <w:rPr>
      <w:rFonts w:eastAsiaTheme="minorHAnsi"/>
      <w:lang w:val="fr-CH" w:eastAsia="en-US"/>
    </w:rPr>
  </w:style>
  <w:style w:type="character" w:customStyle="1" w:styleId="Titre6Car">
    <w:name w:val="Titre 6 Car"/>
    <w:basedOn w:val="Policepardfaut"/>
    <w:link w:val="Titre6"/>
    <w:rsid w:val="00B5722C"/>
    <w:rPr>
      <w:rFonts w:eastAsiaTheme="minorHAnsi"/>
      <w:lang w:val="fr-CH" w:eastAsia="en-US"/>
    </w:rPr>
  </w:style>
  <w:style w:type="character" w:customStyle="1" w:styleId="Titre7Car">
    <w:name w:val="Titre 7 Car"/>
    <w:basedOn w:val="Policepardfaut"/>
    <w:link w:val="Titre7"/>
    <w:rsid w:val="00B5722C"/>
    <w:rPr>
      <w:rFonts w:eastAsiaTheme="minorHAnsi"/>
      <w:lang w:val="fr-CH" w:eastAsia="en-US"/>
    </w:rPr>
  </w:style>
  <w:style w:type="character" w:customStyle="1" w:styleId="Titre8Car">
    <w:name w:val="Titre 8 Car"/>
    <w:basedOn w:val="Policepardfaut"/>
    <w:link w:val="Titre8"/>
    <w:rsid w:val="00B5722C"/>
    <w:rPr>
      <w:rFonts w:eastAsiaTheme="minorHAnsi"/>
      <w:lang w:val="fr-CH" w:eastAsia="en-US"/>
    </w:rPr>
  </w:style>
  <w:style w:type="character" w:customStyle="1" w:styleId="Titre9Car">
    <w:name w:val="Titre 9 Car"/>
    <w:basedOn w:val="Policepardfaut"/>
    <w:link w:val="Titre9"/>
    <w:rsid w:val="00B5722C"/>
    <w:rPr>
      <w:rFonts w:eastAsiaTheme="minorHAnsi"/>
      <w:lang w:val="fr-CH" w:eastAsia="en-US"/>
    </w:rPr>
  </w:style>
  <w:style w:type="character" w:customStyle="1" w:styleId="SingleTxtGChar">
    <w:name w:val="_ Single Txt_G Char"/>
    <w:rsid w:val="00712772"/>
    <w:rPr>
      <w:rFonts w:eastAsiaTheme="minorHAnsi"/>
      <w:lang w:val="fr-CH"/>
    </w:rPr>
  </w:style>
  <w:style w:type="character" w:customStyle="1" w:styleId="HChGChar">
    <w:name w:val="_ H _Ch_G Char"/>
    <w:link w:val="HChG"/>
    <w:rsid w:val="00712772"/>
    <w:rPr>
      <w:rFonts w:eastAsiaTheme="minorHAnsi"/>
      <w:b/>
      <w:sz w:val="28"/>
      <w:lang w:val="fr-CH" w:eastAsia="en-US"/>
    </w:rPr>
  </w:style>
  <w:style w:type="character" w:customStyle="1" w:styleId="H1GChar">
    <w:name w:val="_ H_1_G Char"/>
    <w:link w:val="H1G"/>
    <w:locked/>
    <w:rsid w:val="00712772"/>
    <w:rPr>
      <w:rFonts w:eastAsiaTheme="minorHAnsi"/>
      <w:b/>
      <w:sz w:val="24"/>
      <w:lang w:val="fr-CH" w:eastAsia="en-US"/>
    </w:rPr>
  </w:style>
  <w:style w:type="character" w:styleId="Mentionnonrsolue">
    <w:name w:val="Unresolved Mention"/>
    <w:basedOn w:val="Policepardfaut"/>
    <w:uiPriority w:val="99"/>
    <w:semiHidden/>
    <w:unhideWhenUsed/>
    <w:rsid w:val="00D715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undocs.org/fr/CAT/C/67/1" TargetMode="External"/><Relationship Id="rId117" Type="http://schemas.openxmlformats.org/officeDocument/2006/relationships/hyperlink" Target="https://undocs.org/fr/CAT/C/68/D/863/2018" TargetMode="External"/><Relationship Id="rId21" Type="http://schemas.openxmlformats.org/officeDocument/2006/relationships/footer" Target="footer5.xml"/><Relationship Id="rId42" Type="http://schemas.openxmlformats.org/officeDocument/2006/relationships/hyperlink" Target="https://undocs.org/fr/A/69/44" TargetMode="External"/><Relationship Id="rId47" Type="http://schemas.openxmlformats.org/officeDocument/2006/relationships/hyperlink" Target="https://undocs.org/fr/CAT/C/GRC/7" TargetMode="External"/><Relationship Id="rId63" Type="http://schemas.openxmlformats.org/officeDocument/2006/relationships/hyperlink" Target="https://undocs.org/fr/CAT/C/UZB/CO/5" TargetMode="External"/><Relationship Id="rId68" Type="http://schemas.openxmlformats.org/officeDocument/2006/relationships/hyperlink" Target="https://undocs.org/fr/CAT/C/KEN/3" TargetMode="External"/><Relationship Id="rId84" Type="http://schemas.openxmlformats.org/officeDocument/2006/relationships/hyperlink" Target="https://undocs.org/fr/CAT/C/MDV/CO/1/Add.1" TargetMode="External"/><Relationship Id="rId89" Type="http://schemas.openxmlformats.org/officeDocument/2006/relationships/hyperlink" Target="http://www.ohchr.org" TargetMode="External"/><Relationship Id="rId112" Type="http://schemas.openxmlformats.org/officeDocument/2006/relationships/hyperlink" Target="https://undocs.org/fr/CAT/C/68/D/818/2017" TargetMode="External"/><Relationship Id="rId133" Type="http://schemas.openxmlformats.org/officeDocument/2006/relationships/hyperlink" Target="https://undocs.org/fr/CAT/C/52/D/477/2011" TargetMode="External"/><Relationship Id="rId138" Type="http://schemas.openxmlformats.org/officeDocument/2006/relationships/hyperlink" Target="https://undocs.org/fr/CAT/C/65/D/811/2017" TargetMode="External"/><Relationship Id="rId16" Type="http://schemas.openxmlformats.org/officeDocument/2006/relationships/header" Target="header2.xml"/><Relationship Id="rId107" Type="http://schemas.openxmlformats.org/officeDocument/2006/relationships/hyperlink" Target="https://undocs.org/fr/CAT/C/67/D/849/2017" TargetMode="External"/><Relationship Id="rId11" Type="http://schemas.openxmlformats.org/officeDocument/2006/relationships/footer" Target="footer1.xml"/><Relationship Id="rId32" Type="http://schemas.openxmlformats.org/officeDocument/2006/relationships/hyperlink" Target="https://undocs.org/fr/CAT/C/69/3" TargetMode="External"/><Relationship Id="rId37" Type="http://schemas.openxmlformats.org/officeDocument/2006/relationships/hyperlink" Target="https://undocs.org/fr/CAT/C/55/3" TargetMode="External"/><Relationship Id="rId53" Type="http://schemas.openxmlformats.org/officeDocument/2006/relationships/hyperlink" Target="http://documents.un.org" TargetMode="External"/><Relationship Id="rId58" Type="http://schemas.openxmlformats.org/officeDocument/2006/relationships/hyperlink" Target="https://undocs.org/fr/CAT/C/LVA/6" TargetMode="External"/><Relationship Id="rId74" Type="http://schemas.openxmlformats.org/officeDocument/2006/relationships/hyperlink" Target="https://undocs.org/fr/CAT/C/55/3" TargetMode="External"/><Relationship Id="rId79" Type="http://schemas.openxmlformats.org/officeDocument/2006/relationships/hyperlink" Target="https://undocs.org/fr/CAT/C/MDA/CO/3/Add.1" TargetMode="External"/><Relationship Id="rId102" Type="http://schemas.openxmlformats.org/officeDocument/2006/relationships/hyperlink" Target="https://undocs.org/fr/CAT/C/67/D/700/2015" TargetMode="External"/><Relationship Id="rId123" Type="http://schemas.openxmlformats.org/officeDocument/2006/relationships/hyperlink" Target="https://undocs.org/fr/CAT/C/68/D/773/2016" TargetMode="External"/><Relationship Id="rId128" Type="http://schemas.openxmlformats.org/officeDocument/2006/relationships/hyperlink" Target="https://undocs.org/fr/CAT/C/68/D/864/2018" TargetMode="External"/><Relationship Id="rId144" Type="http://schemas.openxmlformats.org/officeDocument/2006/relationships/hyperlink" Target="https://undocs.org/fr/CAT/C/67/3" TargetMode="External"/><Relationship Id="rId149" Type="http://schemas.openxmlformats.org/officeDocument/2006/relationships/fontTable" Target="fontTable.xml"/><Relationship Id="rId5" Type="http://schemas.openxmlformats.org/officeDocument/2006/relationships/styles" Target="styles.xml"/><Relationship Id="rId90" Type="http://schemas.openxmlformats.org/officeDocument/2006/relationships/hyperlink" Target="http://documents.un.org/prod/ods.nsf/home.xsp" TargetMode="External"/><Relationship Id="rId95" Type="http://schemas.openxmlformats.org/officeDocument/2006/relationships/hyperlink" Target="https://undocs.org/fr/CAT/C/67/D/816/2017" TargetMode="External"/><Relationship Id="rId22" Type="http://schemas.openxmlformats.org/officeDocument/2006/relationships/header" Target="header5.xml"/><Relationship Id="rId27" Type="http://schemas.openxmlformats.org/officeDocument/2006/relationships/hyperlink" Target="https://undocs.org/fr/CAT/C/68/1" TargetMode="External"/><Relationship Id="rId43" Type="http://schemas.openxmlformats.org/officeDocument/2006/relationships/hyperlink" Target="https://undocs.org/fr/A/74/44" TargetMode="External"/><Relationship Id="rId48" Type="http://schemas.openxmlformats.org/officeDocument/2006/relationships/hyperlink" Target="https://undocs.org/fr/CAT/C/GRC/CO/7" TargetMode="External"/><Relationship Id="rId64" Type="http://schemas.openxmlformats.org/officeDocument/2006/relationships/hyperlink" Target="https://undocs.org/fr/CAT/C/PRT/7" TargetMode="External"/><Relationship Id="rId69" Type="http://schemas.openxmlformats.org/officeDocument/2006/relationships/hyperlink" Target="https://undocs.org/fr/CAT/C/ISL/4" TargetMode="External"/><Relationship Id="rId113" Type="http://schemas.openxmlformats.org/officeDocument/2006/relationships/hyperlink" Target="https://undocs.org/fr/CAT/C/68/D/852/2017" TargetMode="External"/><Relationship Id="rId118" Type="http://schemas.openxmlformats.org/officeDocument/2006/relationships/hyperlink" Target="https://undocs.org/fr/CAT/C/68/D/860/2018" TargetMode="External"/><Relationship Id="rId134" Type="http://schemas.openxmlformats.org/officeDocument/2006/relationships/hyperlink" Target="https://undocs.org/fr/CAT/C/59/D/606/2014" TargetMode="External"/><Relationship Id="rId139" Type="http://schemas.openxmlformats.org/officeDocument/2006/relationships/hyperlink" Target="https://undocs.org/fr/CAT/C/55/D/500/2012" TargetMode="External"/><Relationship Id="rId80" Type="http://schemas.openxmlformats.org/officeDocument/2006/relationships/hyperlink" Target="https://undocs.org/fr/CAT/C/ITA/CO/5-6/Add.3" TargetMode="External"/><Relationship Id="rId85" Type="http://schemas.openxmlformats.org/officeDocument/2006/relationships/hyperlink" Target="https://undocs.org/fr/CAT/C/GTM/FCO/7" TargetMode="External"/><Relationship Id="rId15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undocs.org/fr/A/75/44" TargetMode="External"/><Relationship Id="rId17" Type="http://schemas.openxmlformats.org/officeDocument/2006/relationships/footer" Target="footer3.xml"/><Relationship Id="rId25" Type="http://schemas.openxmlformats.org/officeDocument/2006/relationships/hyperlink" Target="http://treaties.un.org" TargetMode="External"/><Relationship Id="rId33" Type="http://schemas.openxmlformats.org/officeDocument/2006/relationships/hyperlink" Target="http://www.ohchr.org/EN/Issues/Torture/UNVFT/Pages/IntlDay.aspx" TargetMode="External"/><Relationship Id="rId38" Type="http://schemas.openxmlformats.org/officeDocument/2006/relationships/hyperlink" Target="https://undocs.org/fr/A/64/44" TargetMode="External"/><Relationship Id="rId46" Type="http://schemas.openxmlformats.org/officeDocument/2006/relationships/hyperlink" Target="https://undocs.org/fr/CAT/C/BGD/CO/1" TargetMode="External"/><Relationship Id="rId59" Type="http://schemas.openxmlformats.org/officeDocument/2006/relationships/hyperlink" Target="https://undocs.org/fr/CAT/C/LVA/CO/6" TargetMode="External"/><Relationship Id="rId67" Type="http://schemas.openxmlformats.org/officeDocument/2006/relationships/hyperlink" Target="https://undocs.org/fr/CAT/C/ARE/1" TargetMode="External"/><Relationship Id="rId103" Type="http://schemas.openxmlformats.org/officeDocument/2006/relationships/hyperlink" Target="https://undocs.org/fr/CAT/C/67/D/786/2016" TargetMode="External"/><Relationship Id="rId108" Type="http://schemas.openxmlformats.org/officeDocument/2006/relationships/hyperlink" Target="https://undocs.org/fr/CAT/C/67/D/906/2018" TargetMode="External"/><Relationship Id="rId116" Type="http://schemas.openxmlformats.org/officeDocument/2006/relationships/hyperlink" Target="https://undocs.org/fr/CAT/C/68/D/855/2017" TargetMode="External"/><Relationship Id="rId124" Type="http://schemas.openxmlformats.org/officeDocument/2006/relationships/hyperlink" Target="https://undocs.org/fr/CAT/C/68/D/815/2017" TargetMode="External"/><Relationship Id="rId129" Type="http://schemas.openxmlformats.org/officeDocument/2006/relationships/hyperlink" Target="https://undocs.org/fr/CAT/C/68/D/894/2018" TargetMode="External"/><Relationship Id="rId137" Type="http://schemas.openxmlformats.org/officeDocument/2006/relationships/hyperlink" Target="https://undocs.org/fr/CAT/C/65/D/758/2016" TargetMode="External"/><Relationship Id="rId20" Type="http://schemas.openxmlformats.org/officeDocument/2006/relationships/footer" Target="footer4.xml"/><Relationship Id="rId41" Type="http://schemas.openxmlformats.org/officeDocument/2006/relationships/hyperlink" Target="http://www.ohchr.org/EN/HRBodies/CAT/Pages/ReportingProcedures.aspx" TargetMode="External"/><Relationship Id="rId54" Type="http://schemas.openxmlformats.org/officeDocument/2006/relationships/hyperlink" Target="https://undocs.org/fr/CAT/C/BFA/2" TargetMode="External"/><Relationship Id="rId62" Type="http://schemas.openxmlformats.org/officeDocument/2006/relationships/hyperlink" Target="https://undocs.org/fr/CAT/C/UZB/5" TargetMode="External"/><Relationship Id="rId70" Type="http://schemas.openxmlformats.org/officeDocument/2006/relationships/hyperlink" Target="https://undocs.org/fr/CAT/C/MNE/3" TargetMode="External"/><Relationship Id="rId75" Type="http://schemas.openxmlformats.org/officeDocument/2006/relationships/hyperlink" Target="https://undocs.org/fr/CAT/C/PAK/CO/1/Add.1" TargetMode="External"/><Relationship Id="rId83" Type="http://schemas.openxmlformats.org/officeDocument/2006/relationships/hyperlink" Target="https://undocs.org/fr/CAT/C/QAT/FCO/3" TargetMode="External"/><Relationship Id="rId88" Type="http://schemas.openxmlformats.org/officeDocument/2006/relationships/hyperlink" Target="http://juris.ohchr.org/" TargetMode="External"/><Relationship Id="rId91" Type="http://schemas.openxmlformats.org/officeDocument/2006/relationships/hyperlink" Target="https://undocs.org/fr/CAT/C/67/D/854/2017" TargetMode="External"/><Relationship Id="rId96" Type="http://schemas.openxmlformats.org/officeDocument/2006/relationships/hyperlink" Target="https://undocs.org/fr/CAT/C/67/D/780/2016" TargetMode="External"/><Relationship Id="rId111" Type="http://schemas.openxmlformats.org/officeDocument/2006/relationships/hyperlink" Target="https://undocs.org/fr/CAT/C/68/D/826/2017" TargetMode="External"/><Relationship Id="rId132" Type="http://schemas.openxmlformats.org/officeDocument/2006/relationships/hyperlink" Target="https://undocs.org/fr/CAT/C/60/D/653/2015" TargetMode="External"/><Relationship Id="rId140" Type="http://schemas.openxmlformats.org/officeDocument/2006/relationships/hyperlink" Target="https://undocs.org/fr/CAT/C/56/D/580/2014" TargetMode="External"/><Relationship Id="rId145" Type="http://schemas.openxmlformats.org/officeDocument/2006/relationships/hyperlink" Target="https://undocs.org/fr/CAT/C/68/3"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s://undocs.org/fr/CAT/C/69/1/Rev.1" TargetMode="External"/><Relationship Id="rId36" Type="http://schemas.openxmlformats.org/officeDocument/2006/relationships/hyperlink" Target="https://undocs.org/fr/A/74/256" TargetMode="External"/><Relationship Id="rId49" Type="http://schemas.openxmlformats.org/officeDocument/2006/relationships/hyperlink" Target="https://undocs.org/fr/CAT/C/POL/7" TargetMode="External"/><Relationship Id="rId57" Type="http://schemas.openxmlformats.org/officeDocument/2006/relationships/hyperlink" Target="https://undocs.org/fr/CAT/C/CYP/CO/5" TargetMode="External"/><Relationship Id="rId106" Type="http://schemas.openxmlformats.org/officeDocument/2006/relationships/hyperlink" Target="https://undocs.org/fr/CAT/C/67/D/844/2017" TargetMode="External"/><Relationship Id="rId114" Type="http://schemas.openxmlformats.org/officeDocument/2006/relationships/hyperlink" Target="https://undocs.org/fr/CAT/C/68/D/882/2018" TargetMode="External"/><Relationship Id="rId119" Type="http://schemas.openxmlformats.org/officeDocument/2006/relationships/hyperlink" Target="https://undocs.org/fr/CAT/C/68/D/568/2013" TargetMode="External"/><Relationship Id="rId127" Type="http://schemas.openxmlformats.org/officeDocument/2006/relationships/hyperlink" Target="https://undocs.org/fr/CAT/C/68/D/850/2017" TargetMode="External"/><Relationship Id="rId10" Type="http://schemas.openxmlformats.org/officeDocument/2006/relationships/image" Target="media/image1.wmf"/><Relationship Id="rId31" Type="http://schemas.openxmlformats.org/officeDocument/2006/relationships/hyperlink" Target="http://treaties.un.org" TargetMode="External"/><Relationship Id="rId44" Type="http://schemas.openxmlformats.org/officeDocument/2006/relationships/hyperlink" Target="http://documents.un.org" TargetMode="External"/><Relationship Id="rId52" Type="http://schemas.openxmlformats.org/officeDocument/2006/relationships/hyperlink" Target="https://undocs.org/fr/CAT/C/TGO/CO/3%20" TargetMode="External"/><Relationship Id="rId60" Type="http://schemas.openxmlformats.org/officeDocument/2006/relationships/hyperlink" Target="https://undocs.org/fr/CAT/C/NER/1" TargetMode="External"/><Relationship Id="rId65" Type="http://schemas.openxmlformats.org/officeDocument/2006/relationships/hyperlink" Target="https://undocs.org/fr/CAT/C/PRT/CO/7" TargetMode="External"/><Relationship Id="rId73" Type="http://schemas.openxmlformats.org/officeDocument/2006/relationships/hyperlink" Target="https://undocs.org/fr/A/58/44" TargetMode="External"/><Relationship Id="rId78" Type="http://schemas.openxmlformats.org/officeDocument/2006/relationships/hyperlink" Target="https://undocs.org/fr/CAT/C/ITA/CO/5-6/Add.2" TargetMode="External"/><Relationship Id="rId81" Type="http://schemas.openxmlformats.org/officeDocument/2006/relationships/hyperlink" Target="https://undocs.org/fr/CAT/C/RUS/CO/6/Add.1" TargetMode="External"/><Relationship Id="rId86" Type="http://schemas.openxmlformats.org/officeDocument/2006/relationships/hyperlink" Target="https://undocs.org/fr/CAT/C/MRT/FCO/2" TargetMode="External"/><Relationship Id="rId94" Type="http://schemas.openxmlformats.org/officeDocument/2006/relationships/hyperlink" Target="https://undocs.org/fr/CAT/C/67/D/775/2016" TargetMode="External"/><Relationship Id="rId99" Type="http://schemas.openxmlformats.org/officeDocument/2006/relationships/hyperlink" Target="https://undocs.org/fr/CAT/C/67/D/813/2017" TargetMode="External"/><Relationship Id="rId101" Type="http://schemas.openxmlformats.org/officeDocument/2006/relationships/hyperlink" Target="https://undocs.org/fr/CAT/C/67/D/665/2015" TargetMode="External"/><Relationship Id="rId122" Type="http://schemas.openxmlformats.org/officeDocument/2006/relationships/hyperlink" Target="https://undocs.org/fr/CAT/C/68/D/763/2016" TargetMode="External"/><Relationship Id="rId130" Type="http://schemas.openxmlformats.org/officeDocument/2006/relationships/hyperlink" Target="https://undocs.org/fr/CAT/C/68/D/897/2018" TargetMode="External"/><Relationship Id="rId135" Type="http://schemas.openxmlformats.org/officeDocument/2006/relationships/hyperlink" Target="https://undocs.org/fr/CAT/C/56/D/586/2014" TargetMode="External"/><Relationship Id="rId143" Type="http://schemas.openxmlformats.org/officeDocument/2006/relationships/hyperlink" Target="https://undocs.org/fr/CAT/C/67/D/854/2017" TargetMode="External"/><Relationship Id="rId148" Type="http://schemas.openxmlformats.org/officeDocument/2006/relationships/footer" Target="footer7.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3.xml"/><Relationship Id="rId39" Type="http://schemas.openxmlformats.org/officeDocument/2006/relationships/hyperlink" Target="https://undocs.org/fr/A/67/44" TargetMode="External"/><Relationship Id="rId109" Type="http://schemas.openxmlformats.org/officeDocument/2006/relationships/hyperlink" Target="https://undocs.org/fr/CAT/C/68/D/782/2016" TargetMode="External"/><Relationship Id="rId34" Type="http://schemas.openxmlformats.org/officeDocument/2006/relationships/hyperlink" Target="https://undocs.org/fr/CAT/C/55/2" TargetMode="External"/><Relationship Id="rId50" Type="http://schemas.openxmlformats.org/officeDocument/2006/relationships/hyperlink" Target="https://undocs.org/fr/CAT/C/POL/CO/7" TargetMode="External"/><Relationship Id="rId55" Type="http://schemas.openxmlformats.org/officeDocument/2006/relationships/hyperlink" Target="https://undocs.org/fr/CAT/C/BFA/CO/2" TargetMode="External"/><Relationship Id="rId76" Type="http://schemas.openxmlformats.org/officeDocument/2006/relationships/hyperlink" Target="https://undocs.org/fr/CAT/C/SAU/FCO/2" TargetMode="External"/><Relationship Id="rId97" Type="http://schemas.openxmlformats.org/officeDocument/2006/relationships/hyperlink" Target="https://undocs.org/fr/CAT/C/67/D/780/2016/Corr.1" TargetMode="External"/><Relationship Id="rId104" Type="http://schemas.openxmlformats.org/officeDocument/2006/relationships/hyperlink" Target="https://undocs.org/fr/CAT/C/67/D/787/2016" TargetMode="External"/><Relationship Id="rId120" Type="http://schemas.openxmlformats.org/officeDocument/2006/relationships/hyperlink" Target="https://undocs.org/fr/CAT/C/68/D/646/2014" TargetMode="External"/><Relationship Id="rId125" Type="http://schemas.openxmlformats.org/officeDocument/2006/relationships/hyperlink" Target="https://undocs.org/fr/CAT/C/68/D/821/2017" TargetMode="External"/><Relationship Id="rId141" Type="http://schemas.openxmlformats.org/officeDocument/2006/relationships/hyperlink" Target="https://undocs.org/fr/CAT/C/66/D/729/2016" TargetMode="External"/><Relationship Id="rId146" Type="http://schemas.openxmlformats.org/officeDocument/2006/relationships/hyperlink" Target="https://undocs.org/fr/A/RES/68/268" TargetMode="External"/><Relationship Id="rId7" Type="http://schemas.openxmlformats.org/officeDocument/2006/relationships/webSettings" Target="webSettings.xml"/><Relationship Id="rId71" Type="http://schemas.openxmlformats.org/officeDocument/2006/relationships/hyperlink" Target="https://undocs.org/fr/CAT/C/URY/4" TargetMode="External"/><Relationship Id="rId92" Type="http://schemas.openxmlformats.org/officeDocument/2006/relationships/hyperlink" Target="https://undocs.org/fr/CAT/C/67/D/857/2017" TargetMode="External"/><Relationship Id="rId2" Type="http://schemas.openxmlformats.org/officeDocument/2006/relationships/customXml" Target="../customXml/item2.xml"/><Relationship Id="rId29" Type="http://schemas.openxmlformats.org/officeDocument/2006/relationships/hyperlink" Target="https://undocs.org/fr/CAT/C/SR.1757" TargetMode="External"/><Relationship Id="rId24" Type="http://schemas.openxmlformats.org/officeDocument/2006/relationships/hyperlink" Target="https://undocs.org/fr/A/74/44" TargetMode="External"/><Relationship Id="rId40" Type="http://schemas.openxmlformats.org/officeDocument/2006/relationships/hyperlink" Target="https://undocs.org/fr/A/66/44" TargetMode="External"/><Relationship Id="rId45" Type="http://schemas.openxmlformats.org/officeDocument/2006/relationships/hyperlink" Target="https://undocs.org/fr/CAT/C/BGD/1" TargetMode="External"/><Relationship Id="rId66" Type="http://schemas.openxmlformats.org/officeDocument/2006/relationships/hyperlink" Target="https://undocs.org/fr/CAT/C/CUB/3" TargetMode="External"/><Relationship Id="rId87" Type="http://schemas.openxmlformats.org/officeDocument/2006/relationships/hyperlink" Target="https://undocs.org/fr/CAT/C/CAN/FCO/7" TargetMode="External"/><Relationship Id="rId110" Type="http://schemas.openxmlformats.org/officeDocument/2006/relationships/hyperlink" Target="https://undocs.org/fr/CAT/C/68/D/817/2017" TargetMode="External"/><Relationship Id="rId115" Type="http://schemas.openxmlformats.org/officeDocument/2006/relationships/hyperlink" Target="https://undocs.org/fr/CAT/C/68/D/718/2015" TargetMode="External"/><Relationship Id="rId131" Type="http://schemas.openxmlformats.org/officeDocument/2006/relationships/hyperlink" Target="https://undocs.org/fr/CAT/C/68/D/924/2019" TargetMode="External"/><Relationship Id="rId136" Type="http://schemas.openxmlformats.org/officeDocument/2006/relationships/hyperlink" Target="https://undocs.org/fr/CAT/C/64/D/742/2016" TargetMode="External"/><Relationship Id="rId61" Type="http://schemas.openxmlformats.org/officeDocument/2006/relationships/hyperlink" Target="https://undocs.org/fr/CAT/C/NER/CO/1" TargetMode="External"/><Relationship Id="rId82" Type="http://schemas.openxmlformats.org/officeDocument/2006/relationships/hyperlink" Target="https://undocs.org/fr/CAT/C/CHL/CO/6/Add.1" TargetMode="External"/><Relationship Id="rId19" Type="http://schemas.openxmlformats.org/officeDocument/2006/relationships/header" Target="header4.xml"/><Relationship Id="rId14" Type="http://schemas.openxmlformats.org/officeDocument/2006/relationships/header" Target="header1.xml"/><Relationship Id="rId30" Type="http://schemas.openxmlformats.org/officeDocument/2006/relationships/hyperlink" Target="http://www.ohchr.org" TargetMode="External"/><Relationship Id="rId35" Type="http://schemas.openxmlformats.org/officeDocument/2006/relationships/hyperlink" Target="https://undocs.org/fr/A/74/44" TargetMode="External"/><Relationship Id="rId56" Type="http://schemas.openxmlformats.org/officeDocument/2006/relationships/hyperlink" Target="https://undocs.org/fr/CAT/C/CYP/5" TargetMode="External"/><Relationship Id="rId77" Type="http://schemas.openxmlformats.org/officeDocument/2006/relationships/hyperlink" Target="https://undocs.org/fr/CAT/C/CZE/CO/6/Add.1" TargetMode="External"/><Relationship Id="rId100" Type="http://schemas.openxmlformats.org/officeDocument/2006/relationships/hyperlink" Target="https://undocs.org/fr/CAT/C/67/D/828/2017" TargetMode="External"/><Relationship Id="rId105" Type="http://schemas.openxmlformats.org/officeDocument/2006/relationships/hyperlink" Target="https://undocs.org/fr/CAT/C/67/D/800/2017" TargetMode="External"/><Relationship Id="rId126" Type="http://schemas.openxmlformats.org/officeDocument/2006/relationships/hyperlink" Target="https://undocs.org/fr/CAT/C/68/D/848/2017" TargetMode="External"/><Relationship Id="rId147" Type="http://schemas.openxmlformats.org/officeDocument/2006/relationships/header" Target="header6.xml"/><Relationship Id="rId8" Type="http://schemas.openxmlformats.org/officeDocument/2006/relationships/footnotes" Target="footnotes.xml"/><Relationship Id="rId51" Type="http://schemas.openxmlformats.org/officeDocument/2006/relationships/hyperlink" Target="https://undocs.org/fr/CAT/C/TGO/3" TargetMode="External"/><Relationship Id="rId72" Type="http://schemas.openxmlformats.org/officeDocument/2006/relationships/hyperlink" Target="http://documents.un.org" TargetMode="External"/><Relationship Id="rId93" Type="http://schemas.openxmlformats.org/officeDocument/2006/relationships/hyperlink" Target="https://undocs.org/fr/CAT/C/67/D/723/2015" TargetMode="External"/><Relationship Id="rId98" Type="http://schemas.openxmlformats.org/officeDocument/2006/relationships/hyperlink" Target="https://undocs.org/fr/CAT/C/67/D/791/2016" TargetMode="External"/><Relationship Id="rId121" Type="http://schemas.openxmlformats.org/officeDocument/2006/relationships/hyperlink" Target="https://undocs.org/fr/CAT/C/68/D/746/2016" TargetMode="External"/><Relationship Id="rId142" Type="http://schemas.openxmlformats.org/officeDocument/2006/relationships/hyperlink" Target="https://undocs.org/fr/CAT/C/65/D/778/2016"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A/71/44" TargetMode="External"/><Relationship Id="rId7" Type="http://schemas.openxmlformats.org/officeDocument/2006/relationships/hyperlink" Target="https://tbinternet.ohchr.org/_layouts/15/TreatyBodyExternal/FollowUp.aspx?Trait&#233;=CAT&amp;Lang=fr" TargetMode="External"/><Relationship Id="rId2" Type="http://schemas.openxmlformats.org/officeDocument/2006/relationships/hyperlink" Target="https://undocs.org/fr/A/70/44" TargetMode="External"/><Relationship Id="rId1" Type="http://schemas.openxmlformats.org/officeDocument/2006/relationships/hyperlink" Target="https://undocs.org/fr/A/69/44" TargetMode="External"/><Relationship Id="rId6" Type="http://schemas.openxmlformats.org/officeDocument/2006/relationships/hyperlink" Target="https://undocs.org/fr/A/74/44" TargetMode="External"/><Relationship Id="rId5" Type="http://schemas.openxmlformats.org/officeDocument/2006/relationships/hyperlink" Target="https://undocs.org/fr/A/73/44" TargetMode="External"/><Relationship Id="rId4" Type="http://schemas.openxmlformats.org/officeDocument/2006/relationships/hyperlink" Target="https://undocs.org/fr/A/72/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7" ma:contentTypeDescription="Create a new document." ma:contentTypeScope="" ma:versionID="fcfa1b56da99a72e14419dd2b20b2ed4">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c07b4ef74a3f6c8085893b62fb054fe8"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5DB055-A51E-4341-A801-49D7A4984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8A44B5-B247-4891-8E1F-12E0AD931E72}">
  <ds:schemaRefs>
    <ds:schemaRef ds:uri="http://schemas.microsoft.com/sharepoint/v3/contenttype/forms"/>
  </ds:schemaRefs>
</ds:datastoreItem>
</file>

<file path=customXml/itemProps3.xml><?xml version="1.0" encoding="utf-8"?>
<ds:datastoreItem xmlns:ds="http://schemas.openxmlformats.org/officeDocument/2006/customXml" ds:itemID="{B8F24B1E-E655-402A-8CDF-48B6F0F760BF}">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f4ad8cc1-a6e6-4857-9710-b93853386e53"/>
    <ds:schemaRef ds:uri="http://schemas.microsoft.com/office/infopath/2007/PartnerControls"/>
    <ds:schemaRef ds:uri="fb8fb6fb-826b-4688-a67e-baccab305db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Rapport_AG.dotm</Template>
  <TotalTime>7</TotalTime>
  <Pages>24</Pages>
  <Words>10737</Words>
  <Characters>61201</Characters>
  <Application>Microsoft Office Word</Application>
  <DocSecurity>0</DocSecurity>
  <Lines>510</Lines>
  <Paragraphs>143</Paragraphs>
  <ScaleCrop>false</ScaleCrop>
  <HeadingPairs>
    <vt:vector size="2" baseType="variant">
      <vt:variant>
        <vt:lpstr>Titre</vt:lpstr>
      </vt:variant>
      <vt:variant>
        <vt:i4>1</vt:i4>
      </vt:variant>
    </vt:vector>
  </HeadingPairs>
  <TitlesOfParts>
    <vt:vector size="1" baseType="lpstr">
      <vt:lpstr>A/75/44</vt:lpstr>
    </vt:vector>
  </TitlesOfParts>
  <Manager>Corinne</Manager>
  <Company>CSD</Company>
  <LinksUpToDate>false</LinksUpToDate>
  <CharactersWithSpaces>71795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A/75/44</dc:title>
  <dc:subject/>
  <dc:creator>Nicolas MORIN</dc:creator>
  <cp:keywords/>
  <dc:description/>
  <cp:lastModifiedBy>Nicolas MORIN</cp:lastModifiedBy>
  <cp:revision>3</cp:revision>
  <cp:lastPrinted>2020-06-23T08:49:00Z</cp:lastPrinted>
  <dcterms:created xsi:type="dcterms:W3CDTF">2020-06-23T08:49:00Z</dcterms:created>
  <dcterms:modified xsi:type="dcterms:W3CDTF">2020-06-23T08:56:00Z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0x01010090485B4FDE2E244A8ABB633E9862E484</vt:lpwstr>
  </property>
</Properties>
</file>